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88D1" w14:textId="61A2F3ED" w:rsidR="00331476" w:rsidRDefault="00331476" w:rsidP="00EC0632">
      <w:pPr>
        <w:jc w:val="center"/>
        <w:rPr>
          <w:rFonts w:cs="Times New Roman"/>
          <w:b/>
          <w:smallCaps/>
          <w:szCs w:val="22"/>
        </w:rPr>
      </w:pPr>
      <w:r>
        <w:rPr>
          <w:rFonts w:cs="Times New Roman"/>
          <w:b/>
          <w:smallCaps/>
          <w:szCs w:val="22"/>
        </w:rPr>
        <w:t>Anexo “</w:t>
      </w:r>
      <w:r w:rsidR="00A41A48">
        <w:rPr>
          <w:rFonts w:cs="Times New Roman"/>
          <w:b/>
          <w:smallCaps/>
          <w:szCs w:val="22"/>
        </w:rPr>
        <w:t>2</w:t>
      </w:r>
      <w:r>
        <w:rPr>
          <w:rFonts w:cs="Times New Roman"/>
          <w:b/>
          <w:smallCaps/>
          <w:szCs w:val="22"/>
        </w:rPr>
        <w:t>”</w:t>
      </w:r>
    </w:p>
    <w:p w14:paraId="7149447A" w14:textId="77777777" w:rsidR="00331476" w:rsidRDefault="00331476" w:rsidP="00EC0632">
      <w:pPr>
        <w:jc w:val="center"/>
        <w:rPr>
          <w:rFonts w:cs="Times New Roman"/>
          <w:b/>
          <w:smallCaps/>
          <w:szCs w:val="22"/>
        </w:rPr>
      </w:pPr>
    </w:p>
    <w:p w14:paraId="5B5970C3" w14:textId="1D416841" w:rsidR="00D943AC" w:rsidRPr="00331476" w:rsidRDefault="00375BC6" w:rsidP="00EC0632">
      <w:pPr>
        <w:jc w:val="center"/>
        <w:rPr>
          <w:rFonts w:cs="Times New Roman"/>
          <w:smallCaps/>
          <w:szCs w:val="22"/>
        </w:rPr>
      </w:pPr>
      <w:r w:rsidRPr="00331476">
        <w:rPr>
          <w:rFonts w:cs="Times New Roman"/>
          <w:smallCaps/>
          <w:szCs w:val="22"/>
        </w:rPr>
        <w:t>Anexo “B”</w:t>
      </w:r>
    </w:p>
    <w:p w14:paraId="1147D39E" w14:textId="77777777" w:rsidR="00375BC6" w:rsidRPr="00331476" w:rsidRDefault="00375BC6" w:rsidP="00EC0632">
      <w:pPr>
        <w:jc w:val="center"/>
        <w:rPr>
          <w:rFonts w:cs="Times New Roman"/>
          <w:smallCaps/>
          <w:szCs w:val="22"/>
        </w:rPr>
      </w:pPr>
    </w:p>
    <w:p w14:paraId="0B8E01A9" w14:textId="77777777" w:rsidR="00375BC6" w:rsidRPr="00331476" w:rsidRDefault="00375BC6" w:rsidP="00EC0632">
      <w:pPr>
        <w:jc w:val="center"/>
        <w:rPr>
          <w:rFonts w:cs="Times New Roman"/>
          <w:smallCaps/>
          <w:szCs w:val="22"/>
        </w:rPr>
      </w:pPr>
      <w:r w:rsidRPr="00331476">
        <w:rPr>
          <w:rFonts w:cs="Times New Roman"/>
          <w:smallCaps/>
          <w:szCs w:val="22"/>
        </w:rPr>
        <w:t xml:space="preserve">Modelo de Oferta </w:t>
      </w:r>
      <w:r w:rsidR="009B39E4" w:rsidRPr="00331476">
        <w:rPr>
          <w:rFonts w:cs="Times New Roman"/>
          <w:smallCaps/>
          <w:szCs w:val="22"/>
        </w:rPr>
        <w:t>Económica</w:t>
      </w:r>
    </w:p>
    <w:p w14:paraId="61E258C7" w14:textId="77777777" w:rsidR="00D943AC" w:rsidRPr="00331476" w:rsidRDefault="00D943AC" w:rsidP="00EC0632">
      <w:pPr>
        <w:jc w:val="center"/>
        <w:rPr>
          <w:rFonts w:cs="Times New Roman"/>
          <w:szCs w:val="22"/>
        </w:rPr>
      </w:pPr>
    </w:p>
    <w:p w14:paraId="3808CEB9" w14:textId="57B6192A" w:rsidR="003E16B9" w:rsidRPr="00331476" w:rsidRDefault="00E67AD3" w:rsidP="00DD3CBC">
      <w:pPr>
        <w:jc w:val="center"/>
        <w:rPr>
          <w:rFonts w:cs="Times New Roman"/>
          <w:smallCaps/>
          <w:szCs w:val="22"/>
        </w:rPr>
      </w:pPr>
      <w:r w:rsidRPr="00331476">
        <w:rPr>
          <w:rFonts w:cs="Times New Roman"/>
          <w:smallCaps/>
          <w:szCs w:val="22"/>
        </w:rPr>
        <w:t>Bases del</w:t>
      </w:r>
      <w:r w:rsidR="0044115E" w:rsidRPr="00331476">
        <w:rPr>
          <w:rFonts w:cs="Times New Roman"/>
          <w:smallCaps/>
          <w:szCs w:val="22"/>
        </w:rPr>
        <w:t xml:space="preserve"> </w:t>
      </w:r>
      <w:r w:rsidR="00EC0632" w:rsidRPr="00331476">
        <w:rPr>
          <w:rFonts w:cs="Times New Roman"/>
          <w:smallCaps/>
          <w:szCs w:val="22"/>
        </w:rPr>
        <w:t>Proceso de Licitación Pública</w:t>
      </w:r>
      <w:r w:rsidR="0044115E" w:rsidRPr="00331476">
        <w:rPr>
          <w:rFonts w:cs="Times New Roman"/>
          <w:smallCaps/>
          <w:szCs w:val="22"/>
        </w:rPr>
        <w:t xml:space="preserve"> </w:t>
      </w:r>
      <w:r w:rsidR="00D943AC" w:rsidRPr="00331476">
        <w:rPr>
          <w:rFonts w:cs="Times New Roman"/>
          <w:smallCaps/>
          <w:szCs w:val="22"/>
        </w:rPr>
        <w:t xml:space="preserve">No. </w:t>
      </w:r>
      <w:r w:rsidR="00FA06B4" w:rsidRPr="00331476">
        <w:rPr>
          <w:rFonts w:cs="Times New Roman"/>
          <w:smallCaps/>
          <w:szCs w:val="22"/>
        </w:rPr>
        <w:t xml:space="preserve">01 </w:t>
      </w:r>
      <w:r w:rsidR="00957E00" w:rsidRPr="00331476">
        <w:rPr>
          <w:rFonts w:cs="Times New Roman"/>
          <w:smallCaps/>
          <w:szCs w:val="22"/>
        </w:rPr>
        <w:t xml:space="preserve">para la contratación de </w:t>
      </w:r>
      <w:r w:rsidR="00D943AC" w:rsidRPr="00331476">
        <w:rPr>
          <w:rFonts w:cs="Times New Roman"/>
          <w:smallCaps/>
          <w:szCs w:val="22"/>
        </w:rPr>
        <w:t xml:space="preserve">uno o más </w:t>
      </w:r>
      <w:r w:rsidR="00957E00" w:rsidRPr="00331476">
        <w:rPr>
          <w:rFonts w:cs="Times New Roman"/>
          <w:smallCaps/>
          <w:szCs w:val="22"/>
        </w:rPr>
        <w:t>Financiamientos por un monto de hasta</w:t>
      </w:r>
      <w:r w:rsidR="00EC0632" w:rsidRPr="00331476">
        <w:rPr>
          <w:rFonts w:cs="Times New Roman"/>
          <w:smallCaps/>
          <w:szCs w:val="22"/>
        </w:rPr>
        <w:t xml:space="preserve"> </w:t>
      </w:r>
      <w:r w:rsidR="003E16B9" w:rsidRPr="00331476">
        <w:rPr>
          <w:rFonts w:cs="Times New Roman"/>
          <w:smallCaps/>
          <w:szCs w:val="22"/>
        </w:rPr>
        <w:t xml:space="preserve">$18,736,561,295.19 (dieciocho mil setecientos treinta y seis millones quinientos sesenta y un mil doscientos noventa y cinco pesos 19/100 M.N.) </w:t>
      </w:r>
    </w:p>
    <w:p w14:paraId="71FC6225" w14:textId="77777777" w:rsidR="00EC0632" w:rsidRPr="00AF44B4" w:rsidRDefault="00EC0632" w:rsidP="0044115E">
      <w:pPr>
        <w:rPr>
          <w:rFonts w:cs="Times New Roman"/>
          <w:szCs w:val="22"/>
        </w:rPr>
      </w:pPr>
    </w:p>
    <w:p w14:paraId="7A4E08F1" w14:textId="77777777" w:rsidR="00375BC6" w:rsidRPr="00D517FA" w:rsidRDefault="00375BC6" w:rsidP="00FF4D63">
      <w:pPr>
        <w:jc w:val="center"/>
        <w:rPr>
          <w:b/>
          <w:i/>
          <w:szCs w:val="22"/>
        </w:rPr>
      </w:pPr>
      <w:r w:rsidRPr="00D517FA">
        <w:rPr>
          <w:b/>
          <w:i/>
          <w:szCs w:val="22"/>
          <w:highlight w:val="yellow"/>
        </w:rPr>
        <w:t>[Hoja membretada del Licitante]</w:t>
      </w:r>
    </w:p>
    <w:p w14:paraId="1EBA0E26" w14:textId="77777777" w:rsidR="00375BC6" w:rsidRPr="00AF44B4" w:rsidRDefault="00375BC6" w:rsidP="00FF4D63">
      <w:pPr>
        <w:rPr>
          <w:szCs w:val="22"/>
        </w:rPr>
      </w:pPr>
    </w:p>
    <w:p w14:paraId="62BD8060" w14:textId="2B4D0ABE" w:rsidR="00375BC6" w:rsidRPr="00AF44B4" w:rsidRDefault="00FF4D63" w:rsidP="00FF4D63">
      <w:pPr>
        <w:jc w:val="right"/>
        <w:rPr>
          <w:szCs w:val="22"/>
        </w:rPr>
      </w:pPr>
      <w:r w:rsidRPr="00AF44B4">
        <w:rPr>
          <w:szCs w:val="22"/>
        </w:rPr>
        <w:t>Chetumal, Quintana Roo</w:t>
      </w:r>
      <w:r w:rsidR="00375BC6" w:rsidRPr="00AF44B4">
        <w:rPr>
          <w:szCs w:val="22"/>
        </w:rPr>
        <w:t xml:space="preserve">, a </w:t>
      </w:r>
      <w:r w:rsidR="00A41A48" w:rsidRPr="00A41A48">
        <w:rPr>
          <w:rFonts w:cs="Times New Roman"/>
          <w:szCs w:val="22"/>
        </w:rPr>
        <w:t>[●]</w:t>
      </w:r>
      <w:r w:rsidR="00375BC6" w:rsidRPr="00AF44B4">
        <w:rPr>
          <w:szCs w:val="22"/>
        </w:rPr>
        <w:t xml:space="preserve"> de </w:t>
      </w:r>
      <w:r w:rsidR="00A41A48">
        <w:rPr>
          <w:szCs w:val="22"/>
        </w:rPr>
        <w:t>[marzo</w:t>
      </w:r>
      <w:r w:rsidRPr="00AF44B4">
        <w:rPr>
          <w:szCs w:val="22"/>
        </w:rPr>
        <w:t>] de 2020</w:t>
      </w:r>
    </w:p>
    <w:p w14:paraId="1AF2C209" w14:textId="77777777" w:rsidR="00375BC6" w:rsidRPr="00AF44B4" w:rsidRDefault="00375BC6" w:rsidP="00FF4D63">
      <w:pPr>
        <w:rPr>
          <w:szCs w:val="22"/>
        </w:rPr>
      </w:pPr>
    </w:p>
    <w:p w14:paraId="6E0AA0F8" w14:textId="77777777" w:rsidR="00375BC6" w:rsidRPr="00AF44B4" w:rsidRDefault="00375BC6" w:rsidP="00FF4D63">
      <w:pPr>
        <w:rPr>
          <w:szCs w:val="22"/>
        </w:rPr>
      </w:pPr>
    </w:p>
    <w:p w14:paraId="28CE31CC" w14:textId="77777777" w:rsidR="00FF4D63" w:rsidRPr="00AF44B4" w:rsidRDefault="00FF4D63" w:rsidP="00FF4D63">
      <w:pPr>
        <w:rPr>
          <w:szCs w:val="22"/>
        </w:rPr>
      </w:pPr>
      <w:r w:rsidRPr="00AF44B4">
        <w:rPr>
          <w:rFonts w:cs="Times New Roman"/>
          <w:szCs w:val="22"/>
        </w:rPr>
        <w:t>Secretaría de Finanzas y Planeación</w:t>
      </w:r>
      <w:r w:rsidRPr="00AF44B4">
        <w:rPr>
          <w:szCs w:val="22"/>
        </w:rPr>
        <w:t xml:space="preserve"> </w:t>
      </w:r>
    </w:p>
    <w:p w14:paraId="09592193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Gobierno del Estado de </w:t>
      </w:r>
      <w:r w:rsidR="00FF4D63" w:rsidRPr="00AF44B4">
        <w:rPr>
          <w:szCs w:val="22"/>
        </w:rPr>
        <w:t>Quintana Roo</w:t>
      </w:r>
    </w:p>
    <w:p w14:paraId="3B69BC4D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Presente</w:t>
      </w:r>
    </w:p>
    <w:p w14:paraId="62699CC7" w14:textId="77777777" w:rsidR="00375BC6" w:rsidRPr="00AF44B4" w:rsidRDefault="00375BC6" w:rsidP="00FF4D63">
      <w:pPr>
        <w:rPr>
          <w:szCs w:val="22"/>
        </w:rPr>
      </w:pPr>
    </w:p>
    <w:p w14:paraId="08B07116" w14:textId="77777777" w:rsidR="00375BC6" w:rsidRPr="00AF44B4" w:rsidRDefault="00375BC6" w:rsidP="00FF4D63">
      <w:pPr>
        <w:rPr>
          <w:szCs w:val="22"/>
        </w:rPr>
      </w:pPr>
    </w:p>
    <w:p w14:paraId="73EF16F4" w14:textId="68293C5E" w:rsidR="00DD3CBC" w:rsidRPr="00AF44B4" w:rsidRDefault="00375BC6" w:rsidP="00FF4D63">
      <w:pPr>
        <w:rPr>
          <w:szCs w:val="22"/>
        </w:rPr>
      </w:pPr>
      <w:r w:rsidRPr="00AF44B4">
        <w:rPr>
          <w:szCs w:val="22"/>
        </w:rPr>
        <w:t>[●] (en adelante la “</w:t>
      </w:r>
      <w:r w:rsidRPr="00AF44B4">
        <w:rPr>
          <w:szCs w:val="22"/>
          <w:u w:val="single"/>
        </w:rPr>
        <w:t>Institución Financiera</w:t>
      </w:r>
      <w:r w:rsidRPr="00AF44B4">
        <w:rPr>
          <w:szCs w:val="22"/>
        </w:rPr>
        <w:t>”), representada</w:t>
      </w:r>
      <w:r w:rsidR="0004479E">
        <w:rPr>
          <w:szCs w:val="22"/>
        </w:rPr>
        <w:t xml:space="preserve"> por [●]</w:t>
      </w:r>
      <w:r w:rsidRPr="00AF44B4">
        <w:rPr>
          <w:szCs w:val="22"/>
        </w:rPr>
        <w:t>, presenta</w:t>
      </w:r>
      <w:r w:rsidR="0004479E">
        <w:rPr>
          <w:szCs w:val="22"/>
        </w:rPr>
        <w:t>(n)</w:t>
      </w:r>
      <w:r w:rsidRPr="00AF44B4">
        <w:rPr>
          <w:szCs w:val="22"/>
        </w:rPr>
        <w:t xml:space="preserve"> esta Oferta de Crédito en el marco de la Licitación Pública </w:t>
      </w:r>
      <w:r w:rsidR="00FF4D63" w:rsidRPr="00AF44B4">
        <w:rPr>
          <w:szCs w:val="22"/>
        </w:rPr>
        <w:t xml:space="preserve">No. </w:t>
      </w:r>
      <w:r w:rsidR="00FA06B4" w:rsidRPr="00AF44B4">
        <w:rPr>
          <w:szCs w:val="22"/>
        </w:rPr>
        <w:t xml:space="preserve">01, </w:t>
      </w:r>
      <w:r w:rsidRPr="00AF44B4">
        <w:rPr>
          <w:szCs w:val="22"/>
        </w:rPr>
        <w:t xml:space="preserve">convocada el pasado </w:t>
      </w:r>
      <w:r w:rsidR="003E16B9" w:rsidRPr="00AF44B4">
        <w:rPr>
          <w:szCs w:val="22"/>
        </w:rPr>
        <w:t>4 de febrero de 2020</w:t>
      </w:r>
      <w:r w:rsidR="009B2DFB">
        <w:rPr>
          <w:szCs w:val="22"/>
        </w:rPr>
        <w:t xml:space="preserve"> (la “</w:t>
      </w:r>
      <w:r w:rsidR="009B2DFB" w:rsidRPr="009B2DFB">
        <w:rPr>
          <w:szCs w:val="22"/>
          <w:u w:val="single"/>
        </w:rPr>
        <w:t>Convocatoria</w:t>
      </w:r>
      <w:r w:rsidR="009B2DFB">
        <w:rPr>
          <w:szCs w:val="22"/>
        </w:rPr>
        <w:t>”, según la misma fue modificada de tiempo en tiempo) según sus bases de licitación de la misma fecha (las “</w:t>
      </w:r>
      <w:r w:rsidR="009B2DFB" w:rsidRPr="009B2DFB">
        <w:rPr>
          <w:szCs w:val="22"/>
          <w:u w:val="single"/>
        </w:rPr>
        <w:t>Bases de la Licitación</w:t>
      </w:r>
      <w:r w:rsidR="009B2DFB">
        <w:rPr>
          <w:szCs w:val="22"/>
        </w:rPr>
        <w:t>”, según las mismas fueron modificadas de tiempo en tiempo)</w:t>
      </w:r>
      <w:r w:rsidR="00DD3CBC" w:rsidRPr="00AF44B4">
        <w:rPr>
          <w:szCs w:val="22"/>
        </w:rPr>
        <w:t xml:space="preserve"> </w:t>
      </w:r>
      <w:r w:rsidRPr="00AF44B4">
        <w:rPr>
          <w:szCs w:val="22"/>
        </w:rPr>
        <w:t xml:space="preserve">por la Secretaría de Finanzas y </w:t>
      </w:r>
      <w:r w:rsidR="00FF4D63" w:rsidRPr="00AF44B4">
        <w:rPr>
          <w:szCs w:val="22"/>
        </w:rPr>
        <w:t xml:space="preserve">Planeación (en adelante </w:t>
      </w:r>
      <w:r w:rsidRPr="00AF44B4">
        <w:rPr>
          <w:szCs w:val="22"/>
        </w:rPr>
        <w:t>l</w:t>
      </w:r>
      <w:r w:rsidR="00FF4D63" w:rsidRPr="00AF44B4">
        <w:rPr>
          <w:szCs w:val="22"/>
        </w:rPr>
        <w:t>a</w:t>
      </w:r>
      <w:r w:rsidRPr="00AF44B4">
        <w:rPr>
          <w:szCs w:val="22"/>
        </w:rPr>
        <w:t xml:space="preserve"> “</w:t>
      </w:r>
      <w:r w:rsidR="00FF4D63" w:rsidRPr="00AF44B4">
        <w:rPr>
          <w:szCs w:val="22"/>
          <w:u w:val="single"/>
        </w:rPr>
        <w:t>Secretaría</w:t>
      </w:r>
      <w:r w:rsidRPr="00AF44B4">
        <w:rPr>
          <w:szCs w:val="22"/>
        </w:rPr>
        <w:t xml:space="preserve">”). </w:t>
      </w:r>
      <w:bookmarkStart w:id="0" w:name="_Hlk18248738"/>
    </w:p>
    <w:p w14:paraId="36509729" w14:textId="77777777" w:rsidR="00DD3CBC" w:rsidRPr="00AF44B4" w:rsidRDefault="00DD3CBC" w:rsidP="00FF4D63">
      <w:pPr>
        <w:rPr>
          <w:szCs w:val="22"/>
        </w:rPr>
      </w:pPr>
    </w:p>
    <w:p w14:paraId="4CC3D7EF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Los términos con mayúscula inicial tienen el significado que se les atribuye en la presente Oferta de Crédito o, en su defecto, en las </w:t>
      </w:r>
      <w:r w:rsidR="00814E6F" w:rsidRPr="00AF44B4">
        <w:rPr>
          <w:szCs w:val="22"/>
        </w:rPr>
        <w:t>Bases de la Licitación</w:t>
      </w:r>
      <w:r w:rsidRPr="00AF44B4">
        <w:rPr>
          <w:szCs w:val="22"/>
        </w:rPr>
        <w:t>.</w:t>
      </w:r>
    </w:p>
    <w:bookmarkEnd w:id="0"/>
    <w:p w14:paraId="103FD613" w14:textId="77777777" w:rsidR="00375BC6" w:rsidRPr="00AF44B4" w:rsidRDefault="00375BC6" w:rsidP="00FF4D63">
      <w:pPr>
        <w:rPr>
          <w:szCs w:val="22"/>
        </w:rPr>
      </w:pPr>
    </w:p>
    <w:p w14:paraId="7C04601B" w14:textId="3AC00F74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Esta Institución Financiera manifiesta que la presente Oferta de Crédito constituye una oferta en firme, vinculante e irrevocable, con una vigencia de 60 (sesenta) días naturales, contados a partir de la fecha de su presentación en </w:t>
      </w:r>
      <w:r w:rsidR="00B02AE3" w:rsidRPr="00AF44B4">
        <w:rPr>
          <w:szCs w:val="22"/>
        </w:rPr>
        <w:t xml:space="preserve">el Evento </w:t>
      </w:r>
      <w:r w:rsidRPr="00AF44B4">
        <w:rPr>
          <w:szCs w:val="22"/>
        </w:rPr>
        <w:t>de Presentación y Apertura de Ofertas de la Licitación, que se celebra</w:t>
      </w:r>
      <w:r w:rsidR="00095075" w:rsidRPr="00AF44B4">
        <w:rPr>
          <w:szCs w:val="22"/>
        </w:rPr>
        <w:t>rá</w:t>
      </w:r>
      <w:r w:rsidRPr="00AF44B4">
        <w:rPr>
          <w:szCs w:val="22"/>
        </w:rPr>
        <w:t xml:space="preserve"> el </w:t>
      </w:r>
      <w:r w:rsidR="00A41A48">
        <w:rPr>
          <w:szCs w:val="22"/>
        </w:rPr>
        <w:t>día [27</w:t>
      </w:r>
      <w:r w:rsidR="003E16B9" w:rsidRPr="00AF44B4">
        <w:rPr>
          <w:szCs w:val="22"/>
        </w:rPr>
        <w:t xml:space="preserve"> de marzo de 2020</w:t>
      </w:r>
      <w:r w:rsidR="00B02AE3" w:rsidRPr="00AF44B4">
        <w:rPr>
          <w:szCs w:val="22"/>
        </w:rPr>
        <w:t>]</w:t>
      </w:r>
      <w:r w:rsidRPr="00AF44B4">
        <w:rPr>
          <w:szCs w:val="22"/>
        </w:rPr>
        <w:t>, bajo las siguientes condiciones:</w:t>
      </w:r>
    </w:p>
    <w:p w14:paraId="4EE7D768" w14:textId="77777777" w:rsidR="00375BC6" w:rsidRPr="00AF44B4" w:rsidRDefault="00375BC6" w:rsidP="00FF4D63">
      <w:pPr>
        <w:rPr>
          <w:szCs w:val="22"/>
        </w:rPr>
      </w:pPr>
    </w:p>
    <w:tbl>
      <w:tblPr>
        <w:tblStyle w:val="Tablaconcuadrcul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2"/>
        <w:gridCol w:w="3446"/>
      </w:tblGrid>
      <w:tr w:rsidR="00375BC6" w:rsidRPr="00AF44B4" w14:paraId="309607E6" w14:textId="77777777" w:rsidTr="00A41A48">
        <w:tc>
          <w:tcPr>
            <w:tcW w:w="3048" w:type="pct"/>
            <w:vAlign w:val="center"/>
          </w:tcPr>
          <w:p w14:paraId="2F3F8454" w14:textId="344641F9" w:rsidR="00375BC6" w:rsidRPr="00AF44B4" w:rsidRDefault="00375BC6" w:rsidP="00331476">
            <w:pPr>
              <w:rPr>
                <w:szCs w:val="22"/>
              </w:rPr>
            </w:pPr>
            <w:r w:rsidRPr="00AF44B4">
              <w:rPr>
                <w:szCs w:val="22"/>
              </w:rPr>
              <w:t xml:space="preserve">Monto </w:t>
            </w:r>
            <w:r w:rsidR="00331476">
              <w:rPr>
                <w:szCs w:val="22"/>
              </w:rPr>
              <w:t>Ofertado</w:t>
            </w:r>
            <w:r w:rsidRPr="00AF44B4">
              <w:rPr>
                <w:rStyle w:val="Refdenotaalpie"/>
                <w:rFonts w:cs="Tahoma"/>
                <w:szCs w:val="22"/>
              </w:rPr>
              <w:footnoteReference w:id="1"/>
            </w:r>
            <w:r w:rsidRPr="00AF44B4">
              <w:rPr>
                <w:szCs w:val="22"/>
              </w:rPr>
              <w:t>:</w:t>
            </w:r>
          </w:p>
        </w:tc>
        <w:tc>
          <w:tcPr>
            <w:tcW w:w="1952" w:type="pct"/>
            <w:vAlign w:val="center"/>
          </w:tcPr>
          <w:p w14:paraId="32C4524C" w14:textId="77777777" w:rsidR="00375BC6" w:rsidRPr="00AF44B4" w:rsidRDefault="00095075" w:rsidP="000E7E2B">
            <w:pPr>
              <w:jc w:val="center"/>
              <w:rPr>
                <w:szCs w:val="22"/>
              </w:rPr>
            </w:pPr>
            <w:r w:rsidRPr="00AF44B4">
              <w:rPr>
                <w:szCs w:val="22"/>
              </w:rPr>
              <w:t>[●]</w:t>
            </w:r>
          </w:p>
        </w:tc>
      </w:tr>
      <w:tr w:rsidR="00375BC6" w:rsidRPr="00AF44B4" w14:paraId="1A801A11" w14:textId="77777777" w:rsidTr="00A41A48">
        <w:tc>
          <w:tcPr>
            <w:tcW w:w="3048" w:type="pct"/>
            <w:vAlign w:val="center"/>
          </w:tcPr>
          <w:p w14:paraId="06B9D7AD" w14:textId="50F6AA8C" w:rsidR="00375BC6" w:rsidRPr="00AF44B4" w:rsidRDefault="00375BC6" w:rsidP="00A41A48">
            <w:pPr>
              <w:rPr>
                <w:szCs w:val="22"/>
              </w:rPr>
            </w:pPr>
            <w:r w:rsidRPr="00AF44B4">
              <w:rPr>
                <w:szCs w:val="22"/>
              </w:rPr>
              <w:t>Sobretasa</w:t>
            </w:r>
            <w:r w:rsidR="00A41A48">
              <w:rPr>
                <w:szCs w:val="22"/>
              </w:rPr>
              <w:t xml:space="preserve"> Ofertada sin GPO </w:t>
            </w:r>
            <w:r w:rsidR="00A41A48" w:rsidRPr="00A41A48">
              <w:rPr>
                <w:szCs w:val="22"/>
              </w:rPr>
              <w:t>(a</w:t>
            </w:r>
            <w:r w:rsidRPr="00A41A48">
              <w:rPr>
                <w:szCs w:val="22"/>
              </w:rPr>
              <w:t xml:space="preserve">plicable al nivel de </w:t>
            </w:r>
            <w:r w:rsidR="000E7E2B" w:rsidRPr="00A41A48">
              <w:rPr>
                <w:szCs w:val="22"/>
              </w:rPr>
              <w:t>Calificación Preliminar de [●]</w:t>
            </w:r>
            <w:r w:rsidR="009111E9" w:rsidRPr="00A41A48">
              <w:rPr>
                <w:rStyle w:val="Refdenotaalpie"/>
                <w:szCs w:val="22"/>
              </w:rPr>
              <w:footnoteReference w:id="2"/>
            </w:r>
            <w:r w:rsidR="00A41A48" w:rsidRPr="00A41A48">
              <w:rPr>
                <w:szCs w:val="22"/>
              </w:rPr>
              <w:t>)</w:t>
            </w:r>
            <w:r w:rsidR="00A41A48">
              <w:rPr>
                <w:szCs w:val="22"/>
              </w:rPr>
              <w:t>:</w:t>
            </w:r>
          </w:p>
        </w:tc>
        <w:tc>
          <w:tcPr>
            <w:tcW w:w="1952" w:type="pct"/>
            <w:vAlign w:val="center"/>
          </w:tcPr>
          <w:p w14:paraId="2293C883" w14:textId="77777777" w:rsidR="00375BC6" w:rsidRPr="00AF44B4" w:rsidRDefault="00375BC6" w:rsidP="000E7E2B">
            <w:pPr>
              <w:jc w:val="center"/>
              <w:rPr>
                <w:szCs w:val="22"/>
              </w:rPr>
            </w:pPr>
            <w:r w:rsidRPr="00AF44B4">
              <w:rPr>
                <w:szCs w:val="22"/>
              </w:rPr>
              <w:t>[●]</w:t>
            </w:r>
          </w:p>
        </w:tc>
      </w:tr>
      <w:tr w:rsidR="00375BC6" w:rsidRPr="00AF44B4" w14:paraId="35C2B367" w14:textId="77777777" w:rsidTr="00A41A48">
        <w:tc>
          <w:tcPr>
            <w:tcW w:w="3048" w:type="pct"/>
            <w:vAlign w:val="center"/>
          </w:tcPr>
          <w:p w14:paraId="3F74B4CD" w14:textId="39B9F190" w:rsidR="00375BC6" w:rsidRPr="00AF44B4" w:rsidRDefault="00A41A48" w:rsidP="00E9183B">
            <w:pPr>
              <w:rPr>
                <w:szCs w:val="22"/>
              </w:rPr>
            </w:pPr>
            <w:r w:rsidRPr="00A41A48">
              <w:rPr>
                <w:szCs w:val="22"/>
              </w:rPr>
              <w:lastRenderedPageBreak/>
              <w:t xml:space="preserve">Sobretasa Ofertada </w:t>
            </w:r>
            <w:r w:rsidR="00E9183B">
              <w:rPr>
                <w:szCs w:val="22"/>
              </w:rPr>
              <w:t>con</w:t>
            </w:r>
            <w:r w:rsidRPr="00A41A48">
              <w:rPr>
                <w:szCs w:val="22"/>
              </w:rPr>
              <w:t xml:space="preserve"> GPO (aplicable al nivel de Calificación Preliminar de [●]</w:t>
            </w:r>
            <w:r w:rsidRPr="00A41A48">
              <w:rPr>
                <w:szCs w:val="22"/>
                <w:vertAlign w:val="superscript"/>
              </w:rPr>
              <w:footnoteReference w:id="3"/>
            </w:r>
            <w:r w:rsidRPr="00A41A48">
              <w:rPr>
                <w:szCs w:val="22"/>
              </w:rPr>
              <w:t>):</w:t>
            </w:r>
          </w:p>
        </w:tc>
        <w:tc>
          <w:tcPr>
            <w:tcW w:w="1952" w:type="pct"/>
            <w:vAlign w:val="center"/>
          </w:tcPr>
          <w:p w14:paraId="7B48DFE8" w14:textId="77777777" w:rsidR="00375BC6" w:rsidRPr="00AF44B4" w:rsidRDefault="00095075" w:rsidP="000E7E2B">
            <w:pPr>
              <w:jc w:val="center"/>
              <w:rPr>
                <w:szCs w:val="22"/>
              </w:rPr>
            </w:pPr>
            <w:r w:rsidRPr="00AF44B4">
              <w:rPr>
                <w:szCs w:val="22"/>
              </w:rPr>
              <w:t>[●]</w:t>
            </w:r>
          </w:p>
        </w:tc>
      </w:tr>
      <w:tr w:rsidR="002F722D" w:rsidRPr="00AF44B4" w14:paraId="186E82F2" w14:textId="77777777" w:rsidTr="00A41A48">
        <w:tc>
          <w:tcPr>
            <w:tcW w:w="3048" w:type="pct"/>
            <w:vAlign w:val="center"/>
          </w:tcPr>
          <w:p w14:paraId="602856D6" w14:textId="37BBF1CF" w:rsidR="002F722D" w:rsidRPr="00AF44B4" w:rsidRDefault="002F722D" w:rsidP="00620EF3">
            <w:pPr>
              <w:rPr>
                <w:szCs w:val="22"/>
              </w:rPr>
            </w:pPr>
            <w:r w:rsidRPr="00AF44B4">
              <w:rPr>
                <w:szCs w:val="22"/>
              </w:rPr>
              <w:t>Plazo de Amortización</w:t>
            </w:r>
            <w:r w:rsidR="00073E66">
              <w:rPr>
                <w:szCs w:val="22"/>
              </w:rPr>
              <w:t xml:space="preserve"> (</w:t>
            </w:r>
            <w:r w:rsidR="00620EF3">
              <w:rPr>
                <w:szCs w:val="22"/>
              </w:rPr>
              <w:t xml:space="preserve">en </w:t>
            </w:r>
            <w:r w:rsidR="00073E66">
              <w:rPr>
                <w:szCs w:val="22"/>
              </w:rPr>
              <w:t xml:space="preserve">años y </w:t>
            </w:r>
            <w:r w:rsidR="00620EF3">
              <w:rPr>
                <w:szCs w:val="22"/>
              </w:rPr>
              <w:t xml:space="preserve">en </w:t>
            </w:r>
            <w:r w:rsidR="00073E66">
              <w:rPr>
                <w:szCs w:val="22"/>
              </w:rPr>
              <w:t>días)</w:t>
            </w:r>
            <w:r w:rsidRPr="00AF44B4">
              <w:rPr>
                <w:szCs w:val="22"/>
              </w:rPr>
              <w:t>:</w:t>
            </w:r>
          </w:p>
        </w:tc>
        <w:tc>
          <w:tcPr>
            <w:tcW w:w="1952" w:type="pct"/>
            <w:vAlign w:val="center"/>
          </w:tcPr>
          <w:p w14:paraId="06983679" w14:textId="69B9D135" w:rsidR="002F722D" w:rsidRPr="00AF44B4" w:rsidRDefault="00331476" w:rsidP="000E7E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[20</w:t>
            </w:r>
            <w:r w:rsidR="00073E66">
              <w:rPr>
                <w:szCs w:val="22"/>
              </w:rPr>
              <w:t xml:space="preserve"> años (</w:t>
            </w:r>
            <w:r w:rsidR="00073E66" w:rsidRPr="00073E66">
              <w:rPr>
                <w:rFonts w:cs="Times New Roman"/>
                <w:szCs w:val="22"/>
              </w:rPr>
              <w:t>[●]</w:t>
            </w:r>
            <w:r w:rsidR="00073E66">
              <w:rPr>
                <w:rFonts w:cs="Times New Roman"/>
                <w:szCs w:val="22"/>
              </w:rPr>
              <w:t xml:space="preserve"> días</w:t>
            </w:r>
            <w:r w:rsidR="00620EF3">
              <w:rPr>
                <w:rFonts w:cs="Times New Roman"/>
                <w:szCs w:val="22"/>
              </w:rPr>
              <w:t>)</w:t>
            </w:r>
            <w:r>
              <w:rPr>
                <w:szCs w:val="22"/>
              </w:rPr>
              <w:t xml:space="preserve"> / 25 años</w:t>
            </w:r>
            <w:r w:rsidR="00073E66">
              <w:rPr>
                <w:szCs w:val="22"/>
              </w:rPr>
              <w:t xml:space="preserve"> </w:t>
            </w:r>
            <w:r w:rsidR="00620EF3">
              <w:rPr>
                <w:szCs w:val="22"/>
              </w:rPr>
              <w:t>(</w:t>
            </w:r>
            <w:bookmarkStart w:id="1" w:name="_GoBack"/>
            <w:bookmarkEnd w:id="1"/>
            <w:r w:rsidR="00073E66" w:rsidRPr="00073E66">
              <w:rPr>
                <w:rFonts w:cs="Times New Roman"/>
                <w:szCs w:val="22"/>
              </w:rPr>
              <w:t>[●]</w:t>
            </w:r>
            <w:r w:rsidR="00073E66">
              <w:rPr>
                <w:rFonts w:cs="Times New Roman"/>
                <w:szCs w:val="22"/>
              </w:rPr>
              <w:t xml:space="preserve"> días</w:t>
            </w:r>
            <w:r w:rsidR="002F722D" w:rsidRPr="00AF44B4">
              <w:rPr>
                <w:szCs w:val="22"/>
              </w:rPr>
              <w:t>]</w:t>
            </w:r>
            <w:r w:rsidR="002F722D" w:rsidRPr="00AF44B4">
              <w:rPr>
                <w:rStyle w:val="Refdenotaalpie"/>
                <w:szCs w:val="22"/>
              </w:rPr>
              <w:footnoteReference w:id="4"/>
            </w:r>
          </w:p>
        </w:tc>
      </w:tr>
      <w:tr w:rsidR="0060531E" w:rsidRPr="00AF44B4" w14:paraId="3844CEB9" w14:textId="77777777" w:rsidTr="00A41A48">
        <w:tc>
          <w:tcPr>
            <w:tcW w:w="3048" w:type="pct"/>
            <w:vAlign w:val="center"/>
          </w:tcPr>
          <w:p w14:paraId="64CC6BF4" w14:textId="6EA19F95" w:rsidR="0060531E" w:rsidRPr="00AF44B4" w:rsidRDefault="0060531E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 xml:space="preserve">Perfil de Amortización: </w:t>
            </w:r>
          </w:p>
        </w:tc>
        <w:tc>
          <w:tcPr>
            <w:tcW w:w="1952" w:type="pct"/>
            <w:vAlign w:val="center"/>
          </w:tcPr>
          <w:p w14:paraId="11565698" w14:textId="65DC8AC8" w:rsidR="0060531E" w:rsidRPr="00AF44B4" w:rsidRDefault="009111E9" w:rsidP="009111E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Se adjunta como </w:t>
            </w:r>
            <w:r w:rsidRPr="009111E9">
              <w:rPr>
                <w:b/>
                <w:szCs w:val="22"/>
                <w:u w:val="single"/>
              </w:rPr>
              <w:t>Anexo “A”</w:t>
            </w:r>
            <w:r>
              <w:rPr>
                <w:szCs w:val="22"/>
              </w:rPr>
              <w:t xml:space="preserve"> la tab</w:t>
            </w:r>
            <w:r w:rsidR="00757AC1">
              <w:rPr>
                <w:szCs w:val="22"/>
              </w:rPr>
              <w:t xml:space="preserve">la de amortización del </w:t>
            </w:r>
            <w:r w:rsidR="00A41A48">
              <w:rPr>
                <w:szCs w:val="22"/>
              </w:rPr>
              <w:t>Financiamiento</w:t>
            </w:r>
            <w:r w:rsidR="0060531E" w:rsidRPr="00AF44B4">
              <w:rPr>
                <w:rStyle w:val="Refdenotaalpie"/>
                <w:szCs w:val="22"/>
              </w:rPr>
              <w:footnoteReference w:id="5"/>
            </w:r>
          </w:p>
        </w:tc>
      </w:tr>
      <w:tr w:rsidR="00F32EAA" w:rsidRPr="00AF44B4" w14:paraId="2B3BD665" w14:textId="77777777" w:rsidTr="00A41A48">
        <w:tc>
          <w:tcPr>
            <w:tcW w:w="3048" w:type="pct"/>
            <w:vAlign w:val="center"/>
          </w:tcPr>
          <w:p w14:paraId="4A1AE4BA" w14:textId="3B6ACE99" w:rsidR="00F32EAA" w:rsidRPr="00AF44B4" w:rsidRDefault="00F32EAA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Cálculo de la Tasa Efectiva</w:t>
            </w:r>
            <w:r w:rsidR="00073E66">
              <w:rPr>
                <w:szCs w:val="22"/>
              </w:rPr>
              <w:t xml:space="preserve"> (sin GPO)</w:t>
            </w:r>
            <w:r w:rsidR="002F722D" w:rsidRPr="00AF44B4">
              <w:rPr>
                <w:szCs w:val="22"/>
              </w:rPr>
              <w:t>:</w:t>
            </w:r>
          </w:p>
        </w:tc>
        <w:tc>
          <w:tcPr>
            <w:tcW w:w="1952" w:type="pct"/>
            <w:vAlign w:val="center"/>
          </w:tcPr>
          <w:p w14:paraId="04C596EE" w14:textId="3578661C" w:rsidR="00F32EAA" w:rsidRPr="00AF44B4" w:rsidRDefault="00F32EAA" w:rsidP="000E7E2B">
            <w:pPr>
              <w:jc w:val="center"/>
              <w:rPr>
                <w:szCs w:val="22"/>
              </w:rPr>
            </w:pPr>
            <w:r w:rsidRPr="00AF44B4">
              <w:rPr>
                <w:szCs w:val="22"/>
              </w:rPr>
              <w:t>[●]</w:t>
            </w:r>
          </w:p>
        </w:tc>
      </w:tr>
      <w:tr w:rsidR="00073E66" w:rsidRPr="00AF44B4" w14:paraId="0385E5E7" w14:textId="77777777" w:rsidTr="00A41A48">
        <w:tc>
          <w:tcPr>
            <w:tcW w:w="3048" w:type="pct"/>
            <w:vAlign w:val="center"/>
          </w:tcPr>
          <w:p w14:paraId="66389F15" w14:textId="5CFAC0FA" w:rsidR="00073E66" w:rsidRPr="00AF44B4" w:rsidRDefault="00073E66" w:rsidP="00073E66">
            <w:pPr>
              <w:rPr>
                <w:szCs w:val="22"/>
              </w:rPr>
            </w:pPr>
            <w:r w:rsidRPr="00AF44B4">
              <w:rPr>
                <w:szCs w:val="22"/>
              </w:rPr>
              <w:t>Cálculo de la Tasa Efectiva</w:t>
            </w:r>
            <w:r>
              <w:rPr>
                <w:szCs w:val="22"/>
              </w:rPr>
              <w:t xml:space="preserve"> (con GPO)</w:t>
            </w:r>
            <w:r w:rsidRPr="00AF44B4">
              <w:rPr>
                <w:szCs w:val="22"/>
              </w:rPr>
              <w:t>:</w:t>
            </w:r>
          </w:p>
        </w:tc>
        <w:tc>
          <w:tcPr>
            <w:tcW w:w="1952" w:type="pct"/>
            <w:vAlign w:val="center"/>
          </w:tcPr>
          <w:p w14:paraId="253BD5CD" w14:textId="6630BF6B" w:rsidR="00073E66" w:rsidRPr="00AF44B4" w:rsidRDefault="00073E66" w:rsidP="00073E66">
            <w:pPr>
              <w:jc w:val="center"/>
              <w:rPr>
                <w:szCs w:val="22"/>
              </w:rPr>
            </w:pPr>
            <w:r w:rsidRPr="00AF44B4">
              <w:rPr>
                <w:szCs w:val="22"/>
              </w:rPr>
              <w:t>[●]</w:t>
            </w:r>
          </w:p>
        </w:tc>
      </w:tr>
    </w:tbl>
    <w:p w14:paraId="09695475" w14:textId="77777777" w:rsidR="00375BC6" w:rsidRPr="00AF44B4" w:rsidRDefault="00375BC6" w:rsidP="00D517FA"/>
    <w:p w14:paraId="5D09D77D" w14:textId="77777777" w:rsidR="00D46FE0" w:rsidRPr="00AF44B4" w:rsidRDefault="00D46FE0" w:rsidP="00D46FE0">
      <w:pPr>
        <w:spacing w:line="312" w:lineRule="auto"/>
        <w:jc w:val="center"/>
        <w:rPr>
          <w:rFonts w:cs="Tahoma"/>
          <w:b/>
          <w:bCs/>
          <w:szCs w:val="22"/>
        </w:rPr>
      </w:pPr>
      <w:r w:rsidRPr="00AF44B4">
        <w:rPr>
          <w:rFonts w:cs="Tahoma"/>
          <w:b/>
          <w:bCs/>
          <w:szCs w:val="22"/>
        </w:rPr>
        <w:t>Tabla de revisión y ajuste de las Sobretasas aplicables:</w:t>
      </w:r>
    </w:p>
    <w:p w14:paraId="5D9CC9A6" w14:textId="77777777" w:rsidR="00D46FE0" w:rsidRPr="00AF44B4" w:rsidRDefault="00D46FE0" w:rsidP="009B2DFB"/>
    <w:p w14:paraId="62F0CD14" w14:textId="4B3FDB3F" w:rsidR="00D46FE0" w:rsidRPr="00AF44B4" w:rsidRDefault="00D46FE0" w:rsidP="00D46FE0">
      <w:pPr>
        <w:spacing w:line="312" w:lineRule="auto"/>
        <w:rPr>
          <w:rFonts w:cs="Tahoma"/>
          <w:szCs w:val="22"/>
        </w:rPr>
      </w:pPr>
      <w:r w:rsidRPr="00AF44B4">
        <w:rPr>
          <w:rFonts w:cs="Tahoma"/>
          <w:szCs w:val="22"/>
        </w:rPr>
        <w:t xml:space="preserve">A continuación, se detalla la </w:t>
      </w:r>
      <w:r w:rsidR="00D517FA">
        <w:rPr>
          <w:rFonts w:cs="Tahoma"/>
          <w:szCs w:val="22"/>
        </w:rPr>
        <w:t>t</w:t>
      </w:r>
      <w:r w:rsidRPr="00AF44B4">
        <w:rPr>
          <w:rFonts w:cs="Tahoma"/>
          <w:szCs w:val="22"/>
        </w:rPr>
        <w:t xml:space="preserve">abla de revisión y ajustes de Sobretasas aplicables a los diferentes niveles de riesgo en función de las </w:t>
      </w:r>
      <w:r w:rsidR="00D517FA">
        <w:rPr>
          <w:rFonts w:cs="Tahoma"/>
          <w:szCs w:val="22"/>
        </w:rPr>
        <w:t>c</w:t>
      </w:r>
      <w:r w:rsidRPr="00AF44B4">
        <w:rPr>
          <w:rFonts w:cs="Tahoma"/>
          <w:szCs w:val="22"/>
        </w:rPr>
        <w:t>alificaciones del Crédito:</w:t>
      </w:r>
    </w:p>
    <w:p w14:paraId="4AF8680F" w14:textId="77777777" w:rsidR="00D46FE0" w:rsidRPr="00AF44B4" w:rsidRDefault="00D46FE0" w:rsidP="009B2DFB"/>
    <w:tbl>
      <w:tblPr>
        <w:tblStyle w:val="Tablaconcuadrcula"/>
        <w:tblW w:w="5000" w:type="pct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022"/>
        <w:gridCol w:w="1193"/>
        <w:gridCol w:w="1277"/>
        <w:gridCol w:w="1278"/>
        <w:gridCol w:w="2029"/>
        <w:gridCol w:w="2029"/>
      </w:tblGrid>
      <w:tr w:rsidR="00A41A48" w:rsidRPr="00AF44B4" w14:paraId="2D0EB2DC" w14:textId="5DE86893" w:rsidTr="00A41A48">
        <w:trPr>
          <w:trHeight w:val="20"/>
        </w:trPr>
        <w:tc>
          <w:tcPr>
            <w:tcW w:w="2702" w:type="pct"/>
            <w:gridSpan w:val="4"/>
            <w:shd w:val="clear" w:color="auto" w:fill="F2F2F2" w:themeFill="background1" w:themeFillShade="F2"/>
            <w:vAlign w:val="center"/>
          </w:tcPr>
          <w:p w14:paraId="36BCE197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Calificaciones del Crédito</w:t>
            </w:r>
          </w:p>
        </w:tc>
        <w:tc>
          <w:tcPr>
            <w:tcW w:w="1149" w:type="pct"/>
            <w:vMerge w:val="restart"/>
            <w:shd w:val="clear" w:color="auto" w:fill="F2F2F2" w:themeFill="background1" w:themeFillShade="F2"/>
            <w:vAlign w:val="center"/>
          </w:tcPr>
          <w:p w14:paraId="03C4B98B" w14:textId="393FBDDE" w:rsidR="00A41A48" w:rsidRPr="00AF44B4" w:rsidRDefault="00A41A48" w:rsidP="00A41A48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>
              <w:rPr>
                <w:rFonts w:cs="Tahoma"/>
                <w:b/>
                <w:bCs/>
                <w:sz w:val="18"/>
                <w:szCs w:val="22"/>
              </w:rPr>
              <w:t>Sobre Tasa Ofertada (Sin GPO)</w:t>
            </w:r>
          </w:p>
        </w:tc>
        <w:tc>
          <w:tcPr>
            <w:tcW w:w="1149" w:type="pct"/>
            <w:vMerge w:val="restart"/>
            <w:shd w:val="clear" w:color="auto" w:fill="F2F2F2" w:themeFill="background1" w:themeFillShade="F2"/>
            <w:vAlign w:val="center"/>
          </w:tcPr>
          <w:p w14:paraId="3800B0BC" w14:textId="4CA778C4" w:rsidR="00A41A48" w:rsidRPr="00AF44B4" w:rsidRDefault="00A41A48" w:rsidP="00A41A48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41A48">
              <w:rPr>
                <w:rFonts w:cs="Tahoma"/>
                <w:b/>
                <w:bCs/>
                <w:sz w:val="18"/>
                <w:szCs w:val="22"/>
              </w:rPr>
              <w:t>S</w:t>
            </w:r>
            <w:r>
              <w:rPr>
                <w:rFonts w:cs="Tahoma"/>
                <w:b/>
                <w:bCs/>
                <w:sz w:val="18"/>
                <w:szCs w:val="22"/>
              </w:rPr>
              <w:t>obre Tasa Ofertada (con</w:t>
            </w:r>
            <w:r w:rsidRPr="00A41A48">
              <w:rPr>
                <w:rFonts w:cs="Tahoma"/>
                <w:b/>
                <w:bCs/>
                <w:sz w:val="18"/>
                <w:szCs w:val="22"/>
              </w:rPr>
              <w:t xml:space="preserve"> GPO)</w:t>
            </w:r>
          </w:p>
        </w:tc>
      </w:tr>
      <w:tr w:rsidR="00A41A48" w:rsidRPr="00AF44B4" w14:paraId="60B25436" w14:textId="0D88F444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27F05F97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S &amp; P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B8FEA23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MOODY´S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6B162916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FITCH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4C33322B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HR</w:t>
            </w:r>
          </w:p>
          <w:p w14:paraId="63187B27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  <w:r w:rsidRPr="00AF44B4">
              <w:rPr>
                <w:rFonts w:cs="Tahoma"/>
                <w:b/>
                <w:bCs/>
                <w:sz w:val="18"/>
                <w:szCs w:val="22"/>
              </w:rPr>
              <w:t>RATINGS</w:t>
            </w:r>
          </w:p>
        </w:tc>
        <w:tc>
          <w:tcPr>
            <w:tcW w:w="1149" w:type="pct"/>
            <w:vMerge/>
            <w:shd w:val="clear" w:color="auto" w:fill="F2F2F2" w:themeFill="background1" w:themeFillShade="F2"/>
          </w:tcPr>
          <w:p w14:paraId="3D3977B6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</w:p>
        </w:tc>
        <w:tc>
          <w:tcPr>
            <w:tcW w:w="1149" w:type="pct"/>
            <w:vMerge/>
            <w:shd w:val="clear" w:color="auto" w:fill="F2F2F2" w:themeFill="background1" w:themeFillShade="F2"/>
          </w:tcPr>
          <w:p w14:paraId="5A0F919E" w14:textId="77777777" w:rsidR="00A41A48" w:rsidRPr="00AF44B4" w:rsidRDefault="00A41A48" w:rsidP="00AF44B4">
            <w:pPr>
              <w:jc w:val="center"/>
              <w:rPr>
                <w:rFonts w:cs="Tahoma"/>
                <w:b/>
                <w:bCs/>
                <w:sz w:val="18"/>
                <w:szCs w:val="22"/>
              </w:rPr>
            </w:pPr>
          </w:p>
        </w:tc>
      </w:tr>
      <w:tr w:rsidR="00A41A48" w:rsidRPr="00AF44B4" w14:paraId="3F226C45" w14:textId="22524E17" w:rsidTr="00A41A48">
        <w:trPr>
          <w:trHeight w:val="20"/>
        </w:trPr>
        <w:tc>
          <w:tcPr>
            <w:tcW w:w="579" w:type="pct"/>
            <w:vAlign w:val="center"/>
          </w:tcPr>
          <w:p w14:paraId="34558651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mxAAA</w:t>
            </w:r>
            <w:proofErr w:type="spellEnd"/>
          </w:p>
        </w:tc>
        <w:tc>
          <w:tcPr>
            <w:tcW w:w="676" w:type="pct"/>
            <w:vAlign w:val="center"/>
          </w:tcPr>
          <w:p w14:paraId="500E9E1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Aaa.mx</w:t>
            </w:r>
          </w:p>
        </w:tc>
        <w:tc>
          <w:tcPr>
            <w:tcW w:w="723" w:type="pct"/>
            <w:vAlign w:val="center"/>
          </w:tcPr>
          <w:p w14:paraId="5BD33823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AAA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11D6C8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AAA</w:t>
            </w:r>
          </w:p>
        </w:tc>
        <w:tc>
          <w:tcPr>
            <w:tcW w:w="1149" w:type="pct"/>
            <w:vAlign w:val="center"/>
          </w:tcPr>
          <w:p w14:paraId="70D8903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4A8A8D37" w14:textId="0B4F8A29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2EF89172" w14:textId="40584E0C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26A07380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47BC69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Aa1.mx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4B7DBD68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b/>
                <w:bCs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31D82E0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AA+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4D6B787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16B6FEC0" w14:textId="0573F3A1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23C8229A" w14:textId="0557BDCE" w:rsidTr="00A41A48">
        <w:trPr>
          <w:trHeight w:val="20"/>
        </w:trPr>
        <w:tc>
          <w:tcPr>
            <w:tcW w:w="579" w:type="pct"/>
            <w:shd w:val="clear" w:color="auto" w:fill="auto"/>
            <w:vAlign w:val="center"/>
          </w:tcPr>
          <w:p w14:paraId="10F088B3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</w:t>
            </w:r>
            <w:proofErr w:type="spellEnd"/>
          </w:p>
        </w:tc>
        <w:tc>
          <w:tcPr>
            <w:tcW w:w="676" w:type="pct"/>
            <w:shd w:val="clear" w:color="auto" w:fill="auto"/>
            <w:vAlign w:val="center"/>
          </w:tcPr>
          <w:p w14:paraId="76B8FD0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Aa2.mx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1D0437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DB84BF3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2467375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12194834" w14:textId="4C562BD3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238DCAFB" w14:textId="6EF3A77D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4FE43247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069C0D0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Aa3.mx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74169811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AA-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21D4C056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AA-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79E3645A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146D53E2" w14:textId="20DC0A4E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327E0281" w14:textId="4137C71D" w:rsidTr="00A41A48">
        <w:trPr>
          <w:trHeight w:val="20"/>
        </w:trPr>
        <w:tc>
          <w:tcPr>
            <w:tcW w:w="579" w:type="pct"/>
            <w:vAlign w:val="center"/>
          </w:tcPr>
          <w:p w14:paraId="11B0C37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676" w:type="pct"/>
            <w:vAlign w:val="center"/>
          </w:tcPr>
          <w:p w14:paraId="4546B21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A1.mx</w:t>
            </w:r>
          </w:p>
        </w:tc>
        <w:tc>
          <w:tcPr>
            <w:tcW w:w="723" w:type="pct"/>
            <w:vAlign w:val="center"/>
          </w:tcPr>
          <w:p w14:paraId="442B4013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A45EE5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A+</w:t>
            </w:r>
          </w:p>
        </w:tc>
        <w:tc>
          <w:tcPr>
            <w:tcW w:w="1149" w:type="pct"/>
            <w:vAlign w:val="center"/>
          </w:tcPr>
          <w:p w14:paraId="77D49C53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13DE7E5A" w14:textId="34842535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024A4DBD" w14:textId="59A1FBDD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2732ED80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</w:t>
            </w:r>
            <w:proofErr w:type="spellEnd"/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67CE0AC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A2.mx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66809F3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6F687417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153A8D45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36483DD4" w14:textId="4C94380C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6EB5D413" w14:textId="0C78C11D" w:rsidTr="00A41A48">
        <w:trPr>
          <w:trHeight w:val="20"/>
        </w:trPr>
        <w:tc>
          <w:tcPr>
            <w:tcW w:w="579" w:type="pct"/>
            <w:vAlign w:val="center"/>
          </w:tcPr>
          <w:p w14:paraId="7794EB9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mxA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676" w:type="pct"/>
            <w:vAlign w:val="center"/>
          </w:tcPr>
          <w:p w14:paraId="271E7525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A3.mx</w:t>
            </w:r>
          </w:p>
        </w:tc>
        <w:tc>
          <w:tcPr>
            <w:tcW w:w="723" w:type="pct"/>
            <w:vAlign w:val="center"/>
          </w:tcPr>
          <w:p w14:paraId="5680D7E5" w14:textId="77777777" w:rsidR="00A41A48" w:rsidRPr="00AF44B4" w:rsidRDefault="00A41A48" w:rsidP="00A41A48">
            <w:pPr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A-(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7E742A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A-</w:t>
            </w:r>
          </w:p>
        </w:tc>
        <w:tc>
          <w:tcPr>
            <w:tcW w:w="1149" w:type="pct"/>
            <w:vAlign w:val="center"/>
          </w:tcPr>
          <w:p w14:paraId="6DF51865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0F9539DF" w14:textId="6D36FD5F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38A901EC" w14:textId="6AD9ECA9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5095C0A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1C0BD7B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Baa1.mx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0D5EC77F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BBB+(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081801F8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BBB+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1C104EBA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455908A1" w14:textId="71A31D9E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33D0BDB3" w14:textId="03ACDE6F" w:rsidTr="00A41A48">
        <w:trPr>
          <w:trHeight w:val="20"/>
        </w:trPr>
        <w:tc>
          <w:tcPr>
            <w:tcW w:w="579" w:type="pct"/>
            <w:shd w:val="clear" w:color="auto" w:fill="auto"/>
            <w:vAlign w:val="center"/>
          </w:tcPr>
          <w:p w14:paraId="46BB9818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</w:t>
            </w:r>
            <w:proofErr w:type="spellEnd"/>
          </w:p>
        </w:tc>
        <w:tc>
          <w:tcPr>
            <w:tcW w:w="676" w:type="pct"/>
            <w:shd w:val="clear" w:color="auto" w:fill="auto"/>
            <w:vAlign w:val="center"/>
          </w:tcPr>
          <w:p w14:paraId="25C6B6FF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Baa2.mx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3672C27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815B401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3A74A0E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19DE08EA" w14:textId="19B43D32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5838B382" w14:textId="7608C282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6A0A41DC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68D79DA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Baa3.mx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1C886D60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BBB-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38D8B2CC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BBB-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6C501B6A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491AFCB2" w14:textId="329C7850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75ECF385" w14:textId="2B5D2217" w:rsidTr="00A41A48">
        <w:trPr>
          <w:trHeight w:val="20"/>
        </w:trPr>
        <w:tc>
          <w:tcPr>
            <w:tcW w:w="579" w:type="pct"/>
            <w:vAlign w:val="center"/>
          </w:tcPr>
          <w:p w14:paraId="124B61C3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676" w:type="pct"/>
            <w:vAlign w:val="center"/>
          </w:tcPr>
          <w:p w14:paraId="70F2400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Ba1.mx</w:t>
            </w:r>
          </w:p>
        </w:tc>
        <w:tc>
          <w:tcPr>
            <w:tcW w:w="723" w:type="pct"/>
            <w:vAlign w:val="center"/>
          </w:tcPr>
          <w:p w14:paraId="188ED2EA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3A3E1F6B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BB+</w:t>
            </w:r>
          </w:p>
        </w:tc>
        <w:tc>
          <w:tcPr>
            <w:tcW w:w="1149" w:type="pct"/>
            <w:vAlign w:val="center"/>
          </w:tcPr>
          <w:p w14:paraId="7C481F7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2EF195A3" w14:textId="37C0640A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497078FE" w14:textId="05065A6C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1E4731E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</w:t>
            </w:r>
            <w:proofErr w:type="spellEnd"/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C530746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Ba2.mx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084AC86C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37F78F5B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2F4371C6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5FC78A4B" w14:textId="6ACA985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2AD4888E" w14:textId="05114DC5" w:rsidTr="00A41A48">
        <w:trPr>
          <w:trHeight w:val="20"/>
        </w:trPr>
        <w:tc>
          <w:tcPr>
            <w:tcW w:w="579" w:type="pct"/>
            <w:vAlign w:val="center"/>
          </w:tcPr>
          <w:p w14:paraId="7ADE8DB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676" w:type="pct"/>
            <w:vAlign w:val="center"/>
          </w:tcPr>
          <w:p w14:paraId="46EFF02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Ba3.mx</w:t>
            </w:r>
          </w:p>
        </w:tc>
        <w:tc>
          <w:tcPr>
            <w:tcW w:w="723" w:type="pct"/>
            <w:vAlign w:val="center"/>
          </w:tcPr>
          <w:p w14:paraId="7DDD3BC5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BB-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B4ADD78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BB-</w:t>
            </w:r>
          </w:p>
        </w:tc>
        <w:tc>
          <w:tcPr>
            <w:tcW w:w="1149" w:type="pct"/>
            <w:vAlign w:val="center"/>
          </w:tcPr>
          <w:p w14:paraId="721F0375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03E12EF9" w14:textId="79433118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52234715" w14:textId="70D3C6F8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36877C8A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+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6C1828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B1.mx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48B8C743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B+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73C12FDA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B+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5555A838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078500FF" w14:textId="21BF70B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09AF14D8" w14:textId="1483F581" w:rsidTr="00A41A48">
        <w:trPr>
          <w:trHeight w:val="20"/>
        </w:trPr>
        <w:tc>
          <w:tcPr>
            <w:tcW w:w="579" w:type="pct"/>
            <w:vAlign w:val="center"/>
          </w:tcPr>
          <w:p w14:paraId="2E6AC93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</w:t>
            </w:r>
            <w:proofErr w:type="spellEnd"/>
          </w:p>
        </w:tc>
        <w:tc>
          <w:tcPr>
            <w:tcW w:w="676" w:type="pct"/>
            <w:vAlign w:val="center"/>
          </w:tcPr>
          <w:p w14:paraId="51B55177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B2.mx</w:t>
            </w:r>
          </w:p>
        </w:tc>
        <w:tc>
          <w:tcPr>
            <w:tcW w:w="723" w:type="pct"/>
            <w:vAlign w:val="center"/>
          </w:tcPr>
          <w:p w14:paraId="340314F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5479C7E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</w:t>
            </w:r>
          </w:p>
        </w:tc>
        <w:tc>
          <w:tcPr>
            <w:tcW w:w="1149" w:type="pct"/>
            <w:vAlign w:val="center"/>
          </w:tcPr>
          <w:p w14:paraId="574B9564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256E188D" w14:textId="4853CDDC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582C589C" w14:textId="0BB0A607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1CBF4B15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mxB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1B02956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B3.mx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0E2EB7B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B-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314B8BE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B-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3A43DAC4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12DE14FD" w14:textId="520D3F4C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56759A1B" w14:textId="6CD7FB75" w:rsidTr="00A41A48">
        <w:trPr>
          <w:trHeight w:val="20"/>
        </w:trPr>
        <w:tc>
          <w:tcPr>
            <w:tcW w:w="579" w:type="pct"/>
            <w:vAlign w:val="center"/>
          </w:tcPr>
          <w:p w14:paraId="3850367C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mxCCC</w:t>
            </w:r>
            <w:proofErr w:type="spellEnd"/>
          </w:p>
        </w:tc>
        <w:tc>
          <w:tcPr>
            <w:tcW w:w="676" w:type="pct"/>
            <w:vAlign w:val="center"/>
          </w:tcPr>
          <w:p w14:paraId="7846F668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Caa1.mx</w:t>
            </w:r>
          </w:p>
        </w:tc>
        <w:tc>
          <w:tcPr>
            <w:tcW w:w="723" w:type="pct"/>
            <w:vAlign w:val="center"/>
          </w:tcPr>
          <w:p w14:paraId="5567D8EF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CCC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BFA2B0F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C+</w:t>
            </w:r>
          </w:p>
        </w:tc>
        <w:tc>
          <w:tcPr>
            <w:tcW w:w="1149" w:type="pct"/>
            <w:vAlign w:val="center"/>
          </w:tcPr>
          <w:p w14:paraId="175296F3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34D6B7A2" w14:textId="6142204C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52A4DAE6" w14:textId="2C4F8CB5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78A5CFA1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mxCC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 xml:space="preserve"> e inferiores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C1B3AD1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Caa2.mx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0BAC29F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CC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66D37C0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5A498CA1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02D5C0D8" w14:textId="40DDEDB5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49A5FFDF" w14:textId="5D53BDB6" w:rsidTr="00A41A48">
        <w:trPr>
          <w:trHeight w:val="20"/>
        </w:trPr>
        <w:tc>
          <w:tcPr>
            <w:tcW w:w="579" w:type="pct"/>
            <w:vAlign w:val="center"/>
          </w:tcPr>
          <w:p w14:paraId="196E7E4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676" w:type="pct"/>
            <w:vAlign w:val="center"/>
          </w:tcPr>
          <w:p w14:paraId="3EF01428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CAA3.mx</w:t>
            </w:r>
          </w:p>
        </w:tc>
        <w:tc>
          <w:tcPr>
            <w:tcW w:w="723" w:type="pct"/>
            <w:vAlign w:val="center"/>
          </w:tcPr>
          <w:p w14:paraId="1B42279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 (</w:t>
            </w:r>
            <w:proofErr w:type="spellStart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mex</w:t>
            </w:r>
            <w:proofErr w:type="spellEnd"/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) e inferiores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3F666C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HR C- e inferiores</w:t>
            </w:r>
          </w:p>
        </w:tc>
        <w:tc>
          <w:tcPr>
            <w:tcW w:w="1149" w:type="pct"/>
            <w:vAlign w:val="center"/>
          </w:tcPr>
          <w:p w14:paraId="2ED20211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70A1E581" w14:textId="1CF51A63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0A733B47" w14:textId="0DEE7669" w:rsidTr="00A41A48">
        <w:trPr>
          <w:trHeight w:val="20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0055E29C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9E330EB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Ca.mx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1BD894B2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723" w:type="pct"/>
            <w:shd w:val="clear" w:color="auto" w:fill="F2F2F2" w:themeFill="background1" w:themeFillShade="F2"/>
            <w:vAlign w:val="center"/>
          </w:tcPr>
          <w:p w14:paraId="5ECD3320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012F30E4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10414708" w14:textId="02021572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5086863E" w14:textId="334EA9D1" w:rsidTr="00A41A48">
        <w:trPr>
          <w:trHeight w:val="20"/>
        </w:trPr>
        <w:tc>
          <w:tcPr>
            <w:tcW w:w="579" w:type="pct"/>
            <w:vAlign w:val="center"/>
          </w:tcPr>
          <w:p w14:paraId="01B5B8DD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676" w:type="pct"/>
            <w:vAlign w:val="center"/>
          </w:tcPr>
          <w:p w14:paraId="33819964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C.mx e inferiores</w:t>
            </w:r>
          </w:p>
        </w:tc>
        <w:tc>
          <w:tcPr>
            <w:tcW w:w="723" w:type="pct"/>
            <w:vAlign w:val="center"/>
          </w:tcPr>
          <w:p w14:paraId="0DE65BC6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95B83DF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---</w:t>
            </w:r>
          </w:p>
        </w:tc>
        <w:tc>
          <w:tcPr>
            <w:tcW w:w="1149" w:type="pct"/>
            <w:vAlign w:val="center"/>
          </w:tcPr>
          <w:p w14:paraId="26DEE867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  <w:tc>
          <w:tcPr>
            <w:tcW w:w="1149" w:type="pct"/>
            <w:vAlign w:val="center"/>
          </w:tcPr>
          <w:p w14:paraId="6BD57B55" w14:textId="24FD62D9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</w:t>
            </w:r>
            <w:r w:rsidRPr="00AF44B4">
              <w:rPr>
                <w:rFonts w:eastAsia="Arial Unicode MS" w:cs="Tahoma"/>
                <w:sz w:val="18"/>
                <w:szCs w:val="22"/>
              </w:rPr>
              <w:t xml:space="preserve"> %</w:t>
            </w:r>
          </w:p>
        </w:tc>
      </w:tr>
      <w:tr w:rsidR="00A41A48" w:rsidRPr="00AF44B4" w14:paraId="76DD9414" w14:textId="27C5EDA9" w:rsidTr="00A41A48">
        <w:trPr>
          <w:trHeight w:val="20"/>
        </w:trPr>
        <w:tc>
          <w:tcPr>
            <w:tcW w:w="2702" w:type="pct"/>
            <w:gridSpan w:val="4"/>
            <w:vAlign w:val="center"/>
          </w:tcPr>
          <w:p w14:paraId="53D8D5A9" w14:textId="77777777" w:rsidR="00A41A48" w:rsidRPr="00AF44B4" w:rsidRDefault="00A41A48" w:rsidP="00A41A48">
            <w:pPr>
              <w:jc w:val="center"/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</w:pPr>
            <w:r w:rsidRPr="00AF44B4">
              <w:rPr>
                <w:rFonts w:eastAsia="Times New Roman" w:cs="Tahoma"/>
                <w:color w:val="000000"/>
                <w:sz w:val="18"/>
                <w:szCs w:val="22"/>
                <w:lang w:eastAsia="es-MX"/>
              </w:rPr>
              <w:t>No calificado</w:t>
            </w:r>
          </w:p>
        </w:tc>
        <w:tc>
          <w:tcPr>
            <w:tcW w:w="1149" w:type="pct"/>
            <w:vAlign w:val="center"/>
          </w:tcPr>
          <w:p w14:paraId="408985C4" w14:textId="77777777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F44B4">
              <w:rPr>
                <w:rFonts w:cs="Tahoma"/>
                <w:sz w:val="18"/>
                <w:szCs w:val="22"/>
              </w:rPr>
              <w:t>[●] %</w:t>
            </w:r>
          </w:p>
        </w:tc>
        <w:tc>
          <w:tcPr>
            <w:tcW w:w="1149" w:type="pct"/>
          </w:tcPr>
          <w:p w14:paraId="4FF59E09" w14:textId="1AEF390B" w:rsidR="00A41A48" w:rsidRPr="00AF44B4" w:rsidRDefault="00A41A48" w:rsidP="00A41A48">
            <w:pPr>
              <w:jc w:val="center"/>
              <w:rPr>
                <w:rFonts w:cs="Tahoma"/>
                <w:sz w:val="18"/>
                <w:szCs w:val="22"/>
              </w:rPr>
            </w:pPr>
            <w:r w:rsidRPr="00A41A48">
              <w:rPr>
                <w:rFonts w:cs="Tahoma"/>
                <w:sz w:val="18"/>
                <w:szCs w:val="22"/>
              </w:rPr>
              <w:t>[●] %</w:t>
            </w:r>
          </w:p>
        </w:tc>
      </w:tr>
    </w:tbl>
    <w:p w14:paraId="6E78A4F3" w14:textId="77777777" w:rsidR="00D46FE0" w:rsidRPr="00AF44B4" w:rsidRDefault="00D46FE0" w:rsidP="00D517FA"/>
    <w:p w14:paraId="28D9BE68" w14:textId="23116C68" w:rsidR="00375BC6" w:rsidRPr="00AF44B4" w:rsidRDefault="00375BC6" w:rsidP="000E7E2B">
      <w:pPr>
        <w:jc w:val="center"/>
        <w:rPr>
          <w:b/>
          <w:szCs w:val="22"/>
        </w:rPr>
      </w:pPr>
      <w:r w:rsidRPr="00AF44B4">
        <w:rPr>
          <w:b/>
          <w:szCs w:val="22"/>
        </w:rPr>
        <w:t>Otros términos y condiciones de la Oferta de Crédito</w:t>
      </w:r>
    </w:p>
    <w:p w14:paraId="446A7492" w14:textId="77777777" w:rsidR="00DD3CBC" w:rsidRPr="00AF44B4" w:rsidRDefault="00DD3CBC" w:rsidP="00D517FA"/>
    <w:p w14:paraId="4306E83F" w14:textId="77777777" w:rsidR="00375BC6" w:rsidRPr="00AF44B4" w:rsidRDefault="00375BC6" w:rsidP="000E7E2B">
      <w:pPr>
        <w:jc w:val="center"/>
        <w:rPr>
          <w:szCs w:val="22"/>
        </w:rPr>
      </w:pPr>
      <w:r w:rsidRPr="00AF44B4">
        <w:rPr>
          <w:szCs w:val="22"/>
        </w:rPr>
        <w:t xml:space="preserve">[este apartado </w:t>
      </w:r>
      <w:r w:rsidRPr="00AF44B4">
        <w:rPr>
          <w:szCs w:val="22"/>
          <w:u w:val="single"/>
        </w:rPr>
        <w:t>no puede ser modificado</w:t>
      </w:r>
      <w:r w:rsidRPr="00AF44B4">
        <w:rPr>
          <w:szCs w:val="22"/>
        </w:rPr>
        <w:t xml:space="preserve"> por los Licitantes]</w:t>
      </w:r>
    </w:p>
    <w:p w14:paraId="7B087F3E" w14:textId="77777777" w:rsidR="00375BC6" w:rsidRPr="00AF44B4" w:rsidRDefault="00375BC6" w:rsidP="00D517FA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5879"/>
      </w:tblGrid>
      <w:tr w:rsidR="00375BC6" w:rsidRPr="00AF44B4" w14:paraId="03350FEF" w14:textId="77777777" w:rsidTr="002F722D">
        <w:tc>
          <w:tcPr>
            <w:tcW w:w="1674" w:type="pct"/>
          </w:tcPr>
          <w:p w14:paraId="10065CDF" w14:textId="77777777" w:rsidR="00375BC6" w:rsidRPr="00AF44B4" w:rsidRDefault="00375BC6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Tipo de financiamiento:</w:t>
            </w:r>
          </w:p>
          <w:p w14:paraId="5F25877D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3DCBB441" w14:textId="77777777" w:rsidR="00375BC6" w:rsidRPr="00AF44B4" w:rsidRDefault="00375BC6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Contrato de apertura de crédito simple.</w:t>
            </w:r>
          </w:p>
          <w:p w14:paraId="4ACF0664" w14:textId="77777777" w:rsidR="00375BC6" w:rsidRPr="00AF44B4" w:rsidRDefault="00375BC6" w:rsidP="00FF4D63">
            <w:pPr>
              <w:rPr>
                <w:szCs w:val="22"/>
              </w:rPr>
            </w:pPr>
          </w:p>
        </w:tc>
      </w:tr>
      <w:tr w:rsidR="00AF44B4" w:rsidRPr="00AF44B4" w14:paraId="4A302E81" w14:textId="77777777" w:rsidTr="002F722D">
        <w:tc>
          <w:tcPr>
            <w:tcW w:w="1674" w:type="pct"/>
          </w:tcPr>
          <w:p w14:paraId="1944FB29" w14:textId="79653C95" w:rsidR="00AF44B4" w:rsidRPr="00AF44B4" w:rsidRDefault="00AF44B4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Ente Público contratante:</w:t>
            </w:r>
          </w:p>
        </w:tc>
        <w:tc>
          <w:tcPr>
            <w:tcW w:w="3326" w:type="pct"/>
          </w:tcPr>
          <w:p w14:paraId="02568637" w14:textId="77777777" w:rsidR="00AF44B4" w:rsidRPr="00AF44B4" w:rsidRDefault="00AF44B4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Poder Ejecutivo del Estado Libre y Soberano de Quintana Roo, por conducto de la Titular de la Secretaría de Finanzas y Planeación del Gobierno del Estado de Quintana Roo.</w:t>
            </w:r>
          </w:p>
          <w:p w14:paraId="0664201A" w14:textId="62F8EADA" w:rsidR="00AF44B4" w:rsidRPr="00AF44B4" w:rsidRDefault="00AF44B4" w:rsidP="00FF4D63">
            <w:pPr>
              <w:rPr>
                <w:szCs w:val="22"/>
              </w:rPr>
            </w:pPr>
          </w:p>
        </w:tc>
      </w:tr>
      <w:tr w:rsidR="00375BC6" w:rsidRPr="00AF44B4" w14:paraId="452BA6B3" w14:textId="77777777" w:rsidTr="002F722D">
        <w:trPr>
          <w:trHeight w:val="558"/>
        </w:trPr>
        <w:tc>
          <w:tcPr>
            <w:tcW w:w="1674" w:type="pct"/>
          </w:tcPr>
          <w:p w14:paraId="6DF866F1" w14:textId="77777777" w:rsidR="00375BC6" w:rsidRPr="00AF44B4" w:rsidRDefault="00375BC6" w:rsidP="00FF4D63">
            <w:pPr>
              <w:rPr>
                <w:szCs w:val="22"/>
              </w:rPr>
            </w:pPr>
            <w:r w:rsidRPr="00AF44B4">
              <w:rPr>
                <w:szCs w:val="22"/>
              </w:rPr>
              <w:t>Destino de los recursos:</w:t>
            </w:r>
          </w:p>
          <w:p w14:paraId="6D921D24" w14:textId="77777777" w:rsidR="00375BC6" w:rsidRPr="00AF44B4" w:rsidRDefault="00375BC6" w:rsidP="00FF4D63">
            <w:pPr>
              <w:rPr>
                <w:szCs w:val="22"/>
              </w:rPr>
            </w:pPr>
          </w:p>
        </w:tc>
        <w:tc>
          <w:tcPr>
            <w:tcW w:w="3326" w:type="pct"/>
          </w:tcPr>
          <w:p w14:paraId="1974D602" w14:textId="5F30FAB0" w:rsidR="00375BC6" w:rsidRPr="00AF44B4" w:rsidRDefault="00375BC6" w:rsidP="009B39E4">
            <w:pPr>
              <w:rPr>
                <w:szCs w:val="22"/>
                <w:lang w:val="es-ES"/>
              </w:rPr>
            </w:pPr>
            <w:r w:rsidRPr="00AF44B4">
              <w:rPr>
                <w:szCs w:val="22"/>
                <w:lang w:val="es-ES"/>
              </w:rPr>
              <w:t>El monto del Financiamiento se destinará a</w:t>
            </w:r>
            <w:r w:rsidR="009B39E4" w:rsidRPr="00AF44B4">
              <w:rPr>
                <w:rFonts w:cs="Arial"/>
                <w:szCs w:val="22"/>
              </w:rPr>
              <w:t>l refinanciamiento y/o reestructura de la deuda pública de largo pl</w:t>
            </w:r>
            <w:r w:rsidR="003E16B9" w:rsidRPr="00AF44B4">
              <w:rPr>
                <w:rFonts w:cs="Arial"/>
                <w:szCs w:val="22"/>
              </w:rPr>
              <w:t>azo directa a cargo del Estado, así como los demás conceptos previstos en el Decreto de Autorización.</w:t>
            </w:r>
          </w:p>
          <w:p w14:paraId="3242BBCE" w14:textId="77777777" w:rsidR="00375BC6" w:rsidRPr="00AF44B4" w:rsidRDefault="00375BC6" w:rsidP="00FF4D63">
            <w:pPr>
              <w:rPr>
                <w:szCs w:val="22"/>
                <w:lang w:val="es-ES"/>
              </w:rPr>
            </w:pPr>
          </w:p>
        </w:tc>
      </w:tr>
      <w:tr w:rsidR="00AF44B4" w:rsidRPr="00AF44B4" w14:paraId="5B558F63" w14:textId="77777777" w:rsidTr="002F722D">
        <w:trPr>
          <w:trHeight w:val="558"/>
        </w:trPr>
        <w:tc>
          <w:tcPr>
            <w:tcW w:w="1674" w:type="pct"/>
          </w:tcPr>
          <w:p w14:paraId="69430C98" w14:textId="52801827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>Plazo de Gracia.</w:t>
            </w:r>
          </w:p>
        </w:tc>
        <w:tc>
          <w:tcPr>
            <w:tcW w:w="3326" w:type="pct"/>
          </w:tcPr>
          <w:p w14:paraId="172B721A" w14:textId="77777777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Sin plazo de gracia. </w:t>
            </w:r>
          </w:p>
          <w:p w14:paraId="4C470347" w14:textId="77777777" w:rsidR="00AF44B4" w:rsidRPr="00AF44B4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FEA7A80" w14:textId="77777777" w:rsidTr="002F722D">
        <w:trPr>
          <w:trHeight w:val="558"/>
        </w:trPr>
        <w:tc>
          <w:tcPr>
            <w:tcW w:w="1674" w:type="pct"/>
          </w:tcPr>
          <w:p w14:paraId="5C01EAA6" w14:textId="0C2105DB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>Tasa de Interés Ordinaria</w:t>
            </w:r>
          </w:p>
        </w:tc>
        <w:tc>
          <w:tcPr>
            <w:tcW w:w="3326" w:type="pct"/>
          </w:tcPr>
          <w:p w14:paraId="69EA4D7E" w14:textId="77777777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</w:rPr>
            </w:pPr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Variable. </w:t>
            </w:r>
          </w:p>
          <w:p w14:paraId="5093C49C" w14:textId="77777777" w:rsidR="00AF44B4" w:rsidRPr="00AF44B4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1F214715" w14:textId="77777777" w:rsidTr="002F722D">
        <w:trPr>
          <w:trHeight w:val="558"/>
        </w:trPr>
        <w:tc>
          <w:tcPr>
            <w:tcW w:w="1674" w:type="pct"/>
          </w:tcPr>
          <w:p w14:paraId="769777E1" w14:textId="5CABB7AF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>Tasa de Referencia:</w:t>
            </w:r>
          </w:p>
        </w:tc>
        <w:tc>
          <w:tcPr>
            <w:tcW w:w="3326" w:type="pct"/>
          </w:tcPr>
          <w:p w14:paraId="28EE99BA" w14:textId="77777777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Tasa de Interés Interbancaria de Equilibrio a plazo de 28 días, </w:t>
            </w:r>
            <w:bookmarkStart w:id="2" w:name="_Hlk17414843"/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>publicada por el Banco de México en el Diario Oficial de la Federación</w:t>
            </w:r>
            <w:bookmarkEnd w:id="2"/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>.</w:t>
            </w:r>
          </w:p>
          <w:p w14:paraId="2BDED86B" w14:textId="486A1684" w:rsidR="00AF44B4" w:rsidRPr="00AF44B4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4DFE103D" w14:textId="77777777" w:rsidTr="002F722D">
        <w:trPr>
          <w:trHeight w:val="558"/>
        </w:trPr>
        <w:tc>
          <w:tcPr>
            <w:tcW w:w="1674" w:type="pct"/>
          </w:tcPr>
          <w:p w14:paraId="102A3C68" w14:textId="65C700B0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>Periodicidad de Pago del Servicio del Financiamiento (capital e intereses):</w:t>
            </w:r>
          </w:p>
        </w:tc>
        <w:tc>
          <w:tcPr>
            <w:tcW w:w="3326" w:type="pct"/>
          </w:tcPr>
          <w:p w14:paraId="1D393133" w14:textId="77777777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  <w:p w14:paraId="179DE11E" w14:textId="77777777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  <w:p w14:paraId="09FF8E64" w14:textId="77777777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>Mensual.</w:t>
            </w:r>
          </w:p>
          <w:p w14:paraId="3F5C2B83" w14:textId="095B2DFA" w:rsidR="00AF44B4" w:rsidRPr="00AF44B4" w:rsidRDefault="00AF44B4" w:rsidP="00AF44B4">
            <w:pPr>
              <w:rPr>
                <w:rFonts w:cs="Times New Roman"/>
                <w:szCs w:val="22"/>
              </w:rPr>
            </w:pPr>
          </w:p>
        </w:tc>
      </w:tr>
      <w:tr w:rsidR="00AF44B4" w:rsidRPr="00AF44B4" w14:paraId="3FB8A3C6" w14:textId="77777777" w:rsidTr="002F722D">
        <w:trPr>
          <w:trHeight w:val="558"/>
        </w:trPr>
        <w:tc>
          <w:tcPr>
            <w:tcW w:w="1674" w:type="pct"/>
          </w:tcPr>
          <w:p w14:paraId="71C72B83" w14:textId="491D6C39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 xml:space="preserve">Fuente de pago del Financiamiento: </w:t>
            </w:r>
          </w:p>
        </w:tc>
        <w:tc>
          <w:tcPr>
            <w:tcW w:w="3326" w:type="pct"/>
          </w:tcPr>
          <w:p w14:paraId="6A1B78C0" w14:textId="345CF9B5" w:rsidR="00AF44B4" w:rsidRPr="00AF44B4" w:rsidRDefault="00AF44B4" w:rsidP="00AF44B4">
            <w:pPr>
              <w:rPr>
                <w:rFonts w:cs="Times New Roman"/>
                <w:szCs w:val="22"/>
              </w:rPr>
            </w:pPr>
            <w:r w:rsidRPr="00AF44B4">
              <w:rPr>
                <w:rFonts w:cs="Times New Roman"/>
                <w:szCs w:val="22"/>
              </w:rPr>
              <w:t xml:space="preserve">Recursos previstos para el pago de deuda en términos del Presupuesto de Egresos del Estado y/o hasta el </w:t>
            </w:r>
            <w:r w:rsidR="00EF31DA">
              <w:rPr>
                <w:rFonts w:cs="Times New Roman"/>
                <w:szCs w:val="22"/>
              </w:rPr>
              <w:t>85</w:t>
            </w:r>
            <w:r w:rsidRPr="00AF44B4">
              <w:rPr>
                <w:rFonts w:cs="Times New Roman"/>
                <w:szCs w:val="22"/>
              </w:rPr>
              <w:t>% (</w:t>
            </w:r>
            <w:r w:rsidR="00EF31DA">
              <w:rPr>
                <w:rFonts w:cs="Times New Roman"/>
                <w:szCs w:val="22"/>
              </w:rPr>
              <w:t>ochenta y cinco por ciento)</w:t>
            </w:r>
            <w:r w:rsidRPr="00AF44B4">
              <w:rPr>
                <w:rFonts w:cs="Times New Roman"/>
                <w:szCs w:val="22"/>
              </w:rPr>
              <w:t xml:space="preserve"> de los derechos e ingresos de las participaciones federales que anualmente le corresponden al Estado, presentes y futuras, del </w:t>
            </w:r>
            <w:r w:rsidR="0004479E">
              <w:rPr>
                <w:rFonts w:cs="Times New Roman"/>
                <w:szCs w:val="22"/>
              </w:rPr>
              <w:t>Fondo General de Participaciones, sin considerar las participaciones municipales</w:t>
            </w:r>
            <w:r w:rsidRPr="00AF44B4">
              <w:rPr>
                <w:rFonts w:cs="Times New Roman"/>
                <w:szCs w:val="22"/>
              </w:rPr>
              <w:t>.</w:t>
            </w:r>
          </w:p>
          <w:p w14:paraId="00DD2A9E" w14:textId="0066280F" w:rsidR="00AF44B4" w:rsidRPr="00AF44B4" w:rsidRDefault="00AF44B4" w:rsidP="00AF44B4">
            <w:pPr>
              <w:rPr>
                <w:szCs w:val="22"/>
                <w:lang w:val="es-ES"/>
              </w:rPr>
            </w:pPr>
          </w:p>
        </w:tc>
      </w:tr>
      <w:tr w:rsidR="00AF44B4" w:rsidRPr="00AF44B4" w14:paraId="6E8BC8B5" w14:textId="77777777" w:rsidTr="002F722D">
        <w:tc>
          <w:tcPr>
            <w:tcW w:w="1674" w:type="pct"/>
          </w:tcPr>
          <w:p w14:paraId="69B930CA" w14:textId="2A5A6C9F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>Garantías a otorgar:</w:t>
            </w:r>
          </w:p>
        </w:tc>
        <w:tc>
          <w:tcPr>
            <w:tcW w:w="3326" w:type="pct"/>
          </w:tcPr>
          <w:p w14:paraId="400E8579" w14:textId="17B5C913" w:rsidR="0004479E" w:rsidRPr="0004479E" w:rsidRDefault="0004479E" w:rsidP="0004479E">
            <w:pPr>
              <w:rPr>
                <w:szCs w:val="22"/>
              </w:rPr>
            </w:pPr>
            <w:r w:rsidRPr="0004479E">
              <w:rPr>
                <w:szCs w:val="22"/>
              </w:rPr>
              <w:t xml:space="preserve">Recursos previstos para el pago de deuda en términos del Presupuesto de Egresos del Estado y/o hasta el </w:t>
            </w:r>
            <w:r w:rsidR="00EF31DA">
              <w:rPr>
                <w:szCs w:val="22"/>
              </w:rPr>
              <w:t>85</w:t>
            </w:r>
            <w:r w:rsidRPr="0004479E">
              <w:rPr>
                <w:szCs w:val="22"/>
              </w:rPr>
              <w:t>% (</w:t>
            </w:r>
            <w:r w:rsidR="00EF31DA">
              <w:rPr>
                <w:szCs w:val="22"/>
              </w:rPr>
              <w:t>ochenta y cinco por ciento)</w:t>
            </w:r>
            <w:r w:rsidRPr="0004479E">
              <w:rPr>
                <w:szCs w:val="22"/>
              </w:rPr>
              <w:t xml:space="preserve"> de los derechos e ingresos de las participaciones federales que anualmente le corresponden al Estado, presentes y futuras, del Fondo General de Participaciones, sin considerar las participaciones municipales.</w:t>
            </w:r>
          </w:p>
          <w:p w14:paraId="0091A5A1" w14:textId="77777777" w:rsidR="00AF44B4" w:rsidRPr="00AF44B4" w:rsidRDefault="00AF44B4" w:rsidP="00AF44B4">
            <w:pPr>
              <w:rPr>
                <w:szCs w:val="22"/>
              </w:rPr>
            </w:pPr>
          </w:p>
        </w:tc>
      </w:tr>
      <w:tr w:rsidR="00AF44B4" w:rsidRPr="00AF44B4" w14:paraId="4BFF2542" w14:textId="77777777" w:rsidTr="002F722D">
        <w:tc>
          <w:tcPr>
            <w:tcW w:w="1674" w:type="pct"/>
          </w:tcPr>
          <w:p w14:paraId="2D4DD688" w14:textId="1D49751B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>Condiciones para la Disposición:</w:t>
            </w:r>
          </w:p>
        </w:tc>
        <w:tc>
          <w:tcPr>
            <w:tcW w:w="3326" w:type="pct"/>
          </w:tcPr>
          <w:p w14:paraId="1E2BF5E0" w14:textId="77777777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>Las condiciones previstas en el Cláusula Cuarta del modelo de contrato de crédito.</w:t>
            </w:r>
          </w:p>
          <w:p w14:paraId="17845D62" w14:textId="77777777" w:rsidR="00AF44B4" w:rsidRPr="00AF44B4" w:rsidRDefault="00AF44B4" w:rsidP="00AF44B4">
            <w:pPr>
              <w:rPr>
                <w:szCs w:val="22"/>
              </w:rPr>
            </w:pPr>
          </w:p>
        </w:tc>
      </w:tr>
      <w:tr w:rsidR="00AF44B4" w:rsidRPr="00AF44B4" w14:paraId="44F4358A" w14:textId="77777777" w:rsidTr="002F722D">
        <w:tc>
          <w:tcPr>
            <w:tcW w:w="1674" w:type="pct"/>
          </w:tcPr>
          <w:p w14:paraId="164538B6" w14:textId="2CDF0753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>Vehículo de Pago.</w:t>
            </w:r>
          </w:p>
        </w:tc>
        <w:tc>
          <w:tcPr>
            <w:tcW w:w="3326" w:type="pct"/>
          </w:tcPr>
          <w:p w14:paraId="0328C63C" w14:textId="77777777" w:rsidR="00AF44B4" w:rsidRPr="00AF44B4" w:rsidRDefault="00AF44B4" w:rsidP="00AF44B4">
            <w:pPr>
              <w:rPr>
                <w:rFonts w:cs="Times New Roman"/>
                <w:szCs w:val="22"/>
              </w:rPr>
            </w:pPr>
            <w:r w:rsidRPr="00AF44B4">
              <w:rPr>
                <w:rFonts w:cs="Times New Roman"/>
                <w:szCs w:val="22"/>
              </w:rPr>
              <w:t>Fideicomiso Irrevocable de Administración y Fuente de Pago No. 744634, mediante el cual se formalizará el porcentaje específico de fuente de pago del financiamiento.</w:t>
            </w:r>
          </w:p>
          <w:p w14:paraId="789D4886" w14:textId="7BA51C62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AF44B4" w:rsidRPr="00AF44B4" w14:paraId="6FD8B208" w14:textId="77777777" w:rsidTr="002F722D">
        <w:tc>
          <w:tcPr>
            <w:tcW w:w="1674" w:type="pct"/>
          </w:tcPr>
          <w:p w14:paraId="67B6C885" w14:textId="42904F80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>Gastos Adicionales:</w:t>
            </w:r>
          </w:p>
        </w:tc>
        <w:tc>
          <w:tcPr>
            <w:tcW w:w="3326" w:type="pct"/>
          </w:tcPr>
          <w:p w14:paraId="3546AADB" w14:textId="77777777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 xml:space="preserve">Sin Gastos Adicionales. </w:t>
            </w:r>
          </w:p>
          <w:p w14:paraId="6A378AE7" w14:textId="0DDCFD04" w:rsidR="00AF44B4" w:rsidRPr="00AF44B4" w:rsidRDefault="00AF44B4" w:rsidP="00AF44B4">
            <w:pPr>
              <w:rPr>
                <w:rFonts w:eastAsia="Arial"/>
                <w:color w:val="000000"/>
                <w:spacing w:val="-1"/>
                <w:szCs w:val="22"/>
                <w:lang w:val="es-ES"/>
              </w:rPr>
            </w:pPr>
          </w:p>
        </w:tc>
      </w:tr>
      <w:tr w:rsidR="00AF44B4" w:rsidRPr="00AF44B4" w14:paraId="09FD29C7" w14:textId="77777777" w:rsidTr="002F722D">
        <w:tc>
          <w:tcPr>
            <w:tcW w:w="1674" w:type="pct"/>
          </w:tcPr>
          <w:p w14:paraId="3514DC58" w14:textId="731566BA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 xml:space="preserve">Gastos Adicionales Contingentes: </w:t>
            </w:r>
          </w:p>
        </w:tc>
        <w:tc>
          <w:tcPr>
            <w:tcW w:w="3326" w:type="pct"/>
          </w:tcPr>
          <w:p w14:paraId="7C55FDF9" w14:textId="1712DF3D" w:rsidR="00AF44B4" w:rsidRPr="00AF44B4" w:rsidRDefault="00AF44B4" w:rsidP="00AF44B4">
            <w:pPr>
              <w:rPr>
                <w:rFonts w:cs="Times New Roman"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>Sin Gastos Adicionales Contingentes.</w:t>
            </w:r>
            <w:r w:rsidRPr="00AF44B4">
              <w:rPr>
                <w:rFonts w:eastAsia="Arial"/>
                <w:color w:val="000000"/>
                <w:spacing w:val="-1"/>
                <w:szCs w:val="22"/>
                <w:lang w:val="es-ES"/>
              </w:rPr>
              <w:t xml:space="preserve"> </w:t>
            </w:r>
          </w:p>
        </w:tc>
      </w:tr>
      <w:tr w:rsidR="00AF44B4" w:rsidRPr="00AF44B4" w14:paraId="31B01595" w14:textId="77777777" w:rsidTr="002F722D">
        <w:tc>
          <w:tcPr>
            <w:tcW w:w="1674" w:type="pct"/>
          </w:tcPr>
          <w:p w14:paraId="1D53F2FF" w14:textId="77777777" w:rsidR="00AF44B4" w:rsidRPr="00AF44B4" w:rsidRDefault="00AF44B4" w:rsidP="00AF44B4">
            <w:pPr>
              <w:rPr>
                <w:szCs w:val="22"/>
              </w:rPr>
            </w:pPr>
            <w:r w:rsidRPr="00AF44B4">
              <w:rPr>
                <w:szCs w:val="22"/>
              </w:rPr>
              <w:t>Periodo de Disposición:</w:t>
            </w:r>
          </w:p>
        </w:tc>
        <w:tc>
          <w:tcPr>
            <w:tcW w:w="3326" w:type="pct"/>
          </w:tcPr>
          <w:p w14:paraId="15C4F021" w14:textId="77777777" w:rsidR="00AF44B4" w:rsidRPr="00AF44B4" w:rsidRDefault="00AF44B4" w:rsidP="00AF44B4">
            <w:pPr>
              <w:rPr>
                <w:rFonts w:cs="Times New Roman"/>
                <w:szCs w:val="22"/>
              </w:rPr>
            </w:pPr>
            <w:r w:rsidRPr="00AF44B4">
              <w:rPr>
                <w:rFonts w:cs="Times New Roman"/>
                <w:szCs w:val="22"/>
              </w:rPr>
              <w:t>En atención al destino de los recursos el Estado ha determinado conveniente un plazo de disposición del Financiamiento de hasta 90 días, el cual correrá a partir de la fecha de celebración del contrato de crédito.</w:t>
            </w:r>
          </w:p>
          <w:p w14:paraId="1A2FAA97" w14:textId="77777777" w:rsidR="00AF44B4" w:rsidRPr="00AF44B4" w:rsidRDefault="00AF44B4" w:rsidP="00AF44B4">
            <w:pPr>
              <w:rPr>
                <w:szCs w:val="22"/>
              </w:rPr>
            </w:pPr>
          </w:p>
        </w:tc>
      </w:tr>
      <w:tr w:rsidR="00AF44B4" w:rsidRPr="00AF44B4" w14:paraId="4DB38224" w14:textId="77777777" w:rsidTr="002F722D">
        <w:tc>
          <w:tcPr>
            <w:tcW w:w="1674" w:type="pct"/>
          </w:tcPr>
          <w:p w14:paraId="1700A230" w14:textId="7A411D47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 xml:space="preserve">Fecha de Pago: </w:t>
            </w:r>
          </w:p>
        </w:tc>
        <w:tc>
          <w:tcPr>
            <w:tcW w:w="3326" w:type="pct"/>
          </w:tcPr>
          <w:p w14:paraId="0E5AD53F" w14:textId="37E77C86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 xml:space="preserve">La fecha de pago será el 25 (veinticinco) de cada mes calendario; </w:t>
            </w:r>
            <w:r w:rsidRPr="00AF44B4">
              <w:rPr>
                <w:rFonts w:eastAsia="Arial"/>
                <w:bCs/>
                <w:szCs w:val="22"/>
                <w:u w:val="single"/>
              </w:rPr>
              <w:t>en el entendido que</w:t>
            </w:r>
            <w:r w:rsidRPr="00AF44B4">
              <w:rPr>
                <w:rFonts w:eastAsia="Arial"/>
                <w:bCs/>
                <w:szCs w:val="22"/>
              </w:rPr>
              <w:t xml:space="preserve">: </w:t>
            </w:r>
            <w:r w:rsidRPr="00AF44B4">
              <w:rPr>
                <w:szCs w:val="22"/>
              </w:rPr>
              <w:t xml:space="preserve">(a) la primera fecha de pago será el día 25 (veinticinco) del mes siguiente a la fecha de disposición, </w:t>
            </w:r>
            <w:r w:rsidRPr="00AF44B4">
              <w:rPr>
                <w:color w:val="000000"/>
                <w:szCs w:val="22"/>
              </w:rPr>
              <w:t xml:space="preserve">si dicha fecha no es un día hábil, entonces la fecha de pago será el día hábil inmediato siguiente; y </w:t>
            </w:r>
            <w:r w:rsidRPr="00AF44B4">
              <w:rPr>
                <w:szCs w:val="22"/>
              </w:rPr>
              <w:t>(b) la última f</w:t>
            </w:r>
            <w:r w:rsidRPr="00AF44B4">
              <w:rPr>
                <w:color w:val="000000"/>
                <w:szCs w:val="22"/>
              </w:rPr>
              <w:t>echa de pago</w:t>
            </w:r>
            <w:r w:rsidRPr="00AF44B4">
              <w:rPr>
                <w:szCs w:val="22"/>
              </w:rPr>
              <w:t xml:space="preserve"> será precisamente en la fecha de vencimiento del Contrato de Crédito, si dicha fecha no es un día hábil, entonces la última fecha de pago principal e intereses del Contrato de Crédito será el día hábil inmediato anterior. </w:t>
            </w:r>
          </w:p>
        </w:tc>
      </w:tr>
      <w:tr w:rsidR="00AF44B4" w:rsidRPr="00AF44B4" w14:paraId="2E55F1EE" w14:textId="77777777" w:rsidTr="002F722D">
        <w:tc>
          <w:tcPr>
            <w:tcW w:w="1674" w:type="pct"/>
          </w:tcPr>
          <w:p w14:paraId="5B76CE48" w14:textId="0F62A6F3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  <w:r w:rsidRPr="00AF44B4">
              <w:rPr>
                <w:rFonts w:eastAsia="Arial"/>
                <w:bCs/>
                <w:szCs w:val="22"/>
              </w:rPr>
              <w:t>Fecha objetivo de firma del o de los Contratos de Crédito:</w:t>
            </w:r>
          </w:p>
        </w:tc>
        <w:tc>
          <w:tcPr>
            <w:tcW w:w="3326" w:type="pct"/>
          </w:tcPr>
          <w:p w14:paraId="07CE60A3" w14:textId="77777777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</w:p>
          <w:p w14:paraId="70040D19" w14:textId="77777777" w:rsidR="00AF44B4" w:rsidRPr="00AF44B4" w:rsidRDefault="00AF44B4" w:rsidP="00AF44B4">
            <w:pPr>
              <w:rPr>
                <w:rFonts w:eastAsia="Arial"/>
                <w:bCs/>
                <w:szCs w:val="22"/>
              </w:rPr>
            </w:pPr>
          </w:p>
          <w:p w14:paraId="77D48096" w14:textId="27F4EDF1" w:rsidR="00AF44B4" w:rsidRPr="00AF44B4" w:rsidRDefault="009111E9" w:rsidP="00AF44B4">
            <w:pPr>
              <w:rPr>
                <w:rFonts w:eastAsia="Arial"/>
                <w:bCs/>
                <w:szCs w:val="22"/>
              </w:rPr>
            </w:pPr>
            <w:r w:rsidRPr="009111E9">
              <w:rPr>
                <w:rFonts w:eastAsia="Arial"/>
                <w:bCs/>
                <w:szCs w:val="22"/>
              </w:rPr>
              <w:t>3 de abril</w:t>
            </w:r>
            <w:r w:rsidR="00AF44B4" w:rsidRPr="009111E9">
              <w:rPr>
                <w:rFonts w:eastAsia="Arial"/>
                <w:bCs/>
                <w:szCs w:val="22"/>
              </w:rPr>
              <w:t xml:space="preserve"> de 2020.</w:t>
            </w:r>
          </w:p>
        </w:tc>
      </w:tr>
    </w:tbl>
    <w:p w14:paraId="396C1E3B" w14:textId="77777777" w:rsidR="00375BC6" w:rsidRPr="00AF44B4" w:rsidRDefault="00375BC6" w:rsidP="00FF4D63">
      <w:pPr>
        <w:rPr>
          <w:szCs w:val="22"/>
        </w:rPr>
      </w:pPr>
    </w:p>
    <w:p w14:paraId="03D09A0D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Esta Institución Financiera, a través de su representante, manifiesta bajo protesta de decir verdad, que:</w:t>
      </w:r>
    </w:p>
    <w:p w14:paraId="74B28550" w14:textId="77777777" w:rsidR="00375BC6" w:rsidRPr="00AF44B4" w:rsidRDefault="00375BC6" w:rsidP="00FF4D63">
      <w:pPr>
        <w:rPr>
          <w:szCs w:val="22"/>
        </w:rPr>
      </w:pPr>
    </w:p>
    <w:p w14:paraId="7FB14EC9" w14:textId="18A75516" w:rsidR="00375BC6" w:rsidRPr="00AF44B4" w:rsidRDefault="009B2DFB" w:rsidP="001354B8">
      <w:pPr>
        <w:pStyle w:val="Prrafodelista"/>
        <w:numPr>
          <w:ilvl w:val="0"/>
          <w:numId w:val="37"/>
        </w:numPr>
        <w:rPr>
          <w:szCs w:val="22"/>
        </w:rPr>
      </w:pPr>
      <w:r>
        <w:rPr>
          <w:szCs w:val="22"/>
        </w:rPr>
        <w:t xml:space="preserve">La Institución Financiera </w:t>
      </w:r>
      <w:r w:rsidR="00375BC6" w:rsidRPr="00AF44B4">
        <w:rPr>
          <w:szCs w:val="22"/>
        </w:rPr>
        <w:t xml:space="preserve">es una sociedad mexicana, autorizada para operar como institución de crédito y, en términos de sus estatutos sociales, se encuentra dentro de su objeto </w:t>
      </w:r>
      <w:r w:rsidR="002523DB" w:rsidRPr="00AF44B4">
        <w:rPr>
          <w:szCs w:val="22"/>
        </w:rPr>
        <w:t xml:space="preserve">llevar a cabo los actos jurídicos que sean necesarios </w:t>
      </w:r>
      <w:r w:rsidR="00375BC6" w:rsidRPr="00AF44B4">
        <w:rPr>
          <w:szCs w:val="22"/>
        </w:rPr>
        <w:t>en los términos de la Licitación.</w:t>
      </w:r>
    </w:p>
    <w:p w14:paraId="5028779E" w14:textId="77777777" w:rsidR="00375BC6" w:rsidRPr="00AF44B4" w:rsidRDefault="00375BC6" w:rsidP="001354B8">
      <w:pPr>
        <w:ind w:left="397"/>
        <w:rPr>
          <w:szCs w:val="22"/>
        </w:rPr>
      </w:pPr>
    </w:p>
    <w:p w14:paraId="3B81D951" w14:textId="77777777" w:rsidR="00375BC6" w:rsidRPr="00AF44B4" w:rsidRDefault="002523DB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La presente Oferta fue autorizada por sus órganos competentes, </w:t>
      </w:r>
      <w:r w:rsidR="00375BC6" w:rsidRPr="00AF44B4">
        <w:rPr>
          <w:szCs w:val="22"/>
        </w:rPr>
        <w:t xml:space="preserve">en los términos contenidos en el presente documento, la cual constituye una oferta en firme, vinculante e irrevocable, con una vigencia de 60 (sesenta) días naturales, contados a partir de su fecha de su presentación en el </w:t>
      </w:r>
      <w:r w:rsidRPr="00AF44B4">
        <w:rPr>
          <w:szCs w:val="22"/>
        </w:rPr>
        <w:t xml:space="preserve">Evento </w:t>
      </w:r>
      <w:r w:rsidR="00375BC6" w:rsidRPr="00AF44B4">
        <w:rPr>
          <w:szCs w:val="22"/>
        </w:rPr>
        <w:t>de Presentación y Apertura de Ofertas.</w:t>
      </w:r>
    </w:p>
    <w:p w14:paraId="7F7AC7FF" w14:textId="77777777" w:rsidR="00375BC6" w:rsidRPr="00AF44B4" w:rsidRDefault="00375BC6" w:rsidP="001354B8">
      <w:pPr>
        <w:ind w:left="397"/>
        <w:rPr>
          <w:szCs w:val="22"/>
        </w:rPr>
      </w:pPr>
    </w:p>
    <w:p w14:paraId="24577E18" w14:textId="77777777" w:rsidR="001354B8" w:rsidRPr="00AF44B4" w:rsidRDefault="002523DB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No ha compartido </w:t>
      </w:r>
      <w:r w:rsidR="00375BC6" w:rsidRPr="00AF44B4">
        <w:rPr>
          <w:szCs w:val="22"/>
        </w:rPr>
        <w:t xml:space="preserve">con otras instituciones financieras el alcance y términos de </w:t>
      </w:r>
      <w:r w:rsidRPr="00AF44B4">
        <w:rPr>
          <w:szCs w:val="22"/>
        </w:rPr>
        <w:t xml:space="preserve">la presente </w:t>
      </w:r>
      <w:r w:rsidR="00375BC6" w:rsidRPr="00AF44B4">
        <w:rPr>
          <w:szCs w:val="22"/>
        </w:rPr>
        <w:t>Oferta</w:t>
      </w:r>
      <w:r w:rsidRPr="00AF44B4">
        <w:rPr>
          <w:szCs w:val="22"/>
        </w:rPr>
        <w:t>, ni en forma alguna ha acordado</w:t>
      </w:r>
      <w:r w:rsidR="00375BC6" w:rsidRPr="00AF44B4">
        <w:rPr>
          <w:szCs w:val="22"/>
        </w:rPr>
        <w:t xml:space="preserve"> con otras instituciones financieras competidoras respecto de su participación en la presente Licitación.</w:t>
      </w:r>
    </w:p>
    <w:p w14:paraId="4B8D2D51" w14:textId="77777777" w:rsidR="001354B8" w:rsidRPr="00AF44B4" w:rsidRDefault="001354B8" w:rsidP="001354B8">
      <w:pPr>
        <w:pStyle w:val="Prrafodelista"/>
        <w:rPr>
          <w:szCs w:val="22"/>
        </w:rPr>
      </w:pPr>
    </w:p>
    <w:p w14:paraId="02106B06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Su representante </w:t>
      </w:r>
      <w:r w:rsidR="002523DB" w:rsidRPr="00AF44B4">
        <w:rPr>
          <w:szCs w:val="22"/>
        </w:rPr>
        <w:t xml:space="preserve">legal cuenta con </w:t>
      </w:r>
      <w:r w:rsidRPr="00AF44B4">
        <w:rPr>
          <w:szCs w:val="22"/>
        </w:rPr>
        <w:t>facultades suficientes para representarla y presentar la presente Oferta de Crédito, las cuales no le han sido revocadas, modificadas o limitadas en forma alguna</w:t>
      </w:r>
      <w:r w:rsidR="002523DB" w:rsidRPr="00AF44B4">
        <w:rPr>
          <w:szCs w:val="22"/>
        </w:rPr>
        <w:t xml:space="preserve"> a la fecha de la presente</w:t>
      </w:r>
      <w:r w:rsidRPr="00AF44B4">
        <w:rPr>
          <w:szCs w:val="22"/>
        </w:rPr>
        <w:t>.</w:t>
      </w:r>
    </w:p>
    <w:p w14:paraId="4AE67C8D" w14:textId="77777777" w:rsidR="00375BC6" w:rsidRPr="00AF44B4" w:rsidRDefault="00375BC6" w:rsidP="001354B8">
      <w:pPr>
        <w:ind w:left="397"/>
        <w:rPr>
          <w:szCs w:val="22"/>
        </w:rPr>
      </w:pPr>
    </w:p>
    <w:p w14:paraId="07450FFC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>No se encuentra impedi</w:t>
      </w:r>
      <w:r w:rsidR="001354B8" w:rsidRPr="00AF44B4">
        <w:rPr>
          <w:szCs w:val="22"/>
        </w:rPr>
        <w:t>da para contratar con el Estado</w:t>
      </w:r>
      <w:r w:rsidRPr="00AF44B4">
        <w:rPr>
          <w:szCs w:val="22"/>
        </w:rPr>
        <w:t xml:space="preserve"> de conformidad con las Leyes Aplicables.</w:t>
      </w:r>
    </w:p>
    <w:p w14:paraId="7F82EA18" w14:textId="77777777" w:rsidR="00375BC6" w:rsidRPr="00AF44B4" w:rsidRDefault="00375BC6" w:rsidP="001354B8">
      <w:pPr>
        <w:ind w:left="397"/>
        <w:rPr>
          <w:szCs w:val="22"/>
        </w:rPr>
      </w:pPr>
    </w:p>
    <w:p w14:paraId="5C5B99B9" w14:textId="77777777" w:rsidR="00375BC6" w:rsidRPr="00AF44B4" w:rsidRDefault="00375BC6" w:rsidP="001354B8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>Conoce los Documentos de la</w:t>
      </w:r>
      <w:r w:rsidR="001354B8" w:rsidRPr="00AF44B4">
        <w:rPr>
          <w:szCs w:val="22"/>
        </w:rPr>
        <w:t xml:space="preserve"> Licitación</w:t>
      </w:r>
      <w:r w:rsidRPr="00AF44B4">
        <w:rPr>
          <w:szCs w:val="22"/>
        </w:rPr>
        <w:t xml:space="preserve">, y después de analizarlos formula la presente Oferta de Crédito, sujetándose a sus términos y manifiesta su conformidad para que el Estado determine la o las </w:t>
      </w:r>
      <w:r w:rsidR="00062F86" w:rsidRPr="00AF44B4">
        <w:rPr>
          <w:szCs w:val="22"/>
        </w:rPr>
        <w:t>ofertas ganadoras</w:t>
      </w:r>
      <w:r w:rsidRPr="00AF44B4">
        <w:rPr>
          <w:szCs w:val="22"/>
        </w:rPr>
        <w:t>, de</w:t>
      </w:r>
      <w:r w:rsidR="001354B8" w:rsidRPr="00AF44B4">
        <w:rPr>
          <w:szCs w:val="22"/>
        </w:rPr>
        <w:t xml:space="preserve"> conformidad con las </w:t>
      </w:r>
      <w:r w:rsidR="00814E6F" w:rsidRPr="00AF44B4">
        <w:rPr>
          <w:szCs w:val="22"/>
        </w:rPr>
        <w:t>Bases de la Licitación</w:t>
      </w:r>
      <w:r w:rsidR="001354B8" w:rsidRPr="00AF44B4">
        <w:rPr>
          <w:szCs w:val="22"/>
        </w:rPr>
        <w:t xml:space="preserve"> y los Lineamientos</w:t>
      </w:r>
      <w:r w:rsidRPr="00AF44B4">
        <w:rPr>
          <w:szCs w:val="22"/>
        </w:rPr>
        <w:t>.</w:t>
      </w:r>
    </w:p>
    <w:p w14:paraId="4125238D" w14:textId="77777777" w:rsidR="00375BC6" w:rsidRPr="00AF44B4" w:rsidRDefault="00375BC6" w:rsidP="001354B8">
      <w:pPr>
        <w:ind w:left="397"/>
        <w:rPr>
          <w:szCs w:val="22"/>
        </w:rPr>
      </w:pPr>
    </w:p>
    <w:p w14:paraId="48D1ADCA" w14:textId="77777777" w:rsidR="00375BC6" w:rsidRPr="00AF44B4" w:rsidRDefault="00375BC6" w:rsidP="00062F86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 xml:space="preserve">En el evento que la presente Oferta de Crédito resulte </w:t>
      </w:r>
      <w:r w:rsidR="001354B8" w:rsidRPr="00AF44B4">
        <w:rPr>
          <w:szCs w:val="22"/>
        </w:rPr>
        <w:t>ganadora</w:t>
      </w:r>
      <w:r w:rsidRPr="00AF44B4">
        <w:rPr>
          <w:szCs w:val="22"/>
        </w:rPr>
        <w:t xml:space="preserve">, se obliga a celebrar el Contrato de Crédito correspondiente en la fecha y términos definidos por el Estado de conformidad con las </w:t>
      </w:r>
      <w:r w:rsidR="00814E6F" w:rsidRPr="00AF44B4">
        <w:rPr>
          <w:szCs w:val="22"/>
        </w:rPr>
        <w:t>Bases de la Licitación</w:t>
      </w:r>
      <w:r w:rsidRPr="00AF44B4">
        <w:rPr>
          <w:szCs w:val="22"/>
        </w:rPr>
        <w:t xml:space="preserve"> y el Modelo de Contrato de Crédito.</w:t>
      </w:r>
    </w:p>
    <w:p w14:paraId="2F0508DB" w14:textId="77777777" w:rsidR="00375BC6" w:rsidRPr="00AF44B4" w:rsidRDefault="00375BC6" w:rsidP="001354B8">
      <w:pPr>
        <w:ind w:left="397"/>
        <w:rPr>
          <w:szCs w:val="22"/>
        </w:rPr>
      </w:pPr>
    </w:p>
    <w:p w14:paraId="6F3197AA" w14:textId="77777777" w:rsidR="00375BC6" w:rsidRPr="00AF44B4" w:rsidRDefault="00352525" w:rsidP="00062F86">
      <w:pPr>
        <w:pStyle w:val="Prrafodelista"/>
        <w:numPr>
          <w:ilvl w:val="0"/>
          <w:numId w:val="37"/>
        </w:numPr>
        <w:rPr>
          <w:szCs w:val="22"/>
        </w:rPr>
      </w:pPr>
      <w:r w:rsidRPr="00AF44B4">
        <w:rPr>
          <w:szCs w:val="22"/>
        </w:rPr>
        <w:t>Está de acuerdo en que</w:t>
      </w:r>
      <w:r w:rsidR="00375BC6" w:rsidRPr="00AF44B4">
        <w:rPr>
          <w:szCs w:val="22"/>
        </w:rPr>
        <w:t xml:space="preserve"> el Estado pueda adjudicar y/o disponer un monto menor al </w:t>
      </w:r>
      <w:r w:rsidRPr="00AF44B4">
        <w:rPr>
          <w:szCs w:val="22"/>
        </w:rPr>
        <w:t>contenido</w:t>
      </w:r>
      <w:r w:rsidR="00375BC6" w:rsidRPr="00AF44B4">
        <w:rPr>
          <w:szCs w:val="22"/>
        </w:rPr>
        <w:t xml:space="preserve"> en la presente Oferta de Crédito, en cuyo caso, se obliga a mantener todas y cada una de las características de la presente Oferta de Crédito.</w:t>
      </w:r>
    </w:p>
    <w:p w14:paraId="5C945A5B" w14:textId="77777777" w:rsidR="00375BC6" w:rsidRPr="00AF44B4" w:rsidRDefault="00375BC6" w:rsidP="001354B8">
      <w:pPr>
        <w:ind w:left="397"/>
        <w:rPr>
          <w:szCs w:val="22"/>
        </w:rPr>
      </w:pPr>
    </w:p>
    <w:p w14:paraId="425B29CD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La presente Oferta de Crédito se regirá e interpretará de acuerdo con las </w:t>
      </w:r>
      <w:r w:rsidR="00814E6F" w:rsidRPr="00AF44B4">
        <w:rPr>
          <w:szCs w:val="22"/>
        </w:rPr>
        <w:t>Bases de la Licitación</w:t>
      </w:r>
      <w:r w:rsidRPr="00AF44B4">
        <w:rPr>
          <w:szCs w:val="22"/>
        </w:rPr>
        <w:t xml:space="preserve"> y </w:t>
      </w:r>
      <w:r w:rsidR="00352525" w:rsidRPr="00AF44B4">
        <w:rPr>
          <w:szCs w:val="22"/>
        </w:rPr>
        <w:t>la legislación aplicable</w:t>
      </w:r>
      <w:r w:rsidRPr="00AF44B4">
        <w:rPr>
          <w:szCs w:val="22"/>
        </w:rPr>
        <w:t>.</w:t>
      </w:r>
    </w:p>
    <w:p w14:paraId="3E5F8805" w14:textId="77777777" w:rsidR="00375BC6" w:rsidRPr="00AF44B4" w:rsidRDefault="00375BC6" w:rsidP="00FF4D63">
      <w:pPr>
        <w:rPr>
          <w:szCs w:val="22"/>
        </w:rPr>
      </w:pPr>
    </w:p>
    <w:p w14:paraId="71F20CE4" w14:textId="5579229F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Se adjuntan los siguientes documentos: </w:t>
      </w:r>
      <w:r w:rsidRPr="00AF44B4">
        <w:rPr>
          <w:rFonts w:eastAsia="Times New Roman"/>
          <w:iCs/>
          <w:spacing w:val="-3"/>
          <w:szCs w:val="22"/>
        </w:rPr>
        <w:t>(i)</w:t>
      </w:r>
      <w:r w:rsidRPr="00AF44B4">
        <w:rPr>
          <w:rFonts w:eastAsia="Times New Roman"/>
          <w:spacing w:val="-3"/>
          <w:szCs w:val="22"/>
        </w:rPr>
        <w:t xml:space="preserve"> copia simpl</w:t>
      </w:r>
      <w:r w:rsidR="00352525" w:rsidRPr="00AF44B4">
        <w:rPr>
          <w:rFonts w:eastAsia="Times New Roman"/>
          <w:spacing w:val="-3"/>
          <w:szCs w:val="22"/>
        </w:rPr>
        <w:t>e de su escritura constitutiva y/o</w:t>
      </w:r>
      <w:r w:rsidRPr="00AF44B4">
        <w:rPr>
          <w:rFonts w:eastAsia="Times New Roman"/>
          <w:spacing w:val="-3"/>
          <w:szCs w:val="22"/>
        </w:rPr>
        <w:t xml:space="preserve"> estatutos </w:t>
      </w:r>
      <w:r w:rsidR="00352525" w:rsidRPr="00AF44B4">
        <w:rPr>
          <w:rFonts w:eastAsia="Times New Roman"/>
          <w:spacing w:val="-3"/>
          <w:szCs w:val="22"/>
        </w:rPr>
        <w:t xml:space="preserve">sociales </w:t>
      </w:r>
      <w:r w:rsidRPr="00AF44B4">
        <w:rPr>
          <w:rFonts w:eastAsia="Times New Roman"/>
          <w:spacing w:val="-3"/>
          <w:szCs w:val="22"/>
        </w:rPr>
        <w:t>vigentes</w:t>
      </w:r>
      <w:r w:rsidR="0004479E">
        <w:rPr>
          <w:rFonts w:eastAsia="Times New Roman"/>
          <w:spacing w:val="-3"/>
          <w:szCs w:val="22"/>
        </w:rPr>
        <w:t xml:space="preserve"> </w:t>
      </w:r>
      <w:r w:rsidR="0004479E" w:rsidRPr="0004479E">
        <w:rPr>
          <w:rFonts w:eastAsia="Times New Roman"/>
          <w:spacing w:val="-3"/>
          <w:szCs w:val="22"/>
        </w:rPr>
        <w:t>de la Institución Financiera</w:t>
      </w:r>
      <w:r w:rsidRPr="00AF44B4">
        <w:rPr>
          <w:rFonts w:eastAsia="Times New Roman"/>
          <w:spacing w:val="-3"/>
          <w:szCs w:val="22"/>
        </w:rPr>
        <w:t xml:space="preserve">; </w:t>
      </w:r>
      <w:r w:rsidRPr="00AF44B4">
        <w:rPr>
          <w:rFonts w:eastAsia="Times New Roman"/>
          <w:iCs/>
          <w:spacing w:val="-3"/>
          <w:szCs w:val="22"/>
        </w:rPr>
        <w:t>(ii)</w:t>
      </w:r>
      <w:r w:rsidRPr="00AF44B4">
        <w:rPr>
          <w:rFonts w:eastAsia="Times New Roman"/>
          <w:spacing w:val="-3"/>
          <w:szCs w:val="22"/>
        </w:rPr>
        <w:t xml:space="preserve"> copia simple y copia certificada u original para su cotejo, de</w:t>
      </w:r>
      <w:r w:rsidR="00352525" w:rsidRPr="00AF44B4">
        <w:rPr>
          <w:rFonts w:eastAsia="Times New Roman"/>
          <w:spacing w:val="-3"/>
          <w:szCs w:val="22"/>
        </w:rPr>
        <w:t>l poder del representante legal</w:t>
      </w:r>
      <w:r w:rsidR="0004479E">
        <w:rPr>
          <w:rFonts w:eastAsia="Times New Roman"/>
          <w:spacing w:val="-3"/>
          <w:szCs w:val="22"/>
        </w:rPr>
        <w:t xml:space="preserve"> </w:t>
      </w:r>
      <w:r w:rsidR="0004479E" w:rsidRPr="0004479E">
        <w:rPr>
          <w:rFonts w:eastAsia="Times New Roman"/>
          <w:spacing w:val="-3"/>
          <w:szCs w:val="22"/>
        </w:rPr>
        <w:t>de la Institución Financiera</w:t>
      </w:r>
      <w:r w:rsidR="00352525" w:rsidRPr="00AF44B4">
        <w:rPr>
          <w:rFonts w:eastAsia="Times New Roman"/>
          <w:spacing w:val="-3"/>
          <w:szCs w:val="22"/>
        </w:rPr>
        <w:t xml:space="preserve">, el cual deberá contar </w:t>
      </w:r>
      <w:r w:rsidRPr="00AF44B4">
        <w:rPr>
          <w:rFonts w:eastAsia="Times New Roman"/>
          <w:spacing w:val="-3"/>
          <w:szCs w:val="22"/>
        </w:rPr>
        <w:t xml:space="preserve">con facultades para actos de administración; </w:t>
      </w:r>
      <w:r w:rsidR="0004479E">
        <w:rPr>
          <w:rFonts w:eastAsia="Times New Roman"/>
          <w:spacing w:val="-3"/>
          <w:szCs w:val="22"/>
        </w:rPr>
        <w:t xml:space="preserve">y </w:t>
      </w:r>
      <w:r w:rsidRPr="00AF44B4">
        <w:rPr>
          <w:rFonts w:eastAsia="Times New Roman"/>
          <w:iCs/>
          <w:spacing w:val="-3"/>
          <w:szCs w:val="22"/>
        </w:rPr>
        <w:t>(iii)</w:t>
      </w:r>
      <w:r w:rsidRPr="00AF44B4">
        <w:rPr>
          <w:rFonts w:eastAsia="Times New Roman"/>
          <w:spacing w:val="-3"/>
          <w:szCs w:val="22"/>
        </w:rPr>
        <w:t xml:space="preserve"> copia simple de una identificación oficial d</w:t>
      </w:r>
      <w:r w:rsidR="00352525" w:rsidRPr="00AF44B4">
        <w:rPr>
          <w:rFonts w:eastAsia="Times New Roman"/>
          <w:spacing w:val="-3"/>
          <w:szCs w:val="22"/>
        </w:rPr>
        <w:t>el representante legal que firma</w:t>
      </w:r>
      <w:r w:rsidRPr="00AF44B4">
        <w:rPr>
          <w:rFonts w:eastAsia="Times New Roman"/>
          <w:spacing w:val="-3"/>
          <w:szCs w:val="22"/>
        </w:rPr>
        <w:t xml:space="preserve"> la </w:t>
      </w:r>
      <w:r w:rsidR="00352525" w:rsidRPr="00AF44B4">
        <w:rPr>
          <w:rFonts w:eastAsia="Times New Roman"/>
          <w:spacing w:val="-3"/>
          <w:szCs w:val="22"/>
        </w:rPr>
        <w:t xml:space="preserve">presente </w:t>
      </w:r>
      <w:r w:rsidRPr="00AF44B4">
        <w:rPr>
          <w:rFonts w:eastAsia="Times New Roman"/>
          <w:spacing w:val="-3"/>
          <w:szCs w:val="22"/>
        </w:rPr>
        <w:t>Oferta de Crédito y que suscribirá el Contrato de Crédito</w:t>
      </w:r>
      <w:r w:rsidR="0004479E">
        <w:rPr>
          <w:rFonts w:eastAsia="Times New Roman"/>
          <w:spacing w:val="-3"/>
          <w:szCs w:val="22"/>
        </w:rPr>
        <w:t>.</w:t>
      </w:r>
      <w:r w:rsidR="0004479E">
        <w:rPr>
          <w:rStyle w:val="Refdenotaalpie"/>
          <w:rFonts w:eastAsia="Times New Roman"/>
          <w:spacing w:val="-3"/>
          <w:szCs w:val="22"/>
        </w:rPr>
        <w:footnoteReference w:id="6"/>
      </w:r>
    </w:p>
    <w:p w14:paraId="6DE5884D" w14:textId="77777777" w:rsidR="00375BC6" w:rsidRPr="00AF44B4" w:rsidRDefault="00375BC6" w:rsidP="00FF4D63">
      <w:pPr>
        <w:rPr>
          <w:szCs w:val="22"/>
        </w:rPr>
      </w:pPr>
    </w:p>
    <w:p w14:paraId="19AAED62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La Institución Financiera señala los siguientes datos de contacto, para efectos de cualquier notificación</w:t>
      </w:r>
      <w:r w:rsidR="00352525" w:rsidRPr="00AF44B4">
        <w:rPr>
          <w:szCs w:val="22"/>
        </w:rPr>
        <w:t xml:space="preserve"> o aviso</w:t>
      </w:r>
      <w:r w:rsidRPr="00AF44B4">
        <w:rPr>
          <w:szCs w:val="22"/>
        </w:rPr>
        <w:t xml:space="preserve"> en relación con el proceso de Licitación Pública:</w:t>
      </w:r>
    </w:p>
    <w:p w14:paraId="4D61825F" w14:textId="77777777" w:rsidR="00375BC6" w:rsidRPr="00AF44B4" w:rsidRDefault="00375BC6" w:rsidP="00FF4D63">
      <w:pPr>
        <w:rPr>
          <w:szCs w:val="22"/>
        </w:rPr>
      </w:pPr>
    </w:p>
    <w:p w14:paraId="30D35213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 xml:space="preserve">Atención a: </w:t>
      </w:r>
      <w:r w:rsidRPr="00AF44B4">
        <w:rPr>
          <w:szCs w:val="22"/>
        </w:rPr>
        <w:tab/>
      </w:r>
      <w:r w:rsidRPr="00AF44B4">
        <w:rPr>
          <w:szCs w:val="22"/>
        </w:rPr>
        <w:tab/>
        <w:t>[●].</w:t>
      </w:r>
    </w:p>
    <w:p w14:paraId="36007B65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Correo electrónico:</w:t>
      </w:r>
      <w:r w:rsidRPr="00AF44B4">
        <w:rPr>
          <w:szCs w:val="22"/>
        </w:rPr>
        <w:tab/>
        <w:t>[●]</w:t>
      </w:r>
    </w:p>
    <w:p w14:paraId="4B8A9906" w14:textId="77777777" w:rsidR="00375BC6" w:rsidRPr="00AF44B4" w:rsidRDefault="00375BC6" w:rsidP="00FF4D63">
      <w:pPr>
        <w:rPr>
          <w:szCs w:val="22"/>
        </w:rPr>
      </w:pPr>
      <w:r w:rsidRPr="00AF44B4">
        <w:rPr>
          <w:szCs w:val="22"/>
        </w:rPr>
        <w:t>Domicilio:</w:t>
      </w:r>
      <w:r w:rsidRPr="00AF44B4">
        <w:rPr>
          <w:szCs w:val="22"/>
        </w:rPr>
        <w:tab/>
      </w:r>
      <w:r w:rsidRPr="00AF44B4">
        <w:rPr>
          <w:szCs w:val="22"/>
        </w:rPr>
        <w:tab/>
        <w:t>[●].</w:t>
      </w:r>
    </w:p>
    <w:p w14:paraId="1F1D5206" w14:textId="77777777" w:rsidR="00375BC6" w:rsidRPr="00AF44B4" w:rsidRDefault="00352525" w:rsidP="00FF4D63">
      <w:pPr>
        <w:rPr>
          <w:szCs w:val="22"/>
        </w:rPr>
      </w:pPr>
      <w:r w:rsidRPr="00AF44B4">
        <w:rPr>
          <w:szCs w:val="22"/>
        </w:rPr>
        <w:t>Teléfono</w:t>
      </w:r>
      <w:r w:rsidR="00375BC6" w:rsidRPr="00AF44B4">
        <w:rPr>
          <w:szCs w:val="22"/>
        </w:rPr>
        <w:t xml:space="preserve">: </w:t>
      </w:r>
      <w:r w:rsidR="00375BC6" w:rsidRPr="00AF44B4">
        <w:rPr>
          <w:szCs w:val="22"/>
        </w:rPr>
        <w:tab/>
      </w:r>
      <w:r w:rsidR="00375BC6" w:rsidRPr="00AF44B4">
        <w:rPr>
          <w:szCs w:val="22"/>
        </w:rPr>
        <w:tab/>
        <w:t>[●].</w:t>
      </w:r>
    </w:p>
    <w:p w14:paraId="42E077A9" w14:textId="77777777" w:rsidR="00375BC6" w:rsidRPr="00AF44B4" w:rsidRDefault="00375BC6" w:rsidP="00FF4D63">
      <w:pPr>
        <w:rPr>
          <w:szCs w:val="22"/>
          <w:lang w:val="pt-BR"/>
        </w:rPr>
      </w:pPr>
    </w:p>
    <w:p w14:paraId="385B732D" w14:textId="77777777" w:rsidR="00352525" w:rsidRPr="00AF44B4" w:rsidRDefault="00352525" w:rsidP="00352525">
      <w:pPr>
        <w:jc w:val="center"/>
        <w:rPr>
          <w:i/>
          <w:szCs w:val="22"/>
        </w:rPr>
      </w:pPr>
    </w:p>
    <w:p w14:paraId="275E4497" w14:textId="77777777" w:rsidR="00375BC6" w:rsidRPr="00AF44B4" w:rsidRDefault="00375BC6" w:rsidP="00352525">
      <w:pPr>
        <w:jc w:val="center"/>
        <w:rPr>
          <w:szCs w:val="22"/>
          <w:lang w:val="pt-BR"/>
        </w:rPr>
      </w:pPr>
      <w:r w:rsidRPr="00AF44B4">
        <w:rPr>
          <w:szCs w:val="22"/>
          <w:lang w:val="pt-BR"/>
        </w:rPr>
        <w:t>Atentamente</w:t>
      </w:r>
    </w:p>
    <w:p w14:paraId="667A1405" w14:textId="77777777" w:rsidR="00352525" w:rsidRPr="00AF44B4" w:rsidRDefault="00352525" w:rsidP="00352525">
      <w:pPr>
        <w:jc w:val="center"/>
        <w:rPr>
          <w:szCs w:val="22"/>
          <w:lang w:val="pt-BR"/>
        </w:rPr>
      </w:pPr>
    </w:p>
    <w:p w14:paraId="745EE25F" w14:textId="56B8BF96" w:rsidR="00375BC6" w:rsidRPr="00AF44B4" w:rsidRDefault="00352525" w:rsidP="00352525">
      <w:pPr>
        <w:jc w:val="center"/>
        <w:rPr>
          <w:szCs w:val="22"/>
        </w:rPr>
      </w:pPr>
      <w:r w:rsidRPr="00AF44B4">
        <w:rPr>
          <w:szCs w:val="22"/>
        </w:rPr>
        <w:t>[</w:t>
      </w:r>
      <w:r w:rsidR="0004479E">
        <w:rPr>
          <w:szCs w:val="22"/>
        </w:rPr>
        <w:t xml:space="preserve">Denominación de la </w:t>
      </w:r>
      <w:r w:rsidR="00375BC6" w:rsidRPr="00AF44B4">
        <w:rPr>
          <w:szCs w:val="22"/>
        </w:rPr>
        <w:t>Institución Financiera</w:t>
      </w:r>
      <w:r w:rsidRPr="00AF44B4">
        <w:rPr>
          <w:szCs w:val="22"/>
        </w:rPr>
        <w:t>]</w:t>
      </w:r>
    </w:p>
    <w:p w14:paraId="771F5F8D" w14:textId="77777777" w:rsidR="00375BC6" w:rsidRPr="00AF44B4" w:rsidRDefault="00375BC6" w:rsidP="00352525">
      <w:pPr>
        <w:jc w:val="center"/>
        <w:rPr>
          <w:szCs w:val="22"/>
        </w:rPr>
      </w:pPr>
    </w:p>
    <w:p w14:paraId="09A1ACF8" w14:textId="77777777" w:rsidR="00375BC6" w:rsidRPr="00AF44B4" w:rsidRDefault="00375BC6" w:rsidP="00352525">
      <w:pPr>
        <w:jc w:val="center"/>
        <w:rPr>
          <w:szCs w:val="22"/>
        </w:rPr>
      </w:pPr>
    </w:p>
    <w:p w14:paraId="1A756C9B" w14:textId="77777777" w:rsidR="00375BC6" w:rsidRPr="00AF44B4" w:rsidRDefault="00375BC6" w:rsidP="00352525">
      <w:pPr>
        <w:jc w:val="center"/>
        <w:rPr>
          <w:szCs w:val="22"/>
        </w:rPr>
      </w:pPr>
    </w:p>
    <w:p w14:paraId="25D426DD" w14:textId="77777777" w:rsidR="00375BC6" w:rsidRPr="00AF44B4" w:rsidRDefault="00375BC6" w:rsidP="00352525">
      <w:pPr>
        <w:jc w:val="center"/>
        <w:rPr>
          <w:szCs w:val="22"/>
        </w:rPr>
      </w:pPr>
      <w:r w:rsidRPr="00AF44B4">
        <w:rPr>
          <w:szCs w:val="22"/>
        </w:rPr>
        <w:t>____________________________</w:t>
      </w:r>
    </w:p>
    <w:p w14:paraId="56E3BABC" w14:textId="77777777" w:rsidR="00375BC6" w:rsidRPr="00AF44B4" w:rsidRDefault="00375BC6" w:rsidP="00352525">
      <w:pPr>
        <w:jc w:val="center"/>
        <w:rPr>
          <w:szCs w:val="22"/>
        </w:rPr>
      </w:pPr>
      <w:r w:rsidRPr="00AF44B4">
        <w:rPr>
          <w:szCs w:val="22"/>
        </w:rPr>
        <w:t>[●]</w:t>
      </w:r>
    </w:p>
    <w:p w14:paraId="797F9EF4" w14:textId="77777777" w:rsidR="00126E55" w:rsidRPr="00AF44B4" w:rsidRDefault="00375BC6" w:rsidP="00814E6F">
      <w:pPr>
        <w:jc w:val="center"/>
        <w:rPr>
          <w:szCs w:val="22"/>
        </w:rPr>
      </w:pPr>
      <w:r w:rsidRPr="00AF44B4">
        <w:rPr>
          <w:szCs w:val="22"/>
        </w:rPr>
        <w:t>Representante legal</w:t>
      </w:r>
    </w:p>
    <w:sectPr w:rsidR="00126E55" w:rsidRPr="00AF44B4" w:rsidSect="00863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3B13" w14:textId="77777777" w:rsidR="00133CE8" w:rsidRDefault="00133CE8" w:rsidP="00EC0632">
      <w:r>
        <w:separator/>
      </w:r>
    </w:p>
  </w:endnote>
  <w:endnote w:type="continuationSeparator" w:id="0">
    <w:p w14:paraId="6917DF24" w14:textId="77777777" w:rsidR="00133CE8" w:rsidRDefault="00133CE8" w:rsidP="00E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4498" w14:textId="77777777" w:rsidR="009B2DFB" w:rsidRDefault="009B2D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201440"/>
      <w:docPartObj>
        <w:docPartGallery w:val="Page Numbers (Bottom of Page)"/>
        <w:docPartUnique/>
      </w:docPartObj>
    </w:sdtPr>
    <w:sdtEndPr/>
    <w:sdtContent>
      <w:p w14:paraId="57E82986" w14:textId="30D33859" w:rsidR="00321CC9" w:rsidRDefault="00321C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F3" w:rsidRPr="00620EF3">
          <w:rPr>
            <w:noProof/>
            <w:lang w:val="es-ES"/>
          </w:rPr>
          <w:t>6</w:t>
        </w:r>
        <w:r>
          <w:fldChar w:fldCharType="end"/>
        </w:r>
      </w:p>
    </w:sdtContent>
  </w:sdt>
  <w:p w14:paraId="1650C8F0" w14:textId="77777777" w:rsidR="009B2DFB" w:rsidRDefault="009B2DFB" w:rsidP="00D07857">
    <w:pPr>
      <w:pStyle w:val="Piedepgina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0CC8" w14:textId="77777777" w:rsidR="009B2DFB" w:rsidRDefault="009B2D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973AC" w14:textId="77777777" w:rsidR="00133CE8" w:rsidRDefault="00133CE8" w:rsidP="00EC0632">
      <w:r>
        <w:separator/>
      </w:r>
    </w:p>
  </w:footnote>
  <w:footnote w:type="continuationSeparator" w:id="0">
    <w:p w14:paraId="178F00CD" w14:textId="77777777" w:rsidR="00133CE8" w:rsidRDefault="00133CE8" w:rsidP="00EC0632">
      <w:r>
        <w:continuationSeparator/>
      </w:r>
    </w:p>
  </w:footnote>
  <w:footnote w:id="1">
    <w:p w14:paraId="11A0F451" w14:textId="0A78F096" w:rsidR="00375BC6" w:rsidRPr="009B39E4" w:rsidRDefault="00375BC6" w:rsidP="009B39E4">
      <w:pPr>
        <w:rPr>
          <w:sz w:val="16"/>
        </w:rPr>
      </w:pPr>
      <w:r w:rsidRPr="000E7E2B">
        <w:rPr>
          <w:rStyle w:val="Refdenotaalpie"/>
          <w:rFonts w:ascii="Verdana" w:hAnsi="Verdana"/>
          <w:iCs/>
          <w:sz w:val="16"/>
          <w:szCs w:val="16"/>
        </w:rPr>
        <w:footnoteRef/>
      </w:r>
      <w:r w:rsidRPr="000E7E2B">
        <w:t xml:space="preserve"> </w:t>
      </w:r>
      <w:r w:rsidRPr="009B39E4">
        <w:rPr>
          <w:sz w:val="16"/>
        </w:rPr>
        <w:t>El Licitante</w:t>
      </w:r>
      <w:r w:rsidR="00A41A48">
        <w:rPr>
          <w:sz w:val="16"/>
        </w:rPr>
        <w:t xml:space="preserve"> deberá expresar el Monto </w:t>
      </w:r>
      <w:r w:rsidRPr="009B39E4">
        <w:rPr>
          <w:sz w:val="16"/>
        </w:rPr>
        <w:t>Oferta</w:t>
      </w:r>
      <w:r w:rsidR="00A41A48">
        <w:rPr>
          <w:sz w:val="16"/>
        </w:rPr>
        <w:t>do</w:t>
      </w:r>
      <w:r w:rsidR="00E34BCA">
        <w:rPr>
          <w:sz w:val="16"/>
        </w:rPr>
        <w:t xml:space="preserve"> en número y letra.</w:t>
      </w:r>
    </w:p>
  </w:footnote>
  <w:footnote w:id="2">
    <w:p w14:paraId="5695E9A6" w14:textId="58596B08" w:rsidR="009111E9" w:rsidRDefault="009111E9">
      <w:pPr>
        <w:pStyle w:val="Textonotapie"/>
      </w:pPr>
      <w:r>
        <w:rPr>
          <w:rStyle w:val="Refdenotaalpie"/>
        </w:rPr>
        <w:footnoteRef/>
      </w:r>
      <w:r>
        <w:t xml:space="preserve"> La Calificación Preliminar será publicada por la Secretaría.</w:t>
      </w:r>
    </w:p>
  </w:footnote>
  <w:footnote w:id="3">
    <w:p w14:paraId="4E18F611" w14:textId="3022A57E" w:rsidR="00A41A48" w:rsidRDefault="00A41A48" w:rsidP="00A41A48">
      <w:pPr>
        <w:pStyle w:val="Textonotapie"/>
      </w:pPr>
      <w:r>
        <w:rPr>
          <w:rStyle w:val="Refdenotaalpie"/>
        </w:rPr>
        <w:footnoteRef/>
      </w:r>
      <w:r>
        <w:t xml:space="preserve"> La Calificación Preliminar será publicada por la Secretaría. En caso de que la Institución Financiera no pretenda realizar una Oferta con GPO, deberá indicar en esta fila “No Aplica” o “N/A”.</w:t>
      </w:r>
    </w:p>
  </w:footnote>
  <w:footnote w:id="4">
    <w:p w14:paraId="263B2160" w14:textId="76BF2BE4" w:rsidR="002F722D" w:rsidRDefault="002F722D">
      <w:pPr>
        <w:pStyle w:val="Textonotapie"/>
      </w:pPr>
      <w:r>
        <w:rPr>
          <w:rStyle w:val="Refdenotaalpie"/>
        </w:rPr>
        <w:footnoteRef/>
      </w:r>
      <w:r>
        <w:t xml:space="preserve"> El Plazo de Amortización deberá </w:t>
      </w:r>
      <w:r w:rsidR="0004479E">
        <w:t xml:space="preserve">ser 20 (veinte) o </w:t>
      </w:r>
      <w:r>
        <w:t>25 (veinticinco) años.</w:t>
      </w:r>
    </w:p>
  </w:footnote>
  <w:footnote w:id="5">
    <w:p w14:paraId="4A4AEB98" w14:textId="3173E7D0" w:rsidR="0060531E" w:rsidRDefault="0060531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3776A">
        <w:rPr>
          <w:rFonts w:cs="Times New Roman"/>
          <w:color w:val="auto"/>
        </w:rPr>
        <w:t xml:space="preserve">A efecto de obtener para el Estado las mejores condiciones de mercado se sugiere que las Ofertas coticen o prevean un perfil de amortización en pagos mensuales, consecutivos, y crecientes a tasa variable, bajo un perfil específico similar a una curva sigmoidea, en términos de la matriz de amortizaciones que se adjunta como </w:t>
      </w:r>
      <w:r w:rsidRPr="0073776A">
        <w:rPr>
          <w:rFonts w:cs="Times New Roman"/>
          <w:b/>
          <w:color w:val="auto"/>
        </w:rPr>
        <w:t>Anexo “D”</w:t>
      </w:r>
      <w:r w:rsidRPr="0073776A">
        <w:rPr>
          <w:rFonts w:cs="Times New Roman"/>
          <w:color w:val="auto"/>
        </w:rPr>
        <w:t xml:space="preserve"> a las </w:t>
      </w:r>
      <w:r>
        <w:rPr>
          <w:rFonts w:cs="Times New Roman"/>
          <w:color w:val="auto"/>
        </w:rPr>
        <w:t xml:space="preserve">Bases de Licitación Pública. </w:t>
      </w:r>
    </w:p>
  </w:footnote>
  <w:footnote w:id="6">
    <w:p w14:paraId="7DB5A2A6" w14:textId="667C5DBD" w:rsidR="0004479E" w:rsidRPr="0004479E" w:rsidRDefault="0004479E">
      <w:pPr>
        <w:pStyle w:val="Textonotapie"/>
      </w:pPr>
      <w:r w:rsidRPr="0004479E">
        <w:rPr>
          <w:rStyle w:val="Refdenotaalpie"/>
        </w:rPr>
        <w:footnoteRef/>
      </w:r>
      <w:r w:rsidRPr="0004479E">
        <w:t xml:space="preserve"> En caso de que sean representantes distintos deberán adjuntarse copia simple y copia certificada de ambos poderes, para el caso de poderes mancomunados se deberá incluir copia simple de una identificación oficial de cada representante legal.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4711" w14:textId="77777777" w:rsidR="009B2DFB" w:rsidRDefault="009B2D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709"/>
      <w:gridCol w:w="4633"/>
    </w:tblGrid>
    <w:tr w:rsidR="002F722D" w:rsidRPr="002F722D" w14:paraId="1B1D80BE" w14:textId="77777777" w:rsidTr="003968E2">
      <w:tc>
        <w:tcPr>
          <w:tcW w:w="1412" w:type="pct"/>
        </w:tcPr>
        <w:p w14:paraId="58661E29" w14:textId="77777777" w:rsidR="002F722D" w:rsidRPr="002F722D" w:rsidRDefault="002F722D" w:rsidP="002F722D">
          <w:pPr>
            <w:pStyle w:val="Encabezado"/>
            <w:tabs>
              <w:tab w:val="clear" w:pos="4419"/>
              <w:tab w:val="clear" w:pos="8838"/>
              <w:tab w:val="left" w:pos="1365"/>
            </w:tabs>
            <w:rPr>
              <w:i/>
              <w:szCs w:val="20"/>
            </w:rPr>
          </w:pPr>
          <w:r w:rsidRPr="002F722D">
            <w:rPr>
              <w:i/>
              <w:noProof/>
              <w:szCs w:val="20"/>
              <w:lang w:eastAsia="es-MX"/>
            </w:rPr>
            <w:drawing>
              <wp:inline distT="0" distB="0" distL="0" distR="0" wp14:anchorId="5816111F" wp14:editId="619BC473">
                <wp:extent cx="695068" cy="671264"/>
                <wp:effectExtent l="0" t="0" r="0" b="0"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63" cy="792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" w:type="pct"/>
        </w:tcPr>
        <w:p w14:paraId="609FEF86" w14:textId="77777777" w:rsidR="002F722D" w:rsidRPr="002F722D" w:rsidRDefault="002F722D" w:rsidP="002F722D">
          <w:pPr>
            <w:pStyle w:val="Encabezado"/>
            <w:tabs>
              <w:tab w:val="clear" w:pos="4419"/>
              <w:tab w:val="clear" w:pos="8838"/>
              <w:tab w:val="left" w:pos="1365"/>
            </w:tabs>
            <w:rPr>
              <w:i/>
              <w:szCs w:val="20"/>
            </w:rPr>
          </w:pPr>
        </w:p>
      </w:tc>
      <w:tc>
        <w:tcPr>
          <w:tcW w:w="2621" w:type="pct"/>
        </w:tcPr>
        <w:p w14:paraId="72B4BF58" w14:textId="77777777" w:rsidR="002F722D" w:rsidRPr="002F722D" w:rsidRDefault="002F722D" w:rsidP="002F722D">
          <w:pPr>
            <w:pStyle w:val="Encabezado"/>
            <w:tabs>
              <w:tab w:val="clear" w:pos="4419"/>
              <w:tab w:val="clear" w:pos="8838"/>
              <w:tab w:val="left" w:pos="1365"/>
            </w:tabs>
            <w:rPr>
              <w:i/>
              <w:szCs w:val="20"/>
            </w:rPr>
          </w:pPr>
          <w:r w:rsidRPr="002F722D">
            <w:rPr>
              <w:i/>
              <w:noProof/>
              <w:szCs w:val="20"/>
              <w:lang w:eastAsia="es-MX"/>
            </w:rPr>
            <w:drawing>
              <wp:inline distT="0" distB="0" distL="0" distR="0" wp14:anchorId="2FCC6916" wp14:editId="4FE84DC1">
                <wp:extent cx="2782493" cy="552090"/>
                <wp:effectExtent l="0" t="0" r="0" b="635"/>
                <wp:docPr id="8" name="1 Imagen" descr="HD MacOS:Users:JCDS:Desktop:SECRETARIAS PNG:FINANZAS Y PLANEA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1 Imagen" descr="HD MacOS:Users:JCDS:Desktop:SECRETARIAS PNG:FINANZAS Y PLANEA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4973" cy="625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53979D3A" w14:textId="77777777" w:rsidR="00321CC9" w:rsidRPr="00CF44BE" w:rsidRDefault="00321CC9">
    <w:pPr>
      <w:pStyle w:val="Encabezado"/>
      <w:rPr>
        <w:i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709"/>
      <w:gridCol w:w="4633"/>
    </w:tblGrid>
    <w:tr w:rsidR="002F722D" w:rsidRPr="002F722D" w14:paraId="76911089" w14:textId="77777777" w:rsidTr="003968E2">
      <w:tc>
        <w:tcPr>
          <w:tcW w:w="1412" w:type="pct"/>
        </w:tcPr>
        <w:p w14:paraId="25E3F1C7" w14:textId="77777777" w:rsidR="002F722D" w:rsidRPr="002F722D" w:rsidRDefault="002F722D" w:rsidP="002F722D">
          <w:pPr>
            <w:pStyle w:val="Encabezado"/>
          </w:pPr>
          <w:r w:rsidRPr="002F722D">
            <w:rPr>
              <w:noProof/>
              <w:lang w:eastAsia="es-MX"/>
            </w:rPr>
            <w:drawing>
              <wp:inline distT="0" distB="0" distL="0" distR="0" wp14:anchorId="72BFD2FC" wp14:editId="440DF792">
                <wp:extent cx="695068" cy="671264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63" cy="792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" w:type="pct"/>
        </w:tcPr>
        <w:p w14:paraId="34BF37C9" w14:textId="77777777" w:rsidR="002F722D" w:rsidRPr="002F722D" w:rsidRDefault="002F722D" w:rsidP="002F722D">
          <w:pPr>
            <w:pStyle w:val="Encabezado"/>
          </w:pPr>
        </w:p>
      </w:tc>
      <w:tc>
        <w:tcPr>
          <w:tcW w:w="2621" w:type="pct"/>
        </w:tcPr>
        <w:p w14:paraId="26CBE15A" w14:textId="77777777" w:rsidR="002F722D" w:rsidRPr="002F722D" w:rsidRDefault="002F722D" w:rsidP="002F722D">
          <w:pPr>
            <w:pStyle w:val="Encabezado"/>
          </w:pPr>
          <w:r w:rsidRPr="002F722D">
            <w:rPr>
              <w:noProof/>
              <w:lang w:eastAsia="es-MX"/>
            </w:rPr>
            <w:drawing>
              <wp:inline distT="0" distB="0" distL="0" distR="0" wp14:anchorId="66DF76C6" wp14:editId="25DC88DC">
                <wp:extent cx="2782493" cy="552090"/>
                <wp:effectExtent l="0" t="0" r="0" b="635"/>
                <wp:docPr id="6" name="1 Imagen" descr="HD MacOS:Users:JCDS:Desktop:SECRETARIAS PNG:FINANZAS Y PLANEA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1 Imagen" descr="HD MacOS:Users:JCDS:Desktop:SECRETARIAS PNG:FINANZAS Y PLANEA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4973" cy="625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207B40FE" w14:textId="64B78F3C" w:rsidR="00321CC9" w:rsidRDefault="00321C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268"/>
    <w:multiLevelType w:val="hybridMultilevel"/>
    <w:tmpl w:val="25582A66"/>
    <w:lvl w:ilvl="0" w:tplc="2D8838DE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7" w:hanging="360"/>
      </w:pPr>
    </w:lvl>
    <w:lvl w:ilvl="2" w:tplc="080A001B" w:tentative="1">
      <w:start w:val="1"/>
      <w:numFmt w:val="lowerRoman"/>
      <w:lvlText w:val="%3."/>
      <w:lvlJc w:val="right"/>
      <w:pPr>
        <w:ind w:left="2197" w:hanging="180"/>
      </w:pPr>
    </w:lvl>
    <w:lvl w:ilvl="3" w:tplc="080A000F" w:tentative="1">
      <w:start w:val="1"/>
      <w:numFmt w:val="decimal"/>
      <w:lvlText w:val="%4."/>
      <w:lvlJc w:val="left"/>
      <w:pPr>
        <w:ind w:left="2917" w:hanging="360"/>
      </w:pPr>
    </w:lvl>
    <w:lvl w:ilvl="4" w:tplc="080A0019" w:tentative="1">
      <w:start w:val="1"/>
      <w:numFmt w:val="lowerLetter"/>
      <w:lvlText w:val="%5."/>
      <w:lvlJc w:val="left"/>
      <w:pPr>
        <w:ind w:left="3637" w:hanging="360"/>
      </w:pPr>
    </w:lvl>
    <w:lvl w:ilvl="5" w:tplc="080A001B" w:tentative="1">
      <w:start w:val="1"/>
      <w:numFmt w:val="lowerRoman"/>
      <w:lvlText w:val="%6."/>
      <w:lvlJc w:val="right"/>
      <w:pPr>
        <w:ind w:left="4357" w:hanging="180"/>
      </w:pPr>
    </w:lvl>
    <w:lvl w:ilvl="6" w:tplc="080A000F" w:tentative="1">
      <w:start w:val="1"/>
      <w:numFmt w:val="decimal"/>
      <w:lvlText w:val="%7."/>
      <w:lvlJc w:val="left"/>
      <w:pPr>
        <w:ind w:left="5077" w:hanging="360"/>
      </w:pPr>
    </w:lvl>
    <w:lvl w:ilvl="7" w:tplc="080A0019" w:tentative="1">
      <w:start w:val="1"/>
      <w:numFmt w:val="lowerLetter"/>
      <w:lvlText w:val="%8."/>
      <w:lvlJc w:val="left"/>
      <w:pPr>
        <w:ind w:left="5797" w:hanging="360"/>
      </w:pPr>
    </w:lvl>
    <w:lvl w:ilvl="8" w:tplc="08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1C7B76"/>
    <w:multiLevelType w:val="hybridMultilevel"/>
    <w:tmpl w:val="5BAE7DA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319"/>
    <w:multiLevelType w:val="hybridMultilevel"/>
    <w:tmpl w:val="5E8CA1D8"/>
    <w:lvl w:ilvl="0" w:tplc="A6C692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17506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655"/>
    <w:multiLevelType w:val="hybridMultilevel"/>
    <w:tmpl w:val="7578D96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B0A"/>
    <w:multiLevelType w:val="hybridMultilevel"/>
    <w:tmpl w:val="C436DFDA"/>
    <w:lvl w:ilvl="0" w:tplc="348E9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581844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4A5E1A"/>
    <w:multiLevelType w:val="hybridMultilevel"/>
    <w:tmpl w:val="A4D4CB72"/>
    <w:lvl w:ilvl="0" w:tplc="53C2C7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505"/>
    <w:multiLevelType w:val="multilevel"/>
    <w:tmpl w:val="A84A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553C15"/>
    <w:multiLevelType w:val="hybridMultilevel"/>
    <w:tmpl w:val="1354BB5E"/>
    <w:lvl w:ilvl="0" w:tplc="0D0029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96C95"/>
    <w:multiLevelType w:val="hybridMultilevel"/>
    <w:tmpl w:val="59E8A9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27FE"/>
    <w:multiLevelType w:val="hybridMultilevel"/>
    <w:tmpl w:val="BFC8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7A73"/>
    <w:multiLevelType w:val="hybridMultilevel"/>
    <w:tmpl w:val="B30E9BF2"/>
    <w:lvl w:ilvl="0" w:tplc="3A368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2550"/>
    <w:multiLevelType w:val="hybridMultilevel"/>
    <w:tmpl w:val="344E1662"/>
    <w:lvl w:ilvl="0" w:tplc="7E5C2C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86FCF"/>
    <w:multiLevelType w:val="hybridMultilevel"/>
    <w:tmpl w:val="4DAE7ABC"/>
    <w:lvl w:ilvl="0" w:tplc="0C0A0019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254B4"/>
    <w:multiLevelType w:val="hybridMultilevel"/>
    <w:tmpl w:val="C3FABF32"/>
    <w:lvl w:ilvl="0" w:tplc="7E66B79E">
      <w:start w:val="1"/>
      <w:numFmt w:val="decimal"/>
      <w:pStyle w:val="Ttulo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094D"/>
    <w:multiLevelType w:val="hybridMultilevel"/>
    <w:tmpl w:val="D472D20A"/>
    <w:lvl w:ilvl="0" w:tplc="EFC60A92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39FC"/>
    <w:multiLevelType w:val="hybridMultilevel"/>
    <w:tmpl w:val="4A9CCA28"/>
    <w:lvl w:ilvl="0" w:tplc="BAF25FE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824D4"/>
    <w:multiLevelType w:val="hybridMultilevel"/>
    <w:tmpl w:val="892E1982"/>
    <w:lvl w:ilvl="0" w:tplc="C3AAC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07A92"/>
    <w:multiLevelType w:val="hybridMultilevel"/>
    <w:tmpl w:val="C8A88458"/>
    <w:lvl w:ilvl="0" w:tplc="E8603B0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53C2C7E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65CF"/>
    <w:multiLevelType w:val="hybridMultilevel"/>
    <w:tmpl w:val="A880A9BC"/>
    <w:lvl w:ilvl="0" w:tplc="A14A3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4742"/>
    <w:multiLevelType w:val="multilevel"/>
    <w:tmpl w:val="E66E8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8D744D"/>
    <w:multiLevelType w:val="hybridMultilevel"/>
    <w:tmpl w:val="E548791A"/>
    <w:lvl w:ilvl="0" w:tplc="E304D3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66021"/>
    <w:multiLevelType w:val="hybridMultilevel"/>
    <w:tmpl w:val="7292EB02"/>
    <w:lvl w:ilvl="0" w:tplc="315A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8"/>
  </w:num>
  <w:num w:numId="5">
    <w:abstractNumId w:val="14"/>
  </w:num>
  <w:num w:numId="6">
    <w:abstractNumId w:val="1"/>
  </w:num>
  <w:num w:numId="7">
    <w:abstractNumId w:val="17"/>
  </w:num>
  <w:num w:numId="8">
    <w:abstractNumId w:val="20"/>
  </w:num>
  <w:num w:numId="9">
    <w:abstractNumId w:val="21"/>
  </w:num>
  <w:num w:numId="10">
    <w:abstractNumId w:val="18"/>
  </w:num>
  <w:num w:numId="11">
    <w:abstractNumId w:val="19"/>
  </w:num>
  <w:num w:numId="12">
    <w:abstractNumId w:val="16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3"/>
  </w:num>
  <w:num w:numId="25">
    <w:abstractNumId w:val="23"/>
  </w:num>
  <w:num w:numId="26">
    <w:abstractNumId w:val="5"/>
  </w:num>
  <w:num w:numId="27">
    <w:abstractNumId w:val="10"/>
  </w:num>
  <w:num w:numId="28">
    <w:abstractNumId w:val="15"/>
  </w:num>
  <w:num w:numId="29">
    <w:abstractNumId w:val="15"/>
    <w:lvlOverride w:ilvl="0">
      <w:startOverride w:val="1"/>
    </w:lvlOverride>
  </w:num>
  <w:num w:numId="30">
    <w:abstractNumId w:val="12"/>
  </w:num>
  <w:num w:numId="31">
    <w:abstractNumId w:val="7"/>
  </w:num>
  <w:num w:numId="32">
    <w:abstractNumId w:val="4"/>
  </w:num>
  <w:num w:numId="33">
    <w:abstractNumId w:val="22"/>
  </w:num>
  <w:num w:numId="34">
    <w:abstractNumId w:val="15"/>
  </w:num>
  <w:num w:numId="35">
    <w:abstractNumId w:val="9"/>
  </w:num>
  <w:num w:numId="36">
    <w:abstractNumId w:val="13"/>
  </w:num>
  <w:num w:numId="37">
    <w:abstractNumId w:val="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E"/>
    <w:rsid w:val="00026D66"/>
    <w:rsid w:val="00035E04"/>
    <w:rsid w:val="0004479E"/>
    <w:rsid w:val="0006072B"/>
    <w:rsid w:val="00062F86"/>
    <w:rsid w:val="00073E66"/>
    <w:rsid w:val="00074258"/>
    <w:rsid w:val="0008625A"/>
    <w:rsid w:val="00095075"/>
    <w:rsid w:val="00096BDE"/>
    <w:rsid w:val="000B0385"/>
    <w:rsid w:val="000B7740"/>
    <w:rsid w:val="000E3AE9"/>
    <w:rsid w:val="000E6D44"/>
    <w:rsid w:val="000E7E2B"/>
    <w:rsid w:val="000F222C"/>
    <w:rsid w:val="000F7AA4"/>
    <w:rsid w:val="001002A7"/>
    <w:rsid w:val="00100BB1"/>
    <w:rsid w:val="00117DB8"/>
    <w:rsid w:val="00122347"/>
    <w:rsid w:val="001227FF"/>
    <w:rsid w:val="00125BFF"/>
    <w:rsid w:val="00126E55"/>
    <w:rsid w:val="00133CE8"/>
    <w:rsid w:val="001354B8"/>
    <w:rsid w:val="00151044"/>
    <w:rsid w:val="00174A1D"/>
    <w:rsid w:val="00176D89"/>
    <w:rsid w:val="00191A30"/>
    <w:rsid w:val="00193654"/>
    <w:rsid w:val="001936EF"/>
    <w:rsid w:val="001A620A"/>
    <w:rsid w:val="001D61C7"/>
    <w:rsid w:val="001E0B65"/>
    <w:rsid w:val="001E45D3"/>
    <w:rsid w:val="001E6375"/>
    <w:rsid w:val="001F3CF8"/>
    <w:rsid w:val="00234827"/>
    <w:rsid w:val="00235121"/>
    <w:rsid w:val="002433C5"/>
    <w:rsid w:val="002523DB"/>
    <w:rsid w:val="00254D05"/>
    <w:rsid w:val="00284E7E"/>
    <w:rsid w:val="002A463C"/>
    <w:rsid w:val="002B0E3A"/>
    <w:rsid w:val="002D059F"/>
    <w:rsid w:val="002D0F6D"/>
    <w:rsid w:val="002D548A"/>
    <w:rsid w:val="002E2B7B"/>
    <w:rsid w:val="002E377D"/>
    <w:rsid w:val="002F37D9"/>
    <w:rsid w:val="002F722D"/>
    <w:rsid w:val="00321CC9"/>
    <w:rsid w:val="00331476"/>
    <w:rsid w:val="00334C3D"/>
    <w:rsid w:val="00340B13"/>
    <w:rsid w:val="00352525"/>
    <w:rsid w:val="003600BD"/>
    <w:rsid w:val="00375BC6"/>
    <w:rsid w:val="003804EE"/>
    <w:rsid w:val="003968E2"/>
    <w:rsid w:val="003A2AF9"/>
    <w:rsid w:val="003A7ACE"/>
    <w:rsid w:val="003E16B9"/>
    <w:rsid w:val="003E3C7B"/>
    <w:rsid w:val="00414261"/>
    <w:rsid w:val="00415AF4"/>
    <w:rsid w:val="0044115E"/>
    <w:rsid w:val="00453343"/>
    <w:rsid w:val="00456A00"/>
    <w:rsid w:val="0048637E"/>
    <w:rsid w:val="004A1B25"/>
    <w:rsid w:val="004A4994"/>
    <w:rsid w:val="004B0043"/>
    <w:rsid w:val="004C3F50"/>
    <w:rsid w:val="004E67D0"/>
    <w:rsid w:val="004F3C32"/>
    <w:rsid w:val="00507EDE"/>
    <w:rsid w:val="005E1914"/>
    <w:rsid w:val="005F591F"/>
    <w:rsid w:val="00600FAB"/>
    <w:rsid w:val="0060531E"/>
    <w:rsid w:val="006058C6"/>
    <w:rsid w:val="00620EF3"/>
    <w:rsid w:val="00633E86"/>
    <w:rsid w:val="00635BD1"/>
    <w:rsid w:val="00656CE3"/>
    <w:rsid w:val="006571C9"/>
    <w:rsid w:val="00660F3D"/>
    <w:rsid w:val="00661739"/>
    <w:rsid w:val="0067010D"/>
    <w:rsid w:val="006C7226"/>
    <w:rsid w:val="006D325E"/>
    <w:rsid w:val="006E3025"/>
    <w:rsid w:val="006E7209"/>
    <w:rsid w:val="006F32E1"/>
    <w:rsid w:val="007021B9"/>
    <w:rsid w:val="00703F19"/>
    <w:rsid w:val="0071270B"/>
    <w:rsid w:val="00716023"/>
    <w:rsid w:val="00753C24"/>
    <w:rsid w:val="00756579"/>
    <w:rsid w:val="00757AC1"/>
    <w:rsid w:val="00761E01"/>
    <w:rsid w:val="00776C3C"/>
    <w:rsid w:val="007853C5"/>
    <w:rsid w:val="0078787E"/>
    <w:rsid w:val="007B5D57"/>
    <w:rsid w:val="007E6C66"/>
    <w:rsid w:val="007F5C18"/>
    <w:rsid w:val="007F603B"/>
    <w:rsid w:val="008045CB"/>
    <w:rsid w:val="00807C06"/>
    <w:rsid w:val="00814AE0"/>
    <w:rsid w:val="00814E6F"/>
    <w:rsid w:val="00822E59"/>
    <w:rsid w:val="008431D0"/>
    <w:rsid w:val="00847C4A"/>
    <w:rsid w:val="00863E87"/>
    <w:rsid w:val="008B3A1A"/>
    <w:rsid w:val="008C27C1"/>
    <w:rsid w:val="008C3219"/>
    <w:rsid w:val="008D57D8"/>
    <w:rsid w:val="009111E9"/>
    <w:rsid w:val="009230DE"/>
    <w:rsid w:val="0093098B"/>
    <w:rsid w:val="00937877"/>
    <w:rsid w:val="0094275E"/>
    <w:rsid w:val="00952B23"/>
    <w:rsid w:val="00957E00"/>
    <w:rsid w:val="00974801"/>
    <w:rsid w:val="009805C6"/>
    <w:rsid w:val="009812B7"/>
    <w:rsid w:val="009B041C"/>
    <w:rsid w:val="009B2DFB"/>
    <w:rsid w:val="009B39E4"/>
    <w:rsid w:val="009D45F0"/>
    <w:rsid w:val="009D62EA"/>
    <w:rsid w:val="009E7450"/>
    <w:rsid w:val="00A03E46"/>
    <w:rsid w:val="00A04059"/>
    <w:rsid w:val="00A111CD"/>
    <w:rsid w:val="00A25B99"/>
    <w:rsid w:val="00A41831"/>
    <w:rsid w:val="00A41A48"/>
    <w:rsid w:val="00A53253"/>
    <w:rsid w:val="00A5718E"/>
    <w:rsid w:val="00A86245"/>
    <w:rsid w:val="00A87A8F"/>
    <w:rsid w:val="00A87EB6"/>
    <w:rsid w:val="00AB5C4B"/>
    <w:rsid w:val="00AC27F6"/>
    <w:rsid w:val="00AC7706"/>
    <w:rsid w:val="00AD17D4"/>
    <w:rsid w:val="00AF44B4"/>
    <w:rsid w:val="00AF7B81"/>
    <w:rsid w:val="00B02AE3"/>
    <w:rsid w:val="00B53B57"/>
    <w:rsid w:val="00B561C4"/>
    <w:rsid w:val="00B64F16"/>
    <w:rsid w:val="00B71F66"/>
    <w:rsid w:val="00B80A93"/>
    <w:rsid w:val="00B8174B"/>
    <w:rsid w:val="00B83225"/>
    <w:rsid w:val="00BB3E09"/>
    <w:rsid w:val="00BC70CD"/>
    <w:rsid w:val="00BC7B64"/>
    <w:rsid w:val="00C124A2"/>
    <w:rsid w:val="00C23BD7"/>
    <w:rsid w:val="00C249CC"/>
    <w:rsid w:val="00C575DE"/>
    <w:rsid w:val="00CA2835"/>
    <w:rsid w:val="00CB03A0"/>
    <w:rsid w:val="00CB6B5E"/>
    <w:rsid w:val="00CC246F"/>
    <w:rsid w:val="00CD287C"/>
    <w:rsid w:val="00CE12CB"/>
    <w:rsid w:val="00CF16BF"/>
    <w:rsid w:val="00CF44BE"/>
    <w:rsid w:val="00D07857"/>
    <w:rsid w:val="00D2625C"/>
    <w:rsid w:val="00D45795"/>
    <w:rsid w:val="00D46FE0"/>
    <w:rsid w:val="00D517FA"/>
    <w:rsid w:val="00D5666E"/>
    <w:rsid w:val="00D57955"/>
    <w:rsid w:val="00D7661F"/>
    <w:rsid w:val="00D943AC"/>
    <w:rsid w:val="00D963D5"/>
    <w:rsid w:val="00DC3ACF"/>
    <w:rsid w:val="00DD3CBC"/>
    <w:rsid w:val="00DD74C8"/>
    <w:rsid w:val="00DE383F"/>
    <w:rsid w:val="00DF17D7"/>
    <w:rsid w:val="00E02C91"/>
    <w:rsid w:val="00E056F8"/>
    <w:rsid w:val="00E05B55"/>
    <w:rsid w:val="00E153C5"/>
    <w:rsid w:val="00E233CA"/>
    <w:rsid w:val="00E34BCA"/>
    <w:rsid w:val="00E50326"/>
    <w:rsid w:val="00E51162"/>
    <w:rsid w:val="00E67AD3"/>
    <w:rsid w:val="00E76FEC"/>
    <w:rsid w:val="00E8069B"/>
    <w:rsid w:val="00E82B29"/>
    <w:rsid w:val="00E850DD"/>
    <w:rsid w:val="00E85516"/>
    <w:rsid w:val="00E863AD"/>
    <w:rsid w:val="00E91485"/>
    <w:rsid w:val="00E9183B"/>
    <w:rsid w:val="00EA28CD"/>
    <w:rsid w:val="00EC0632"/>
    <w:rsid w:val="00EC22F1"/>
    <w:rsid w:val="00ED221A"/>
    <w:rsid w:val="00EF31DA"/>
    <w:rsid w:val="00F014BF"/>
    <w:rsid w:val="00F02387"/>
    <w:rsid w:val="00F07721"/>
    <w:rsid w:val="00F32EAA"/>
    <w:rsid w:val="00F473F2"/>
    <w:rsid w:val="00F660A7"/>
    <w:rsid w:val="00F87A65"/>
    <w:rsid w:val="00F9761A"/>
    <w:rsid w:val="00FA06B4"/>
    <w:rsid w:val="00FD669E"/>
    <w:rsid w:val="00FE5C3B"/>
    <w:rsid w:val="00FF4BC2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A189CD"/>
  <w15:docId w15:val="{8C6C56CE-9435-4FCA-B117-A19C8C3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2D"/>
    <w:pPr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F222C"/>
    <w:pPr>
      <w:numPr>
        <w:numId w:val="1"/>
      </w:numPr>
      <w:ind w:left="0" w:firstLine="0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831"/>
    <w:pPr>
      <w:numPr>
        <w:numId w:val="13"/>
      </w:numPr>
      <w:outlineLvl w:val="1"/>
    </w:pPr>
    <w:rPr>
      <w:rFonts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6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632"/>
  </w:style>
  <w:style w:type="paragraph" w:styleId="Piedepgina">
    <w:name w:val="footer"/>
    <w:basedOn w:val="Normal"/>
    <w:link w:val="PiedepginaCar"/>
    <w:uiPriority w:val="99"/>
    <w:unhideWhenUsed/>
    <w:rsid w:val="00863E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E87"/>
  </w:style>
  <w:style w:type="paragraph" w:styleId="Textonotapie">
    <w:name w:val="footnote text"/>
    <w:basedOn w:val="Normal"/>
    <w:link w:val="TextonotapieCar"/>
    <w:uiPriority w:val="99"/>
    <w:semiHidden/>
    <w:unhideWhenUsed/>
    <w:rsid w:val="002F722D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722D"/>
    <w:rPr>
      <w:rFonts w:ascii="Tahoma" w:hAnsi="Tahoma"/>
      <w:sz w:val="16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63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E8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53C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3C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805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05C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05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05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05C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05C6"/>
  </w:style>
  <w:style w:type="table" w:styleId="Tablaconcuadrcula">
    <w:name w:val="Table Grid"/>
    <w:basedOn w:val="Tablanormal"/>
    <w:uiPriority w:val="39"/>
    <w:rsid w:val="0009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uiPriority w:val="99"/>
    <w:rsid w:val="007B5D57"/>
    <w:rPr>
      <w:strike/>
      <w:color w:val="000000"/>
    </w:rPr>
  </w:style>
  <w:style w:type="character" w:styleId="Hipervnculo">
    <w:name w:val="Hyperlink"/>
    <w:basedOn w:val="Fuentedeprrafopredeter"/>
    <w:uiPriority w:val="99"/>
    <w:unhideWhenUsed/>
    <w:rsid w:val="00C23BD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F222C"/>
    <w:rPr>
      <w:rFonts w:cs="Times New Roman"/>
      <w:b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F222C"/>
    <w:rPr>
      <w:rFonts w:cs="Times New Roman"/>
      <w:szCs w:val="24"/>
      <w:u w:val="single"/>
    </w:rPr>
  </w:style>
  <w:style w:type="paragraph" w:customStyle="1" w:styleId="Sinespaciado1">
    <w:name w:val="Sin espaciado1"/>
    <w:uiPriority w:val="1"/>
    <w:qFormat/>
    <w:rsid w:val="00375BC6"/>
    <w:rPr>
      <w:rFonts w:eastAsia="Times New Roman" w:cs="Times New Roman"/>
      <w:color w:val="auto"/>
      <w:sz w:val="20"/>
      <w:szCs w:val="20"/>
      <w:lang w:val="es-ES_tradnl" w:eastAsia="es-ES"/>
    </w:rPr>
  </w:style>
  <w:style w:type="paragraph" w:customStyle="1" w:styleId="Default">
    <w:name w:val="Default"/>
    <w:rsid w:val="00375BC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nespaciado">
    <w:name w:val="No Spacing"/>
    <w:uiPriority w:val="1"/>
    <w:qFormat/>
    <w:rsid w:val="009B39E4"/>
    <w:pPr>
      <w:jc w:val="both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E83E-D414-460E-9FEB-05B92AAB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7834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Schäfer V.</dc:creator>
  <cp:lastModifiedBy>Misael Román F.</cp:lastModifiedBy>
  <cp:revision>3</cp:revision>
  <cp:lastPrinted>2020-01-07T00:59:00Z</cp:lastPrinted>
  <dcterms:created xsi:type="dcterms:W3CDTF">2020-03-24T01:47:00Z</dcterms:created>
  <dcterms:modified xsi:type="dcterms:W3CDTF">2020-03-24T02:03:00Z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20200323200212831</vt:lpwstr>
  </property>
</Properties>
</file>