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81C" w:rsidRPr="006248A1" w:rsidRDefault="00F4081C" w:rsidP="005E3063">
      <w:pPr>
        <w:pStyle w:val="Textoindependiente2"/>
        <w:ind w:left="142" w:right="-49"/>
        <w:rPr>
          <w:rFonts w:ascii="Century Gothic" w:hAnsi="Century Gothic" w:cs="Arial"/>
          <w:sz w:val="20"/>
          <w:szCs w:val="20"/>
        </w:rPr>
      </w:pPr>
      <w:r w:rsidRPr="006248A1">
        <w:rPr>
          <w:rFonts w:ascii="Century Gothic" w:hAnsi="Century Gothic" w:cs="Arial"/>
          <w:sz w:val="20"/>
          <w:szCs w:val="20"/>
        </w:rPr>
        <w:t xml:space="preserve">ACUERDO POR EL QUE SE DA A CONOCER EL IMPORTE DE LAS PARTICIPACIONES FEDERALES MINISTRADAS A LOS MUNICIPIOS DEL ESTADO DE QUINTANA ROO, CORRESPONDIENTE AL </w:t>
      </w:r>
      <w:r w:rsidR="00462EDD">
        <w:rPr>
          <w:rFonts w:ascii="Century Gothic" w:hAnsi="Century Gothic" w:cs="Arial"/>
          <w:sz w:val="20"/>
          <w:szCs w:val="20"/>
        </w:rPr>
        <w:t>CUARTO</w:t>
      </w:r>
      <w:r w:rsidRPr="006248A1">
        <w:rPr>
          <w:rFonts w:ascii="Century Gothic" w:hAnsi="Century Gothic" w:cs="Arial"/>
          <w:sz w:val="20"/>
          <w:szCs w:val="20"/>
        </w:rPr>
        <w:t xml:space="preserve"> TRI</w:t>
      </w:r>
      <w:r w:rsidR="009021E4">
        <w:rPr>
          <w:rFonts w:ascii="Century Gothic" w:hAnsi="Century Gothic" w:cs="Arial"/>
          <w:sz w:val="20"/>
          <w:szCs w:val="20"/>
        </w:rPr>
        <w:t>MESTRE DEL EJERCICIO FISCAL 2017</w:t>
      </w:r>
      <w:r w:rsidRPr="006248A1">
        <w:rPr>
          <w:rFonts w:ascii="Century Gothic" w:hAnsi="Century Gothic" w:cs="Arial"/>
          <w:sz w:val="20"/>
          <w:szCs w:val="20"/>
        </w:rPr>
        <w:t>.</w:t>
      </w:r>
    </w:p>
    <w:p w:rsidR="00F4081C" w:rsidRPr="006248A1" w:rsidRDefault="00F4081C" w:rsidP="005E3063">
      <w:pPr>
        <w:ind w:left="142" w:right="-49"/>
        <w:jc w:val="both"/>
        <w:rPr>
          <w:rFonts w:ascii="Century Gothic" w:hAnsi="Century Gothic" w:cs="Arial"/>
          <w:sz w:val="20"/>
          <w:szCs w:val="20"/>
        </w:rPr>
      </w:pPr>
    </w:p>
    <w:p w:rsidR="00F4081C" w:rsidRPr="006248A1" w:rsidRDefault="00660018" w:rsidP="005E3063">
      <w:pPr>
        <w:ind w:left="142" w:right="-49"/>
        <w:jc w:val="both"/>
        <w:rPr>
          <w:rFonts w:ascii="Century Gothic" w:hAnsi="Century Gothic" w:cs="Arial"/>
          <w:sz w:val="20"/>
          <w:szCs w:val="20"/>
        </w:rPr>
      </w:pPr>
      <w:r>
        <w:rPr>
          <w:rFonts w:ascii="Century Gothic" w:hAnsi="Century Gothic" w:cs="Arial"/>
          <w:b/>
          <w:bCs/>
          <w:sz w:val="20"/>
          <w:szCs w:val="20"/>
        </w:rPr>
        <w:t xml:space="preserve">C.P. y A. </w:t>
      </w:r>
      <w:r w:rsidR="00C7151B">
        <w:rPr>
          <w:rFonts w:ascii="Century Gothic" w:hAnsi="Century Gothic" w:cs="Arial"/>
          <w:b/>
          <w:bCs/>
          <w:sz w:val="20"/>
          <w:szCs w:val="20"/>
        </w:rPr>
        <w:t>JUAN MELQUIADES VERGARA FERNÁNDEZ</w:t>
      </w:r>
      <w:r w:rsidR="00F4081C" w:rsidRPr="006248A1">
        <w:rPr>
          <w:rFonts w:ascii="Century Gothic" w:hAnsi="Century Gothic" w:cs="Arial"/>
          <w:b/>
          <w:bCs/>
          <w:sz w:val="20"/>
          <w:szCs w:val="20"/>
        </w:rPr>
        <w:t>,</w:t>
      </w:r>
      <w:r w:rsidR="00442E3E">
        <w:rPr>
          <w:rFonts w:ascii="Century Gothic" w:hAnsi="Century Gothic" w:cs="Arial"/>
          <w:sz w:val="20"/>
          <w:szCs w:val="20"/>
        </w:rPr>
        <w:t xml:space="preserve"> Secretario de Finanzas y Planeación en el</w:t>
      </w:r>
      <w:r w:rsidR="00F4081C" w:rsidRPr="006248A1">
        <w:rPr>
          <w:rFonts w:ascii="Century Gothic" w:hAnsi="Century Gothic" w:cs="Arial"/>
          <w:sz w:val="20"/>
          <w:szCs w:val="20"/>
        </w:rPr>
        <w:t xml:space="preserve"> Estado de Quintana Roo, con fundamento en los artículos </w:t>
      </w:r>
      <w:r w:rsidR="00D05088">
        <w:rPr>
          <w:rFonts w:ascii="Century Gothic" w:hAnsi="Century Gothic" w:cs="Arial"/>
          <w:sz w:val="20"/>
          <w:szCs w:val="20"/>
        </w:rPr>
        <w:t>92 y 116</w:t>
      </w:r>
      <w:r w:rsidR="00F4081C" w:rsidRPr="006248A1">
        <w:rPr>
          <w:rFonts w:ascii="Century Gothic" w:hAnsi="Century Gothic" w:cs="Arial"/>
          <w:sz w:val="20"/>
          <w:szCs w:val="20"/>
        </w:rPr>
        <w:t xml:space="preserve"> de la Constitución Política del Estado</w:t>
      </w:r>
      <w:r w:rsidR="00843DB5" w:rsidRPr="006248A1">
        <w:rPr>
          <w:rFonts w:ascii="Century Gothic" w:hAnsi="Century Gothic" w:cs="Arial"/>
          <w:sz w:val="20"/>
          <w:szCs w:val="20"/>
        </w:rPr>
        <w:t xml:space="preserve"> de Quintana Roo</w:t>
      </w:r>
      <w:r w:rsidR="00F4081C" w:rsidRPr="006248A1">
        <w:rPr>
          <w:rFonts w:ascii="Century Gothic" w:hAnsi="Century Gothic" w:cs="Arial"/>
          <w:sz w:val="20"/>
          <w:szCs w:val="20"/>
        </w:rPr>
        <w:t>; penúltimo párrafo del artículo 6 de la Ley d</w:t>
      </w:r>
      <w:r w:rsidR="00D05088">
        <w:rPr>
          <w:rFonts w:ascii="Century Gothic" w:hAnsi="Century Gothic" w:cs="Arial"/>
          <w:sz w:val="20"/>
          <w:szCs w:val="20"/>
        </w:rPr>
        <w:t>e Coordinación Fiscal; 19 fracción III, 30 fracción VII y 33 fracciones XVI, XXIII, XXVIII y XXIX</w:t>
      </w:r>
      <w:r w:rsidR="00F4081C" w:rsidRPr="006248A1">
        <w:rPr>
          <w:rFonts w:ascii="Century Gothic" w:hAnsi="Century Gothic" w:cs="Arial"/>
          <w:sz w:val="20"/>
          <w:szCs w:val="20"/>
        </w:rPr>
        <w:t xml:space="preserve"> de la Ley Orgánica de la Administración Pública del Estado</w:t>
      </w:r>
      <w:r w:rsidR="00D05088">
        <w:rPr>
          <w:rFonts w:ascii="Century Gothic" w:hAnsi="Century Gothic" w:cs="Arial"/>
          <w:sz w:val="20"/>
          <w:szCs w:val="20"/>
        </w:rPr>
        <w:t xml:space="preserve"> de Quintana Roo</w:t>
      </w:r>
      <w:r w:rsidR="00F4081C" w:rsidRPr="006248A1">
        <w:rPr>
          <w:rFonts w:ascii="Century Gothic" w:hAnsi="Century Gothic" w:cs="Arial"/>
          <w:sz w:val="20"/>
          <w:szCs w:val="20"/>
        </w:rPr>
        <w:t>; capítulo II de la Ley de Coordinación Fiscal del Estado de Quintana Roo;</w:t>
      </w:r>
      <w:r w:rsidR="00D05088">
        <w:rPr>
          <w:rFonts w:ascii="Century Gothic" w:hAnsi="Century Gothic" w:cs="Arial"/>
          <w:sz w:val="20"/>
          <w:szCs w:val="20"/>
        </w:rPr>
        <w:t xml:space="preserve"> 27 fracción II y 29 fracción VI del Código Fiscal del Estado de Quintana Roo; 4, 8, 11 fracciones I y VII del Reglamento Interior de la Secretaría de Finanzas y Planeación del Estado de Quintana Roo</w:t>
      </w:r>
      <w:r w:rsidR="00F4081C" w:rsidRPr="006248A1">
        <w:rPr>
          <w:rFonts w:ascii="Century Gothic" w:hAnsi="Century Gothic" w:cs="Arial"/>
          <w:sz w:val="20"/>
          <w:szCs w:val="20"/>
        </w:rPr>
        <w:t xml:space="preserve"> y </w:t>
      </w:r>
    </w:p>
    <w:p w:rsidR="00F4081C" w:rsidRPr="006248A1" w:rsidRDefault="00F4081C" w:rsidP="005E3063">
      <w:pPr>
        <w:ind w:left="142" w:right="195"/>
        <w:rPr>
          <w:rFonts w:ascii="Century Gothic" w:hAnsi="Century Gothic"/>
          <w:sz w:val="20"/>
          <w:szCs w:val="20"/>
        </w:rPr>
      </w:pPr>
    </w:p>
    <w:p w:rsidR="00F4081C" w:rsidRPr="006248A1" w:rsidRDefault="00F4081C" w:rsidP="005E3063">
      <w:pPr>
        <w:pStyle w:val="Ttulo1"/>
        <w:tabs>
          <w:tab w:val="center" w:pos="5245"/>
          <w:tab w:val="left" w:pos="6645"/>
        </w:tabs>
        <w:ind w:left="142" w:right="195"/>
        <w:rPr>
          <w:rFonts w:ascii="Century Gothic" w:hAnsi="Century Gothic" w:cs="Arial"/>
          <w:sz w:val="20"/>
          <w:szCs w:val="20"/>
        </w:rPr>
      </w:pPr>
      <w:r w:rsidRPr="006248A1">
        <w:rPr>
          <w:rFonts w:ascii="Century Gothic" w:hAnsi="Century Gothic" w:cs="Arial"/>
          <w:sz w:val="20"/>
          <w:szCs w:val="20"/>
        </w:rPr>
        <w:t>CONSIDERANDO</w:t>
      </w:r>
    </w:p>
    <w:p w:rsidR="00F4081C" w:rsidRPr="006248A1" w:rsidRDefault="00F4081C" w:rsidP="005E3063">
      <w:pPr>
        <w:ind w:left="142" w:right="195"/>
        <w:jc w:val="both"/>
        <w:rPr>
          <w:rFonts w:ascii="Century Gothic" w:hAnsi="Century Gothic"/>
          <w:sz w:val="20"/>
          <w:szCs w:val="20"/>
        </w:rPr>
      </w:pPr>
    </w:p>
    <w:p w:rsidR="00F4081C" w:rsidRPr="006248A1" w:rsidRDefault="00F4081C" w:rsidP="005E3063">
      <w:pPr>
        <w:tabs>
          <w:tab w:val="left" w:pos="10157"/>
        </w:tabs>
        <w:ind w:left="142" w:right="-49"/>
        <w:jc w:val="both"/>
        <w:rPr>
          <w:rFonts w:ascii="Century Gothic" w:eastAsia="MS Mincho" w:hAnsi="Century Gothic" w:cs="Arial"/>
          <w:sz w:val="20"/>
          <w:szCs w:val="20"/>
        </w:rPr>
      </w:pPr>
      <w:r w:rsidRPr="006248A1">
        <w:rPr>
          <w:rFonts w:ascii="Century Gothic" w:eastAsia="MS Mincho" w:hAnsi="Century Gothic" w:cs="Arial"/>
          <w:sz w:val="20"/>
          <w:szCs w:val="20"/>
        </w:rPr>
        <w:t xml:space="preserve">De conformidad con la Ley de Coordinación Fiscal, el Estado de Quintana Roo se encuentra adherido al Sistema Nacional de Coordinación </w:t>
      </w:r>
      <w:r w:rsidRPr="006248A1">
        <w:rPr>
          <w:rFonts w:ascii="Century Gothic" w:hAnsi="Century Gothic" w:cs="Arial"/>
          <w:sz w:val="20"/>
          <w:szCs w:val="20"/>
        </w:rPr>
        <w:t>F</w:t>
      </w:r>
      <w:r w:rsidRPr="006248A1">
        <w:rPr>
          <w:rFonts w:ascii="Century Gothic" w:eastAsia="MS Mincho" w:hAnsi="Century Gothic" w:cs="Arial"/>
          <w:sz w:val="20"/>
          <w:szCs w:val="20"/>
        </w:rPr>
        <w:t xml:space="preserve">iscal en términos del Convenio publicado en el Diario Oficial de la Federación el 28 de diciembre de 1979. En este sentido, participa </w:t>
      </w:r>
      <w:r w:rsidR="002D7ADA">
        <w:rPr>
          <w:rFonts w:ascii="Century Gothic" w:eastAsia="MS Mincho" w:hAnsi="Century Gothic" w:cs="Arial"/>
          <w:sz w:val="20"/>
          <w:szCs w:val="20"/>
        </w:rPr>
        <w:t>en con</w:t>
      </w:r>
      <w:r w:rsidRPr="006248A1">
        <w:rPr>
          <w:rFonts w:ascii="Century Gothic" w:eastAsia="MS Mincho" w:hAnsi="Century Gothic" w:cs="Arial"/>
          <w:sz w:val="20"/>
          <w:szCs w:val="20"/>
        </w:rPr>
        <w:t>junto con sus municipios de los ingresos federales previstos en el Capítulo I de la legislación citada.</w:t>
      </w:r>
    </w:p>
    <w:p w:rsidR="00F4081C" w:rsidRPr="006248A1" w:rsidRDefault="00F4081C" w:rsidP="005E3063">
      <w:pPr>
        <w:tabs>
          <w:tab w:val="left" w:pos="10157"/>
        </w:tabs>
        <w:ind w:left="142" w:right="-49"/>
        <w:jc w:val="both"/>
        <w:rPr>
          <w:rFonts w:ascii="Century Gothic" w:eastAsia="MS Mincho" w:hAnsi="Century Gothic" w:cs="Arial"/>
          <w:sz w:val="20"/>
          <w:szCs w:val="20"/>
        </w:rPr>
      </w:pPr>
    </w:p>
    <w:p w:rsidR="00F4081C" w:rsidRPr="00431E62" w:rsidRDefault="00F4081C" w:rsidP="005E3063">
      <w:pPr>
        <w:tabs>
          <w:tab w:val="left" w:pos="10157"/>
        </w:tabs>
        <w:ind w:left="142" w:right="-49"/>
        <w:jc w:val="both"/>
        <w:rPr>
          <w:rFonts w:ascii="Century Gothic" w:eastAsia="MS Mincho" w:hAnsi="Century Gothic" w:cs="Arial"/>
          <w:sz w:val="20"/>
          <w:szCs w:val="20"/>
        </w:rPr>
      </w:pPr>
      <w:r w:rsidRPr="006248A1">
        <w:rPr>
          <w:rFonts w:ascii="Century Gothic" w:eastAsia="MS Mincho" w:hAnsi="Century Gothic" w:cs="Arial"/>
          <w:sz w:val="20"/>
          <w:szCs w:val="20"/>
        </w:rPr>
        <w:t>Asimismo, en armonía con la</w:t>
      </w:r>
      <w:r w:rsidR="00B3515E" w:rsidRPr="006248A1">
        <w:rPr>
          <w:rFonts w:ascii="Century Gothic" w:eastAsia="MS Mincho" w:hAnsi="Century Gothic" w:cs="Arial"/>
          <w:sz w:val="20"/>
          <w:szCs w:val="20"/>
        </w:rPr>
        <w:t>s</w:t>
      </w:r>
      <w:r w:rsidRPr="006248A1">
        <w:rPr>
          <w:rFonts w:ascii="Century Gothic" w:eastAsia="MS Mincho" w:hAnsi="Century Gothic" w:cs="Arial"/>
          <w:sz w:val="20"/>
          <w:szCs w:val="20"/>
        </w:rPr>
        <w:t xml:space="preserve"> disposiciones de la Federación, el capítulo II de la Ley de Coordinación Fiscal del Estado de Quintana Roo, en sus numerales que </w:t>
      </w:r>
      <w:r w:rsidR="002D7ADA">
        <w:rPr>
          <w:rFonts w:ascii="Century Gothic" w:eastAsia="MS Mincho" w:hAnsi="Century Gothic" w:cs="Arial"/>
          <w:sz w:val="20"/>
          <w:szCs w:val="20"/>
        </w:rPr>
        <w:t xml:space="preserve">se </w:t>
      </w:r>
      <w:r w:rsidRPr="006248A1">
        <w:rPr>
          <w:rFonts w:ascii="Century Gothic" w:eastAsia="MS Mincho" w:hAnsi="Century Gothic" w:cs="Arial"/>
          <w:sz w:val="20"/>
          <w:szCs w:val="20"/>
        </w:rPr>
        <w:t xml:space="preserve">comprenden del 5 al 14, establece las disposiciones que rigen las participaciones de los Municipios de los ingresos Federales, mismos que para el ejercicio fiscal </w:t>
      </w:r>
      <w:r w:rsidR="009021E4">
        <w:rPr>
          <w:rFonts w:ascii="Century Gothic" w:eastAsia="MS Mincho" w:hAnsi="Century Gothic" w:cs="Arial"/>
          <w:sz w:val="20"/>
          <w:szCs w:val="20"/>
        </w:rPr>
        <w:t>2017</w:t>
      </w:r>
      <w:r w:rsidRPr="006248A1">
        <w:rPr>
          <w:rFonts w:ascii="Century Gothic" w:eastAsia="MS Mincho" w:hAnsi="Century Gothic" w:cs="Arial"/>
          <w:sz w:val="20"/>
          <w:szCs w:val="20"/>
        </w:rPr>
        <w:t xml:space="preserve"> se encuentran integrados por el Fondo General de Participaciones, Fondo</w:t>
      </w:r>
      <w:r w:rsidR="00423762">
        <w:rPr>
          <w:rFonts w:ascii="Century Gothic" w:eastAsia="MS Mincho" w:hAnsi="Century Gothic" w:cs="Arial"/>
          <w:sz w:val="20"/>
          <w:szCs w:val="20"/>
        </w:rPr>
        <w:t xml:space="preserve"> de Fomento Municipal, Fondo de</w:t>
      </w:r>
      <w:r w:rsidRPr="006248A1">
        <w:rPr>
          <w:rFonts w:ascii="Century Gothic" w:eastAsia="MS Mincho" w:hAnsi="Century Gothic" w:cs="Arial"/>
          <w:sz w:val="20"/>
          <w:szCs w:val="20"/>
        </w:rPr>
        <w:t xml:space="preserve"> Fiscal</w:t>
      </w:r>
      <w:r w:rsidR="00423762">
        <w:rPr>
          <w:rFonts w:ascii="Century Gothic" w:eastAsia="MS Mincho" w:hAnsi="Century Gothic" w:cs="Arial"/>
          <w:sz w:val="20"/>
          <w:szCs w:val="20"/>
        </w:rPr>
        <w:t>ización y Recaudación, Impuesto</w:t>
      </w:r>
      <w:r w:rsidRPr="006248A1">
        <w:rPr>
          <w:rFonts w:ascii="Century Gothic" w:eastAsia="MS Mincho" w:hAnsi="Century Gothic" w:cs="Arial"/>
          <w:sz w:val="20"/>
          <w:szCs w:val="20"/>
        </w:rPr>
        <w:t xml:space="preserve"> Especial sobre Producción y Servicios, Fondo de Compensación del Impuesto Sobr</w:t>
      </w:r>
      <w:r w:rsidR="00406B0F">
        <w:rPr>
          <w:rFonts w:ascii="Century Gothic" w:eastAsia="MS Mincho" w:hAnsi="Century Gothic" w:cs="Arial"/>
          <w:sz w:val="20"/>
          <w:szCs w:val="20"/>
        </w:rPr>
        <w:t>e Automóviles Nuevos, Impuesto S</w:t>
      </w:r>
      <w:r w:rsidRPr="006248A1">
        <w:rPr>
          <w:rFonts w:ascii="Century Gothic" w:eastAsia="MS Mincho" w:hAnsi="Century Gothic" w:cs="Arial"/>
          <w:sz w:val="20"/>
          <w:szCs w:val="20"/>
        </w:rPr>
        <w:t>obre Tenencia o Uso de Vehículos p</w:t>
      </w:r>
      <w:r w:rsidR="00423762">
        <w:rPr>
          <w:rFonts w:ascii="Century Gothic" w:eastAsia="MS Mincho" w:hAnsi="Century Gothic" w:cs="Arial"/>
          <w:sz w:val="20"/>
          <w:szCs w:val="20"/>
        </w:rPr>
        <w:t>or concepto de rezago, Impuesto</w:t>
      </w:r>
      <w:r w:rsidR="00784267">
        <w:rPr>
          <w:rFonts w:ascii="Century Gothic" w:eastAsia="MS Mincho" w:hAnsi="Century Gothic" w:cs="Arial"/>
          <w:sz w:val="20"/>
          <w:szCs w:val="20"/>
        </w:rPr>
        <w:t xml:space="preserve"> S</w:t>
      </w:r>
      <w:r w:rsidRPr="006248A1">
        <w:rPr>
          <w:rFonts w:ascii="Century Gothic" w:eastAsia="MS Mincho" w:hAnsi="Century Gothic" w:cs="Arial"/>
          <w:sz w:val="20"/>
          <w:szCs w:val="20"/>
        </w:rPr>
        <w:t>obr</w:t>
      </w:r>
      <w:r w:rsidR="00EE72F9">
        <w:rPr>
          <w:rFonts w:ascii="Century Gothic" w:eastAsia="MS Mincho" w:hAnsi="Century Gothic" w:cs="Arial"/>
          <w:sz w:val="20"/>
          <w:szCs w:val="20"/>
        </w:rPr>
        <w:t xml:space="preserve">e Automóviles </w:t>
      </w:r>
      <w:r w:rsidR="002C188C">
        <w:rPr>
          <w:rFonts w:ascii="Century Gothic" w:eastAsia="MS Mincho" w:hAnsi="Century Gothic" w:cs="Arial"/>
          <w:sz w:val="20"/>
          <w:szCs w:val="20"/>
        </w:rPr>
        <w:t>Nuevos,</w:t>
      </w:r>
      <w:r w:rsidR="00423762">
        <w:rPr>
          <w:rFonts w:ascii="Century Gothic" w:eastAsia="MS Mincho" w:hAnsi="Century Gothic" w:cs="Arial"/>
          <w:sz w:val="20"/>
          <w:szCs w:val="20"/>
        </w:rPr>
        <w:t xml:space="preserve"> P</w:t>
      </w:r>
      <w:r w:rsidR="00EE72F9" w:rsidRPr="00535DE8">
        <w:rPr>
          <w:rFonts w:ascii="Century Gothic" w:eastAsia="MS Mincho" w:hAnsi="Century Gothic" w:cs="Arial"/>
          <w:sz w:val="20"/>
          <w:szCs w:val="20"/>
        </w:rPr>
        <w:t>articipaciones de</w:t>
      </w:r>
      <w:r w:rsidRPr="00535DE8">
        <w:rPr>
          <w:rFonts w:ascii="Century Gothic" w:eastAsia="MS Mincho" w:hAnsi="Century Gothic" w:cs="Arial"/>
          <w:sz w:val="20"/>
          <w:szCs w:val="20"/>
        </w:rPr>
        <w:t xml:space="preserve"> Gasolina y </w:t>
      </w:r>
      <w:r w:rsidRPr="00431E62">
        <w:rPr>
          <w:rFonts w:ascii="Century Gothic" w:eastAsia="MS Mincho" w:hAnsi="Century Gothic" w:cs="Arial"/>
          <w:sz w:val="20"/>
          <w:szCs w:val="20"/>
        </w:rPr>
        <w:t>Diesel</w:t>
      </w:r>
      <w:r w:rsidR="002C2E59">
        <w:rPr>
          <w:rFonts w:ascii="Century Gothic" w:eastAsia="MS Mincho" w:hAnsi="Century Gothic" w:cs="Arial"/>
          <w:sz w:val="20"/>
          <w:szCs w:val="20"/>
        </w:rPr>
        <w:t xml:space="preserve"> </w:t>
      </w:r>
      <w:r w:rsidR="002C188C" w:rsidRPr="00431E62">
        <w:rPr>
          <w:rFonts w:ascii="Century Gothic" w:eastAsia="MS Mincho" w:hAnsi="Century Gothic" w:cs="Arial"/>
          <w:sz w:val="20"/>
          <w:szCs w:val="20"/>
        </w:rPr>
        <w:t>y el Fondo del Impuesto Sobre la Renta</w:t>
      </w:r>
      <w:r w:rsidRPr="00431E62">
        <w:rPr>
          <w:rFonts w:ascii="Century Gothic" w:eastAsia="MS Mincho" w:hAnsi="Century Gothic" w:cs="Arial"/>
          <w:sz w:val="20"/>
          <w:szCs w:val="20"/>
        </w:rPr>
        <w:t>.</w:t>
      </w:r>
    </w:p>
    <w:p w:rsidR="00F4081C" w:rsidRPr="006248A1" w:rsidRDefault="00F4081C" w:rsidP="005E3063">
      <w:pPr>
        <w:ind w:left="142" w:right="-49"/>
        <w:jc w:val="both"/>
        <w:rPr>
          <w:rFonts w:ascii="Century Gothic" w:eastAsia="MS Mincho" w:hAnsi="Century Gothic" w:cs="Arial"/>
          <w:sz w:val="20"/>
          <w:szCs w:val="20"/>
        </w:rPr>
      </w:pPr>
    </w:p>
    <w:p w:rsidR="00F4081C" w:rsidRPr="006248A1" w:rsidRDefault="00F4081C" w:rsidP="005E3063">
      <w:pPr>
        <w:tabs>
          <w:tab w:val="left" w:pos="10157"/>
          <w:tab w:val="left" w:pos="10206"/>
        </w:tabs>
        <w:ind w:left="142" w:right="-49"/>
        <w:jc w:val="both"/>
        <w:rPr>
          <w:rFonts w:ascii="Century Gothic" w:eastAsia="MS Mincho" w:hAnsi="Century Gothic" w:cs="Arial"/>
          <w:sz w:val="20"/>
          <w:szCs w:val="20"/>
        </w:rPr>
      </w:pPr>
      <w:r w:rsidRPr="006248A1">
        <w:rPr>
          <w:rFonts w:ascii="Century Gothic" w:eastAsia="MS Mincho" w:hAnsi="Century Gothic" w:cs="Arial"/>
          <w:sz w:val="20"/>
          <w:szCs w:val="20"/>
        </w:rPr>
        <w:t>En este sentido, el penúltimo párrafo del artículo 6 de la Ley de Coordinación Fiscal dispone:</w:t>
      </w:r>
    </w:p>
    <w:p w:rsidR="00F4081C" w:rsidRPr="006248A1" w:rsidRDefault="00F4081C" w:rsidP="005E3063">
      <w:pPr>
        <w:ind w:left="142" w:right="195"/>
        <w:jc w:val="both"/>
        <w:rPr>
          <w:rFonts w:ascii="Century Gothic" w:eastAsia="MS Mincho" w:hAnsi="Century Gothic" w:cs="Arial"/>
          <w:sz w:val="20"/>
          <w:szCs w:val="20"/>
        </w:rPr>
      </w:pPr>
    </w:p>
    <w:p w:rsidR="00F4081C" w:rsidRPr="006248A1" w:rsidRDefault="00F4081C" w:rsidP="005E3063">
      <w:pPr>
        <w:ind w:left="142" w:right="-49"/>
        <w:jc w:val="both"/>
        <w:rPr>
          <w:rFonts w:ascii="Century Gothic" w:eastAsia="MS Mincho" w:hAnsi="Century Gothic" w:cs="Arial"/>
          <w:sz w:val="20"/>
          <w:szCs w:val="20"/>
        </w:rPr>
      </w:pPr>
      <w:r w:rsidRPr="006248A1">
        <w:rPr>
          <w:rFonts w:ascii="Century Gothic" w:eastAsia="MS Mincho" w:hAnsi="Century Gothic" w:cs="Arial"/>
          <w:b/>
          <w:sz w:val="20"/>
          <w:szCs w:val="20"/>
        </w:rPr>
        <w:t>“</w:t>
      </w:r>
      <w:r w:rsidRPr="006248A1">
        <w:rPr>
          <w:rFonts w:ascii="Century Gothic" w:eastAsia="MS Mincho" w:hAnsi="Century Gothic" w:cs="Arial"/>
          <w:sz w:val="20"/>
          <w:szCs w:val="20"/>
        </w:rPr>
        <w:t xml:space="preserve">…Los Gobiernos de las entidades, a más tardar </w:t>
      </w:r>
      <w:bookmarkStart w:id="0" w:name="_GoBack"/>
      <w:r w:rsidRPr="00431E62">
        <w:rPr>
          <w:rFonts w:ascii="Century Gothic" w:eastAsia="MS Mincho" w:hAnsi="Century Gothic" w:cs="Arial"/>
          <w:sz w:val="20"/>
          <w:szCs w:val="20"/>
        </w:rPr>
        <w:t>el 15 de febrero, deberán</w:t>
      </w:r>
      <w:bookmarkEnd w:id="0"/>
      <w:r w:rsidR="002C2E59">
        <w:rPr>
          <w:rFonts w:ascii="Century Gothic" w:eastAsia="MS Mincho" w:hAnsi="Century Gothic" w:cs="Arial"/>
          <w:sz w:val="20"/>
          <w:szCs w:val="20"/>
        </w:rPr>
        <w:t xml:space="preserve"> </w:t>
      </w:r>
      <w:r w:rsidRPr="006248A1">
        <w:rPr>
          <w:rFonts w:ascii="Century Gothic" w:eastAsia="MS Mincho" w:hAnsi="Century Gothic" w:cs="Arial"/>
          <w:sz w:val="20"/>
          <w:szCs w:val="20"/>
        </w:rPr>
        <w:t>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municipios o demarcaciones territoriales. También deberán publicar trimestralmente en el Periódico Oficial, así como en la página oficial de Internet del gobierno de la entidad, el importe de las participaciones entregadas y, en su caso, el ajuste realizado al término de cada ejercicio fiscal. La Secretaría de Hacienda y Crédito Público publicará en el Diario Oficial de la Federación la lista de las entidades que incumplan con esta disposición. Las publicaciones anteriores se deberán realizar conforme a los lineamientos que al efecto emita la Secretaría de Hacienda y Crédito Público.</w:t>
      </w:r>
      <w:r w:rsidRPr="006248A1">
        <w:rPr>
          <w:rFonts w:ascii="Century Gothic" w:eastAsia="MS Mincho" w:hAnsi="Century Gothic" w:cs="Arial"/>
          <w:b/>
          <w:sz w:val="20"/>
          <w:szCs w:val="20"/>
        </w:rPr>
        <w:t>”</w:t>
      </w:r>
    </w:p>
    <w:p w:rsidR="00F4081C" w:rsidRPr="006248A1" w:rsidRDefault="00F4081C" w:rsidP="005E3063">
      <w:pPr>
        <w:ind w:left="142" w:right="-49"/>
        <w:jc w:val="both"/>
        <w:rPr>
          <w:rFonts w:ascii="Century Gothic" w:hAnsi="Century Gothic" w:cs="Arial"/>
          <w:sz w:val="20"/>
          <w:szCs w:val="20"/>
        </w:rPr>
      </w:pPr>
    </w:p>
    <w:p w:rsidR="00F4081C" w:rsidRPr="006248A1" w:rsidRDefault="00F4081C" w:rsidP="005E3063">
      <w:pPr>
        <w:ind w:left="142" w:right="-49"/>
        <w:jc w:val="both"/>
        <w:rPr>
          <w:rFonts w:ascii="Century Gothic" w:hAnsi="Century Gothic" w:cs="Arial"/>
          <w:sz w:val="20"/>
          <w:szCs w:val="20"/>
        </w:rPr>
      </w:pPr>
      <w:r w:rsidRPr="006248A1">
        <w:rPr>
          <w:rFonts w:ascii="Century Gothic" w:hAnsi="Century Gothic" w:cs="Arial"/>
          <w:sz w:val="20"/>
          <w:szCs w:val="20"/>
        </w:rPr>
        <w:t xml:space="preserve">La Secretaría de Hacienda y Crédito Público,  el día 14 de febrero de 2014, publicó el ”Acuerdo 02/2014 por el que se expiden los lineamientos para la publicación de la información a que se refiere el artículo 6o. de la ley de coordinación fiscal.”, previniendo en su numeral 5 fracción II que la publicación trimestral deberá ajustarse a lo siguiente: a) La información se publicará, mediante Acuerdo, en el órgano de difusión oficial del gobierno de la entidad federativa, así como a través de </w:t>
      </w:r>
      <w:r w:rsidRPr="006248A1">
        <w:rPr>
          <w:rFonts w:ascii="Century Gothic" w:hAnsi="Century Gothic" w:cs="Arial"/>
          <w:sz w:val="20"/>
          <w:szCs w:val="20"/>
        </w:rPr>
        <w:lastRenderedPageBreak/>
        <w:t>su página oficial de internet, a más tardar el día 15 del mes siguiente a aquel en que se termine el trimestre que corresponda informar (abril, julio, octubre y enero), de acuerdo con e</w:t>
      </w:r>
      <w:r w:rsidR="00681480" w:rsidRPr="006248A1">
        <w:rPr>
          <w:rFonts w:ascii="Century Gothic" w:hAnsi="Century Gothic" w:cs="Arial"/>
          <w:sz w:val="20"/>
          <w:szCs w:val="20"/>
        </w:rPr>
        <w:t xml:space="preserve">l formato del Anexo III de los </w:t>
      </w:r>
      <w:r w:rsidRPr="006248A1">
        <w:rPr>
          <w:rFonts w:ascii="Century Gothic" w:hAnsi="Century Gothic" w:cs="Arial"/>
          <w:sz w:val="20"/>
          <w:szCs w:val="20"/>
        </w:rPr>
        <w:t>Lineamientos; b) Se incluirán los montos de cada uno de los conceptos de las p</w:t>
      </w:r>
      <w:r w:rsidR="00176600">
        <w:rPr>
          <w:rFonts w:ascii="Century Gothic" w:hAnsi="Century Gothic" w:cs="Arial"/>
          <w:sz w:val="20"/>
          <w:szCs w:val="20"/>
        </w:rPr>
        <w:t xml:space="preserve">articipaciones federales que se </w:t>
      </w:r>
      <w:r w:rsidRPr="006248A1">
        <w:rPr>
          <w:rFonts w:ascii="Century Gothic" w:hAnsi="Century Gothic" w:cs="Arial"/>
          <w:sz w:val="20"/>
          <w:szCs w:val="20"/>
        </w:rPr>
        <w:t>entregaron a cada municipio. Dicha información deberá presentarse acumulada al trimestre que corresponda, con el desglose mensual respectivo del trimestre de que se trate; y c) Los montos de las participaciones federales que correspondan a los municipios deberán estar expresados en pesos, sin decimales.</w:t>
      </w:r>
    </w:p>
    <w:p w:rsidR="00F4081C" w:rsidRPr="006248A1" w:rsidRDefault="00F4081C" w:rsidP="005E3063">
      <w:pPr>
        <w:ind w:left="142" w:right="195"/>
        <w:jc w:val="both"/>
        <w:rPr>
          <w:rFonts w:ascii="Century Gothic" w:hAnsi="Century Gothic" w:cs="Arial"/>
          <w:sz w:val="20"/>
          <w:szCs w:val="20"/>
        </w:rPr>
      </w:pPr>
    </w:p>
    <w:p w:rsidR="00F4081C" w:rsidRPr="006248A1" w:rsidRDefault="00F4081C" w:rsidP="005E3063">
      <w:pPr>
        <w:ind w:left="142" w:right="-49"/>
        <w:jc w:val="both"/>
        <w:rPr>
          <w:rFonts w:ascii="Century Gothic" w:hAnsi="Century Gothic" w:cs="Arial"/>
          <w:sz w:val="20"/>
          <w:szCs w:val="20"/>
        </w:rPr>
      </w:pPr>
      <w:r w:rsidRPr="006248A1">
        <w:rPr>
          <w:rFonts w:ascii="Century Gothic" w:hAnsi="Century Gothic" w:cs="Arial"/>
          <w:sz w:val="20"/>
          <w:szCs w:val="20"/>
        </w:rPr>
        <w:t xml:space="preserve">Por las consideraciones vertidas, a más tardar el día 15 </w:t>
      </w:r>
      <w:r w:rsidRPr="00431E62">
        <w:rPr>
          <w:rFonts w:ascii="Century Gothic" w:hAnsi="Century Gothic" w:cs="Arial"/>
          <w:sz w:val="20"/>
          <w:szCs w:val="20"/>
        </w:rPr>
        <w:t xml:space="preserve">de </w:t>
      </w:r>
      <w:r w:rsidR="00462EDD">
        <w:rPr>
          <w:rFonts w:ascii="Century Gothic" w:hAnsi="Century Gothic" w:cs="Arial"/>
          <w:sz w:val="20"/>
          <w:szCs w:val="20"/>
        </w:rPr>
        <w:t>enero</w:t>
      </w:r>
      <w:r w:rsidR="002C2E59">
        <w:rPr>
          <w:rFonts w:ascii="Century Gothic" w:hAnsi="Century Gothic" w:cs="Arial"/>
          <w:sz w:val="20"/>
          <w:szCs w:val="20"/>
        </w:rPr>
        <w:t xml:space="preserve"> </w:t>
      </w:r>
      <w:r w:rsidR="00840B1B">
        <w:rPr>
          <w:rFonts w:ascii="Century Gothic" w:hAnsi="Century Gothic" w:cs="Arial"/>
          <w:sz w:val="20"/>
          <w:szCs w:val="20"/>
        </w:rPr>
        <w:t xml:space="preserve">de </w:t>
      </w:r>
      <w:r w:rsidR="00462EDD">
        <w:rPr>
          <w:rFonts w:ascii="Century Gothic" w:hAnsi="Century Gothic" w:cs="Arial"/>
          <w:sz w:val="20"/>
          <w:szCs w:val="20"/>
        </w:rPr>
        <w:t>2018</w:t>
      </w:r>
      <w:r w:rsidRPr="006248A1">
        <w:rPr>
          <w:rFonts w:ascii="Century Gothic" w:hAnsi="Century Gothic" w:cs="Arial"/>
          <w:sz w:val="20"/>
          <w:szCs w:val="20"/>
        </w:rPr>
        <w:t>, el Estado de Quintana Roo debe emitir el acuerdo correspondiente a las participaciones federales ministradas a los Municipios del Estado de Quintana Roo en el Trimestre</w:t>
      </w:r>
      <w:r w:rsidRPr="003E2323">
        <w:rPr>
          <w:rFonts w:ascii="Century Gothic" w:hAnsi="Century Gothic" w:cs="Arial"/>
          <w:sz w:val="20"/>
          <w:szCs w:val="20"/>
        </w:rPr>
        <w:t xml:space="preserve"> </w:t>
      </w:r>
      <w:r w:rsidR="00462EDD">
        <w:rPr>
          <w:rFonts w:ascii="Century Gothic" w:hAnsi="Century Gothic" w:cs="Arial"/>
          <w:sz w:val="20"/>
          <w:szCs w:val="20"/>
        </w:rPr>
        <w:t>IV</w:t>
      </w:r>
      <w:r w:rsidR="002C2E59">
        <w:rPr>
          <w:rFonts w:ascii="Century Gothic" w:hAnsi="Century Gothic" w:cs="Arial"/>
          <w:color w:val="FF0000"/>
          <w:sz w:val="20"/>
          <w:szCs w:val="20"/>
        </w:rPr>
        <w:t xml:space="preserve"> </w:t>
      </w:r>
      <w:r w:rsidRPr="006248A1">
        <w:rPr>
          <w:rFonts w:ascii="Century Gothic" w:hAnsi="Century Gothic" w:cs="Arial"/>
          <w:sz w:val="20"/>
          <w:szCs w:val="20"/>
        </w:rPr>
        <w:t xml:space="preserve">del Ejercicio Fiscal </w:t>
      </w:r>
      <w:r w:rsidR="009021E4">
        <w:rPr>
          <w:rFonts w:ascii="Century Gothic" w:hAnsi="Century Gothic" w:cs="Arial"/>
          <w:sz w:val="20"/>
          <w:szCs w:val="20"/>
        </w:rPr>
        <w:t>2017</w:t>
      </w:r>
      <w:r w:rsidRPr="006248A1">
        <w:rPr>
          <w:rFonts w:ascii="Century Gothic" w:hAnsi="Century Gothic" w:cs="Arial"/>
          <w:sz w:val="20"/>
          <w:szCs w:val="20"/>
        </w:rPr>
        <w:t>, acorde al anexo III del Acuerdo 02/2014, descrito en el párrafo inmediato anterior.</w:t>
      </w:r>
    </w:p>
    <w:p w:rsidR="00F4081C" w:rsidRPr="006248A1" w:rsidRDefault="00F4081C" w:rsidP="005E3063">
      <w:pPr>
        <w:ind w:left="142" w:right="195"/>
        <w:jc w:val="both"/>
        <w:rPr>
          <w:rFonts w:ascii="Century Gothic" w:hAnsi="Century Gothic" w:cs="Arial"/>
          <w:sz w:val="20"/>
          <w:szCs w:val="20"/>
        </w:rPr>
      </w:pPr>
    </w:p>
    <w:p w:rsidR="00F4081C" w:rsidRPr="006248A1" w:rsidRDefault="00F4081C" w:rsidP="005E3063">
      <w:pPr>
        <w:ind w:left="142" w:right="-49"/>
        <w:jc w:val="both"/>
        <w:rPr>
          <w:rFonts w:ascii="Century Gothic" w:hAnsi="Century Gothic" w:cs="Arial"/>
          <w:sz w:val="20"/>
          <w:szCs w:val="20"/>
        </w:rPr>
      </w:pPr>
      <w:r w:rsidRPr="006248A1">
        <w:rPr>
          <w:rFonts w:ascii="Century Gothic" w:hAnsi="Century Gothic" w:cs="Arial"/>
          <w:sz w:val="20"/>
          <w:szCs w:val="20"/>
        </w:rPr>
        <w:t>Estos recursos, producto del Federalismo Hacendario, sin duda, serán un beneficio importante para los Municipios de la Entidad que actualmente se encuentran incorporados al Sistema de Coordinación Fiscal del Estado de Quintana Roo y al Sistema Nacional de Coordinación Fiscal para el alcance de sus propios fines, ampliamente vinculados con el interés público y social, por lo que tengo a bien expedir el siguiente:</w:t>
      </w:r>
    </w:p>
    <w:p w:rsidR="00F4081C" w:rsidRPr="006248A1" w:rsidRDefault="00F4081C" w:rsidP="005E3063">
      <w:pPr>
        <w:ind w:left="142" w:right="195"/>
        <w:jc w:val="both"/>
        <w:rPr>
          <w:rFonts w:ascii="Century Gothic" w:hAnsi="Century Gothic" w:cs="Arial"/>
          <w:sz w:val="20"/>
          <w:szCs w:val="20"/>
        </w:rPr>
      </w:pPr>
    </w:p>
    <w:p w:rsidR="00F4081C" w:rsidRPr="006248A1" w:rsidRDefault="00F4081C" w:rsidP="005E3063">
      <w:pPr>
        <w:pStyle w:val="Textoindependiente2"/>
        <w:ind w:left="142" w:right="-49"/>
        <w:rPr>
          <w:rFonts w:ascii="Century Gothic" w:hAnsi="Century Gothic" w:cs="Arial"/>
          <w:sz w:val="20"/>
          <w:szCs w:val="20"/>
        </w:rPr>
      </w:pPr>
      <w:r w:rsidRPr="006248A1">
        <w:rPr>
          <w:rFonts w:ascii="Century Gothic" w:hAnsi="Century Gothic" w:cs="Arial"/>
          <w:sz w:val="20"/>
          <w:szCs w:val="20"/>
        </w:rPr>
        <w:t xml:space="preserve">ACUERDO POR EL QUE SE DA A CONOCER EL IMPORTE DE LAS PARTICIPACIONES FEDERALES MINISTRADAS A LOS MUNICIPIOS DEL ESTADO DE QUINTANA ROO, CORRESPONDIENTE AL </w:t>
      </w:r>
      <w:r w:rsidR="00462EDD">
        <w:rPr>
          <w:rFonts w:ascii="Century Gothic" w:hAnsi="Century Gothic" w:cs="Arial"/>
          <w:sz w:val="20"/>
          <w:szCs w:val="20"/>
        </w:rPr>
        <w:t>CUARTO</w:t>
      </w:r>
      <w:r w:rsidR="002C2E59">
        <w:rPr>
          <w:rFonts w:ascii="Century Gothic" w:hAnsi="Century Gothic" w:cs="Arial"/>
          <w:sz w:val="20"/>
          <w:szCs w:val="20"/>
        </w:rPr>
        <w:t xml:space="preserve"> </w:t>
      </w:r>
      <w:r w:rsidRPr="006248A1">
        <w:rPr>
          <w:rFonts w:ascii="Century Gothic" w:hAnsi="Century Gothic" w:cs="Arial"/>
          <w:sz w:val="20"/>
          <w:szCs w:val="20"/>
        </w:rPr>
        <w:t>TRI</w:t>
      </w:r>
      <w:r w:rsidR="009021E4">
        <w:rPr>
          <w:rFonts w:ascii="Century Gothic" w:hAnsi="Century Gothic" w:cs="Arial"/>
          <w:sz w:val="20"/>
          <w:szCs w:val="20"/>
        </w:rPr>
        <w:t>MESTRE DEL EJERCICIO FISCAL 2017</w:t>
      </w:r>
      <w:r w:rsidRPr="006248A1">
        <w:rPr>
          <w:rFonts w:ascii="Century Gothic" w:hAnsi="Century Gothic" w:cs="Arial"/>
          <w:sz w:val="20"/>
          <w:szCs w:val="20"/>
        </w:rPr>
        <w:t>.</w:t>
      </w:r>
    </w:p>
    <w:p w:rsidR="00F4081C" w:rsidRPr="006248A1" w:rsidRDefault="00F4081C" w:rsidP="005E3063">
      <w:pPr>
        <w:ind w:left="142" w:right="195"/>
        <w:jc w:val="both"/>
        <w:rPr>
          <w:rFonts w:ascii="Century Gothic" w:hAnsi="Century Gothic" w:cs="Arial"/>
          <w:sz w:val="20"/>
          <w:szCs w:val="20"/>
        </w:rPr>
      </w:pPr>
    </w:p>
    <w:p w:rsidR="00130175" w:rsidRPr="006248A1" w:rsidRDefault="00F4081C" w:rsidP="005E3063">
      <w:pPr>
        <w:ind w:left="142" w:right="-49"/>
        <w:jc w:val="both"/>
        <w:rPr>
          <w:rFonts w:ascii="Century Gothic" w:hAnsi="Century Gothic" w:cs="Arial"/>
          <w:sz w:val="20"/>
          <w:szCs w:val="20"/>
        </w:rPr>
      </w:pPr>
      <w:r w:rsidRPr="006248A1">
        <w:rPr>
          <w:rFonts w:ascii="Century Gothic" w:hAnsi="Century Gothic" w:cs="Arial"/>
          <w:b/>
          <w:bCs/>
          <w:sz w:val="20"/>
          <w:szCs w:val="20"/>
        </w:rPr>
        <w:t xml:space="preserve">PRIMERO. </w:t>
      </w:r>
      <w:r w:rsidRPr="006248A1">
        <w:rPr>
          <w:rFonts w:ascii="Century Gothic" w:hAnsi="Century Gothic" w:cs="Arial"/>
          <w:sz w:val="20"/>
          <w:szCs w:val="20"/>
        </w:rPr>
        <w:t>El importe de las participaciones federales ministradas a los municipios del Estado de Quintana Roo durante</w:t>
      </w:r>
      <w:r w:rsidR="00604761" w:rsidRPr="006248A1">
        <w:rPr>
          <w:rFonts w:ascii="Century Gothic" w:hAnsi="Century Gothic" w:cs="Arial"/>
          <w:sz w:val="20"/>
          <w:szCs w:val="20"/>
        </w:rPr>
        <w:t xml:space="preserve"> el</w:t>
      </w:r>
      <w:r w:rsidR="002C2E59">
        <w:rPr>
          <w:rFonts w:ascii="Century Gothic" w:hAnsi="Century Gothic" w:cs="Arial"/>
          <w:sz w:val="20"/>
          <w:szCs w:val="20"/>
        </w:rPr>
        <w:t xml:space="preserve"> </w:t>
      </w:r>
      <w:r w:rsidR="00462EDD">
        <w:rPr>
          <w:rFonts w:ascii="Century Gothic" w:hAnsi="Century Gothic" w:cs="Arial"/>
          <w:sz w:val="20"/>
          <w:szCs w:val="20"/>
        </w:rPr>
        <w:t>cuarto</w:t>
      </w:r>
      <w:r w:rsidR="002C2E59">
        <w:rPr>
          <w:rFonts w:ascii="Century Gothic" w:hAnsi="Century Gothic" w:cs="Arial"/>
          <w:sz w:val="20"/>
          <w:szCs w:val="20"/>
        </w:rPr>
        <w:t xml:space="preserve"> </w:t>
      </w:r>
      <w:r w:rsidRPr="006248A1">
        <w:rPr>
          <w:rFonts w:ascii="Century Gothic" w:hAnsi="Century Gothic" w:cs="Arial"/>
          <w:sz w:val="20"/>
          <w:szCs w:val="20"/>
        </w:rPr>
        <w:t>tri</w:t>
      </w:r>
      <w:r w:rsidR="009021E4">
        <w:rPr>
          <w:rFonts w:ascii="Century Gothic" w:hAnsi="Century Gothic" w:cs="Arial"/>
          <w:sz w:val="20"/>
          <w:szCs w:val="20"/>
        </w:rPr>
        <w:t>mestre del ejercicio fiscal 2017</w:t>
      </w:r>
      <w:r w:rsidRPr="006248A1">
        <w:rPr>
          <w:rFonts w:ascii="Century Gothic" w:hAnsi="Century Gothic" w:cs="Arial"/>
          <w:sz w:val="20"/>
          <w:szCs w:val="20"/>
        </w:rPr>
        <w:t>, se realizó con base a la distribución</w:t>
      </w:r>
      <w:r w:rsidR="00681480" w:rsidRPr="006248A1">
        <w:rPr>
          <w:rFonts w:ascii="Century Gothic" w:hAnsi="Century Gothic" w:cs="Arial"/>
          <w:sz w:val="20"/>
          <w:szCs w:val="20"/>
        </w:rPr>
        <w:t xml:space="preserve"> siguiente</w:t>
      </w:r>
      <w:r w:rsidRPr="006248A1">
        <w:rPr>
          <w:rFonts w:ascii="Century Gothic" w:hAnsi="Century Gothic" w:cs="Arial"/>
          <w:sz w:val="20"/>
          <w:szCs w:val="20"/>
        </w:rPr>
        <w:t>:</w:t>
      </w:r>
    </w:p>
    <w:p w:rsidR="00130175" w:rsidRPr="006248A1" w:rsidRDefault="00130175" w:rsidP="005E3063">
      <w:pPr>
        <w:ind w:left="142" w:right="-49"/>
        <w:jc w:val="both"/>
        <w:rPr>
          <w:rFonts w:ascii="Century Gothic" w:hAnsi="Century Gothic" w:cs="Arial"/>
          <w:sz w:val="20"/>
          <w:szCs w:val="20"/>
        </w:rPr>
      </w:pPr>
    </w:p>
    <w:p w:rsidR="00EE72F9" w:rsidRPr="005E3063" w:rsidRDefault="005E2730" w:rsidP="005E3063">
      <w:pPr>
        <w:pStyle w:val="Prrafodelista"/>
        <w:numPr>
          <w:ilvl w:val="0"/>
          <w:numId w:val="1"/>
        </w:numPr>
        <w:ind w:right="-49"/>
        <w:jc w:val="both"/>
        <w:rPr>
          <w:rFonts w:ascii="Century Gothic" w:hAnsi="Century Gothic" w:cs="Arial"/>
          <w:sz w:val="20"/>
          <w:szCs w:val="20"/>
        </w:rPr>
      </w:pPr>
      <w:r w:rsidRPr="006248A1">
        <w:rPr>
          <w:rFonts w:ascii="Century Gothic" w:hAnsi="Century Gothic" w:cs="Arial"/>
          <w:sz w:val="20"/>
          <w:szCs w:val="20"/>
        </w:rPr>
        <w:t>Acumulada al trimestre:</w:t>
      </w:r>
    </w:p>
    <w:p w:rsidR="00133893" w:rsidRPr="005E3063" w:rsidRDefault="00133893" w:rsidP="005E3063">
      <w:pPr>
        <w:ind w:right="-49"/>
        <w:jc w:val="both"/>
        <w:rPr>
          <w:rFonts w:ascii="Century Gothic" w:hAnsi="Century Gothic" w:cs="Arial"/>
          <w:sz w:val="20"/>
          <w:szCs w:val="20"/>
        </w:rPr>
      </w:pPr>
    </w:p>
    <w:p w:rsidR="00EE72F9" w:rsidRDefault="00462EDD" w:rsidP="00520E55">
      <w:pPr>
        <w:ind w:right="-49"/>
        <w:jc w:val="both"/>
        <w:rPr>
          <w:rFonts w:ascii="Century Gothic" w:hAnsi="Century Gothic"/>
          <w:color w:val="2C3238"/>
          <w:sz w:val="12"/>
          <w:szCs w:val="12"/>
          <w:lang w:eastAsia="es-MX"/>
        </w:rPr>
      </w:pPr>
      <w:r w:rsidRPr="00462EDD">
        <w:rPr>
          <w:noProof/>
          <w:szCs w:val="12"/>
          <w:lang w:val="es-MX" w:eastAsia="es-MX"/>
        </w:rPr>
        <w:drawing>
          <wp:inline distT="0" distB="0" distL="0" distR="0">
            <wp:extent cx="6449695" cy="2263161"/>
            <wp:effectExtent l="19050" t="0" r="825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49695" cy="2263161"/>
                    </a:xfrm>
                    <a:prstGeom prst="rect">
                      <a:avLst/>
                    </a:prstGeom>
                    <a:noFill/>
                    <a:ln w="9525">
                      <a:noFill/>
                      <a:miter lim="800000"/>
                      <a:headEnd/>
                      <a:tailEnd/>
                    </a:ln>
                  </pic:spPr>
                </pic:pic>
              </a:graphicData>
            </a:graphic>
          </wp:inline>
        </w:drawing>
      </w:r>
    </w:p>
    <w:p w:rsidR="00C7151B" w:rsidRDefault="00C7151B" w:rsidP="00520E55">
      <w:pPr>
        <w:ind w:right="-49"/>
        <w:jc w:val="both"/>
        <w:rPr>
          <w:rFonts w:ascii="Century Gothic" w:hAnsi="Century Gothic"/>
          <w:color w:val="2C3238"/>
          <w:sz w:val="12"/>
          <w:szCs w:val="12"/>
          <w:lang w:eastAsia="es-MX"/>
        </w:rPr>
      </w:pPr>
    </w:p>
    <w:p w:rsidR="00C7151B" w:rsidRDefault="00C7151B" w:rsidP="00520E55">
      <w:pPr>
        <w:ind w:right="-49"/>
        <w:jc w:val="both"/>
        <w:rPr>
          <w:rFonts w:ascii="Century Gothic" w:hAnsi="Century Gothic"/>
          <w:color w:val="2C3238"/>
          <w:sz w:val="12"/>
          <w:szCs w:val="12"/>
          <w:lang w:eastAsia="es-MX"/>
        </w:rPr>
      </w:pPr>
    </w:p>
    <w:p w:rsidR="005E3063" w:rsidRPr="0035293F" w:rsidRDefault="005E3063" w:rsidP="00520E55">
      <w:pPr>
        <w:ind w:right="-49"/>
        <w:jc w:val="both"/>
        <w:rPr>
          <w:rFonts w:ascii="Century Gothic" w:hAnsi="Century Gothic"/>
          <w:color w:val="2C3238"/>
          <w:sz w:val="12"/>
          <w:szCs w:val="12"/>
          <w:lang w:eastAsia="es-MX"/>
        </w:rPr>
      </w:pPr>
    </w:p>
    <w:p w:rsidR="005E2730" w:rsidRPr="006248A1" w:rsidRDefault="005E2730" w:rsidP="005E2730">
      <w:pPr>
        <w:pStyle w:val="Prrafodelista"/>
        <w:numPr>
          <w:ilvl w:val="0"/>
          <w:numId w:val="1"/>
        </w:numPr>
        <w:ind w:right="-49"/>
        <w:jc w:val="both"/>
        <w:rPr>
          <w:rFonts w:ascii="Century Gothic" w:hAnsi="Century Gothic" w:cs="Arial"/>
          <w:sz w:val="20"/>
          <w:szCs w:val="20"/>
        </w:rPr>
      </w:pPr>
      <w:r w:rsidRPr="006248A1">
        <w:rPr>
          <w:rFonts w:ascii="Century Gothic" w:hAnsi="Century Gothic" w:cs="Arial"/>
          <w:sz w:val="20"/>
          <w:szCs w:val="20"/>
        </w:rPr>
        <w:lastRenderedPageBreak/>
        <w:t>Desglose mensual:</w:t>
      </w:r>
    </w:p>
    <w:p w:rsidR="00EE72F9" w:rsidRPr="00EE72F9" w:rsidRDefault="00EE72F9" w:rsidP="00EE72F9">
      <w:pPr>
        <w:ind w:right="-49"/>
        <w:jc w:val="both"/>
        <w:rPr>
          <w:rFonts w:ascii="Century Gothic" w:hAnsi="Century Gothic" w:cs="Arial"/>
          <w:sz w:val="22"/>
          <w:szCs w:val="22"/>
        </w:rPr>
      </w:pPr>
    </w:p>
    <w:p w:rsidR="006248A1" w:rsidRPr="006248A1" w:rsidRDefault="00462EDD" w:rsidP="006248A1">
      <w:pPr>
        <w:ind w:right="-49"/>
        <w:jc w:val="both"/>
        <w:rPr>
          <w:rFonts w:ascii="Century Gothic" w:hAnsi="Century Gothic" w:cs="Arial"/>
          <w:sz w:val="22"/>
          <w:szCs w:val="22"/>
        </w:rPr>
      </w:pPr>
      <w:r w:rsidRPr="00462EDD">
        <w:rPr>
          <w:noProof/>
          <w:szCs w:val="22"/>
          <w:lang w:val="es-MX" w:eastAsia="es-MX"/>
        </w:rPr>
        <w:drawing>
          <wp:inline distT="0" distB="0" distL="0" distR="0">
            <wp:extent cx="6449695" cy="2249775"/>
            <wp:effectExtent l="19050" t="0" r="8255"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449695" cy="2249775"/>
                    </a:xfrm>
                    <a:prstGeom prst="rect">
                      <a:avLst/>
                    </a:prstGeom>
                    <a:noFill/>
                    <a:ln w="9525">
                      <a:noFill/>
                      <a:miter lim="800000"/>
                      <a:headEnd/>
                      <a:tailEnd/>
                    </a:ln>
                  </pic:spPr>
                </pic:pic>
              </a:graphicData>
            </a:graphic>
          </wp:inline>
        </w:drawing>
      </w:r>
    </w:p>
    <w:p w:rsidR="00133893" w:rsidRPr="0035293F" w:rsidRDefault="00133893" w:rsidP="00133893">
      <w:pPr>
        <w:pStyle w:val="Prrafodelista"/>
        <w:ind w:left="786" w:right="-49"/>
        <w:jc w:val="both"/>
        <w:rPr>
          <w:rFonts w:ascii="Century Gothic" w:hAnsi="Century Gothic" w:cs="Arial"/>
          <w:sz w:val="22"/>
          <w:szCs w:val="22"/>
        </w:rPr>
      </w:pPr>
    </w:p>
    <w:p w:rsidR="006248A1" w:rsidRDefault="006248A1" w:rsidP="00520E55">
      <w:pPr>
        <w:ind w:right="-49"/>
        <w:jc w:val="both"/>
        <w:rPr>
          <w:rFonts w:ascii="Century Gothic" w:hAnsi="Century Gothic" w:cs="Arial"/>
          <w:sz w:val="22"/>
          <w:szCs w:val="22"/>
        </w:rPr>
      </w:pPr>
    </w:p>
    <w:p w:rsidR="006248A1" w:rsidRDefault="00462EDD" w:rsidP="00520E55">
      <w:pPr>
        <w:ind w:right="-49"/>
        <w:jc w:val="both"/>
        <w:rPr>
          <w:rFonts w:ascii="Century Gothic" w:hAnsi="Century Gothic" w:cs="Arial"/>
          <w:sz w:val="22"/>
          <w:szCs w:val="22"/>
        </w:rPr>
      </w:pPr>
      <w:r w:rsidRPr="00462EDD">
        <w:rPr>
          <w:noProof/>
          <w:szCs w:val="22"/>
          <w:lang w:val="es-MX" w:eastAsia="es-MX"/>
        </w:rPr>
        <w:drawing>
          <wp:inline distT="0" distB="0" distL="0" distR="0">
            <wp:extent cx="6449695" cy="2136380"/>
            <wp:effectExtent l="19050" t="0" r="8255"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449695" cy="2136380"/>
                    </a:xfrm>
                    <a:prstGeom prst="rect">
                      <a:avLst/>
                    </a:prstGeom>
                    <a:noFill/>
                    <a:ln w="9525">
                      <a:noFill/>
                      <a:miter lim="800000"/>
                      <a:headEnd/>
                      <a:tailEnd/>
                    </a:ln>
                  </pic:spPr>
                </pic:pic>
              </a:graphicData>
            </a:graphic>
          </wp:inline>
        </w:drawing>
      </w:r>
    </w:p>
    <w:p w:rsidR="006248A1" w:rsidRPr="0035293F" w:rsidRDefault="006248A1" w:rsidP="00520E55">
      <w:pPr>
        <w:ind w:right="-49"/>
        <w:jc w:val="both"/>
        <w:rPr>
          <w:rFonts w:ascii="Century Gothic" w:hAnsi="Century Gothic" w:cs="Arial"/>
          <w:sz w:val="22"/>
          <w:szCs w:val="22"/>
        </w:rPr>
      </w:pPr>
    </w:p>
    <w:p w:rsidR="005E2730" w:rsidRPr="0035293F" w:rsidRDefault="005E2730" w:rsidP="005E2730">
      <w:pPr>
        <w:ind w:right="-49"/>
        <w:jc w:val="both"/>
        <w:rPr>
          <w:rFonts w:ascii="Century Gothic" w:hAnsi="Century Gothic" w:cs="Arial"/>
          <w:b/>
          <w:bCs/>
          <w:sz w:val="20"/>
          <w:szCs w:val="20"/>
        </w:rPr>
      </w:pPr>
    </w:p>
    <w:p w:rsidR="005E2730" w:rsidRPr="0035293F" w:rsidRDefault="005E2730" w:rsidP="005E2730">
      <w:pPr>
        <w:ind w:right="-49"/>
        <w:jc w:val="both"/>
        <w:rPr>
          <w:rFonts w:ascii="Century Gothic" w:hAnsi="Century Gothic" w:cs="Arial"/>
          <w:b/>
          <w:bCs/>
          <w:sz w:val="20"/>
          <w:szCs w:val="20"/>
        </w:rPr>
      </w:pPr>
    </w:p>
    <w:p w:rsidR="00133893" w:rsidRPr="0035293F" w:rsidRDefault="00462EDD" w:rsidP="00133893">
      <w:pPr>
        <w:ind w:right="-49"/>
        <w:jc w:val="both"/>
        <w:rPr>
          <w:rFonts w:ascii="Century Gothic" w:hAnsi="Century Gothic" w:cs="Arial"/>
          <w:b/>
          <w:bCs/>
          <w:sz w:val="20"/>
          <w:szCs w:val="20"/>
        </w:rPr>
      </w:pPr>
      <w:r w:rsidRPr="00462EDD">
        <w:rPr>
          <w:noProof/>
          <w:szCs w:val="20"/>
          <w:lang w:val="es-MX" w:eastAsia="es-MX"/>
        </w:rPr>
        <w:lastRenderedPageBreak/>
        <w:drawing>
          <wp:inline distT="0" distB="0" distL="0" distR="0">
            <wp:extent cx="6449695" cy="2136380"/>
            <wp:effectExtent l="19050" t="0" r="8255"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449695" cy="2136380"/>
                    </a:xfrm>
                    <a:prstGeom prst="rect">
                      <a:avLst/>
                    </a:prstGeom>
                    <a:noFill/>
                    <a:ln w="9525">
                      <a:noFill/>
                      <a:miter lim="800000"/>
                      <a:headEnd/>
                      <a:tailEnd/>
                    </a:ln>
                  </pic:spPr>
                </pic:pic>
              </a:graphicData>
            </a:graphic>
          </wp:inline>
        </w:drawing>
      </w:r>
    </w:p>
    <w:p w:rsidR="00284B8F" w:rsidRPr="006248A1" w:rsidRDefault="00284B8F" w:rsidP="0057499E">
      <w:pPr>
        <w:ind w:left="142" w:right="-49"/>
        <w:jc w:val="both"/>
        <w:rPr>
          <w:rFonts w:ascii="Century Gothic" w:hAnsi="Century Gothic" w:cs="Arial"/>
          <w:b/>
          <w:bCs/>
          <w:sz w:val="20"/>
          <w:szCs w:val="20"/>
        </w:rPr>
      </w:pPr>
    </w:p>
    <w:p w:rsidR="00F4081C" w:rsidRPr="006248A1" w:rsidRDefault="00F4081C" w:rsidP="0057499E">
      <w:pPr>
        <w:ind w:left="142" w:right="-49"/>
        <w:jc w:val="both"/>
        <w:rPr>
          <w:rFonts w:ascii="Century Gothic" w:hAnsi="Century Gothic" w:cs="Arial"/>
          <w:sz w:val="20"/>
          <w:szCs w:val="20"/>
        </w:rPr>
      </w:pPr>
      <w:r w:rsidRPr="006248A1">
        <w:rPr>
          <w:rFonts w:ascii="Century Gothic" w:hAnsi="Century Gothic" w:cs="Arial"/>
          <w:b/>
          <w:bCs/>
          <w:sz w:val="20"/>
          <w:szCs w:val="20"/>
        </w:rPr>
        <w:t>SEGUNDO.</w:t>
      </w:r>
      <w:r w:rsidRPr="006248A1">
        <w:rPr>
          <w:rFonts w:ascii="Century Gothic" w:hAnsi="Century Gothic" w:cs="Arial"/>
          <w:sz w:val="20"/>
          <w:szCs w:val="20"/>
        </w:rPr>
        <w:t xml:space="preserve"> El presente Acuerdo da cumplimiento a lo establecido en el penúltimo párrafo del Artículo 6 de la Ley de Coordinación Fiscal, aprobada por el Congreso de la Unión.</w:t>
      </w:r>
    </w:p>
    <w:p w:rsidR="00F4081C" w:rsidRPr="006248A1" w:rsidRDefault="00F4081C" w:rsidP="0057499E">
      <w:pPr>
        <w:ind w:left="142" w:right="195"/>
        <w:jc w:val="both"/>
        <w:rPr>
          <w:rFonts w:ascii="Century Gothic" w:hAnsi="Century Gothic" w:cs="Arial"/>
          <w:sz w:val="20"/>
          <w:szCs w:val="20"/>
        </w:rPr>
      </w:pPr>
    </w:p>
    <w:p w:rsidR="006248A1" w:rsidRPr="006248A1" w:rsidRDefault="006248A1" w:rsidP="0057499E">
      <w:pPr>
        <w:ind w:left="142" w:right="195"/>
        <w:jc w:val="both"/>
        <w:rPr>
          <w:rFonts w:ascii="Century Gothic" w:hAnsi="Century Gothic" w:cs="Arial"/>
          <w:sz w:val="20"/>
          <w:szCs w:val="20"/>
        </w:rPr>
      </w:pPr>
    </w:p>
    <w:p w:rsidR="00F4081C" w:rsidRPr="006248A1" w:rsidRDefault="00F4081C" w:rsidP="0057499E">
      <w:pPr>
        <w:pStyle w:val="Ttulo1"/>
        <w:ind w:left="142" w:right="195"/>
        <w:rPr>
          <w:rFonts w:ascii="Century Gothic" w:hAnsi="Century Gothic" w:cs="Arial"/>
          <w:sz w:val="20"/>
          <w:szCs w:val="20"/>
        </w:rPr>
      </w:pPr>
      <w:r w:rsidRPr="006248A1">
        <w:rPr>
          <w:rFonts w:ascii="Century Gothic" w:hAnsi="Century Gothic" w:cs="Arial"/>
          <w:sz w:val="20"/>
          <w:szCs w:val="20"/>
        </w:rPr>
        <w:t>TRANSITORIO</w:t>
      </w:r>
    </w:p>
    <w:p w:rsidR="00EE72F9" w:rsidRPr="006248A1" w:rsidRDefault="00EE72F9" w:rsidP="00EE72F9">
      <w:pPr>
        <w:ind w:right="195"/>
        <w:jc w:val="both"/>
        <w:rPr>
          <w:rFonts w:ascii="Century Gothic" w:hAnsi="Century Gothic" w:cs="Arial"/>
          <w:sz w:val="20"/>
          <w:szCs w:val="20"/>
        </w:rPr>
      </w:pPr>
    </w:p>
    <w:p w:rsidR="00F4081C" w:rsidRPr="006248A1" w:rsidRDefault="00F4081C" w:rsidP="0057499E">
      <w:pPr>
        <w:ind w:left="142" w:right="-49"/>
        <w:jc w:val="both"/>
        <w:rPr>
          <w:rFonts w:ascii="Century Gothic" w:hAnsi="Century Gothic" w:cs="Arial"/>
          <w:sz w:val="20"/>
          <w:szCs w:val="20"/>
        </w:rPr>
      </w:pPr>
      <w:r w:rsidRPr="006248A1">
        <w:rPr>
          <w:rFonts w:ascii="Century Gothic" w:hAnsi="Century Gothic" w:cs="Arial"/>
          <w:b/>
          <w:bCs/>
          <w:sz w:val="20"/>
          <w:szCs w:val="20"/>
        </w:rPr>
        <w:t>ÚNICO.</w:t>
      </w:r>
      <w:r w:rsidRPr="006248A1">
        <w:rPr>
          <w:rFonts w:ascii="Century Gothic" w:hAnsi="Century Gothic" w:cs="Arial"/>
          <w:sz w:val="20"/>
          <w:szCs w:val="20"/>
        </w:rPr>
        <w:t xml:space="preserve"> Publíquese en el Periódico Oficial del Estado de Quintana Roo a más tardar el día </w:t>
      </w:r>
      <w:r w:rsidR="0068406F" w:rsidRPr="006248A1">
        <w:rPr>
          <w:rFonts w:ascii="Century Gothic" w:hAnsi="Century Gothic" w:cs="Arial"/>
          <w:sz w:val="20"/>
          <w:szCs w:val="20"/>
        </w:rPr>
        <w:t xml:space="preserve">quince de </w:t>
      </w:r>
      <w:r w:rsidR="00462EDD">
        <w:rPr>
          <w:rFonts w:ascii="Century Gothic" w:hAnsi="Century Gothic" w:cs="Arial"/>
          <w:sz w:val="20"/>
          <w:szCs w:val="20"/>
        </w:rPr>
        <w:t>enero</w:t>
      </w:r>
      <w:r w:rsidR="002C2E59">
        <w:rPr>
          <w:rFonts w:ascii="Century Gothic" w:hAnsi="Century Gothic" w:cs="Arial"/>
          <w:sz w:val="20"/>
          <w:szCs w:val="20"/>
        </w:rPr>
        <w:t xml:space="preserve"> </w:t>
      </w:r>
      <w:r w:rsidR="00462EDD">
        <w:rPr>
          <w:rFonts w:ascii="Century Gothic" w:hAnsi="Century Gothic" w:cs="Arial"/>
          <w:sz w:val="20"/>
          <w:szCs w:val="20"/>
        </w:rPr>
        <w:t>de 2018</w:t>
      </w:r>
      <w:r w:rsidRPr="006248A1">
        <w:rPr>
          <w:rFonts w:ascii="Century Gothic" w:hAnsi="Century Gothic" w:cs="Arial"/>
          <w:sz w:val="20"/>
          <w:szCs w:val="20"/>
        </w:rPr>
        <w:t>.</w:t>
      </w:r>
    </w:p>
    <w:p w:rsidR="00EE72F9" w:rsidRPr="006248A1" w:rsidRDefault="00EE72F9" w:rsidP="00EE72F9">
      <w:pPr>
        <w:ind w:right="195"/>
        <w:jc w:val="both"/>
        <w:rPr>
          <w:rFonts w:ascii="Century Gothic" w:hAnsi="Century Gothic" w:cs="Arial"/>
          <w:sz w:val="20"/>
          <w:szCs w:val="20"/>
        </w:rPr>
      </w:pPr>
    </w:p>
    <w:p w:rsidR="00F4081C" w:rsidRDefault="002C2E59" w:rsidP="0057499E">
      <w:pPr>
        <w:pStyle w:val="Textoindependiente2"/>
        <w:ind w:left="142" w:right="-49"/>
        <w:rPr>
          <w:rFonts w:ascii="Century Gothic" w:hAnsi="Century Gothic" w:cs="Arial"/>
          <w:sz w:val="20"/>
          <w:szCs w:val="20"/>
        </w:rPr>
      </w:pPr>
      <w:r w:rsidRPr="006248A1">
        <w:rPr>
          <w:rFonts w:ascii="Century Gothic" w:hAnsi="Century Gothic" w:cs="Arial"/>
          <w:sz w:val="20"/>
          <w:szCs w:val="20"/>
        </w:rPr>
        <w:t>DADO</w:t>
      </w:r>
      <w:r w:rsidR="003E2323">
        <w:rPr>
          <w:rFonts w:ascii="Century Gothic" w:hAnsi="Century Gothic" w:cs="Arial"/>
          <w:sz w:val="20"/>
          <w:szCs w:val="20"/>
        </w:rPr>
        <w:t xml:space="preserve"> EN</w:t>
      </w:r>
      <w:r w:rsidRPr="006248A1">
        <w:rPr>
          <w:rFonts w:ascii="Century Gothic" w:hAnsi="Century Gothic" w:cs="Arial"/>
          <w:sz w:val="20"/>
          <w:szCs w:val="20"/>
        </w:rPr>
        <w:t xml:space="preserve"> LA CIUDAD DE CHETUMAL, CAPITAL DEL ESTADO DE QUINTANA ROO, EL DÍA </w:t>
      </w:r>
      <w:r w:rsidR="00660018">
        <w:rPr>
          <w:rFonts w:ascii="Century Gothic" w:hAnsi="Century Gothic" w:cs="Arial"/>
          <w:sz w:val="20"/>
          <w:szCs w:val="20"/>
        </w:rPr>
        <w:t>TRES</w:t>
      </w:r>
      <w:r>
        <w:rPr>
          <w:rFonts w:ascii="Century Gothic" w:hAnsi="Century Gothic" w:cs="Arial"/>
          <w:sz w:val="20"/>
          <w:szCs w:val="20"/>
        </w:rPr>
        <w:t xml:space="preserve"> </w:t>
      </w:r>
      <w:r w:rsidRPr="006248A1">
        <w:rPr>
          <w:rFonts w:ascii="Century Gothic" w:hAnsi="Century Gothic" w:cs="Arial"/>
          <w:sz w:val="20"/>
          <w:szCs w:val="20"/>
        </w:rPr>
        <w:t xml:space="preserve">DEL MES DE </w:t>
      </w:r>
      <w:r w:rsidR="00660018">
        <w:rPr>
          <w:rFonts w:ascii="Century Gothic" w:hAnsi="Century Gothic" w:cs="Arial"/>
          <w:sz w:val="20"/>
          <w:szCs w:val="20"/>
        </w:rPr>
        <w:t>ENERO</w:t>
      </w:r>
      <w:r>
        <w:rPr>
          <w:rFonts w:ascii="Century Gothic" w:hAnsi="Century Gothic" w:cs="Arial"/>
          <w:sz w:val="20"/>
          <w:szCs w:val="20"/>
        </w:rPr>
        <w:t xml:space="preserve"> DEL AÑO DOS MIL DIECISIETE</w:t>
      </w:r>
      <w:r w:rsidRPr="006248A1">
        <w:rPr>
          <w:rFonts w:ascii="Century Gothic" w:hAnsi="Century Gothic" w:cs="Arial"/>
          <w:sz w:val="20"/>
          <w:szCs w:val="20"/>
        </w:rPr>
        <w:t>.</w:t>
      </w:r>
    </w:p>
    <w:p w:rsidR="00462EDD" w:rsidRDefault="00462EDD" w:rsidP="0057499E">
      <w:pPr>
        <w:pStyle w:val="Textoindependiente2"/>
        <w:ind w:left="142" w:right="-49"/>
        <w:rPr>
          <w:rFonts w:ascii="Century Gothic" w:hAnsi="Century Gothic" w:cs="Arial"/>
          <w:sz w:val="20"/>
          <w:szCs w:val="20"/>
        </w:rPr>
      </w:pPr>
    </w:p>
    <w:p w:rsidR="003E2C99" w:rsidRPr="006248A1" w:rsidRDefault="00464977" w:rsidP="0057499E">
      <w:pPr>
        <w:pStyle w:val="Textoindependiente2"/>
        <w:ind w:left="142" w:right="-49"/>
        <w:rPr>
          <w:rFonts w:ascii="Century Gothic" w:hAnsi="Century Gothic" w:cs="Arial"/>
          <w:sz w:val="20"/>
          <w:szCs w:val="20"/>
        </w:rPr>
      </w:pPr>
      <w:r w:rsidRPr="00464977">
        <w:rPr>
          <w:rFonts w:ascii="Century Gothic" w:hAnsi="Century Gothic" w:cs="Arial"/>
          <w:noProof/>
          <w:sz w:val="20"/>
          <w:szCs w:val="20"/>
          <w:lang w:eastAsia="en-US"/>
        </w:rPr>
        <w:pict>
          <v:shapetype id="_x0000_t202" coordsize="21600,21600" o:spt="202" path="m,l,21600r21600,l21600,xe">
            <v:stroke joinstyle="miter"/>
            <v:path gradientshapeok="t" o:connecttype="rect"/>
          </v:shapetype>
          <v:shape id="_x0000_s1026" type="#_x0000_t202" style="position:absolute;left:0;text-align:left;margin-left:141.1pt;margin-top:8.5pt;width:203.15pt;height:143.6pt;z-index:251660288;mso-width-percent:400;mso-height-percent:200;mso-width-percent:400;mso-height-percent:200;mso-width-relative:margin;mso-height-relative:margin" filled="f" stroked="f">
            <v:textbox style="mso-fit-shape-to-text:t">
              <w:txbxContent>
                <w:p w:rsidR="003E2C99" w:rsidRPr="006248A1" w:rsidRDefault="003E2C99" w:rsidP="00462EDD">
                  <w:pPr>
                    <w:ind w:left="142" w:right="195"/>
                    <w:jc w:val="center"/>
                    <w:rPr>
                      <w:rFonts w:ascii="Century Gothic" w:hAnsi="Century Gothic" w:cs="Arial"/>
                      <w:b/>
                      <w:bCs/>
                      <w:sz w:val="20"/>
                      <w:szCs w:val="20"/>
                    </w:rPr>
                  </w:pPr>
                  <w:r w:rsidRPr="006248A1">
                    <w:rPr>
                      <w:rFonts w:ascii="Century Gothic" w:hAnsi="Century Gothic" w:cs="Arial"/>
                      <w:b/>
                      <w:bCs/>
                      <w:sz w:val="20"/>
                      <w:szCs w:val="20"/>
                    </w:rPr>
                    <w:t xml:space="preserve">EL </w:t>
                  </w:r>
                  <w:r>
                    <w:rPr>
                      <w:rFonts w:ascii="Century Gothic" w:hAnsi="Century Gothic" w:cs="Arial"/>
                      <w:b/>
                      <w:bCs/>
                      <w:sz w:val="20"/>
                      <w:szCs w:val="20"/>
                    </w:rPr>
                    <w:t>SECRETARIO</w:t>
                  </w:r>
                  <w:r w:rsidRPr="006248A1">
                    <w:rPr>
                      <w:rFonts w:ascii="Century Gothic" w:hAnsi="Century Gothic" w:cs="Arial"/>
                      <w:b/>
                      <w:bCs/>
                      <w:sz w:val="20"/>
                      <w:szCs w:val="20"/>
                    </w:rPr>
                    <w:t xml:space="preserve"> DE FINANZAS Y PLANEACIÓN</w:t>
                  </w:r>
                </w:p>
                <w:p w:rsidR="003E2C99" w:rsidRPr="006248A1" w:rsidRDefault="003E2C99" w:rsidP="00462EDD">
                  <w:pPr>
                    <w:ind w:left="142" w:right="195"/>
                    <w:jc w:val="center"/>
                    <w:rPr>
                      <w:rFonts w:ascii="Century Gothic" w:hAnsi="Century Gothic" w:cs="Arial"/>
                      <w:b/>
                      <w:bCs/>
                      <w:sz w:val="20"/>
                      <w:szCs w:val="20"/>
                    </w:rPr>
                  </w:pPr>
                </w:p>
                <w:p w:rsidR="003E2C99" w:rsidRPr="006248A1" w:rsidRDefault="003E2C99" w:rsidP="00462EDD">
                  <w:pPr>
                    <w:ind w:left="142" w:right="195"/>
                    <w:jc w:val="center"/>
                    <w:rPr>
                      <w:rFonts w:ascii="Century Gothic" w:hAnsi="Century Gothic" w:cs="Arial"/>
                      <w:b/>
                      <w:bCs/>
                      <w:sz w:val="20"/>
                      <w:szCs w:val="20"/>
                    </w:rPr>
                  </w:pPr>
                </w:p>
                <w:p w:rsidR="003E2C99" w:rsidRPr="006248A1" w:rsidRDefault="003E2C99" w:rsidP="00462EDD">
                  <w:pPr>
                    <w:ind w:left="142" w:right="195"/>
                    <w:jc w:val="center"/>
                    <w:rPr>
                      <w:rFonts w:ascii="Century Gothic" w:hAnsi="Century Gothic" w:cs="Arial"/>
                      <w:b/>
                      <w:bCs/>
                      <w:sz w:val="20"/>
                      <w:szCs w:val="20"/>
                    </w:rPr>
                  </w:pPr>
                </w:p>
                <w:p w:rsidR="003E2C99" w:rsidRPr="006248A1" w:rsidRDefault="003E2C99" w:rsidP="00462EDD">
                  <w:pPr>
                    <w:ind w:left="142" w:right="195"/>
                    <w:jc w:val="center"/>
                    <w:rPr>
                      <w:rFonts w:ascii="Century Gothic" w:hAnsi="Century Gothic" w:cs="Arial"/>
                      <w:b/>
                      <w:bCs/>
                      <w:sz w:val="20"/>
                      <w:szCs w:val="20"/>
                    </w:rPr>
                  </w:pPr>
                </w:p>
                <w:p w:rsidR="003E2C99" w:rsidRDefault="003E2C99" w:rsidP="00462EDD">
                  <w:pPr>
                    <w:ind w:left="142" w:right="195"/>
                    <w:jc w:val="center"/>
                    <w:rPr>
                      <w:rFonts w:ascii="Century Gothic" w:hAnsi="Century Gothic" w:cs="Arial"/>
                      <w:b/>
                      <w:bCs/>
                      <w:sz w:val="20"/>
                      <w:szCs w:val="20"/>
                    </w:rPr>
                  </w:pPr>
                </w:p>
                <w:p w:rsidR="003E2C99" w:rsidRPr="006248A1" w:rsidRDefault="003E2C99" w:rsidP="00462EDD">
                  <w:pPr>
                    <w:ind w:right="195"/>
                    <w:jc w:val="center"/>
                    <w:rPr>
                      <w:rFonts w:ascii="Century Gothic" w:hAnsi="Century Gothic" w:cs="Arial"/>
                      <w:b/>
                      <w:bCs/>
                      <w:sz w:val="20"/>
                      <w:szCs w:val="20"/>
                    </w:rPr>
                  </w:pPr>
                </w:p>
                <w:p w:rsidR="003E2C99" w:rsidRPr="006248A1" w:rsidRDefault="00660018" w:rsidP="00462EDD">
                  <w:pPr>
                    <w:ind w:left="142" w:right="195"/>
                    <w:jc w:val="center"/>
                    <w:rPr>
                      <w:rFonts w:ascii="Century Gothic" w:hAnsi="Century Gothic" w:cs="Arial"/>
                      <w:sz w:val="20"/>
                      <w:szCs w:val="20"/>
                    </w:rPr>
                  </w:pPr>
                  <w:r>
                    <w:rPr>
                      <w:rFonts w:ascii="Century Gothic" w:hAnsi="Century Gothic" w:cs="Arial"/>
                      <w:b/>
                      <w:bCs/>
                      <w:sz w:val="20"/>
                      <w:szCs w:val="20"/>
                    </w:rPr>
                    <w:t xml:space="preserve">C.P. y A. </w:t>
                  </w:r>
                  <w:r w:rsidR="003E2C99">
                    <w:rPr>
                      <w:rFonts w:ascii="Century Gothic" w:hAnsi="Century Gothic" w:cs="Arial"/>
                      <w:b/>
                      <w:bCs/>
                      <w:sz w:val="20"/>
                      <w:szCs w:val="20"/>
                    </w:rPr>
                    <w:t>JUAN MELQUIADES VERGARA FERNÁNDEZ</w:t>
                  </w:r>
                </w:p>
                <w:p w:rsidR="003E2C99" w:rsidRDefault="003E2C99" w:rsidP="00462EDD">
                  <w:pPr>
                    <w:jc w:val="center"/>
                  </w:pPr>
                </w:p>
              </w:txbxContent>
            </v:textbox>
          </v:shape>
        </w:pict>
      </w:r>
    </w:p>
    <w:p w:rsidR="00F4081C" w:rsidRPr="006248A1" w:rsidRDefault="00F4081C" w:rsidP="0057499E">
      <w:pPr>
        <w:ind w:left="142" w:right="195"/>
        <w:jc w:val="center"/>
        <w:rPr>
          <w:rFonts w:ascii="Century Gothic" w:hAnsi="Century Gothic" w:cs="Arial"/>
          <w:sz w:val="20"/>
          <w:szCs w:val="20"/>
        </w:rPr>
      </w:pPr>
    </w:p>
    <w:p w:rsidR="00284B8F" w:rsidRDefault="00284B8F" w:rsidP="00D05088">
      <w:pPr>
        <w:ind w:right="195"/>
        <w:rPr>
          <w:rFonts w:ascii="Century Gothic" w:hAnsi="Century Gothic" w:cs="Arial"/>
          <w:sz w:val="20"/>
          <w:szCs w:val="20"/>
        </w:rPr>
      </w:pPr>
    </w:p>
    <w:p w:rsidR="00284B8F" w:rsidRDefault="00284B8F" w:rsidP="00183004">
      <w:pPr>
        <w:ind w:left="142" w:right="195"/>
        <w:rPr>
          <w:rFonts w:ascii="Century Gothic" w:hAnsi="Century Gothic" w:cs="Arial"/>
          <w:sz w:val="20"/>
          <w:szCs w:val="20"/>
        </w:rPr>
      </w:pPr>
    </w:p>
    <w:p w:rsidR="00F02617" w:rsidRDefault="00F02617" w:rsidP="00D05088">
      <w:pPr>
        <w:ind w:right="195"/>
        <w:jc w:val="both"/>
        <w:rPr>
          <w:rFonts w:ascii="Century Gothic" w:hAnsi="Century Gothic" w:cs="Arial"/>
          <w:sz w:val="20"/>
          <w:szCs w:val="20"/>
        </w:rPr>
      </w:pPr>
    </w:p>
    <w:p w:rsidR="005E3063" w:rsidRDefault="005E3063" w:rsidP="00D05088">
      <w:pPr>
        <w:ind w:right="195"/>
        <w:jc w:val="both"/>
        <w:rPr>
          <w:rFonts w:ascii="Century Gothic" w:hAnsi="Century Gothic" w:cs="Arial"/>
          <w:sz w:val="20"/>
          <w:szCs w:val="20"/>
        </w:rPr>
      </w:pPr>
    </w:p>
    <w:p w:rsidR="005E3063" w:rsidRDefault="005E3063" w:rsidP="00D05088">
      <w:pPr>
        <w:ind w:right="195"/>
        <w:jc w:val="both"/>
        <w:rPr>
          <w:rFonts w:ascii="Century Gothic" w:hAnsi="Century Gothic" w:cs="Arial"/>
          <w:sz w:val="20"/>
          <w:szCs w:val="20"/>
        </w:rPr>
      </w:pPr>
    </w:p>
    <w:p w:rsidR="005E3063" w:rsidRPr="006248A1" w:rsidRDefault="005E3063" w:rsidP="00D05088">
      <w:pPr>
        <w:ind w:right="195"/>
        <w:jc w:val="both"/>
        <w:rPr>
          <w:rFonts w:ascii="Century Gothic" w:hAnsi="Century Gothic" w:cs="Arial"/>
          <w:sz w:val="20"/>
          <w:szCs w:val="20"/>
        </w:rPr>
      </w:pPr>
    </w:p>
    <w:p w:rsidR="003E2C99" w:rsidRDefault="003E2C99" w:rsidP="00D05088">
      <w:pPr>
        <w:pStyle w:val="Textoindependiente2"/>
        <w:ind w:left="142" w:right="195"/>
        <w:rPr>
          <w:rFonts w:ascii="Century Gothic" w:hAnsi="Century Gothic" w:cs="Arial"/>
          <w:b w:val="0"/>
          <w:sz w:val="16"/>
          <w:szCs w:val="16"/>
        </w:rPr>
      </w:pPr>
    </w:p>
    <w:p w:rsidR="003E2C99" w:rsidRDefault="003E2C99" w:rsidP="00D05088">
      <w:pPr>
        <w:pStyle w:val="Textoindependiente2"/>
        <w:ind w:left="142" w:right="195"/>
        <w:rPr>
          <w:rFonts w:ascii="Century Gothic" w:hAnsi="Century Gothic" w:cs="Arial"/>
          <w:b w:val="0"/>
          <w:sz w:val="16"/>
          <w:szCs w:val="16"/>
        </w:rPr>
      </w:pPr>
    </w:p>
    <w:p w:rsidR="003E2C99" w:rsidRDefault="003E2C99" w:rsidP="00D05088">
      <w:pPr>
        <w:pStyle w:val="Textoindependiente2"/>
        <w:ind w:left="142" w:right="195"/>
        <w:rPr>
          <w:rFonts w:ascii="Century Gothic" w:hAnsi="Century Gothic" w:cs="Arial"/>
          <w:b w:val="0"/>
          <w:sz w:val="16"/>
          <w:szCs w:val="16"/>
        </w:rPr>
      </w:pPr>
    </w:p>
    <w:p w:rsidR="003E2C99" w:rsidRDefault="003E2C99" w:rsidP="00D05088">
      <w:pPr>
        <w:pStyle w:val="Textoindependiente2"/>
        <w:ind w:left="142" w:right="195"/>
        <w:rPr>
          <w:rFonts w:ascii="Century Gothic" w:hAnsi="Century Gothic" w:cs="Arial"/>
          <w:b w:val="0"/>
          <w:sz w:val="16"/>
          <w:szCs w:val="16"/>
        </w:rPr>
      </w:pPr>
    </w:p>
    <w:p w:rsidR="003E2C99" w:rsidRDefault="003E2C99" w:rsidP="00D05088">
      <w:pPr>
        <w:pStyle w:val="Textoindependiente2"/>
        <w:ind w:left="142" w:right="195"/>
        <w:rPr>
          <w:rFonts w:ascii="Century Gothic" w:hAnsi="Century Gothic" w:cs="Arial"/>
          <w:b w:val="0"/>
          <w:sz w:val="16"/>
          <w:szCs w:val="16"/>
        </w:rPr>
      </w:pPr>
    </w:p>
    <w:p w:rsidR="003E2C99" w:rsidRDefault="003E2C99" w:rsidP="00D05088">
      <w:pPr>
        <w:pStyle w:val="Textoindependiente2"/>
        <w:ind w:left="142" w:right="195"/>
        <w:rPr>
          <w:rFonts w:ascii="Century Gothic" w:hAnsi="Century Gothic" w:cs="Arial"/>
          <w:b w:val="0"/>
          <w:sz w:val="16"/>
          <w:szCs w:val="16"/>
        </w:rPr>
      </w:pPr>
    </w:p>
    <w:p w:rsidR="003E2C99" w:rsidRDefault="003E2C99" w:rsidP="00D05088">
      <w:pPr>
        <w:pStyle w:val="Textoindependiente2"/>
        <w:ind w:left="142" w:right="195"/>
        <w:rPr>
          <w:rFonts w:ascii="Century Gothic" w:hAnsi="Century Gothic" w:cs="Arial"/>
          <w:b w:val="0"/>
          <w:sz w:val="16"/>
          <w:szCs w:val="16"/>
        </w:rPr>
      </w:pPr>
    </w:p>
    <w:p w:rsidR="00D05088" w:rsidRDefault="002C2E59" w:rsidP="00D05088">
      <w:pPr>
        <w:pStyle w:val="Textoindependiente2"/>
        <w:ind w:left="142" w:right="195"/>
      </w:pPr>
      <w:r w:rsidRPr="0035293F">
        <w:rPr>
          <w:rFonts w:ascii="Century Gothic" w:hAnsi="Century Gothic" w:cs="Arial"/>
          <w:b w:val="0"/>
          <w:sz w:val="16"/>
          <w:szCs w:val="16"/>
        </w:rPr>
        <w:t xml:space="preserve">LA PRESENTE HOJA ES PARTE INTEGRANTE DEL ACUERDO POR EL QUE SE DA A CONOCER EL IMPORTE DE LAS PARTICIPACIONES FEDERALES MINISTRADAS A LOS MUNICIPIOS DEL ESTADO DE QUINTANA ROO, CORRESPONDIENTE AL </w:t>
      </w:r>
      <w:r w:rsidR="00462EDD">
        <w:rPr>
          <w:rFonts w:ascii="Century Gothic" w:hAnsi="Century Gothic" w:cs="Arial"/>
          <w:b w:val="0"/>
          <w:sz w:val="16"/>
          <w:szCs w:val="16"/>
        </w:rPr>
        <w:t>CUARTO</w:t>
      </w:r>
      <w:r w:rsidRPr="0035293F">
        <w:rPr>
          <w:rFonts w:ascii="Century Gothic" w:hAnsi="Century Gothic" w:cs="Arial"/>
          <w:b w:val="0"/>
          <w:sz w:val="16"/>
          <w:szCs w:val="16"/>
        </w:rPr>
        <w:t xml:space="preserve"> TRI</w:t>
      </w:r>
      <w:r>
        <w:rPr>
          <w:rFonts w:ascii="Century Gothic" w:hAnsi="Century Gothic" w:cs="Arial"/>
          <w:b w:val="0"/>
          <w:sz w:val="16"/>
          <w:szCs w:val="16"/>
        </w:rPr>
        <w:t>MESTRE DEL EJERCICIO FISCAL 2017</w:t>
      </w:r>
      <w:r w:rsidRPr="0035293F">
        <w:rPr>
          <w:rFonts w:ascii="Century Gothic" w:hAnsi="Century Gothic" w:cs="Arial"/>
          <w:b w:val="0"/>
          <w:sz w:val="16"/>
          <w:szCs w:val="16"/>
        </w:rPr>
        <w:t>.</w:t>
      </w:r>
    </w:p>
    <w:p w:rsidR="00F4081C" w:rsidRPr="0035293F" w:rsidRDefault="00F4081C" w:rsidP="0057499E">
      <w:pPr>
        <w:pStyle w:val="Textoindependiente2"/>
        <w:ind w:left="142" w:right="195"/>
        <w:rPr>
          <w:rFonts w:ascii="Century Gothic" w:hAnsi="Century Gothic" w:cs="Arial"/>
          <w:b w:val="0"/>
          <w:sz w:val="16"/>
          <w:szCs w:val="16"/>
        </w:rPr>
      </w:pPr>
    </w:p>
    <w:sectPr w:rsidR="00F4081C" w:rsidRPr="0035293F" w:rsidSect="006248A1">
      <w:headerReference w:type="default" r:id="rId12"/>
      <w:pgSz w:w="12240" w:h="15840"/>
      <w:pgMar w:top="-3119" w:right="1183" w:bottom="1417"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D2F" w:rsidRDefault="00602D2F" w:rsidP="00F4081C">
      <w:r>
        <w:separator/>
      </w:r>
    </w:p>
  </w:endnote>
  <w:endnote w:type="continuationSeparator" w:id="1">
    <w:p w:rsidR="00602D2F" w:rsidRDefault="00602D2F" w:rsidP="00F40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D2F" w:rsidRDefault="00602D2F" w:rsidP="00F4081C">
      <w:r>
        <w:separator/>
      </w:r>
    </w:p>
  </w:footnote>
  <w:footnote w:type="continuationSeparator" w:id="1">
    <w:p w:rsidR="00602D2F" w:rsidRDefault="00602D2F" w:rsidP="00F40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99E" w:rsidRDefault="007A4877">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164057</wp:posOffset>
          </wp:positionH>
          <wp:positionV relativeFrom="paragraph">
            <wp:posOffset>89507</wp:posOffset>
          </wp:positionV>
          <wp:extent cx="4477888" cy="880280"/>
          <wp:effectExtent l="19050" t="0" r="0" b="0"/>
          <wp:wrapNone/>
          <wp:docPr id="9" name="Imagen 11" descr="HD MacOS:Users:JCDS:Desktop:SECRETARIAS PNG:FINANZAS Y PLANE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D MacOS:Users:JCDS:Desktop:SECRETARIAS PNG:FINANZAS Y PLANEACION.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7888" cy="8802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p w:rsidR="0057499E" w:rsidRDefault="0057499E">
    <w:pPr>
      <w:pStyle w:val="Encabezado"/>
    </w:pPr>
  </w:p>
  <w:p w:rsidR="0057499E" w:rsidRDefault="0057499E">
    <w:pPr>
      <w:pStyle w:val="Encabezado"/>
    </w:pPr>
  </w:p>
  <w:p w:rsidR="0057499E" w:rsidRDefault="0057499E">
    <w:pPr>
      <w:pStyle w:val="Encabezado"/>
    </w:pPr>
  </w:p>
  <w:p w:rsidR="0057499E" w:rsidRDefault="0057499E">
    <w:pPr>
      <w:pStyle w:val="Encabezado"/>
    </w:pPr>
  </w:p>
  <w:p w:rsidR="0057499E" w:rsidRDefault="0057499E">
    <w:pPr>
      <w:pStyle w:val="Encabezado"/>
    </w:pPr>
  </w:p>
  <w:p w:rsidR="0057499E" w:rsidRDefault="0057499E">
    <w:pPr>
      <w:pStyle w:val="Encabezado"/>
    </w:pPr>
  </w:p>
  <w:p w:rsidR="0057499E" w:rsidRDefault="006248A1" w:rsidP="006248A1">
    <w:pPr>
      <w:pStyle w:val="Encabezado"/>
      <w:tabs>
        <w:tab w:val="clear" w:pos="8838"/>
        <w:tab w:val="left" w:pos="4419"/>
      </w:tabs>
    </w:pPr>
    <w:r>
      <w:tab/>
    </w:r>
  </w:p>
  <w:p w:rsidR="0057499E" w:rsidRDefault="0057499E">
    <w:pPr>
      <w:pStyle w:val="Encabezado"/>
    </w:pPr>
  </w:p>
  <w:p w:rsidR="0057499E" w:rsidRDefault="0057499E">
    <w:pPr>
      <w:pStyle w:val="Encabezado"/>
    </w:pPr>
  </w:p>
  <w:p w:rsidR="0057499E" w:rsidRDefault="0057499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38CB"/>
    <w:multiLevelType w:val="hybridMultilevel"/>
    <w:tmpl w:val="715EB776"/>
    <w:lvl w:ilvl="0" w:tplc="5B52D74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F4081C"/>
    <w:rsid w:val="00000154"/>
    <w:rsid w:val="000002A4"/>
    <w:rsid w:val="000018E4"/>
    <w:rsid w:val="00052259"/>
    <w:rsid w:val="00060D3B"/>
    <w:rsid w:val="0006305C"/>
    <w:rsid w:val="00083E56"/>
    <w:rsid w:val="000B01E6"/>
    <w:rsid w:val="000B0D8F"/>
    <w:rsid w:val="000B68AE"/>
    <w:rsid w:val="000D6CE3"/>
    <w:rsid w:val="000E7477"/>
    <w:rsid w:val="00130175"/>
    <w:rsid w:val="00133893"/>
    <w:rsid w:val="0013682C"/>
    <w:rsid w:val="001603D1"/>
    <w:rsid w:val="00175DE7"/>
    <w:rsid w:val="00176600"/>
    <w:rsid w:val="00183004"/>
    <w:rsid w:val="001943A4"/>
    <w:rsid w:val="001A05A2"/>
    <w:rsid w:val="001E0282"/>
    <w:rsid w:val="001F7D39"/>
    <w:rsid w:val="002057A5"/>
    <w:rsid w:val="0023477A"/>
    <w:rsid w:val="0024629D"/>
    <w:rsid w:val="00281D44"/>
    <w:rsid w:val="00284B8F"/>
    <w:rsid w:val="002B3CDD"/>
    <w:rsid w:val="002C188C"/>
    <w:rsid w:val="002C2E59"/>
    <w:rsid w:val="002C6096"/>
    <w:rsid w:val="002C7840"/>
    <w:rsid w:val="002D79EC"/>
    <w:rsid w:val="002D7ADA"/>
    <w:rsid w:val="002E0A87"/>
    <w:rsid w:val="00304D3B"/>
    <w:rsid w:val="00337E88"/>
    <w:rsid w:val="00343C65"/>
    <w:rsid w:val="0034409D"/>
    <w:rsid w:val="0035293F"/>
    <w:rsid w:val="00362489"/>
    <w:rsid w:val="00385D32"/>
    <w:rsid w:val="003A27D8"/>
    <w:rsid w:val="003E2323"/>
    <w:rsid w:val="003E2C99"/>
    <w:rsid w:val="003E4C63"/>
    <w:rsid w:val="00406B0F"/>
    <w:rsid w:val="00423762"/>
    <w:rsid w:val="00431E62"/>
    <w:rsid w:val="0043241F"/>
    <w:rsid w:val="00435D1E"/>
    <w:rsid w:val="0044236F"/>
    <w:rsid w:val="00442E3E"/>
    <w:rsid w:val="00462EDD"/>
    <w:rsid w:val="00464977"/>
    <w:rsid w:val="004716A1"/>
    <w:rsid w:val="004972D2"/>
    <w:rsid w:val="004D4F06"/>
    <w:rsid w:val="004F5E37"/>
    <w:rsid w:val="00520E55"/>
    <w:rsid w:val="00523338"/>
    <w:rsid w:val="00535DE8"/>
    <w:rsid w:val="005450DC"/>
    <w:rsid w:val="0056047E"/>
    <w:rsid w:val="0057499E"/>
    <w:rsid w:val="0057707B"/>
    <w:rsid w:val="00591FF9"/>
    <w:rsid w:val="005A3CD9"/>
    <w:rsid w:val="005C2402"/>
    <w:rsid w:val="005C42C7"/>
    <w:rsid w:val="005D37CC"/>
    <w:rsid w:val="005E2730"/>
    <w:rsid w:val="005E3063"/>
    <w:rsid w:val="00602D2F"/>
    <w:rsid w:val="00604761"/>
    <w:rsid w:val="006248A1"/>
    <w:rsid w:val="00655AF6"/>
    <w:rsid w:val="00660018"/>
    <w:rsid w:val="00681480"/>
    <w:rsid w:val="0068406F"/>
    <w:rsid w:val="006F4678"/>
    <w:rsid w:val="00715D17"/>
    <w:rsid w:val="00745975"/>
    <w:rsid w:val="007678D0"/>
    <w:rsid w:val="00784267"/>
    <w:rsid w:val="00790E5C"/>
    <w:rsid w:val="007A29A9"/>
    <w:rsid w:val="007A4877"/>
    <w:rsid w:val="007B7714"/>
    <w:rsid w:val="007C7150"/>
    <w:rsid w:val="007D5404"/>
    <w:rsid w:val="007E22DD"/>
    <w:rsid w:val="0080778E"/>
    <w:rsid w:val="00826486"/>
    <w:rsid w:val="00840B1B"/>
    <w:rsid w:val="00843DB5"/>
    <w:rsid w:val="0085253C"/>
    <w:rsid w:val="0085312C"/>
    <w:rsid w:val="00876E5F"/>
    <w:rsid w:val="008A6515"/>
    <w:rsid w:val="008D28B6"/>
    <w:rsid w:val="009021E4"/>
    <w:rsid w:val="00902A04"/>
    <w:rsid w:val="00926D2D"/>
    <w:rsid w:val="00964687"/>
    <w:rsid w:val="00972EE4"/>
    <w:rsid w:val="009812EC"/>
    <w:rsid w:val="009830E2"/>
    <w:rsid w:val="00996105"/>
    <w:rsid w:val="009E71A9"/>
    <w:rsid w:val="00A079F1"/>
    <w:rsid w:val="00A83460"/>
    <w:rsid w:val="00AC09DE"/>
    <w:rsid w:val="00AF6DF4"/>
    <w:rsid w:val="00B148F9"/>
    <w:rsid w:val="00B26EE1"/>
    <w:rsid w:val="00B34EA7"/>
    <w:rsid w:val="00B3515E"/>
    <w:rsid w:val="00B56B4E"/>
    <w:rsid w:val="00B813B6"/>
    <w:rsid w:val="00B974B6"/>
    <w:rsid w:val="00BA09F6"/>
    <w:rsid w:val="00BA479E"/>
    <w:rsid w:val="00BD2A97"/>
    <w:rsid w:val="00BD3E17"/>
    <w:rsid w:val="00C0619D"/>
    <w:rsid w:val="00C36DC8"/>
    <w:rsid w:val="00C7151B"/>
    <w:rsid w:val="00CD4D4A"/>
    <w:rsid w:val="00CD769A"/>
    <w:rsid w:val="00D05088"/>
    <w:rsid w:val="00D06A92"/>
    <w:rsid w:val="00D3121E"/>
    <w:rsid w:val="00D60CF9"/>
    <w:rsid w:val="00D700CE"/>
    <w:rsid w:val="00D771B0"/>
    <w:rsid w:val="00D8551E"/>
    <w:rsid w:val="00D926FD"/>
    <w:rsid w:val="00DA0017"/>
    <w:rsid w:val="00DC16DF"/>
    <w:rsid w:val="00DD34E9"/>
    <w:rsid w:val="00E2722E"/>
    <w:rsid w:val="00E435C9"/>
    <w:rsid w:val="00E47BC1"/>
    <w:rsid w:val="00E84A4C"/>
    <w:rsid w:val="00ED6577"/>
    <w:rsid w:val="00EE72F9"/>
    <w:rsid w:val="00F02617"/>
    <w:rsid w:val="00F21B1E"/>
    <w:rsid w:val="00F4081C"/>
    <w:rsid w:val="00F96E74"/>
    <w:rsid w:val="00FB0D51"/>
    <w:rsid w:val="00FC0A6A"/>
    <w:rsid w:val="00FE121C"/>
    <w:rsid w:val="00FE72CF"/>
    <w:rsid w:val="00FF188C"/>
    <w:rsid w:val="00FF3BE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081C"/>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081C"/>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F4081C"/>
    <w:pPr>
      <w:jc w:val="both"/>
    </w:pPr>
    <w:rPr>
      <w:b/>
      <w:bCs/>
    </w:rPr>
  </w:style>
  <w:style w:type="character" w:customStyle="1" w:styleId="Textoindependiente2Car">
    <w:name w:val="Texto independiente 2 Car"/>
    <w:basedOn w:val="Fuentedeprrafopredeter"/>
    <w:link w:val="Textoindependiente2"/>
    <w:rsid w:val="00F4081C"/>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F4081C"/>
    <w:pPr>
      <w:tabs>
        <w:tab w:val="center" w:pos="4419"/>
        <w:tab w:val="right" w:pos="8838"/>
      </w:tabs>
    </w:pPr>
  </w:style>
  <w:style w:type="character" w:customStyle="1" w:styleId="EncabezadoCar">
    <w:name w:val="Encabezado Car"/>
    <w:basedOn w:val="Fuentedeprrafopredeter"/>
    <w:link w:val="Encabezado"/>
    <w:rsid w:val="00F408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F4081C"/>
    <w:pPr>
      <w:tabs>
        <w:tab w:val="center" w:pos="4419"/>
        <w:tab w:val="right" w:pos="8838"/>
      </w:tabs>
    </w:pPr>
  </w:style>
  <w:style w:type="character" w:customStyle="1" w:styleId="PiedepginaCar">
    <w:name w:val="Pie de página Car"/>
    <w:basedOn w:val="Fuentedeprrafopredeter"/>
    <w:link w:val="Piedepgina"/>
    <w:uiPriority w:val="99"/>
    <w:semiHidden/>
    <w:rsid w:val="00F4081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E2730"/>
    <w:pPr>
      <w:ind w:left="720"/>
      <w:contextualSpacing/>
    </w:pPr>
  </w:style>
  <w:style w:type="paragraph" w:styleId="Textodeglobo">
    <w:name w:val="Balloon Text"/>
    <w:basedOn w:val="Normal"/>
    <w:link w:val="TextodegloboCar"/>
    <w:uiPriority w:val="99"/>
    <w:semiHidden/>
    <w:unhideWhenUsed/>
    <w:rsid w:val="00520E55"/>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E55"/>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EE72F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467563">
      <w:bodyDiv w:val="1"/>
      <w:marLeft w:val="0"/>
      <w:marRight w:val="0"/>
      <w:marTop w:val="0"/>
      <w:marBottom w:val="0"/>
      <w:divBdr>
        <w:top w:val="none" w:sz="0" w:space="0" w:color="auto"/>
        <w:left w:val="none" w:sz="0" w:space="0" w:color="auto"/>
        <w:bottom w:val="none" w:sz="0" w:space="0" w:color="auto"/>
        <w:right w:val="none" w:sz="0" w:space="0" w:color="auto"/>
      </w:divBdr>
    </w:div>
    <w:div w:id="288826082">
      <w:bodyDiv w:val="1"/>
      <w:marLeft w:val="0"/>
      <w:marRight w:val="0"/>
      <w:marTop w:val="0"/>
      <w:marBottom w:val="0"/>
      <w:divBdr>
        <w:top w:val="none" w:sz="0" w:space="0" w:color="auto"/>
        <w:left w:val="none" w:sz="0" w:space="0" w:color="auto"/>
        <w:bottom w:val="none" w:sz="0" w:space="0" w:color="auto"/>
        <w:right w:val="none" w:sz="0" w:space="0" w:color="auto"/>
      </w:divBdr>
    </w:div>
    <w:div w:id="384791873">
      <w:bodyDiv w:val="1"/>
      <w:marLeft w:val="0"/>
      <w:marRight w:val="0"/>
      <w:marTop w:val="0"/>
      <w:marBottom w:val="0"/>
      <w:divBdr>
        <w:top w:val="none" w:sz="0" w:space="0" w:color="auto"/>
        <w:left w:val="none" w:sz="0" w:space="0" w:color="auto"/>
        <w:bottom w:val="none" w:sz="0" w:space="0" w:color="auto"/>
        <w:right w:val="none" w:sz="0" w:space="0" w:color="auto"/>
      </w:divBdr>
    </w:div>
    <w:div w:id="426585273">
      <w:bodyDiv w:val="1"/>
      <w:marLeft w:val="0"/>
      <w:marRight w:val="0"/>
      <w:marTop w:val="0"/>
      <w:marBottom w:val="0"/>
      <w:divBdr>
        <w:top w:val="none" w:sz="0" w:space="0" w:color="auto"/>
        <w:left w:val="none" w:sz="0" w:space="0" w:color="auto"/>
        <w:bottom w:val="none" w:sz="0" w:space="0" w:color="auto"/>
        <w:right w:val="none" w:sz="0" w:space="0" w:color="auto"/>
      </w:divBdr>
    </w:div>
    <w:div w:id="605772133">
      <w:bodyDiv w:val="1"/>
      <w:marLeft w:val="0"/>
      <w:marRight w:val="0"/>
      <w:marTop w:val="0"/>
      <w:marBottom w:val="0"/>
      <w:divBdr>
        <w:top w:val="none" w:sz="0" w:space="0" w:color="auto"/>
        <w:left w:val="none" w:sz="0" w:space="0" w:color="auto"/>
        <w:bottom w:val="none" w:sz="0" w:space="0" w:color="auto"/>
        <w:right w:val="none" w:sz="0" w:space="0" w:color="auto"/>
      </w:divBdr>
    </w:div>
    <w:div w:id="672221034">
      <w:bodyDiv w:val="1"/>
      <w:marLeft w:val="0"/>
      <w:marRight w:val="0"/>
      <w:marTop w:val="0"/>
      <w:marBottom w:val="0"/>
      <w:divBdr>
        <w:top w:val="none" w:sz="0" w:space="0" w:color="auto"/>
        <w:left w:val="none" w:sz="0" w:space="0" w:color="auto"/>
        <w:bottom w:val="none" w:sz="0" w:space="0" w:color="auto"/>
        <w:right w:val="none" w:sz="0" w:space="0" w:color="auto"/>
      </w:divBdr>
    </w:div>
    <w:div w:id="730425024">
      <w:bodyDiv w:val="1"/>
      <w:marLeft w:val="0"/>
      <w:marRight w:val="0"/>
      <w:marTop w:val="0"/>
      <w:marBottom w:val="0"/>
      <w:divBdr>
        <w:top w:val="none" w:sz="0" w:space="0" w:color="auto"/>
        <w:left w:val="none" w:sz="0" w:space="0" w:color="auto"/>
        <w:bottom w:val="none" w:sz="0" w:space="0" w:color="auto"/>
        <w:right w:val="none" w:sz="0" w:space="0" w:color="auto"/>
      </w:divBdr>
    </w:div>
    <w:div w:id="809058722">
      <w:bodyDiv w:val="1"/>
      <w:marLeft w:val="0"/>
      <w:marRight w:val="0"/>
      <w:marTop w:val="0"/>
      <w:marBottom w:val="0"/>
      <w:divBdr>
        <w:top w:val="none" w:sz="0" w:space="0" w:color="auto"/>
        <w:left w:val="none" w:sz="0" w:space="0" w:color="auto"/>
        <w:bottom w:val="none" w:sz="0" w:space="0" w:color="auto"/>
        <w:right w:val="none" w:sz="0" w:space="0" w:color="auto"/>
      </w:divBdr>
    </w:div>
    <w:div w:id="957755711">
      <w:bodyDiv w:val="1"/>
      <w:marLeft w:val="0"/>
      <w:marRight w:val="0"/>
      <w:marTop w:val="0"/>
      <w:marBottom w:val="0"/>
      <w:divBdr>
        <w:top w:val="none" w:sz="0" w:space="0" w:color="auto"/>
        <w:left w:val="none" w:sz="0" w:space="0" w:color="auto"/>
        <w:bottom w:val="none" w:sz="0" w:space="0" w:color="auto"/>
        <w:right w:val="none" w:sz="0" w:space="0" w:color="auto"/>
      </w:divBdr>
    </w:div>
    <w:div w:id="1277829578">
      <w:bodyDiv w:val="1"/>
      <w:marLeft w:val="0"/>
      <w:marRight w:val="0"/>
      <w:marTop w:val="0"/>
      <w:marBottom w:val="0"/>
      <w:divBdr>
        <w:top w:val="none" w:sz="0" w:space="0" w:color="auto"/>
        <w:left w:val="none" w:sz="0" w:space="0" w:color="auto"/>
        <w:bottom w:val="none" w:sz="0" w:space="0" w:color="auto"/>
        <w:right w:val="none" w:sz="0" w:space="0" w:color="auto"/>
      </w:divBdr>
    </w:div>
    <w:div w:id="1308319829">
      <w:bodyDiv w:val="1"/>
      <w:marLeft w:val="0"/>
      <w:marRight w:val="0"/>
      <w:marTop w:val="0"/>
      <w:marBottom w:val="0"/>
      <w:divBdr>
        <w:top w:val="none" w:sz="0" w:space="0" w:color="auto"/>
        <w:left w:val="none" w:sz="0" w:space="0" w:color="auto"/>
        <w:bottom w:val="none" w:sz="0" w:space="0" w:color="auto"/>
        <w:right w:val="none" w:sz="0" w:space="0" w:color="auto"/>
      </w:divBdr>
    </w:div>
    <w:div w:id="1413353742">
      <w:bodyDiv w:val="1"/>
      <w:marLeft w:val="0"/>
      <w:marRight w:val="0"/>
      <w:marTop w:val="0"/>
      <w:marBottom w:val="0"/>
      <w:divBdr>
        <w:top w:val="none" w:sz="0" w:space="0" w:color="auto"/>
        <w:left w:val="none" w:sz="0" w:space="0" w:color="auto"/>
        <w:bottom w:val="none" w:sz="0" w:space="0" w:color="auto"/>
        <w:right w:val="none" w:sz="0" w:space="0" w:color="auto"/>
      </w:divBdr>
    </w:div>
    <w:div w:id="1538468700">
      <w:bodyDiv w:val="1"/>
      <w:marLeft w:val="0"/>
      <w:marRight w:val="0"/>
      <w:marTop w:val="0"/>
      <w:marBottom w:val="0"/>
      <w:divBdr>
        <w:top w:val="none" w:sz="0" w:space="0" w:color="auto"/>
        <w:left w:val="none" w:sz="0" w:space="0" w:color="auto"/>
        <w:bottom w:val="none" w:sz="0" w:space="0" w:color="auto"/>
        <w:right w:val="none" w:sz="0" w:space="0" w:color="auto"/>
      </w:divBdr>
    </w:div>
    <w:div w:id="1627740079">
      <w:bodyDiv w:val="1"/>
      <w:marLeft w:val="0"/>
      <w:marRight w:val="0"/>
      <w:marTop w:val="0"/>
      <w:marBottom w:val="0"/>
      <w:divBdr>
        <w:top w:val="none" w:sz="0" w:space="0" w:color="auto"/>
        <w:left w:val="none" w:sz="0" w:space="0" w:color="auto"/>
        <w:bottom w:val="none" w:sz="0" w:space="0" w:color="auto"/>
        <w:right w:val="none" w:sz="0" w:space="0" w:color="auto"/>
      </w:divBdr>
    </w:div>
    <w:div w:id="1727025391">
      <w:bodyDiv w:val="1"/>
      <w:marLeft w:val="0"/>
      <w:marRight w:val="0"/>
      <w:marTop w:val="0"/>
      <w:marBottom w:val="0"/>
      <w:divBdr>
        <w:top w:val="none" w:sz="0" w:space="0" w:color="auto"/>
        <w:left w:val="none" w:sz="0" w:space="0" w:color="auto"/>
        <w:bottom w:val="none" w:sz="0" w:space="0" w:color="auto"/>
        <w:right w:val="none" w:sz="0" w:space="0" w:color="auto"/>
      </w:divBdr>
    </w:div>
    <w:div w:id="1918324132">
      <w:bodyDiv w:val="1"/>
      <w:marLeft w:val="0"/>
      <w:marRight w:val="0"/>
      <w:marTop w:val="0"/>
      <w:marBottom w:val="0"/>
      <w:divBdr>
        <w:top w:val="none" w:sz="0" w:space="0" w:color="auto"/>
        <w:left w:val="none" w:sz="0" w:space="0" w:color="auto"/>
        <w:bottom w:val="none" w:sz="0" w:space="0" w:color="auto"/>
        <w:right w:val="none" w:sz="0" w:space="0" w:color="auto"/>
      </w:divBdr>
    </w:div>
    <w:div w:id="20083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4939D-CD04-47FD-93EE-9CD64FF2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946</Words>
  <Characters>5204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INGRESOS</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JURIDICO</cp:lastModifiedBy>
  <cp:revision>19</cp:revision>
  <cp:lastPrinted>2018-01-02T20:21:00Z</cp:lastPrinted>
  <dcterms:created xsi:type="dcterms:W3CDTF">2017-01-09T18:09:00Z</dcterms:created>
  <dcterms:modified xsi:type="dcterms:W3CDTF">2018-01-03T17:29:00Z</dcterms:modified>
</cp:coreProperties>
</file>