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83069" w14:textId="28484D64" w:rsidR="00AE57F0" w:rsidRDefault="00414F7C" w:rsidP="69891315">
      <w:pPr>
        <w:pStyle w:val="Ttulo"/>
        <w:numPr>
          <w:ilvl w:val="0"/>
          <w:numId w:val="0"/>
        </w:numPr>
        <w:ind w:left="360"/>
        <w:rPr>
          <w:lang w:val="es-MX"/>
        </w:rPr>
      </w:pPr>
      <w:r w:rsidRPr="00305D32">
        <w:rPr>
          <w:lang w:val="es-MX"/>
        </w:rPr>
        <w:t>ENTORNO ECONÓMICO</w:t>
      </w:r>
    </w:p>
    <w:p w14:paraId="7DE468D2" w14:textId="6ADFE4EF" w:rsidR="00717D49" w:rsidRDefault="00717D49" w:rsidP="00717D49">
      <w:r>
        <w:t xml:space="preserve">El desempeño económico de una entidad federativa determina de manera directa su capacidad de generar ingresos, financiar servicios públicos y sostener la inversión social. Por ello, el presente análisis es fundamental para comprender las condiciones que influyen en la recaudación, las transferencias federales y el comportamiento de los sectores productivos que impulsan el crecimiento estatal. En el caso de Quintana Roo, la estructura económica se caracteriza por una alta concentración en el sector terciario y, particularmente, en la actividad turística, lo cual define tanto sus fortalezas de expansión como sus áreas de vulnerabilidad </w:t>
      </w:r>
      <w:r w:rsidR="0019290E">
        <w:t>frente a</w:t>
      </w:r>
      <w:r>
        <w:t xml:space="preserve"> choques externos.</w:t>
      </w:r>
    </w:p>
    <w:p w14:paraId="3E964C55" w14:textId="77777777" w:rsidR="00717D49" w:rsidRDefault="00717D49" w:rsidP="00717D49">
      <w:pPr>
        <w:rPr>
          <w:lang w:val="es-MX"/>
        </w:rPr>
      </w:pPr>
      <w:r>
        <w:t xml:space="preserve">En este sentido, Quintana Roo presenta una marcada dependencia del turismo y de los servicios vinculados a la atención de visitantes, tales como </w:t>
      </w:r>
      <w:r w:rsidRPr="00717D49">
        <w:rPr>
          <w:rStyle w:val="Textoennegrita"/>
          <w:b w:val="0"/>
        </w:rPr>
        <w:t>alojamiento, alimentos y bebidas, transporte, actividades recreativas y comercio</w:t>
      </w:r>
      <w:r>
        <w:t xml:space="preserve">, lo que ha favorecido el dinamismo económico, la atracción de inversión privada y la ampliación de la infraestructura hotelera y de servicios. </w:t>
      </w:r>
      <w:r w:rsidRPr="00717D49">
        <w:rPr>
          <w:rStyle w:val="Textoennegrita"/>
          <w:b w:val="0"/>
        </w:rPr>
        <w:t>No obstante</w:t>
      </w:r>
      <w:r>
        <w:t>, esta misma concentración sectorial incrementa la sensibilidad de la economía estatal ante factores externos como variaciones en la demanda turística, fenómenos climáticos, fluctuaciones cambiarias, condiciones de seguridad o interrupciones en la conectividad aérea, entre otros.</w:t>
      </w:r>
    </w:p>
    <w:p w14:paraId="5DED0F7B" w14:textId="0F048042" w:rsidR="0019290E" w:rsidRDefault="00313474" w:rsidP="00313474">
      <w:pPr>
        <w:rPr>
          <w:lang w:val="es-MX"/>
        </w:rPr>
      </w:pPr>
      <w:r>
        <w:rPr>
          <w:lang w:val="es-MX"/>
        </w:rPr>
        <w:t>Por su vocación en el ramo turístico y los servicios paralelos que se ofertan, l</w:t>
      </w:r>
      <w:r w:rsidRPr="00305D32">
        <w:rPr>
          <w:lang w:val="es-MX"/>
        </w:rPr>
        <w:t xml:space="preserve">as finanzas del Estado de Quintana Roo se encuentran estrechamente vinculadas </w:t>
      </w:r>
      <w:r>
        <w:rPr>
          <w:lang w:val="es-MX"/>
        </w:rPr>
        <w:t>a</w:t>
      </w:r>
      <w:r w:rsidRPr="00305D32">
        <w:rPr>
          <w:lang w:val="es-MX"/>
        </w:rPr>
        <w:t>l entorno económico internacional y nacional</w:t>
      </w:r>
      <w:r w:rsidR="0019290E">
        <w:rPr>
          <w:lang w:val="es-MX"/>
        </w:rPr>
        <w:t xml:space="preserve">. En </w:t>
      </w:r>
      <w:r w:rsidRPr="00305D32">
        <w:rPr>
          <w:lang w:val="es-MX"/>
        </w:rPr>
        <w:t xml:space="preserve">el rubro de ingresos locales, la recaudación del Impuesto al Hospedaje depende </w:t>
      </w:r>
      <w:r>
        <w:rPr>
          <w:lang w:val="es-MX"/>
        </w:rPr>
        <w:t>de la ocupación hotelera</w:t>
      </w:r>
      <w:r w:rsidRPr="00305D32">
        <w:rPr>
          <w:lang w:val="es-MX"/>
        </w:rPr>
        <w:t xml:space="preserve"> como principal actividad en el Estado, detrás </w:t>
      </w:r>
      <w:r w:rsidR="00744005">
        <w:rPr>
          <w:lang w:val="es-MX"/>
        </w:rPr>
        <w:t>de la cual</w:t>
      </w:r>
      <w:r w:rsidR="00744005" w:rsidRPr="00305D32">
        <w:rPr>
          <w:lang w:val="es-MX"/>
        </w:rPr>
        <w:t xml:space="preserve"> </w:t>
      </w:r>
      <w:r w:rsidRPr="00305D32">
        <w:rPr>
          <w:lang w:val="es-MX"/>
        </w:rPr>
        <w:t xml:space="preserve">cual subyacen factores diversos como el tipo de cambio y el </w:t>
      </w:r>
      <w:r>
        <w:rPr>
          <w:lang w:val="es-MX"/>
        </w:rPr>
        <w:t>comportamiento de la economía</w:t>
      </w:r>
      <w:r w:rsidRPr="00305D32">
        <w:rPr>
          <w:lang w:val="es-MX"/>
        </w:rPr>
        <w:t xml:space="preserve"> mundial</w:t>
      </w:r>
      <w:r w:rsidR="0019290E">
        <w:rPr>
          <w:lang w:val="es-MX"/>
        </w:rPr>
        <w:t>. Asi</w:t>
      </w:r>
      <w:r>
        <w:rPr>
          <w:lang w:val="es-MX"/>
        </w:rPr>
        <w:t>mismo</w:t>
      </w:r>
      <w:r w:rsidR="0019290E">
        <w:rPr>
          <w:lang w:val="es-MX"/>
        </w:rPr>
        <w:t>,</w:t>
      </w:r>
      <w:r>
        <w:rPr>
          <w:lang w:val="es-MX"/>
        </w:rPr>
        <w:t xml:space="preserve"> converge de manera representativa la alta proporción de informalidad y diversificación limitada, de tal manera </w:t>
      </w:r>
      <w:r w:rsidR="00590903">
        <w:rPr>
          <w:lang w:val="es-MX"/>
        </w:rPr>
        <w:t>que,</w:t>
      </w:r>
      <w:r>
        <w:rPr>
          <w:lang w:val="es-MX"/>
        </w:rPr>
        <w:t xml:space="preserve"> aunque el </w:t>
      </w:r>
      <w:r w:rsidR="0019290E">
        <w:rPr>
          <w:lang w:val="es-MX"/>
        </w:rPr>
        <w:t xml:space="preserve">Estado </w:t>
      </w:r>
      <w:r>
        <w:rPr>
          <w:lang w:val="es-MX"/>
        </w:rPr>
        <w:t xml:space="preserve">mantiene crecimiento </w:t>
      </w:r>
      <w:r>
        <w:rPr>
          <w:lang w:val="es-MX"/>
        </w:rPr>
        <w:lastRenderedPageBreak/>
        <w:t xml:space="preserve">en el sector turístico, el </w:t>
      </w:r>
      <w:r w:rsidR="0019290E">
        <w:rPr>
          <w:lang w:val="es-MX"/>
        </w:rPr>
        <w:t xml:space="preserve">sector </w:t>
      </w:r>
      <w:r>
        <w:rPr>
          <w:lang w:val="es-MX"/>
        </w:rPr>
        <w:t>secundario (industria</w:t>
      </w:r>
      <w:r w:rsidR="0019290E">
        <w:rPr>
          <w:lang w:val="es-MX"/>
        </w:rPr>
        <w:t>l</w:t>
      </w:r>
      <w:r>
        <w:rPr>
          <w:lang w:val="es-MX"/>
        </w:rPr>
        <w:t xml:space="preserve">) y </w:t>
      </w:r>
      <w:r w:rsidR="0019290E">
        <w:rPr>
          <w:lang w:val="es-MX"/>
        </w:rPr>
        <w:t xml:space="preserve">el </w:t>
      </w:r>
      <w:r>
        <w:rPr>
          <w:lang w:val="es-MX"/>
        </w:rPr>
        <w:t>primario (</w:t>
      </w:r>
      <w:r w:rsidR="0019290E">
        <w:rPr>
          <w:lang w:val="es-MX"/>
        </w:rPr>
        <w:t>agrícola</w:t>
      </w:r>
      <w:r>
        <w:rPr>
          <w:lang w:val="es-MX"/>
        </w:rPr>
        <w:t xml:space="preserve">) tienen menor participación, lo que implica cierto grado de vulnerabilidad en cuanto a las </w:t>
      </w:r>
      <w:r w:rsidRPr="00305D32">
        <w:rPr>
          <w:lang w:val="es-MX"/>
        </w:rPr>
        <w:t>transferencias</w:t>
      </w:r>
      <w:r>
        <w:rPr>
          <w:lang w:val="es-MX"/>
        </w:rPr>
        <w:t xml:space="preserve"> federales.</w:t>
      </w:r>
      <w:r w:rsidRPr="00305D32">
        <w:rPr>
          <w:lang w:val="es-MX"/>
        </w:rPr>
        <w:t xml:space="preserve"> </w:t>
      </w:r>
    </w:p>
    <w:p w14:paraId="550FC1F6" w14:textId="571592BF" w:rsidR="00313474" w:rsidRDefault="00313474" w:rsidP="00313474">
      <w:pPr>
        <w:rPr>
          <w:lang w:val="es-MX"/>
        </w:rPr>
      </w:pPr>
      <w:r>
        <w:rPr>
          <w:lang w:val="es-MX"/>
        </w:rPr>
        <w:t>El comportamiento</w:t>
      </w:r>
      <w:r w:rsidRPr="00305D32">
        <w:rPr>
          <w:lang w:val="es-MX"/>
        </w:rPr>
        <w:t xml:space="preserve"> del </w:t>
      </w:r>
      <w:r>
        <w:rPr>
          <w:lang w:val="es-MX"/>
        </w:rPr>
        <w:t>Producto Interno Bruto (</w:t>
      </w:r>
      <w:r w:rsidRPr="00305D32">
        <w:rPr>
          <w:lang w:val="es-MX"/>
        </w:rPr>
        <w:t>PIB</w:t>
      </w:r>
      <w:r>
        <w:rPr>
          <w:lang w:val="es-MX"/>
        </w:rPr>
        <w:t>)</w:t>
      </w:r>
      <w:r w:rsidRPr="00305D32">
        <w:rPr>
          <w:lang w:val="es-MX"/>
        </w:rPr>
        <w:t xml:space="preserve"> nacional es determinante de la recaudación federal participable</w:t>
      </w:r>
      <w:r w:rsidR="0019290E">
        <w:rPr>
          <w:lang w:val="es-MX"/>
        </w:rPr>
        <w:t>,</w:t>
      </w:r>
      <w:r w:rsidRPr="00305D32">
        <w:rPr>
          <w:lang w:val="es-MX"/>
        </w:rPr>
        <w:t xml:space="preserve"> de donde las entidades federativas reciben sus participaciones. </w:t>
      </w:r>
      <w:r>
        <w:rPr>
          <w:lang w:val="es-MX"/>
        </w:rPr>
        <w:t>Por ello, e</w:t>
      </w:r>
      <w:r w:rsidRPr="00305D32">
        <w:rPr>
          <w:lang w:val="es-MX"/>
        </w:rPr>
        <w:t xml:space="preserve">ste documento es un marco de referencia </w:t>
      </w:r>
      <w:r>
        <w:rPr>
          <w:lang w:val="es-MX"/>
        </w:rPr>
        <w:t>para e</w:t>
      </w:r>
      <w:r w:rsidRPr="00305D32">
        <w:rPr>
          <w:lang w:val="es-MX"/>
        </w:rPr>
        <w:t xml:space="preserve">l cierre del ejercicio 2025 y </w:t>
      </w:r>
      <w:r w:rsidR="0019290E">
        <w:rPr>
          <w:lang w:val="es-MX"/>
        </w:rPr>
        <w:t xml:space="preserve">para </w:t>
      </w:r>
      <w:r w:rsidRPr="00305D32">
        <w:rPr>
          <w:lang w:val="es-MX"/>
        </w:rPr>
        <w:t>los pronósticos para 2026</w:t>
      </w:r>
      <w:r w:rsidR="0019290E">
        <w:rPr>
          <w:lang w:val="es-MX"/>
        </w:rPr>
        <w:t>,</w:t>
      </w:r>
      <w:r w:rsidRPr="00305D32">
        <w:rPr>
          <w:lang w:val="es-MX"/>
        </w:rPr>
        <w:t xml:space="preserve"> </w:t>
      </w:r>
      <w:r w:rsidR="00744005">
        <w:rPr>
          <w:lang w:val="es-MX"/>
        </w:rPr>
        <w:t xml:space="preserve">al </w:t>
      </w:r>
      <w:r w:rsidR="00744005" w:rsidRPr="00305D32">
        <w:rPr>
          <w:lang w:val="es-MX"/>
        </w:rPr>
        <w:t>abarca</w:t>
      </w:r>
      <w:r w:rsidR="00744005">
        <w:rPr>
          <w:lang w:val="es-MX"/>
        </w:rPr>
        <w:t>r</w:t>
      </w:r>
      <w:r w:rsidR="00744005" w:rsidRPr="00305D32">
        <w:rPr>
          <w:lang w:val="es-MX"/>
        </w:rPr>
        <w:t xml:space="preserve"> </w:t>
      </w:r>
      <w:r w:rsidRPr="00305D32">
        <w:rPr>
          <w:lang w:val="es-MX"/>
        </w:rPr>
        <w:t xml:space="preserve">las principales variables económicas </w:t>
      </w:r>
      <w:r>
        <w:rPr>
          <w:lang w:val="es-MX"/>
        </w:rPr>
        <w:t>en los ámbitos</w:t>
      </w:r>
      <w:r w:rsidRPr="00305D32">
        <w:rPr>
          <w:lang w:val="es-MX"/>
        </w:rPr>
        <w:t xml:space="preserve"> internacional, nacional, estatal y municipal</w:t>
      </w:r>
      <w:r>
        <w:rPr>
          <w:lang w:val="es-MX"/>
        </w:rPr>
        <w:t>.</w:t>
      </w:r>
      <w:r w:rsidRPr="00305D32">
        <w:rPr>
          <w:lang w:val="es-MX"/>
        </w:rPr>
        <w:t xml:space="preserve"> </w:t>
      </w:r>
    </w:p>
    <w:p w14:paraId="47C7DFD0" w14:textId="29E8DC8E" w:rsidR="00313474" w:rsidRPr="00305D32" w:rsidRDefault="00313474" w:rsidP="00313474">
      <w:pPr>
        <w:rPr>
          <w:lang w:val="es-MX"/>
        </w:rPr>
      </w:pPr>
      <w:r w:rsidRPr="00305D32">
        <w:rPr>
          <w:lang w:val="es-MX"/>
        </w:rPr>
        <w:t>La economía mundial se encuentra en una etapa de desaceleración derivad</w:t>
      </w:r>
      <w:r>
        <w:rPr>
          <w:lang w:val="es-MX"/>
        </w:rPr>
        <w:t>a</w:t>
      </w:r>
      <w:r w:rsidRPr="00305D32">
        <w:rPr>
          <w:lang w:val="es-MX"/>
        </w:rPr>
        <w:t xml:space="preserve"> de las controversias e incertidumbre sobre las políticas en el comercio internacional</w:t>
      </w:r>
      <w:r w:rsidR="00744005">
        <w:rPr>
          <w:lang w:val="es-MX"/>
        </w:rPr>
        <w:t>.</w:t>
      </w:r>
      <w:r w:rsidR="00F10E77">
        <w:rPr>
          <w:lang w:val="es-MX"/>
        </w:rPr>
        <w:t xml:space="preserve"> </w:t>
      </w:r>
      <w:r w:rsidR="00744005">
        <w:rPr>
          <w:lang w:val="es-MX"/>
        </w:rPr>
        <w:t>De acuerdo con</w:t>
      </w:r>
      <w:r w:rsidRPr="00305D32">
        <w:rPr>
          <w:lang w:val="es-MX"/>
        </w:rPr>
        <w:t xml:space="preserve"> las proyecciones del Fondo Monetario Internacional (FMI) en su documento "Actualización de perspectivas de la economía mundial" (julio de 2025), se espera un crecimiento global del 3</w:t>
      </w:r>
      <w:r w:rsidR="0019290E">
        <w:rPr>
          <w:lang w:val="es-MX"/>
        </w:rPr>
        <w:t>.0 %</w:t>
      </w:r>
      <w:r w:rsidRPr="00305D32">
        <w:rPr>
          <w:lang w:val="es-MX"/>
        </w:rPr>
        <w:t xml:space="preserve"> para 2025 y del 3.1</w:t>
      </w:r>
      <w:r w:rsidR="0019290E">
        <w:rPr>
          <w:lang w:val="es-MX"/>
        </w:rPr>
        <w:t xml:space="preserve"> %</w:t>
      </w:r>
      <w:r w:rsidRPr="00305D32">
        <w:rPr>
          <w:lang w:val="es-MX"/>
        </w:rPr>
        <w:t xml:space="preserve"> para 2026. En contraste, el Banco Mundial (BM), en su informe "Perspectivas económicas mundiales" (junio de 2025), proyecta un crecimiento mundial del 2.3</w:t>
      </w:r>
      <w:r w:rsidR="0019290E">
        <w:rPr>
          <w:lang w:val="es-MX"/>
        </w:rPr>
        <w:t xml:space="preserve"> %</w:t>
      </w:r>
      <w:r w:rsidRPr="00305D32">
        <w:rPr>
          <w:lang w:val="es-MX"/>
        </w:rPr>
        <w:t xml:space="preserve"> para 2025 y del 2.4</w:t>
      </w:r>
      <w:r w:rsidR="0019290E">
        <w:rPr>
          <w:lang w:val="es-MX"/>
        </w:rPr>
        <w:t xml:space="preserve"> %</w:t>
      </w:r>
      <w:r w:rsidRPr="00305D32">
        <w:rPr>
          <w:lang w:val="es-MX"/>
        </w:rPr>
        <w:t xml:space="preserve"> para 2026. Estas cifras reflejan perspectivas distintas sobre el impacto de las tensiones comerciales en el desempeño económico global. A esto se suman las tensiones geopolíticas</w:t>
      </w:r>
      <w:r>
        <w:rPr>
          <w:lang w:val="es-MX"/>
        </w:rPr>
        <w:t xml:space="preserve"> y las guerras arancelarias</w:t>
      </w:r>
      <w:r w:rsidRPr="00305D32">
        <w:rPr>
          <w:lang w:val="es-MX"/>
        </w:rPr>
        <w:t>, que podrían desestabilizar las cadenas de suministro globales y, por lo tanto, elevar el precio de las materias primas.</w:t>
      </w:r>
    </w:p>
    <w:p w14:paraId="59E20B79" w14:textId="26592E17" w:rsidR="00313474" w:rsidRPr="00305D32" w:rsidRDefault="00313474" w:rsidP="00313474">
      <w:pPr>
        <w:rPr>
          <w:lang w:val="es-MX"/>
        </w:rPr>
      </w:pPr>
      <w:r w:rsidRPr="00305D32">
        <w:rPr>
          <w:lang w:val="es-MX"/>
        </w:rPr>
        <w:t>En el plano regional, el FMI pronostica un crecimiento de 4.1</w:t>
      </w:r>
      <w:r w:rsidR="0019290E">
        <w:rPr>
          <w:lang w:val="es-MX"/>
        </w:rPr>
        <w:t xml:space="preserve"> %</w:t>
      </w:r>
      <w:r w:rsidRPr="00305D32">
        <w:rPr>
          <w:lang w:val="es-MX"/>
        </w:rPr>
        <w:t xml:space="preserve"> en 2025 y 4</w:t>
      </w:r>
      <w:r w:rsidR="00105B05">
        <w:rPr>
          <w:lang w:val="es-MX"/>
        </w:rPr>
        <w:t>.0</w:t>
      </w:r>
      <w:r w:rsidR="0019290E">
        <w:rPr>
          <w:lang w:val="es-MX"/>
        </w:rPr>
        <w:t xml:space="preserve"> %</w:t>
      </w:r>
      <w:r w:rsidRPr="00305D32">
        <w:rPr>
          <w:lang w:val="es-MX"/>
        </w:rPr>
        <w:t xml:space="preserve"> en 2026 para las economías emergentes y en desarrollo. El </w:t>
      </w:r>
      <w:r>
        <w:rPr>
          <w:lang w:val="es-MX"/>
        </w:rPr>
        <w:t>BM</w:t>
      </w:r>
      <w:r w:rsidRPr="00305D32">
        <w:rPr>
          <w:lang w:val="es-MX"/>
        </w:rPr>
        <w:t xml:space="preserve"> realizó una estimación ligeramente moderada, pues espera que la expansión solo alcance el 3.8</w:t>
      </w:r>
      <w:r w:rsidR="0019290E">
        <w:rPr>
          <w:lang w:val="es-MX"/>
        </w:rPr>
        <w:t xml:space="preserve"> %</w:t>
      </w:r>
      <w:r w:rsidRPr="00305D32">
        <w:rPr>
          <w:lang w:val="es-MX"/>
        </w:rPr>
        <w:t xml:space="preserve"> al cierre de</w:t>
      </w:r>
      <w:r w:rsidR="00105B05">
        <w:rPr>
          <w:lang w:val="es-MX"/>
        </w:rPr>
        <w:t>l periodo</w:t>
      </w:r>
      <w:r w:rsidRPr="00305D32">
        <w:rPr>
          <w:lang w:val="es-MX"/>
        </w:rPr>
        <w:t xml:space="preserve"> 2025</w:t>
      </w:r>
      <w:r>
        <w:rPr>
          <w:lang w:val="es-MX"/>
        </w:rPr>
        <w:t>-</w:t>
      </w:r>
      <w:r w:rsidRPr="00305D32">
        <w:rPr>
          <w:lang w:val="es-MX"/>
        </w:rPr>
        <w:t>2026. En las economías avanzadas</w:t>
      </w:r>
      <w:r w:rsidR="00105B05">
        <w:rPr>
          <w:lang w:val="es-MX"/>
        </w:rPr>
        <w:t>,</w:t>
      </w:r>
      <w:r w:rsidRPr="00305D32">
        <w:rPr>
          <w:lang w:val="es-MX"/>
        </w:rPr>
        <w:t xml:space="preserve"> se estima un crecimiento del 1.5</w:t>
      </w:r>
      <w:r w:rsidR="0019290E">
        <w:rPr>
          <w:lang w:val="es-MX"/>
        </w:rPr>
        <w:t xml:space="preserve"> %</w:t>
      </w:r>
      <w:r w:rsidRPr="00305D32">
        <w:rPr>
          <w:lang w:val="es-MX"/>
        </w:rPr>
        <w:t xml:space="preserve"> en 2025 y de 1.6</w:t>
      </w:r>
      <w:r w:rsidR="0019290E">
        <w:rPr>
          <w:lang w:val="es-MX"/>
        </w:rPr>
        <w:t xml:space="preserve"> %</w:t>
      </w:r>
      <w:r w:rsidRPr="00305D32">
        <w:rPr>
          <w:lang w:val="es-MX"/>
        </w:rPr>
        <w:t xml:space="preserve"> para 2026 según el FMI. </w:t>
      </w:r>
    </w:p>
    <w:p w14:paraId="4FDF03C9" w14:textId="3CD7C68D" w:rsidR="00313474" w:rsidRPr="00305D32" w:rsidRDefault="00313474" w:rsidP="00313474">
      <w:pPr>
        <w:rPr>
          <w:lang w:val="es-MX"/>
        </w:rPr>
      </w:pPr>
      <w:r w:rsidRPr="00305D32">
        <w:rPr>
          <w:lang w:val="es-MX"/>
        </w:rPr>
        <w:lastRenderedPageBreak/>
        <w:t xml:space="preserve">Si bien varias economías han iniciado ciclos graduales de relajación monetaria, persiste el riesgo de mantener por más tiempo condiciones financieras estrictas ante presiones inflacionarias en servicios y choques de costos. Ello puede traducirse en una desaceleración de la producción y en un encarecimiento del financiamiento, especialmente para países con elevados requerimientos de refinanciamiento de deuda </w:t>
      </w:r>
      <w:r w:rsidR="00105B05">
        <w:rPr>
          <w:lang w:val="es-MX"/>
        </w:rPr>
        <w:t>durante</w:t>
      </w:r>
      <w:r w:rsidR="00105B05" w:rsidRPr="00305D32">
        <w:rPr>
          <w:lang w:val="es-MX"/>
        </w:rPr>
        <w:t xml:space="preserve"> </w:t>
      </w:r>
      <w:r w:rsidRPr="00305D32">
        <w:rPr>
          <w:lang w:val="es-MX"/>
        </w:rPr>
        <w:t xml:space="preserve">2025-2026. A esto se suma la reciente aplicación y ampliación de aranceles por parte de Estados Unidos —particularmente en sectores estratégicos—, que </w:t>
      </w:r>
      <w:r>
        <w:rPr>
          <w:lang w:val="es-MX"/>
        </w:rPr>
        <w:t>incrementa</w:t>
      </w:r>
      <w:r w:rsidRPr="00305D32">
        <w:rPr>
          <w:lang w:val="es-MX"/>
        </w:rPr>
        <w:t xml:space="preserve"> la incertidumbre comercial, encarece insumos importados y reconfigura </w:t>
      </w:r>
      <w:r>
        <w:rPr>
          <w:lang w:val="es-MX"/>
        </w:rPr>
        <w:t xml:space="preserve">las </w:t>
      </w:r>
      <w:r w:rsidRPr="00305D32">
        <w:rPr>
          <w:lang w:val="es-MX"/>
        </w:rPr>
        <w:t>cadenas de valor con efectos mixtos sobre la inversión y la productividad.</w:t>
      </w:r>
      <w:r w:rsidR="00105B05">
        <w:rPr>
          <w:lang w:val="es-MX"/>
        </w:rPr>
        <w:t xml:space="preserve"> </w:t>
      </w:r>
      <w:r w:rsidR="00F556EE">
        <w:rPr>
          <w:lang w:val="es-MX"/>
        </w:rPr>
        <w:t>Asimismo,</w:t>
      </w:r>
      <w:r w:rsidRPr="00305D32">
        <w:rPr>
          <w:lang w:val="es-MX"/>
        </w:rPr>
        <w:t xml:space="preserve"> </w:t>
      </w:r>
      <w:r w:rsidR="00105B05">
        <w:rPr>
          <w:lang w:val="es-MX"/>
        </w:rPr>
        <w:t>l</w:t>
      </w:r>
      <w:r w:rsidR="00105B05" w:rsidRPr="00305D32">
        <w:rPr>
          <w:lang w:val="es-MX"/>
        </w:rPr>
        <w:t xml:space="preserve">a </w:t>
      </w:r>
      <w:r w:rsidRPr="00305D32">
        <w:rPr>
          <w:lang w:val="es-MX"/>
        </w:rPr>
        <w:t>desaceleración estructural de China y la volatilidad en los precios de la energía y alimentos continúan condicionando el entorno externo.</w:t>
      </w:r>
    </w:p>
    <w:p w14:paraId="39A12643" w14:textId="6A30FACD" w:rsidR="00313474" w:rsidRDefault="00313474" w:rsidP="00313474">
      <w:pPr>
        <w:rPr>
          <w:lang w:val="es-MX"/>
        </w:rPr>
      </w:pPr>
      <w:r w:rsidRPr="00305D32">
        <w:rPr>
          <w:lang w:val="es-MX"/>
        </w:rPr>
        <w:t xml:space="preserve">En el frente geopolítico, </w:t>
      </w:r>
      <w:r w:rsidRPr="00896E06">
        <w:rPr>
          <w:lang w:val="es-MX"/>
        </w:rPr>
        <w:t xml:space="preserve">el conflicto entre Israel y Palestina </w:t>
      </w:r>
      <w:r w:rsidRPr="00305D32">
        <w:rPr>
          <w:lang w:val="es-MX"/>
        </w:rPr>
        <w:t>mantiene riesgos al alza para los costos logísticos y energéticos, con potenciales disrupciones en rutas marítimas y primas de riesgo más altas en mercados emergentes. A su vez, episodios de inestabilidad financiera, la mayor frecuencia de fenómenos meteorológicos extremos y la posible materialización de “riesgos de transición” asociados a la descarbonización</w:t>
      </w:r>
      <w:r w:rsidR="00105B05">
        <w:rPr>
          <w:lang w:val="es-MX"/>
        </w:rPr>
        <w:t>, los cuales</w:t>
      </w:r>
      <w:r w:rsidRPr="00305D32">
        <w:rPr>
          <w:lang w:val="es-MX"/>
        </w:rPr>
        <w:t xml:space="preserve"> podrían afectar la actividad y las finanzas públicas </w:t>
      </w:r>
      <w:r>
        <w:rPr>
          <w:lang w:val="es-MX"/>
        </w:rPr>
        <w:t>a través de</w:t>
      </w:r>
      <w:r w:rsidRPr="00305D32">
        <w:rPr>
          <w:lang w:val="es-MX"/>
        </w:rPr>
        <w:t xml:space="preserve"> menores ingresos y mayores necesidades de gasto. En conjunto, estos factores configuran un panorama </w:t>
      </w:r>
      <w:r>
        <w:rPr>
          <w:lang w:val="es-MX"/>
        </w:rPr>
        <w:t xml:space="preserve">para </w:t>
      </w:r>
      <w:r w:rsidRPr="00305D32">
        <w:rPr>
          <w:lang w:val="es-MX"/>
        </w:rPr>
        <w:t>2025 de crecimiento moderado y elevada incertidumbre, que exige políticas macroeconómicas prudentes, gestión activa de la deuda y medidas de mitigación de riesgos para preservar la estabilidad y sostener la inversión.</w:t>
      </w:r>
    </w:p>
    <w:p w14:paraId="7645B5EC" w14:textId="77777777" w:rsidR="00313474" w:rsidRPr="004D180E" w:rsidRDefault="00313474" w:rsidP="00313474">
      <w:r w:rsidRPr="004D180E">
        <w:t xml:space="preserve">La volatilidad de los precios energéticos y de alimentos, la aplicación de nuevos aranceles por parte de Estados Unidos, así como la desaceleración estructural de China, configuran un entorno externo desafiante que podría limitar la expansión económica y encarecer el financiamiento global. A su vez, los conflictos en Medio Oriente, el aumento de fenómenos meteorológicos extremos y los riesgos asociados </w:t>
      </w:r>
      <w:r w:rsidRPr="004D180E">
        <w:lastRenderedPageBreak/>
        <w:t>a la transición hacia economías descarbonizadas añaden presiones sobre los costos logísticos, las primas de riesgo y las finanzas públicas, especialmente en economías emergentes.</w:t>
      </w:r>
    </w:p>
    <w:p w14:paraId="6B6119EA" w14:textId="77777777" w:rsidR="00313474" w:rsidRPr="004D180E" w:rsidRDefault="00313474" w:rsidP="00313474">
      <w:r w:rsidRPr="004D180E">
        <w:t>En este escenario, los organismos internacionales recomiendan la implementación de políticas macroeconómicas prudentes, una gestión responsable de la deuda pública y estrategias de mitigación de riesgos fiscales que salvaguarden la estabilidad económica y la inversión productiva.</w:t>
      </w:r>
    </w:p>
    <w:p w14:paraId="072C1787" w14:textId="26D2719A" w:rsidR="00313474" w:rsidRDefault="00313474" w:rsidP="00313474">
      <w:r w:rsidRPr="004D180E">
        <w:t>Para México, las perspectivas de crecimiento para 2025 apuntan hacia un bajo dinamismo. Tanto el FMI como el BM proyectan un incremento del 0.2</w:t>
      </w:r>
      <w:r w:rsidR="0019290E">
        <w:t xml:space="preserve"> %</w:t>
      </w:r>
      <w:r w:rsidRPr="004D180E">
        <w:t xml:space="preserve"> del PIB, mientras que la Secretaría de Hacienda y Crédito Público (SHCP), en los Criterios Generales de Política Económica 2026</w:t>
      </w:r>
      <w:r>
        <w:t xml:space="preserve"> (CGPE 2026)</w:t>
      </w:r>
      <w:r w:rsidRPr="004D180E">
        <w:t>, plantea un rango más optimista entre 0.5</w:t>
      </w:r>
      <w:r w:rsidR="0019290E">
        <w:t xml:space="preserve"> %</w:t>
      </w:r>
      <w:r w:rsidRPr="004D180E">
        <w:t xml:space="preserve"> y 1.5</w:t>
      </w:r>
      <w:r w:rsidR="0019290E">
        <w:t xml:space="preserve"> %</w:t>
      </w:r>
      <w:r w:rsidRPr="004D180E">
        <w:t>. Para 2026, el FMI prevé una recuperación moderada del 1.4</w:t>
      </w:r>
      <w:r w:rsidR="0019290E">
        <w:t xml:space="preserve"> %</w:t>
      </w:r>
      <w:r w:rsidRPr="004D180E">
        <w:t>, el BM del 1.1</w:t>
      </w:r>
      <w:r w:rsidR="0019290E">
        <w:t xml:space="preserve"> %</w:t>
      </w:r>
      <w:r w:rsidRPr="004D180E">
        <w:t>, y la SHCP estima un rango de 1.8</w:t>
      </w:r>
      <w:r w:rsidR="0019290E">
        <w:t xml:space="preserve"> %</w:t>
      </w:r>
      <w:r w:rsidRPr="004D180E">
        <w:t xml:space="preserve"> a 2.8</w:t>
      </w:r>
      <w:r w:rsidR="0019290E">
        <w:t xml:space="preserve"> %</w:t>
      </w:r>
      <w:r w:rsidRPr="004D180E">
        <w:t>, reflejando una expectativa de repunte gradual.</w:t>
      </w:r>
    </w:p>
    <w:p w14:paraId="418F50B6" w14:textId="7DC01003" w:rsidR="00313474" w:rsidRDefault="00313474" w:rsidP="00313474">
      <w:r>
        <w:t>Al inicio de la presente administración estatal, en el ejercicio</w:t>
      </w:r>
      <w:r w:rsidRPr="004D180E">
        <w:t xml:space="preserve"> 2023 se implementó la reforma fiscal mediante la cual se incrementaron las tasas del Impuesto sobre Nóminas y del Impuesto al Hospedaje; </w:t>
      </w:r>
      <w:r>
        <w:t xml:space="preserve">de igual manera </w:t>
      </w:r>
      <w:r w:rsidRPr="004D180E">
        <w:t>se incorporó el derecho</w:t>
      </w:r>
      <w:r>
        <w:t xml:space="preserve"> de</w:t>
      </w:r>
      <w:r w:rsidRPr="004D180E">
        <w:t xml:space="preserve"> cobro del Visitax con el objetivo de que los turistas extranjeros contribuyan al mantenimiento de la infraestructura y de servicios públicos,</w:t>
      </w:r>
      <w:r w:rsidR="00744005">
        <w:t xml:space="preserve"> y</w:t>
      </w:r>
      <w:r w:rsidRPr="004D180E">
        <w:t xml:space="preserve"> se creó el Impuesto a la Venta Final de Bebidas Alcohólicas.</w:t>
      </w:r>
      <w:r>
        <w:t xml:space="preserve"> Estas acciones</w:t>
      </w:r>
      <w:r w:rsidRPr="004D180E">
        <w:t xml:space="preserve"> </w:t>
      </w:r>
      <w:r>
        <w:t>fortalecieron la</w:t>
      </w:r>
      <w:r w:rsidRPr="004D180E">
        <w:t xml:space="preserve"> recaudación de ingresos propios, </w:t>
      </w:r>
      <w:r>
        <w:t xml:space="preserve">generando una disminución de </w:t>
      </w:r>
      <w:r w:rsidRPr="004D180E">
        <w:t xml:space="preserve">la dependencia </w:t>
      </w:r>
      <w:r>
        <w:t>en</w:t>
      </w:r>
      <w:r w:rsidRPr="004D180E">
        <w:t xml:space="preserve"> transferencias federales</w:t>
      </w:r>
      <w:r>
        <w:t>, lo cual se traduce en</w:t>
      </w:r>
      <w:r w:rsidRPr="004D180E">
        <w:t xml:space="preserve"> mej</w:t>
      </w:r>
      <w:r>
        <w:t xml:space="preserve">or </w:t>
      </w:r>
      <w:r w:rsidRPr="004D180E">
        <w:t xml:space="preserve">posición de Quintana Roo con </w:t>
      </w:r>
      <w:r>
        <w:t xml:space="preserve">respecto a </w:t>
      </w:r>
      <w:r w:rsidRPr="004D180E">
        <w:t xml:space="preserve">otras entidades </w:t>
      </w:r>
      <w:r>
        <w:t xml:space="preserve">federativas </w:t>
      </w:r>
      <w:r w:rsidRPr="004D180E">
        <w:t>en la asignación de participaciones. E</w:t>
      </w:r>
      <w:r>
        <w:t>n este sentido e</w:t>
      </w:r>
      <w:r w:rsidRPr="004D180E">
        <w:t xml:space="preserve">l índice de autonomía financiera </w:t>
      </w:r>
      <w:r>
        <w:t>incrementó</w:t>
      </w:r>
      <w:r w:rsidRPr="004D180E">
        <w:t xml:space="preserve"> de 21.57</w:t>
      </w:r>
      <w:r w:rsidR="0019290E">
        <w:t xml:space="preserve"> %</w:t>
      </w:r>
      <w:r w:rsidRPr="004D180E">
        <w:t xml:space="preserve"> en 2022 a 27.83</w:t>
      </w:r>
      <w:r w:rsidR="0019290E">
        <w:t xml:space="preserve"> %</w:t>
      </w:r>
      <w:r w:rsidRPr="004D180E">
        <w:t xml:space="preserve"> en 2024. </w:t>
      </w:r>
    </w:p>
    <w:p w14:paraId="32183893" w14:textId="2A6547B7" w:rsidR="00313474" w:rsidRDefault="00313474" w:rsidP="00313474">
      <w:r w:rsidRPr="004D180E">
        <w:t xml:space="preserve">En el ámbito estatal, se anticipa una contracción del PIB </w:t>
      </w:r>
      <w:r w:rsidR="00744005">
        <w:t>Estatal</w:t>
      </w:r>
      <w:r w:rsidRPr="004D180E">
        <w:t xml:space="preserve"> del</w:t>
      </w:r>
      <w:r>
        <w:t xml:space="preserve"> -</w:t>
      </w:r>
      <w:r w:rsidRPr="004D180E">
        <w:t>9.19</w:t>
      </w:r>
      <w:r w:rsidR="0019290E">
        <w:t xml:space="preserve"> %</w:t>
      </w:r>
      <w:r w:rsidRPr="004D180E">
        <w:t xml:space="preserve"> para 2025, atribuible principalmente a la conclusión de los grandes proyectos de inversión </w:t>
      </w:r>
      <w:r w:rsidRPr="004D180E">
        <w:lastRenderedPageBreak/>
        <w:t>pública federal, lo que marca el cierre de un ciclo expansivo observado entre 2022 y 2023.</w:t>
      </w:r>
      <w:r w:rsidRPr="001D7894">
        <w:t xml:space="preserve"> </w:t>
      </w:r>
    </w:p>
    <w:p w14:paraId="663F2CCD" w14:textId="5407FDCE" w:rsidR="00313474" w:rsidRPr="004D180E" w:rsidRDefault="00313474" w:rsidP="00313474">
      <w:r w:rsidRPr="004D180E">
        <w:t xml:space="preserve">En materia de exportaciones, la entidad registró una </w:t>
      </w:r>
      <w:r w:rsidR="00105B05">
        <w:t>variación a la baja</w:t>
      </w:r>
      <w:r w:rsidR="00105B05" w:rsidRPr="004D180E">
        <w:t xml:space="preserve"> </w:t>
      </w:r>
      <w:r w:rsidRPr="004D180E">
        <w:t>de 16.9</w:t>
      </w:r>
      <w:r w:rsidR="0019290E">
        <w:t xml:space="preserve"> %</w:t>
      </w:r>
      <w:r w:rsidRPr="004D180E">
        <w:t>, al pasar de 17.5 millones de dólares en el primer semestre de 2024 a 14.5 millones en el mismo periodo de 2025. En el mercado laboral, la tasa de desocupación se mantiene similar al promedio nacional, con una leve mejora atribuida a la estabilización de la base trabajadora tras la conclusión de las obras del Tren Maya.</w:t>
      </w:r>
    </w:p>
    <w:p w14:paraId="20A6A6AA" w14:textId="1E1BA9EE" w:rsidR="00313474" w:rsidRPr="004D180E" w:rsidRDefault="00313474" w:rsidP="00313474">
      <w:r w:rsidRPr="004D180E">
        <w:t>El sector turístico, pilar de la economía quintanarroense, muestra una ligera desaceleración: al corte de agosto de 2025, la ocupación hotelera promedio fue de 69.27</w:t>
      </w:r>
      <w:r w:rsidR="0019290E">
        <w:t xml:space="preserve"> %</w:t>
      </w:r>
      <w:r w:rsidRPr="004D180E">
        <w:t xml:space="preserve"> (enero-julio), frente al 71.6</w:t>
      </w:r>
      <w:r w:rsidR="0019290E">
        <w:t xml:space="preserve"> %</w:t>
      </w:r>
      <w:r w:rsidRPr="004D180E">
        <w:t xml:space="preserve"> registrado en igual periodo de 2024. Asimismo, la Inversión Extranjera Directa (IED) disminuyó en 30.31</w:t>
      </w:r>
      <w:r w:rsidR="0019290E">
        <w:t xml:space="preserve"> %</w:t>
      </w:r>
      <w:r w:rsidRPr="004D180E">
        <w:t xml:space="preserve"> durante el primer semestre de 2025, al pasar de 730.5 millones de dólares en 2024 a 509 millones en el presente año.</w:t>
      </w:r>
    </w:p>
    <w:p w14:paraId="34549AB4" w14:textId="77777777" w:rsidR="00313474" w:rsidRPr="004D180E" w:rsidRDefault="00313474" w:rsidP="00313474">
      <w:r w:rsidRPr="004D180E">
        <w:t>En conjunto, el entorno económico de 2025 se caracteriza por una moderación en el crecimiento, elevada incertidumbre y mayores exigencias de disciplina fiscal. Ante ello, el Estado de Quintana Roo reafirma su compromiso con una gestión financiera responsable, la preservación de la estabilidad económica y la promoción de un entorno propicio para la inversión, el empleo y el bienestar de la población.</w:t>
      </w:r>
    </w:p>
    <w:p w14:paraId="69D537B6" w14:textId="77777777" w:rsidR="00313474" w:rsidRPr="00313474" w:rsidRDefault="00313474" w:rsidP="00590903">
      <w:pPr>
        <w:rPr>
          <w:lang w:val="es-MX"/>
        </w:rPr>
      </w:pPr>
    </w:p>
    <w:p w14:paraId="4D083078" w14:textId="580ACECB" w:rsidR="00AE57F0" w:rsidRPr="00305D32" w:rsidRDefault="0019290E">
      <w:pPr>
        <w:pStyle w:val="Ttulo1"/>
        <w:numPr>
          <w:ilvl w:val="0"/>
          <w:numId w:val="5"/>
        </w:numPr>
        <w:spacing w:before="0" w:line="276" w:lineRule="auto"/>
        <w:rPr>
          <w:lang w:val="es-MX"/>
        </w:rPr>
      </w:pPr>
      <w:bookmarkStart w:id="0" w:name="_heading=h.4k668n3" w:colFirst="0" w:colLast="0"/>
      <w:bookmarkEnd w:id="0"/>
      <w:r>
        <w:rPr>
          <w:lang w:val="es-MX"/>
        </w:rPr>
        <w:lastRenderedPageBreak/>
        <w:t xml:space="preserve"> </w:t>
      </w:r>
      <w:bookmarkStart w:id="1" w:name="_heading=h.2zbgiuw" w:colFirst="0" w:colLast="0"/>
      <w:bookmarkEnd w:id="1"/>
      <w:r w:rsidR="00414F7C" w:rsidRPr="00305D32">
        <w:rPr>
          <w:lang w:val="es-MX"/>
        </w:rPr>
        <w:t>Economía Mundial</w:t>
      </w:r>
    </w:p>
    <w:p w14:paraId="4D083079" w14:textId="21205660" w:rsidR="00AE57F0" w:rsidRPr="00305D32" w:rsidRDefault="00414F7C">
      <w:pPr>
        <w:rPr>
          <w:lang w:val="es-MX"/>
        </w:rPr>
      </w:pPr>
      <w:r w:rsidRPr="00305D32">
        <w:rPr>
          <w:lang w:val="es-MX"/>
        </w:rPr>
        <w:t>En est</w:t>
      </w:r>
      <w:r w:rsidR="00187641" w:rsidRPr="00305D32">
        <w:rPr>
          <w:lang w:val="es-MX"/>
        </w:rPr>
        <w:t>e</w:t>
      </w:r>
      <w:r w:rsidR="00382BB6" w:rsidRPr="00305D32">
        <w:rPr>
          <w:lang w:val="es-MX"/>
        </w:rPr>
        <w:t xml:space="preserve"> </w:t>
      </w:r>
      <w:r w:rsidR="00EB3D03" w:rsidRPr="00305D32">
        <w:rPr>
          <w:lang w:val="es-MX"/>
        </w:rPr>
        <w:t>apartado</w:t>
      </w:r>
      <w:r w:rsidRPr="00305D32">
        <w:rPr>
          <w:lang w:val="es-MX"/>
        </w:rPr>
        <w:t xml:space="preserve"> se presenta </w:t>
      </w:r>
      <w:r w:rsidR="004824E9" w:rsidRPr="00305D32">
        <w:rPr>
          <w:lang w:val="es-MX"/>
        </w:rPr>
        <w:t>la evolució</w:t>
      </w:r>
      <w:r w:rsidR="00DF7A4B" w:rsidRPr="00305D32">
        <w:rPr>
          <w:lang w:val="es-MX"/>
        </w:rPr>
        <w:t>n</w:t>
      </w:r>
      <w:r w:rsidRPr="00305D32">
        <w:rPr>
          <w:lang w:val="es-MX"/>
        </w:rPr>
        <w:t xml:space="preserve"> y las proyecciones de crecimiento del PIB y la inflación </w:t>
      </w:r>
      <w:r w:rsidR="00100CE5" w:rsidRPr="00305D32">
        <w:rPr>
          <w:lang w:val="es-MX"/>
        </w:rPr>
        <w:t>a nivel global</w:t>
      </w:r>
      <w:r w:rsidRPr="00305D32">
        <w:rPr>
          <w:lang w:val="es-MX"/>
        </w:rPr>
        <w:t>, así como un desglose para economías avanzadas</w:t>
      </w:r>
      <w:r w:rsidR="002061EF" w:rsidRPr="00305D32">
        <w:rPr>
          <w:lang w:val="es-MX"/>
        </w:rPr>
        <w:t>,</w:t>
      </w:r>
      <w:r w:rsidRPr="00305D32">
        <w:rPr>
          <w:lang w:val="es-MX"/>
        </w:rPr>
        <w:t xml:space="preserve"> economías emergentes y en desarrollo (EMDE), América Latina y el Caribe</w:t>
      </w:r>
      <w:r w:rsidR="00105B05">
        <w:rPr>
          <w:lang w:val="es-MX"/>
        </w:rPr>
        <w:t>,</w:t>
      </w:r>
      <w:r w:rsidRPr="00305D32">
        <w:rPr>
          <w:lang w:val="es-MX"/>
        </w:rPr>
        <w:t xml:space="preserve"> y los países que las </w:t>
      </w:r>
      <w:r w:rsidR="008F461B">
        <w:rPr>
          <w:lang w:val="es-MX"/>
        </w:rPr>
        <w:t>integran</w:t>
      </w:r>
      <w:r w:rsidRPr="00305D32">
        <w:rPr>
          <w:lang w:val="es-MX"/>
        </w:rPr>
        <w:t>. Las estimaciones y proyecciones de</w:t>
      </w:r>
      <w:r w:rsidR="0082409B" w:rsidRPr="00305D32">
        <w:rPr>
          <w:lang w:val="es-MX"/>
        </w:rPr>
        <w:t>l</w:t>
      </w:r>
      <w:r w:rsidRPr="00305D32">
        <w:rPr>
          <w:lang w:val="es-MX"/>
        </w:rPr>
        <w:t xml:space="preserve"> crecimiento</w:t>
      </w:r>
      <w:r w:rsidR="0082409B" w:rsidRPr="00305D32">
        <w:rPr>
          <w:lang w:val="es-MX"/>
        </w:rPr>
        <w:t xml:space="preserve"> económico y la </w:t>
      </w:r>
      <w:r w:rsidRPr="00305D32">
        <w:rPr>
          <w:lang w:val="es-MX"/>
        </w:rPr>
        <w:t>inflación son las correspondientes a julio de 202</w:t>
      </w:r>
      <w:r w:rsidR="0082409B" w:rsidRPr="00305D32">
        <w:rPr>
          <w:lang w:val="es-MX"/>
        </w:rPr>
        <w:t>5</w:t>
      </w:r>
      <w:r w:rsidRPr="00305D32">
        <w:rPr>
          <w:lang w:val="es-MX"/>
        </w:rPr>
        <w:t xml:space="preserve"> para el </w:t>
      </w:r>
      <w:r w:rsidR="004D111A">
        <w:rPr>
          <w:lang w:val="es-MX"/>
        </w:rPr>
        <w:t>FMI</w:t>
      </w:r>
      <w:r w:rsidRPr="00305D32">
        <w:rPr>
          <w:lang w:val="es-MX"/>
        </w:rPr>
        <w:t xml:space="preserve"> y junio de 202</w:t>
      </w:r>
      <w:r w:rsidR="0082409B" w:rsidRPr="00305D32">
        <w:rPr>
          <w:lang w:val="es-MX"/>
        </w:rPr>
        <w:t>5</w:t>
      </w:r>
      <w:r w:rsidRPr="00305D32">
        <w:rPr>
          <w:lang w:val="es-MX"/>
        </w:rPr>
        <w:t xml:space="preserve"> para el </w:t>
      </w:r>
      <w:r w:rsidR="008A4C19">
        <w:rPr>
          <w:lang w:val="es-MX"/>
        </w:rPr>
        <w:t>BM</w:t>
      </w:r>
      <w:r w:rsidRPr="00305D32">
        <w:rPr>
          <w:lang w:val="es-MX"/>
        </w:rPr>
        <w:t>.</w:t>
      </w:r>
    </w:p>
    <w:p w14:paraId="5910A387" w14:textId="5CAC0B8E" w:rsidR="00FE7A53" w:rsidRPr="00305D32" w:rsidRDefault="00167D5E">
      <w:pPr>
        <w:rPr>
          <w:lang w:val="es-MX"/>
        </w:rPr>
      </w:pPr>
      <w:r w:rsidRPr="00305D32">
        <w:rPr>
          <w:lang w:val="es-MX"/>
        </w:rPr>
        <w:t>El</w:t>
      </w:r>
      <w:r w:rsidR="00F56329" w:rsidRPr="00305D32">
        <w:rPr>
          <w:lang w:val="es-MX"/>
        </w:rPr>
        <w:t xml:space="preserve"> </w:t>
      </w:r>
      <w:r w:rsidR="008A4C19">
        <w:rPr>
          <w:lang w:val="es-MX"/>
        </w:rPr>
        <w:t>BM</w:t>
      </w:r>
      <w:r w:rsidR="00F271E2" w:rsidRPr="00305D32">
        <w:rPr>
          <w:lang w:val="es-MX"/>
        </w:rPr>
        <w:t xml:space="preserve"> </w:t>
      </w:r>
      <w:r w:rsidR="00212484" w:rsidRPr="00305D32">
        <w:rPr>
          <w:lang w:val="es-MX"/>
        </w:rPr>
        <w:t>di</w:t>
      </w:r>
      <w:r w:rsidR="005A347D" w:rsidRPr="00305D32">
        <w:rPr>
          <w:lang w:val="es-MX"/>
        </w:rPr>
        <w:t>o</w:t>
      </w:r>
      <w:r w:rsidR="00F271E2" w:rsidRPr="00305D32">
        <w:rPr>
          <w:lang w:val="es-MX"/>
        </w:rPr>
        <w:t xml:space="preserve"> a conocer</w:t>
      </w:r>
      <w:r w:rsidR="00C2096F" w:rsidRPr="00305D32">
        <w:rPr>
          <w:lang w:val="es-MX"/>
        </w:rPr>
        <w:t xml:space="preserve"> su</w:t>
      </w:r>
      <w:r w:rsidR="00DA3571" w:rsidRPr="00305D32">
        <w:rPr>
          <w:lang w:val="es-MX"/>
        </w:rPr>
        <w:t xml:space="preserve"> informe</w:t>
      </w:r>
      <w:r w:rsidR="00414F7C" w:rsidRPr="00305D32">
        <w:rPr>
          <w:lang w:val="es-MX"/>
        </w:rPr>
        <w:t xml:space="preserve"> </w:t>
      </w:r>
      <w:r w:rsidR="008F461B">
        <w:rPr>
          <w:lang w:val="es-MX"/>
        </w:rPr>
        <w:t>“</w:t>
      </w:r>
      <w:r w:rsidR="00414F7C" w:rsidRPr="00305D32">
        <w:rPr>
          <w:i/>
          <w:lang w:val="es-MX"/>
        </w:rPr>
        <w:t>Perspectivas económicas mundiales</w:t>
      </w:r>
      <w:r w:rsidR="008F461B">
        <w:rPr>
          <w:i/>
          <w:lang w:val="es-MX"/>
        </w:rPr>
        <w:t>”</w:t>
      </w:r>
      <w:r w:rsidR="00414F7C" w:rsidRPr="00305D32">
        <w:rPr>
          <w:lang w:val="es-MX"/>
        </w:rPr>
        <w:t xml:space="preserve">, </w:t>
      </w:r>
      <w:r w:rsidR="005D3ECF" w:rsidRPr="00305D32">
        <w:rPr>
          <w:lang w:val="es-MX"/>
        </w:rPr>
        <w:t xml:space="preserve">en el cual se señala que </w:t>
      </w:r>
      <w:r w:rsidR="00414F7C" w:rsidRPr="00305D32">
        <w:rPr>
          <w:lang w:val="es-MX"/>
        </w:rPr>
        <w:t xml:space="preserve">la economía </w:t>
      </w:r>
      <w:r w:rsidR="00F8162C" w:rsidRPr="00305D32">
        <w:rPr>
          <w:lang w:val="es-MX"/>
        </w:rPr>
        <w:t xml:space="preserve">mundial ha </w:t>
      </w:r>
      <w:r w:rsidR="005D3ECF" w:rsidRPr="00305D32">
        <w:rPr>
          <w:lang w:val="es-MX"/>
        </w:rPr>
        <w:t>experimentado</w:t>
      </w:r>
      <w:r w:rsidR="009D527F" w:rsidRPr="00305D32">
        <w:rPr>
          <w:lang w:val="es-MX"/>
        </w:rPr>
        <w:t xml:space="preserve"> </w:t>
      </w:r>
      <w:r w:rsidR="00F8162C" w:rsidRPr="00305D32">
        <w:rPr>
          <w:lang w:val="es-MX"/>
        </w:rPr>
        <w:t xml:space="preserve">cambios </w:t>
      </w:r>
      <w:r w:rsidR="008F461B">
        <w:rPr>
          <w:lang w:val="es-MX"/>
        </w:rPr>
        <w:t>significativos</w:t>
      </w:r>
      <w:r w:rsidR="00F8162C" w:rsidRPr="00305D32">
        <w:rPr>
          <w:lang w:val="es-MX"/>
        </w:rPr>
        <w:t xml:space="preserve"> </w:t>
      </w:r>
      <w:r w:rsidR="00FE7A53" w:rsidRPr="00305D32">
        <w:rPr>
          <w:lang w:val="es-MX"/>
        </w:rPr>
        <w:t>re</w:t>
      </w:r>
      <w:r w:rsidR="009D527F" w:rsidRPr="00305D32">
        <w:rPr>
          <w:lang w:val="es-MX"/>
        </w:rPr>
        <w:t>lacionados</w:t>
      </w:r>
      <w:r w:rsidR="00FE7A53" w:rsidRPr="00305D32">
        <w:rPr>
          <w:lang w:val="es-MX"/>
        </w:rPr>
        <w:t xml:space="preserve"> con</w:t>
      </w:r>
      <w:r w:rsidR="007A61DA" w:rsidRPr="00305D32">
        <w:rPr>
          <w:lang w:val="es-MX"/>
        </w:rPr>
        <w:t xml:space="preserve"> las tensiones </w:t>
      </w:r>
      <w:r w:rsidR="00CF78E7">
        <w:rPr>
          <w:lang w:val="es-MX"/>
        </w:rPr>
        <w:t>arancelarias</w:t>
      </w:r>
      <w:r w:rsidR="007A61DA" w:rsidRPr="00305D32">
        <w:rPr>
          <w:lang w:val="es-MX"/>
        </w:rPr>
        <w:t xml:space="preserve"> en el </w:t>
      </w:r>
      <w:r w:rsidR="00EF4813" w:rsidRPr="00305D32">
        <w:rPr>
          <w:lang w:val="es-MX"/>
        </w:rPr>
        <w:t>comercio</w:t>
      </w:r>
      <w:r w:rsidR="008F461B">
        <w:rPr>
          <w:lang w:val="es-MX"/>
        </w:rPr>
        <w:t xml:space="preserve"> </w:t>
      </w:r>
      <w:r w:rsidR="00EF4813" w:rsidRPr="00305D32">
        <w:rPr>
          <w:lang w:val="es-MX"/>
        </w:rPr>
        <w:t>internacional</w:t>
      </w:r>
      <w:r w:rsidR="003F7D3E" w:rsidRPr="00305D32">
        <w:rPr>
          <w:lang w:val="es-MX"/>
        </w:rPr>
        <w:t xml:space="preserve"> y</w:t>
      </w:r>
      <w:r w:rsidR="008F461B">
        <w:rPr>
          <w:lang w:val="es-MX"/>
        </w:rPr>
        <w:t xml:space="preserve"> con</w:t>
      </w:r>
      <w:r w:rsidR="00686785" w:rsidRPr="00305D32">
        <w:rPr>
          <w:lang w:val="es-MX"/>
        </w:rPr>
        <w:t xml:space="preserve"> la incertidumbre generada por las decisiones de política monetaria </w:t>
      </w:r>
      <w:r w:rsidR="006E15DE" w:rsidRPr="00305D32">
        <w:rPr>
          <w:lang w:val="es-MX"/>
        </w:rPr>
        <w:t>relacionadas con estos acontecimientos</w:t>
      </w:r>
      <w:r w:rsidR="003F7D3E" w:rsidRPr="00305D32">
        <w:rPr>
          <w:lang w:val="es-MX"/>
        </w:rPr>
        <w:t>.</w:t>
      </w:r>
    </w:p>
    <w:p w14:paraId="4D08307A" w14:textId="7E5F6FBE" w:rsidR="00AE57F0" w:rsidRPr="00305D32" w:rsidRDefault="00914451">
      <w:pPr>
        <w:rPr>
          <w:lang w:val="es-MX"/>
        </w:rPr>
      </w:pPr>
      <w:r w:rsidRPr="00305D32">
        <w:rPr>
          <w:lang w:val="es-MX"/>
        </w:rPr>
        <w:t>El</w:t>
      </w:r>
      <w:r w:rsidR="008F461B">
        <w:rPr>
          <w:lang w:val="es-MX"/>
        </w:rPr>
        <w:t xml:space="preserve"> principal</w:t>
      </w:r>
      <w:r w:rsidRPr="00305D32">
        <w:rPr>
          <w:lang w:val="es-MX"/>
        </w:rPr>
        <w:t xml:space="preserve"> desafío </w:t>
      </w:r>
      <w:r w:rsidR="0064651C" w:rsidRPr="00305D32">
        <w:rPr>
          <w:lang w:val="es-MX"/>
        </w:rPr>
        <w:t xml:space="preserve">se concentra en </w:t>
      </w:r>
      <w:r w:rsidR="00EF0731" w:rsidRPr="00305D32">
        <w:rPr>
          <w:lang w:val="es-MX"/>
        </w:rPr>
        <w:t xml:space="preserve">los mercados emergentes y </w:t>
      </w:r>
      <w:r w:rsidR="00E870CA" w:rsidRPr="00305D32">
        <w:rPr>
          <w:lang w:val="es-MX"/>
        </w:rPr>
        <w:t xml:space="preserve">economías </w:t>
      </w:r>
      <w:r w:rsidR="00EF0731" w:rsidRPr="00305D32">
        <w:rPr>
          <w:lang w:val="es-MX"/>
        </w:rPr>
        <w:t>en desarrol</w:t>
      </w:r>
      <w:r w:rsidR="00D76643" w:rsidRPr="00305D32">
        <w:rPr>
          <w:lang w:val="es-MX"/>
        </w:rPr>
        <w:t>lo</w:t>
      </w:r>
      <w:r w:rsidR="004F7C9D" w:rsidRPr="00305D32">
        <w:rPr>
          <w:lang w:val="es-MX"/>
        </w:rPr>
        <w:t xml:space="preserve">, </w:t>
      </w:r>
      <w:r w:rsidR="002706D0" w:rsidRPr="00305D32">
        <w:rPr>
          <w:lang w:val="es-MX"/>
        </w:rPr>
        <w:t>donde las proyecciones de crecimiento se han reducido en</w:t>
      </w:r>
      <w:r w:rsidR="00AA111C" w:rsidRPr="00305D32">
        <w:rPr>
          <w:lang w:val="es-MX"/>
        </w:rPr>
        <w:t xml:space="preserve"> medio de</w:t>
      </w:r>
      <w:r w:rsidR="00EF0731" w:rsidRPr="00305D32">
        <w:rPr>
          <w:lang w:val="es-MX"/>
        </w:rPr>
        <w:t xml:space="preserve"> </w:t>
      </w:r>
      <w:r w:rsidR="004D392D" w:rsidRPr="00305D32">
        <w:rPr>
          <w:lang w:val="es-MX"/>
        </w:rPr>
        <w:t xml:space="preserve">las distorsiones </w:t>
      </w:r>
      <w:r w:rsidR="005B759C" w:rsidRPr="00305D32">
        <w:rPr>
          <w:lang w:val="es-MX"/>
        </w:rPr>
        <w:t>internaci</w:t>
      </w:r>
      <w:r w:rsidR="0049704B" w:rsidRPr="00305D32">
        <w:rPr>
          <w:lang w:val="es-MX"/>
        </w:rPr>
        <w:t>onal</w:t>
      </w:r>
      <w:r w:rsidR="00080E7A">
        <w:rPr>
          <w:lang w:val="es-MX"/>
        </w:rPr>
        <w:t>es</w:t>
      </w:r>
      <w:r w:rsidR="00C7470F" w:rsidRPr="00305D32">
        <w:rPr>
          <w:lang w:val="es-MX"/>
        </w:rPr>
        <w:t xml:space="preserve"> </w:t>
      </w:r>
      <w:r w:rsidR="00160199">
        <w:rPr>
          <w:lang w:val="es-MX"/>
        </w:rPr>
        <w:t>relacionadas</w:t>
      </w:r>
      <w:r w:rsidR="00160199" w:rsidRPr="00305D32">
        <w:rPr>
          <w:lang w:val="es-MX"/>
        </w:rPr>
        <w:t xml:space="preserve"> </w:t>
      </w:r>
      <w:r w:rsidR="00C7470F" w:rsidRPr="00305D32">
        <w:rPr>
          <w:lang w:val="es-MX"/>
        </w:rPr>
        <w:t xml:space="preserve">con </w:t>
      </w:r>
      <w:r w:rsidR="005404C4" w:rsidRPr="00305D32">
        <w:rPr>
          <w:lang w:val="es-MX"/>
        </w:rPr>
        <w:t>los aumentos en los aranceles</w:t>
      </w:r>
      <w:r w:rsidR="00BA406C" w:rsidRPr="00305D32">
        <w:rPr>
          <w:lang w:val="es-MX"/>
        </w:rPr>
        <w:t xml:space="preserve">, la rigidez en </w:t>
      </w:r>
      <w:r w:rsidR="00BF3712" w:rsidRPr="00305D32">
        <w:rPr>
          <w:lang w:val="es-MX"/>
        </w:rPr>
        <w:t xml:space="preserve">el mercado </w:t>
      </w:r>
      <w:r w:rsidR="00080E7A">
        <w:rPr>
          <w:lang w:val="es-MX"/>
        </w:rPr>
        <w:t>laboral</w:t>
      </w:r>
      <w:r w:rsidR="00D33CB0" w:rsidRPr="00305D32">
        <w:rPr>
          <w:lang w:val="es-MX"/>
        </w:rPr>
        <w:t xml:space="preserve"> </w:t>
      </w:r>
      <w:r w:rsidR="00BF3712" w:rsidRPr="00305D32">
        <w:rPr>
          <w:lang w:val="es-MX"/>
        </w:rPr>
        <w:t xml:space="preserve">y </w:t>
      </w:r>
      <w:r w:rsidR="00080E7A">
        <w:rPr>
          <w:lang w:val="es-MX"/>
        </w:rPr>
        <w:t>el</w:t>
      </w:r>
      <w:r w:rsidR="00E54112" w:rsidRPr="00305D32">
        <w:rPr>
          <w:lang w:val="es-MX"/>
        </w:rPr>
        <w:t xml:space="preserve"> incremento en las tasas de inflación mundial</w:t>
      </w:r>
      <w:r w:rsidR="00671C32" w:rsidRPr="00305D32">
        <w:rPr>
          <w:lang w:val="es-MX"/>
        </w:rPr>
        <w:t>.</w:t>
      </w:r>
    </w:p>
    <w:p w14:paraId="4EB96A27" w14:textId="22B67AD0" w:rsidR="006D3582" w:rsidRPr="00305D32" w:rsidRDefault="006D3582">
      <w:pPr>
        <w:rPr>
          <w:lang w:val="es-MX"/>
        </w:rPr>
      </w:pPr>
      <w:r w:rsidRPr="00305D32">
        <w:rPr>
          <w:lang w:val="es-MX"/>
        </w:rPr>
        <w:t xml:space="preserve">La </w:t>
      </w:r>
      <w:r w:rsidR="002C4A76" w:rsidRPr="00305D32">
        <w:rPr>
          <w:lang w:val="es-MX"/>
        </w:rPr>
        <w:t xml:space="preserve">desaceleración </w:t>
      </w:r>
      <w:r w:rsidR="00080E7A">
        <w:rPr>
          <w:lang w:val="es-MX"/>
        </w:rPr>
        <w:t>económica</w:t>
      </w:r>
      <w:r w:rsidR="002C4A76" w:rsidRPr="00305D32">
        <w:rPr>
          <w:lang w:val="es-MX"/>
        </w:rPr>
        <w:t xml:space="preserve"> mundial </w:t>
      </w:r>
      <w:r w:rsidR="00B319AA" w:rsidRPr="00305D32">
        <w:rPr>
          <w:lang w:val="es-MX"/>
        </w:rPr>
        <w:t xml:space="preserve">desencadena </w:t>
      </w:r>
      <w:r w:rsidR="00653693" w:rsidRPr="00305D32">
        <w:rPr>
          <w:lang w:val="es-MX"/>
        </w:rPr>
        <w:t xml:space="preserve">una serie de eventos que </w:t>
      </w:r>
      <w:r w:rsidR="00C00B46" w:rsidRPr="00305D32">
        <w:rPr>
          <w:lang w:val="es-MX"/>
        </w:rPr>
        <w:t xml:space="preserve">frenan los esfuerzos de las economías </w:t>
      </w:r>
      <w:r w:rsidR="0020268F" w:rsidRPr="00305D32">
        <w:rPr>
          <w:lang w:val="es-MX"/>
        </w:rPr>
        <w:t xml:space="preserve">en desarrollo </w:t>
      </w:r>
      <w:r w:rsidR="002C31CD" w:rsidRPr="00305D32">
        <w:rPr>
          <w:lang w:val="es-MX"/>
        </w:rPr>
        <w:t xml:space="preserve">para recuperar los niveles óptimos de empleo, </w:t>
      </w:r>
      <w:r w:rsidR="00843277" w:rsidRPr="00305D32">
        <w:rPr>
          <w:lang w:val="es-MX"/>
        </w:rPr>
        <w:t>reducir la</w:t>
      </w:r>
      <w:r w:rsidR="00786411" w:rsidRPr="00305D32">
        <w:rPr>
          <w:lang w:val="es-MX"/>
        </w:rPr>
        <w:t xml:space="preserve"> pobreza</w:t>
      </w:r>
      <w:r w:rsidR="00ED2D5C" w:rsidRPr="00305D32">
        <w:rPr>
          <w:lang w:val="es-MX"/>
        </w:rPr>
        <w:t xml:space="preserve"> y </w:t>
      </w:r>
      <w:r w:rsidR="00080E7A">
        <w:rPr>
          <w:lang w:val="es-MX"/>
        </w:rPr>
        <w:t xml:space="preserve">disminuir </w:t>
      </w:r>
      <w:r w:rsidR="00ED2D5C" w:rsidRPr="00305D32">
        <w:rPr>
          <w:lang w:val="es-MX"/>
        </w:rPr>
        <w:t>la desigualdad</w:t>
      </w:r>
      <w:r w:rsidR="00510C9A" w:rsidRPr="00305D32">
        <w:rPr>
          <w:lang w:val="es-MX"/>
        </w:rPr>
        <w:t xml:space="preserve"> de ingreso</w:t>
      </w:r>
      <w:r w:rsidR="00080E7A">
        <w:rPr>
          <w:lang w:val="es-MX"/>
        </w:rPr>
        <w:t>s respecto de</w:t>
      </w:r>
      <w:r w:rsidR="00C901D4" w:rsidRPr="00305D32">
        <w:rPr>
          <w:lang w:val="es-MX"/>
        </w:rPr>
        <w:t xml:space="preserve"> las economías más desarrolladas.</w:t>
      </w:r>
    </w:p>
    <w:p w14:paraId="49EBB124" w14:textId="3F91D1D9" w:rsidR="00C70DFF" w:rsidRPr="00305D32" w:rsidRDefault="00C70DFF">
      <w:pPr>
        <w:rPr>
          <w:lang w:val="es-MX"/>
        </w:rPr>
      </w:pPr>
      <w:r w:rsidRPr="00305D32">
        <w:rPr>
          <w:lang w:val="es-MX"/>
        </w:rPr>
        <w:t xml:space="preserve">Ante este panorama, las economías emergentes y en desarrollo tendrían que redoblar esfuerzos para </w:t>
      </w:r>
      <w:r w:rsidR="003E0DBD" w:rsidRPr="00305D32">
        <w:rPr>
          <w:lang w:val="es-MX"/>
        </w:rPr>
        <w:t xml:space="preserve">promover </w:t>
      </w:r>
      <w:r w:rsidR="006D6E21" w:rsidRPr="00305D32">
        <w:rPr>
          <w:lang w:val="es-MX"/>
        </w:rPr>
        <w:t xml:space="preserve">políticas que </w:t>
      </w:r>
      <w:r w:rsidR="00080E7A">
        <w:rPr>
          <w:lang w:val="es-MX"/>
        </w:rPr>
        <w:t>impulsen</w:t>
      </w:r>
      <w:r w:rsidR="006D6E21" w:rsidRPr="00305D32">
        <w:rPr>
          <w:lang w:val="es-MX"/>
        </w:rPr>
        <w:t xml:space="preserve"> su</w:t>
      </w:r>
      <w:r w:rsidR="002B7BA1" w:rsidRPr="00305D32">
        <w:rPr>
          <w:lang w:val="es-MX"/>
        </w:rPr>
        <w:t xml:space="preserve"> </w:t>
      </w:r>
      <w:r w:rsidR="00CD1B09" w:rsidRPr="00305D32">
        <w:rPr>
          <w:lang w:val="es-MX"/>
        </w:rPr>
        <w:t>crecimiento,</w:t>
      </w:r>
      <w:r w:rsidR="002B7BA1" w:rsidRPr="00305D32">
        <w:rPr>
          <w:lang w:val="es-MX"/>
        </w:rPr>
        <w:t xml:space="preserve"> </w:t>
      </w:r>
      <w:r w:rsidR="00B56ADD" w:rsidRPr="00305D32">
        <w:rPr>
          <w:lang w:val="es-MX"/>
        </w:rPr>
        <w:t>así como fortalecer la capacidad de los gobiernos para resistir, adaptarse y recuperars</w:t>
      </w:r>
      <w:r w:rsidR="00E66068" w:rsidRPr="00305D32">
        <w:rPr>
          <w:lang w:val="es-MX"/>
        </w:rPr>
        <w:t>e mediante la construcción de</w:t>
      </w:r>
      <w:r w:rsidR="00B56ADD" w:rsidRPr="00305D32">
        <w:rPr>
          <w:lang w:val="es-MX"/>
        </w:rPr>
        <w:t xml:space="preserve"> políticas e instituciones sólidas que permitan mantener </w:t>
      </w:r>
      <w:r w:rsidR="00B56ADD" w:rsidRPr="00305D32">
        <w:rPr>
          <w:lang w:val="es-MX"/>
        </w:rPr>
        <w:lastRenderedPageBreak/>
        <w:t>la estabilidad</w:t>
      </w:r>
      <w:r w:rsidR="00080E7A">
        <w:rPr>
          <w:lang w:val="es-MX"/>
        </w:rPr>
        <w:t xml:space="preserve"> </w:t>
      </w:r>
      <w:r w:rsidR="00B56ADD" w:rsidRPr="00305D32">
        <w:rPr>
          <w:lang w:val="es-MX"/>
        </w:rPr>
        <w:t>financiera y el funcionamiento de los servicios públicos</w:t>
      </w:r>
      <w:r w:rsidR="00080E7A">
        <w:rPr>
          <w:lang w:val="es-MX"/>
        </w:rPr>
        <w:t>,</w:t>
      </w:r>
      <w:r w:rsidR="00B56ADD" w:rsidRPr="00305D32">
        <w:rPr>
          <w:lang w:val="es-MX"/>
        </w:rPr>
        <w:t xml:space="preserve"> incluso ante situaciones imprevistas o adversas.</w:t>
      </w:r>
    </w:p>
    <w:p w14:paraId="4D08307E" w14:textId="77777777" w:rsidR="00AE57F0" w:rsidRPr="00305D32" w:rsidRDefault="00414F7C">
      <w:pPr>
        <w:pStyle w:val="Ttulo2"/>
        <w:numPr>
          <w:ilvl w:val="1"/>
          <w:numId w:val="5"/>
        </w:numPr>
        <w:rPr>
          <w:lang w:val="es-MX"/>
        </w:rPr>
      </w:pPr>
      <w:bookmarkStart w:id="2" w:name="_heading=h.1egqt2p" w:colFirst="0" w:colLast="0"/>
      <w:bookmarkEnd w:id="2"/>
      <w:r w:rsidRPr="00305D32">
        <w:rPr>
          <w:lang w:val="es-MX"/>
        </w:rPr>
        <w:t>Comportamiento y perspectivas de la economía global</w:t>
      </w:r>
    </w:p>
    <w:p w14:paraId="2FB349C0" w14:textId="18F77BD6" w:rsidR="00CD52D5" w:rsidRPr="00305D32" w:rsidRDefault="001428BA" w:rsidP="00145B54">
      <w:pPr>
        <w:rPr>
          <w:lang w:val="es-MX"/>
        </w:rPr>
      </w:pPr>
      <w:r w:rsidRPr="00305D32">
        <w:rPr>
          <w:lang w:val="es-MX"/>
        </w:rPr>
        <w:t xml:space="preserve">Ante un </w:t>
      </w:r>
      <w:r w:rsidR="003C2D9D" w:rsidRPr="00305D32">
        <w:rPr>
          <w:lang w:val="es-MX"/>
        </w:rPr>
        <w:t>escenario</w:t>
      </w:r>
      <w:r w:rsidRPr="00305D32">
        <w:rPr>
          <w:lang w:val="es-MX"/>
        </w:rPr>
        <w:t xml:space="preserve"> internacional inestable, propenso a la </w:t>
      </w:r>
      <w:r w:rsidR="005F65FD" w:rsidRPr="00305D32">
        <w:rPr>
          <w:lang w:val="es-MX"/>
        </w:rPr>
        <w:t xml:space="preserve">incertidumbre en </w:t>
      </w:r>
      <w:r w:rsidR="00080E7A">
        <w:rPr>
          <w:lang w:val="es-MX"/>
        </w:rPr>
        <w:t>materia</w:t>
      </w:r>
      <w:r w:rsidR="00915794" w:rsidRPr="00305D32">
        <w:rPr>
          <w:lang w:val="es-MX"/>
        </w:rPr>
        <w:t xml:space="preserve"> de políticas </w:t>
      </w:r>
      <w:r w:rsidR="008B563D" w:rsidRPr="00305D32">
        <w:rPr>
          <w:lang w:val="es-MX"/>
        </w:rPr>
        <w:t>comerciales</w:t>
      </w:r>
      <w:r w:rsidR="00495A94" w:rsidRPr="00305D32">
        <w:rPr>
          <w:lang w:val="es-MX"/>
        </w:rPr>
        <w:t xml:space="preserve"> que </w:t>
      </w:r>
      <w:r w:rsidR="002E0EDA" w:rsidRPr="00305D32">
        <w:rPr>
          <w:lang w:val="es-MX"/>
        </w:rPr>
        <w:t xml:space="preserve">provocan </w:t>
      </w:r>
      <w:r w:rsidR="00080E7A">
        <w:rPr>
          <w:lang w:val="es-MX"/>
        </w:rPr>
        <w:t>disrupciones</w:t>
      </w:r>
      <w:r w:rsidR="002E0EDA" w:rsidRPr="00305D32">
        <w:rPr>
          <w:lang w:val="es-MX"/>
        </w:rPr>
        <w:t xml:space="preserve"> en el flujo de bienes y servicios</w:t>
      </w:r>
      <w:r w:rsidR="005330C2" w:rsidRPr="00305D32">
        <w:rPr>
          <w:lang w:val="es-MX"/>
        </w:rPr>
        <w:t xml:space="preserve">, el crecimiento estimado para 2025 </w:t>
      </w:r>
      <w:r w:rsidR="00E15600" w:rsidRPr="00305D32">
        <w:rPr>
          <w:lang w:val="es-MX"/>
        </w:rPr>
        <w:t>se ha reducido.</w:t>
      </w:r>
      <w:r w:rsidR="00E740D0" w:rsidRPr="00305D32">
        <w:rPr>
          <w:lang w:val="es-MX"/>
        </w:rPr>
        <w:t xml:space="preserve"> Sin embargo, se </w:t>
      </w:r>
      <w:r w:rsidR="00080E7A">
        <w:rPr>
          <w:lang w:val="es-MX"/>
        </w:rPr>
        <w:t>prevé</w:t>
      </w:r>
      <w:r w:rsidR="00E740D0" w:rsidRPr="00305D32">
        <w:rPr>
          <w:lang w:val="es-MX"/>
        </w:rPr>
        <w:t xml:space="preserve"> un</w:t>
      </w:r>
      <w:r w:rsidR="00147E9A" w:rsidRPr="00305D32">
        <w:rPr>
          <w:lang w:val="es-MX"/>
        </w:rPr>
        <w:t>a</w:t>
      </w:r>
      <w:r w:rsidR="00E740D0" w:rsidRPr="00305D32">
        <w:rPr>
          <w:lang w:val="es-MX"/>
        </w:rPr>
        <w:t xml:space="preserve"> ligera recuperación para 2026</w:t>
      </w:r>
      <w:r w:rsidR="00147E9A" w:rsidRPr="00305D32">
        <w:rPr>
          <w:lang w:val="es-MX"/>
        </w:rPr>
        <w:t>,</w:t>
      </w:r>
      <w:r w:rsidR="00F03355" w:rsidRPr="00305D32">
        <w:rPr>
          <w:lang w:val="es-MX"/>
        </w:rPr>
        <w:t xml:space="preserve"> aunque c</w:t>
      </w:r>
      <w:r w:rsidR="00536455" w:rsidRPr="00305D32">
        <w:rPr>
          <w:lang w:val="es-MX"/>
        </w:rPr>
        <w:t xml:space="preserve">on un débil dinamismo </w:t>
      </w:r>
      <w:r w:rsidR="005B4B17" w:rsidRPr="00305D32">
        <w:rPr>
          <w:lang w:val="es-MX"/>
        </w:rPr>
        <w:t xml:space="preserve">tanto de las economías avanzadas como </w:t>
      </w:r>
      <w:r w:rsidR="00080E7A">
        <w:rPr>
          <w:lang w:val="es-MX"/>
        </w:rPr>
        <w:t>en</w:t>
      </w:r>
      <w:r w:rsidR="005B4B17" w:rsidRPr="00305D32">
        <w:rPr>
          <w:lang w:val="es-MX"/>
        </w:rPr>
        <w:t xml:space="preserve"> los</w:t>
      </w:r>
      <w:r w:rsidR="004D6607" w:rsidRPr="00305D32">
        <w:rPr>
          <w:lang w:val="es-MX"/>
        </w:rPr>
        <w:t xml:space="preserve"> países emergentes y en desarrollo.</w:t>
      </w:r>
    </w:p>
    <w:p w14:paraId="5EB5801C" w14:textId="5EA52384" w:rsidR="00145B54" w:rsidRPr="00305D32" w:rsidRDefault="00CD52D5" w:rsidP="00145B54">
      <w:pPr>
        <w:rPr>
          <w:lang w:val="es-MX"/>
        </w:rPr>
      </w:pPr>
      <w:r w:rsidRPr="00305D32">
        <w:rPr>
          <w:lang w:val="es-MX"/>
        </w:rPr>
        <w:t xml:space="preserve">Las políticas arancelarias </w:t>
      </w:r>
      <w:r w:rsidR="00F57E9B" w:rsidRPr="00305D32">
        <w:rPr>
          <w:lang w:val="es-MX"/>
        </w:rPr>
        <w:t>de Es</w:t>
      </w:r>
      <w:r w:rsidR="00AB0C5E" w:rsidRPr="00305D32">
        <w:rPr>
          <w:lang w:val="es-MX"/>
        </w:rPr>
        <w:t>tados Unidos y China</w:t>
      </w:r>
      <w:r w:rsidR="00F03355" w:rsidRPr="00305D32">
        <w:rPr>
          <w:lang w:val="es-MX"/>
        </w:rPr>
        <w:t xml:space="preserve"> </w:t>
      </w:r>
      <w:r w:rsidR="00E40687" w:rsidRPr="00305D32">
        <w:rPr>
          <w:lang w:val="es-MX"/>
        </w:rPr>
        <w:t>ha</w:t>
      </w:r>
      <w:r w:rsidR="00F66455" w:rsidRPr="00305D32">
        <w:rPr>
          <w:lang w:val="es-MX"/>
        </w:rPr>
        <w:t>n debili</w:t>
      </w:r>
      <w:r w:rsidR="003918E9" w:rsidRPr="00305D32">
        <w:rPr>
          <w:lang w:val="es-MX"/>
        </w:rPr>
        <w:t xml:space="preserve">tado </w:t>
      </w:r>
      <w:r w:rsidR="002D2A18" w:rsidRPr="00305D32">
        <w:rPr>
          <w:lang w:val="es-MX"/>
        </w:rPr>
        <w:t>el comercio</w:t>
      </w:r>
      <w:r w:rsidR="00C94642" w:rsidRPr="00305D32">
        <w:rPr>
          <w:lang w:val="es-MX"/>
        </w:rPr>
        <w:t xml:space="preserve"> </w:t>
      </w:r>
      <w:r w:rsidR="002D2A18" w:rsidRPr="00305D32">
        <w:rPr>
          <w:lang w:val="es-MX"/>
        </w:rPr>
        <w:t>internacional</w:t>
      </w:r>
      <w:r w:rsidR="00C94642" w:rsidRPr="00305D32">
        <w:rPr>
          <w:lang w:val="es-MX"/>
        </w:rPr>
        <w:t xml:space="preserve">, </w:t>
      </w:r>
      <w:r w:rsidR="000D0ACD" w:rsidRPr="00305D32">
        <w:rPr>
          <w:lang w:val="es-MX"/>
        </w:rPr>
        <w:t>afectando las cadenas globales</w:t>
      </w:r>
      <w:r w:rsidR="00C02DAE">
        <w:rPr>
          <w:lang w:val="es-MX"/>
        </w:rPr>
        <w:t xml:space="preserve"> de valor</w:t>
      </w:r>
      <w:r w:rsidR="002302BC" w:rsidRPr="00305D32">
        <w:rPr>
          <w:lang w:val="es-MX"/>
        </w:rPr>
        <w:t xml:space="preserve"> y limitando a las economías emergentes y</w:t>
      </w:r>
      <w:r w:rsidR="00D4130D">
        <w:rPr>
          <w:lang w:val="es-MX"/>
        </w:rPr>
        <w:t xml:space="preserve"> en</w:t>
      </w:r>
      <w:r w:rsidR="002302BC" w:rsidRPr="00305D32">
        <w:rPr>
          <w:lang w:val="es-MX"/>
        </w:rPr>
        <w:t xml:space="preserve"> desarrollo en su intento </w:t>
      </w:r>
      <w:r w:rsidR="0090630E" w:rsidRPr="00305D32">
        <w:rPr>
          <w:lang w:val="es-MX"/>
        </w:rPr>
        <w:t>por</w:t>
      </w:r>
      <w:r w:rsidR="002302BC" w:rsidRPr="00305D32">
        <w:rPr>
          <w:lang w:val="es-MX"/>
        </w:rPr>
        <w:t xml:space="preserve"> </w:t>
      </w:r>
      <w:r w:rsidR="007650D0" w:rsidRPr="00305D32">
        <w:rPr>
          <w:lang w:val="es-MX"/>
        </w:rPr>
        <w:t xml:space="preserve">converger </w:t>
      </w:r>
      <w:r w:rsidR="0090630E" w:rsidRPr="00305D32">
        <w:rPr>
          <w:lang w:val="es-MX"/>
        </w:rPr>
        <w:t>hacia mejores niveles de ingreso en sus naciones.</w:t>
      </w:r>
    </w:p>
    <w:p w14:paraId="75B6858B" w14:textId="35F948C5" w:rsidR="00D22189" w:rsidRPr="00305D32" w:rsidRDefault="00D22189" w:rsidP="00145B54">
      <w:pPr>
        <w:rPr>
          <w:lang w:val="es-MX"/>
        </w:rPr>
      </w:pPr>
      <w:r w:rsidRPr="00305D32">
        <w:rPr>
          <w:lang w:val="es-MX"/>
        </w:rPr>
        <w:t>Los niveles de inflación global</w:t>
      </w:r>
      <w:r w:rsidR="00E77A4F">
        <w:rPr>
          <w:lang w:val="es-MX"/>
        </w:rPr>
        <w:t>,</w:t>
      </w:r>
      <w:r w:rsidRPr="00305D32">
        <w:rPr>
          <w:lang w:val="es-MX"/>
        </w:rPr>
        <w:t xml:space="preserve"> </w:t>
      </w:r>
      <w:r w:rsidR="001A2909" w:rsidRPr="00305D32">
        <w:rPr>
          <w:lang w:val="es-MX"/>
        </w:rPr>
        <w:t xml:space="preserve">que habían comenzado a </w:t>
      </w:r>
      <w:r w:rsidR="001F463A" w:rsidRPr="00305D32">
        <w:rPr>
          <w:lang w:val="es-MX"/>
        </w:rPr>
        <w:t xml:space="preserve">moderarse </w:t>
      </w:r>
      <w:r w:rsidR="00CB369A">
        <w:rPr>
          <w:lang w:val="es-MX"/>
        </w:rPr>
        <w:t>tras</w:t>
      </w:r>
      <w:r w:rsidR="001F463A" w:rsidRPr="00305D32">
        <w:rPr>
          <w:lang w:val="es-MX"/>
        </w:rPr>
        <w:t xml:space="preserve"> la pandemia por COVID-19</w:t>
      </w:r>
      <w:r w:rsidR="00AD4B64">
        <w:rPr>
          <w:lang w:val="es-MX"/>
        </w:rPr>
        <w:t xml:space="preserve"> </w:t>
      </w:r>
      <w:r w:rsidR="008830F9" w:rsidRPr="00305D32">
        <w:rPr>
          <w:lang w:val="es-MX"/>
        </w:rPr>
        <w:t>ahora se</w:t>
      </w:r>
      <w:r w:rsidR="001F463A" w:rsidRPr="00305D32">
        <w:rPr>
          <w:lang w:val="es-MX"/>
        </w:rPr>
        <w:t xml:space="preserve"> </w:t>
      </w:r>
      <w:r w:rsidR="001967A9" w:rsidRPr="00305D32">
        <w:rPr>
          <w:lang w:val="es-MX"/>
        </w:rPr>
        <w:t>enfrenta</w:t>
      </w:r>
      <w:r w:rsidR="00DE003E" w:rsidRPr="00305D32">
        <w:rPr>
          <w:lang w:val="es-MX"/>
        </w:rPr>
        <w:t>n</w:t>
      </w:r>
      <w:r w:rsidR="001967A9" w:rsidRPr="00305D32">
        <w:rPr>
          <w:lang w:val="es-MX"/>
        </w:rPr>
        <w:t xml:space="preserve"> </w:t>
      </w:r>
      <w:r w:rsidR="008830F9" w:rsidRPr="00305D32">
        <w:rPr>
          <w:lang w:val="es-MX"/>
        </w:rPr>
        <w:t>a</w:t>
      </w:r>
      <w:r w:rsidR="001967A9" w:rsidRPr="00305D32">
        <w:rPr>
          <w:lang w:val="es-MX"/>
        </w:rPr>
        <w:t xml:space="preserve"> </w:t>
      </w:r>
      <w:r w:rsidR="00DE003E" w:rsidRPr="00305D32">
        <w:rPr>
          <w:lang w:val="es-MX"/>
        </w:rPr>
        <w:t xml:space="preserve">nuevas </w:t>
      </w:r>
      <w:r w:rsidR="00B42CAE" w:rsidRPr="00305D32">
        <w:rPr>
          <w:lang w:val="es-MX"/>
        </w:rPr>
        <w:t>presiones</w:t>
      </w:r>
      <w:r w:rsidR="00EB28EC" w:rsidRPr="00305D32">
        <w:rPr>
          <w:lang w:val="es-MX"/>
        </w:rPr>
        <w:t xml:space="preserve"> </w:t>
      </w:r>
      <w:r w:rsidR="00337D51">
        <w:rPr>
          <w:lang w:val="es-MX"/>
        </w:rPr>
        <w:t>debido al aumento</w:t>
      </w:r>
      <w:r w:rsidR="00EB28EC" w:rsidRPr="00305D32">
        <w:rPr>
          <w:lang w:val="es-MX"/>
        </w:rPr>
        <w:t xml:space="preserve"> de los aranceles</w:t>
      </w:r>
      <w:r w:rsidR="006C4CA7" w:rsidRPr="00305D32">
        <w:rPr>
          <w:lang w:val="es-MX"/>
        </w:rPr>
        <w:t>. La</w:t>
      </w:r>
      <w:r w:rsidR="005175D4" w:rsidRPr="00305D32">
        <w:rPr>
          <w:lang w:val="es-MX"/>
        </w:rPr>
        <w:t xml:space="preserve"> </w:t>
      </w:r>
      <w:r w:rsidR="00BD2651" w:rsidRPr="00305D32">
        <w:rPr>
          <w:lang w:val="es-MX"/>
        </w:rPr>
        <w:t>ligera disminución de los precios</w:t>
      </w:r>
      <w:r w:rsidR="008F1966" w:rsidRPr="00305D32">
        <w:rPr>
          <w:lang w:val="es-MX"/>
        </w:rPr>
        <w:t xml:space="preserve"> de</w:t>
      </w:r>
      <w:r w:rsidR="00DE0A5A" w:rsidRPr="00305D32">
        <w:rPr>
          <w:lang w:val="es-MX"/>
        </w:rPr>
        <w:t xml:space="preserve"> la energía </w:t>
      </w:r>
      <w:r w:rsidR="00E615A6">
        <w:rPr>
          <w:lang w:val="es-MX"/>
        </w:rPr>
        <w:t xml:space="preserve">ha aliviado </w:t>
      </w:r>
      <w:r w:rsidR="002B488C" w:rsidRPr="00305D32">
        <w:rPr>
          <w:lang w:val="es-MX"/>
        </w:rPr>
        <w:t>los cost</w:t>
      </w:r>
      <w:r w:rsidR="00124182">
        <w:rPr>
          <w:lang w:val="es-MX"/>
        </w:rPr>
        <w:t>o</w:t>
      </w:r>
      <w:r w:rsidR="002B488C" w:rsidRPr="00305D32">
        <w:rPr>
          <w:lang w:val="es-MX"/>
        </w:rPr>
        <w:t xml:space="preserve">s de producción </w:t>
      </w:r>
      <w:r w:rsidR="00167B19" w:rsidRPr="00305D32">
        <w:rPr>
          <w:lang w:val="es-MX"/>
        </w:rPr>
        <w:t>y el transporte</w:t>
      </w:r>
      <w:r w:rsidR="006C4CA7" w:rsidRPr="00305D32">
        <w:rPr>
          <w:lang w:val="es-MX"/>
        </w:rPr>
        <w:t>.</w:t>
      </w:r>
      <w:r w:rsidR="00B31976" w:rsidRPr="00305D32">
        <w:rPr>
          <w:lang w:val="es-MX"/>
        </w:rPr>
        <w:t xml:space="preserve"> </w:t>
      </w:r>
      <w:r w:rsidR="001055D2" w:rsidRPr="00305D32">
        <w:rPr>
          <w:lang w:val="es-MX"/>
        </w:rPr>
        <w:t xml:space="preserve">Además de los niveles de inversión extranjera directa han </w:t>
      </w:r>
      <w:r w:rsidR="001750C6">
        <w:rPr>
          <w:lang w:val="es-MX"/>
        </w:rPr>
        <w:t>mostrado</w:t>
      </w:r>
      <w:r w:rsidR="001055D2" w:rsidRPr="00305D32">
        <w:rPr>
          <w:lang w:val="es-MX"/>
        </w:rPr>
        <w:t xml:space="preserve"> un retroceso</w:t>
      </w:r>
      <w:r w:rsidR="002A468D">
        <w:rPr>
          <w:lang w:val="es-MX"/>
        </w:rPr>
        <w:t>,</w:t>
      </w:r>
      <w:r w:rsidR="001055D2" w:rsidRPr="00305D32">
        <w:rPr>
          <w:lang w:val="es-MX"/>
        </w:rPr>
        <w:t xml:space="preserve"> </w:t>
      </w:r>
      <w:r w:rsidR="00E56B99" w:rsidRPr="00305D32">
        <w:rPr>
          <w:lang w:val="es-MX"/>
        </w:rPr>
        <w:t xml:space="preserve">lo que </w:t>
      </w:r>
      <w:r w:rsidR="002B1AAD">
        <w:rPr>
          <w:lang w:val="es-MX"/>
        </w:rPr>
        <w:t>refleja</w:t>
      </w:r>
      <w:r w:rsidR="0096399C" w:rsidRPr="00305D32">
        <w:rPr>
          <w:lang w:val="es-MX"/>
        </w:rPr>
        <w:t xml:space="preserve"> también un</w:t>
      </w:r>
      <w:r w:rsidR="005357F2" w:rsidRPr="00305D32">
        <w:rPr>
          <w:lang w:val="es-MX"/>
        </w:rPr>
        <w:t>a reducción</w:t>
      </w:r>
      <w:r w:rsidR="00F1320B" w:rsidRPr="00305D32">
        <w:rPr>
          <w:lang w:val="es-MX"/>
        </w:rPr>
        <w:t xml:space="preserve"> en las posibilidades de trasferencia tecnológica y de creación de empleo en las economías en desarrollo.</w:t>
      </w:r>
    </w:p>
    <w:p w14:paraId="4D083083" w14:textId="77777777" w:rsidR="00AE57F0" w:rsidRPr="00F14CFF" w:rsidRDefault="00414F7C">
      <w:pPr>
        <w:pStyle w:val="Ttulo3"/>
        <w:numPr>
          <w:ilvl w:val="2"/>
          <w:numId w:val="5"/>
        </w:numPr>
        <w:rPr>
          <w:lang w:val="es-MX"/>
        </w:rPr>
      </w:pPr>
      <w:bookmarkStart w:id="3" w:name="_heading=h.3ygebqi" w:colFirst="0" w:colLast="0"/>
      <w:bookmarkEnd w:id="3"/>
      <w:r w:rsidRPr="00F14CFF">
        <w:rPr>
          <w:lang w:val="es-MX"/>
        </w:rPr>
        <w:t>Producto Interno Bruto</w:t>
      </w:r>
    </w:p>
    <w:p w14:paraId="786BA685" w14:textId="77777777" w:rsidR="006A1387" w:rsidRPr="00F14CFF" w:rsidRDefault="00414F7C">
      <w:pPr>
        <w:rPr>
          <w:lang w:val="es-MX"/>
        </w:rPr>
      </w:pPr>
      <w:r w:rsidRPr="00F14CFF">
        <w:rPr>
          <w:lang w:val="es-MX"/>
        </w:rPr>
        <w:t xml:space="preserve">Las perspectivas de crecimiento mundial </w:t>
      </w:r>
      <w:r w:rsidR="00180FBD" w:rsidRPr="00F14CFF">
        <w:rPr>
          <w:lang w:val="es-MX"/>
        </w:rPr>
        <w:t>para</w:t>
      </w:r>
      <w:r w:rsidRPr="00F14CFF">
        <w:rPr>
          <w:lang w:val="es-MX"/>
        </w:rPr>
        <w:t xml:space="preserve"> 202</w:t>
      </w:r>
      <w:r w:rsidR="00EA1A76" w:rsidRPr="00F14CFF">
        <w:rPr>
          <w:lang w:val="es-MX"/>
        </w:rPr>
        <w:t>5</w:t>
      </w:r>
      <w:r w:rsidRPr="00F14CFF">
        <w:rPr>
          <w:lang w:val="es-MX"/>
        </w:rPr>
        <w:t xml:space="preserve"> </w:t>
      </w:r>
      <w:r w:rsidR="009A47B1" w:rsidRPr="00F14CFF">
        <w:rPr>
          <w:lang w:val="es-MX"/>
        </w:rPr>
        <w:t>presentan un comportamiento a la baja</w:t>
      </w:r>
      <w:r w:rsidRPr="00F14CFF">
        <w:rPr>
          <w:lang w:val="es-MX"/>
        </w:rPr>
        <w:t>, tanto en las economías avanzadas como en las economías de mercados emergentes y en desarrollo (EMDE),</w:t>
      </w:r>
      <w:r w:rsidR="00FA7FD3" w:rsidRPr="00F14CFF">
        <w:rPr>
          <w:lang w:val="es-MX"/>
        </w:rPr>
        <w:t xml:space="preserve"> </w:t>
      </w:r>
      <w:r w:rsidR="006A1387" w:rsidRPr="00F14CFF">
        <w:rPr>
          <w:lang w:val="es-MX"/>
        </w:rPr>
        <w:t>las cuales crecen a un ritmo más lento en comparación con el registrado durante la década previa a la pandemia y la crisis global.</w:t>
      </w:r>
    </w:p>
    <w:p w14:paraId="4D083085" w14:textId="741C5C81" w:rsidR="003B039D" w:rsidRDefault="00F556EE">
      <w:pPr>
        <w:rPr>
          <w:lang w:val="es-MX"/>
        </w:rPr>
      </w:pPr>
      <w:r w:rsidRPr="00F14CFF">
        <w:rPr>
          <w:lang w:val="es-MX"/>
        </w:rPr>
        <w:lastRenderedPageBreak/>
        <w:t xml:space="preserve">Se </w:t>
      </w:r>
      <w:r>
        <w:rPr>
          <w:lang w:val="es-MX"/>
        </w:rPr>
        <w:t>espera</w:t>
      </w:r>
      <w:r w:rsidR="00414F7C" w:rsidRPr="00F14CFF">
        <w:rPr>
          <w:lang w:val="es-MX"/>
        </w:rPr>
        <w:t xml:space="preserve"> que los precios del petróleo </w:t>
      </w:r>
      <w:r w:rsidR="002430FA" w:rsidRPr="00F14CFF">
        <w:rPr>
          <w:lang w:val="es-MX"/>
        </w:rPr>
        <w:t>se mantengan</w:t>
      </w:r>
      <w:r w:rsidR="00414F7C" w:rsidRPr="00F14CFF">
        <w:rPr>
          <w:lang w:val="es-MX"/>
        </w:rPr>
        <w:t xml:space="preserve"> </w:t>
      </w:r>
      <w:r w:rsidR="0017180C" w:rsidRPr="00F14CFF">
        <w:rPr>
          <w:lang w:val="es-MX"/>
        </w:rPr>
        <w:t>moderadamente estables</w:t>
      </w:r>
      <w:r w:rsidR="00414F7C" w:rsidRPr="00F14CFF">
        <w:rPr>
          <w:lang w:val="es-MX"/>
        </w:rPr>
        <w:t xml:space="preserve"> en 202</w:t>
      </w:r>
      <w:r w:rsidR="0017180C" w:rsidRPr="00F14CFF">
        <w:rPr>
          <w:lang w:val="es-MX"/>
        </w:rPr>
        <w:t>5</w:t>
      </w:r>
      <w:r w:rsidR="00725ABA" w:rsidRPr="00F14CFF">
        <w:rPr>
          <w:lang w:val="es-MX"/>
        </w:rPr>
        <w:t>,</w:t>
      </w:r>
      <w:r w:rsidR="00414F7C" w:rsidRPr="00F14CFF">
        <w:rPr>
          <w:lang w:val="es-MX"/>
        </w:rPr>
        <w:t xml:space="preserve"> sostenido por el estrecho equilibrio entre la oferta y la demanda</w:t>
      </w:r>
      <w:r w:rsidR="00373C13" w:rsidRPr="00F14CFF">
        <w:rPr>
          <w:lang w:val="es-MX"/>
        </w:rPr>
        <w:t xml:space="preserve">, así como por </w:t>
      </w:r>
      <w:r w:rsidR="00414F7C" w:rsidRPr="00F14CFF">
        <w:rPr>
          <w:lang w:val="es-MX"/>
        </w:rPr>
        <w:t>el panorama de tensiones geopolíticas. Sin embargo, los precios del gas natural y el carbón tienden a la baja</w:t>
      </w:r>
      <w:r w:rsidR="003B039D">
        <w:rPr>
          <w:lang w:val="es-MX"/>
        </w:rPr>
        <w:t>.</w:t>
      </w:r>
    </w:p>
    <w:p w14:paraId="258D5DF7" w14:textId="05879388" w:rsidR="003D3339" w:rsidRPr="00305D32" w:rsidRDefault="0089621A">
      <w:pPr>
        <w:rPr>
          <w:lang w:val="es-MX"/>
        </w:rPr>
      </w:pPr>
      <w:r w:rsidRPr="00191B82">
        <w:rPr>
          <w:lang w:val="es-MX"/>
        </w:rPr>
        <w:fldChar w:fldCharType="begin"/>
      </w:r>
      <w:r w:rsidRPr="00191B82">
        <w:rPr>
          <w:lang w:val="es-MX"/>
        </w:rPr>
        <w:instrText xml:space="preserve"> REF _Ref210209849 \h </w:instrText>
      </w:r>
      <w:r w:rsidRPr="00F14CFF">
        <w:rPr>
          <w:lang w:val="es-MX"/>
        </w:rPr>
        <w:instrText xml:space="preserve">Figura </w:instrText>
      </w:r>
      <w:r w:rsidRPr="00F14CFF">
        <w:rPr>
          <w:noProof/>
          <w:lang w:val="es-MX"/>
        </w:rPr>
        <w:instrText>1</w:instrText>
      </w:r>
      <w:r w:rsidRPr="00191B82">
        <w:rPr>
          <w:lang w:val="es-MX"/>
        </w:rPr>
      </w:r>
      <w:r w:rsidRPr="00191B82">
        <w:rPr>
          <w:lang w:val="es-MX"/>
        </w:rPr>
        <w:fldChar w:fldCharType="separate"/>
      </w:r>
      <w:r w:rsidR="00ED1F2F" w:rsidRPr="00305D32">
        <w:rPr>
          <w:lang w:val="es-MX"/>
        </w:rPr>
        <w:t xml:space="preserve">Figura </w:t>
      </w:r>
      <w:r w:rsidR="00ED1F2F">
        <w:rPr>
          <w:noProof/>
          <w:lang w:val="es-MX"/>
        </w:rPr>
        <w:t>1</w:t>
      </w:r>
      <w:r w:rsidRPr="00191B82">
        <w:rPr>
          <w:lang w:val="es-MX"/>
        </w:rPr>
        <w:fldChar w:fldCharType="end"/>
      </w:r>
      <w:r w:rsidR="00414F7C" w:rsidRPr="00F14CFF">
        <w:rPr>
          <w:lang w:val="es-MX"/>
        </w:rPr>
        <w:t xml:space="preserve">La actualización </w:t>
      </w:r>
      <w:r w:rsidR="00021FB3" w:rsidRPr="00F14CFF">
        <w:rPr>
          <w:lang w:val="es-MX"/>
        </w:rPr>
        <w:t>de</w:t>
      </w:r>
      <w:r w:rsidR="00414F7C" w:rsidRPr="00F14CFF">
        <w:rPr>
          <w:lang w:val="es-MX"/>
        </w:rPr>
        <w:t xml:space="preserve"> la estimación de crecimiento de la económica global </w:t>
      </w:r>
      <w:r w:rsidR="00590F0F" w:rsidRPr="00F14CFF">
        <w:rPr>
          <w:lang w:val="es-MX"/>
        </w:rPr>
        <w:t xml:space="preserve">realizada </w:t>
      </w:r>
      <w:r w:rsidR="00414F7C" w:rsidRPr="00F14CFF">
        <w:rPr>
          <w:lang w:val="es-MX"/>
        </w:rPr>
        <w:t>por el FMI en su informe de julio de 202</w:t>
      </w:r>
      <w:r w:rsidR="00E867DC" w:rsidRPr="00F14CFF">
        <w:rPr>
          <w:lang w:val="es-MX"/>
        </w:rPr>
        <w:t>5</w:t>
      </w:r>
      <w:r w:rsidR="00414F7C" w:rsidRPr="00F14CFF">
        <w:rPr>
          <w:lang w:val="es-MX"/>
        </w:rPr>
        <w:t xml:space="preserve"> </w:t>
      </w:r>
      <w:r w:rsidR="008A1AFF" w:rsidRPr="00F14CFF">
        <w:rPr>
          <w:lang w:val="es-MX"/>
        </w:rPr>
        <w:t>“</w:t>
      </w:r>
      <w:r w:rsidR="00414F7C" w:rsidRPr="00F14CFF">
        <w:rPr>
          <w:i/>
          <w:lang w:val="es-MX"/>
        </w:rPr>
        <w:t>Perspectivas de la Economía Mundial</w:t>
      </w:r>
      <w:r w:rsidR="008A1AFF" w:rsidRPr="00F14CFF">
        <w:rPr>
          <w:i/>
          <w:lang w:val="es-MX"/>
        </w:rPr>
        <w:t>”</w:t>
      </w:r>
      <w:r w:rsidR="00414F7C" w:rsidRPr="00F14CFF">
        <w:rPr>
          <w:lang w:val="es-MX"/>
        </w:rPr>
        <w:t xml:space="preserve"> (Informe </w:t>
      </w:r>
      <w:r w:rsidR="00414F7C" w:rsidRPr="00F14CFF">
        <w:rPr>
          <w:iCs/>
          <w:lang w:val="es-MX"/>
        </w:rPr>
        <w:t>WEO</w:t>
      </w:r>
      <w:r w:rsidR="00414F7C" w:rsidRPr="00F14CFF">
        <w:rPr>
          <w:i/>
          <w:lang w:val="es-MX"/>
        </w:rPr>
        <w:t xml:space="preserve">, </w:t>
      </w:r>
      <w:r w:rsidR="00414F7C" w:rsidRPr="00F14CFF">
        <w:rPr>
          <w:lang w:val="es-MX"/>
        </w:rPr>
        <w:t xml:space="preserve">por sus siglas en inglés) y por el BM en su informe </w:t>
      </w:r>
      <w:r w:rsidR="008A1AFF" w:rsidRPr="00F14CFF">
        <w:rPr>
          <w:lang w:val="es-MX"/>
        </w:rPr>
        <w:t>“</w:t>
      </w:r>
      <w:r w:rsidR="00414F7C" w:rsidRPr="00F14CFF">
        <w:rPr>
          <w:i/>
          <w:lang w:val="es-MX"/>
        </w:rPr>
        <w:t>Perspectivas Económicas Mundiales</w:t>
      </w:r>
      <w:r w:rsidR="008A1AFF" w:rsidRPr="00F14CFF">
        <w:rPr>
          <w:i/>
          <w:lang w:val="es-MX"/>
        </w:rPr>
        <w:t>”</w:t>
      </w:r>
      <w:r w:rsidR="00414F7C" w:rsidRPr="00F14CFF">
        <w:rPr>
          <w:lang w:val="es-MX"/>
        </w:rPr>
        <w:t xml:space="preserve"> en junio de 202</w:t>
      </w:r>
      <w:r w:rsidR="00577F24" w:rsidRPr="00F14CFF">
        <w:rPr>
          <w:lang w:val="es-MX"/>
        </w:rPr>
        <w:t>5</w:t>
      </w:r>
      <w:r w:rsidR="00935BCD" w:rsidRPr="00F14CFF">
        <w:rPr>
          <w:lang w:val="es-MX"/>
        </w:rPr>
        <w:t>,</w:t>
      </w:r>
      <w:r w:rsidR="00414F7C" w:rsidRPr="00F14CFF">
        <w:rPr>
          <w:lang w:val="es-MX"/>
        </w:rPr>
        <w:t xml:space="preserve"> se presenta en la</w:t>
      </w:r>
      <w:r w:rsidR="00F556EE">
        <w:rPr>
          <w:lang w:val="es-MX"/>
        </w:rPr>
        <w:t xml:space="preserve"> </w:t>
      </w:r>
      <w:r w:rsidR="00F556EE">
        <w:rPr>
          <w:lang w:val="es-MX"/>
        </w:rPr>
        <w:fldChar w:fldCharType="begin"/>
      </w:r>
      <w:r w:rsidR="00F556EE">
        <w:rPr>
          <w:lang w:val="es-MX"/>
        </w:rPr>
        <w:instrText xml:space="preserve"> REF _Ref210209849 \h </w:instrText>
      </w:r>
      <w:r w:rsidR="00F556EE">
        <w:rPr>
          <w:lang w:val="es-MX"/>
        </w:rPr>
      </w:r>
      <w:r w:rsidR="00F556EE">
        <w:rPr>
          <w:lang w:val="es-MX"/>
        </w:rPr>
        <w:fldChar w:fldCharType="separate"/>
      </w:r>
      <w:r w:rsidR="00ED1F2F" w:rsidRPr="00305D32">
        <w:rPr>
          <w:lang w:val="es-MX"/>
        </w:rPr>
        <w:t xml:space="preserve">Figura </w:t>
      </w:r>
      <w:r w:rsidR="00ED1F2F">
        <w:rPr>
          <w:noProof/>
          <w:lang w:val="es-MX"/>
        </w:rPr>
        <w:t>1</w:t>
      </w:r>
      <w:r w:rsidR="00F556EE">
        <w:rPr>
          <w:lang w:val="es-MX"/>
        </w:rPr>
        <w:fldChar w:fldCharType="end"/>
      </w:r>
      <w:r w:rsidR="00414F7C" w:rsidRPr="00F14CFF">
        <w:rPr>
          <w:lang w:val="es-MX"/>
        </w:rPr>
        <w:t>,</w:t>
      </w:r>
      <w:r w:rsidR="00414F7C" w:rsidRPr="00F14CFF">
        <w:rPr>
          <w:b/>
          <w:lang w:val="es-MX"/>
        </w:rPr>
        <w:t xml:space="preserve"> </w:t>
      </w:r>
      <w:r w:rsidR="00414F7C" w:rsidRPr="00F14CFF">
        <w:rPr>
          <w:lang w:val="es-MX"/>
        </w:rPr>
        <w:t xml:space="preserve">donde se </w:t>
      </w:r>
      <w:r w:rsidR="00A85877" w:rsidRPr="00F14CFF">
        <w:rPr>
          <w:lang w:val="es-MX"/>
        </w:rPr>
        <w:t>muestra</w:t>
      </w:r>
      <w:r w:rsidR="00414F7C" w:rsidRPr="00F14CFF">
        <w:rPr>
          <w:lang w:val="es-MX"/>
        </w:rPr>
        <w:t xml:space="preserve"> que la estimación de</w:t>
      </w:r>
      <w:r w:rsidR="00194020" w:rsidRPr="00F14CFF">
        <w:rPr>
          <w:lang w:val="es-MX"/>
        </w:rPr>
        <w:t xml:space="preserve"> crecimiento </w:t>
      </w:r>
      <w:r w:rsidR="00414F7C" w:rsidRPr="00F14CFF">
        <w:rPr>
          <w:lang w:val="es-MX"/>
        </w:rPr>
        <w:t>de la economía mundial para</w:t>
      </w:r>
      <w:r w:rsidR="00C51C24">
        <w:rPr>
          <w:lang w:val="es-MX"/>
        </w:rPr>
        <w:t xml:space="preserve"> 2025</w:t>
      </w:r>
      <w:r w:rsidR="00FF1CB3">
        <w:rPr>
          <w:lang w:val="es-MX"/>
        </w:rPr>
        <w:t xml:space="preserve"> </w:t>
      </w:r>
      <w:r w:rsidR="00892491">
        <w:rPr>
          <w:lang w:val="es-MX"/>
        </w:rPr>
        <w:t>son</w:t>
      </w:r>
      <w:r w:rsidR="007606CC">
        <w:rPr>
          <w:lang w:val="es-MX"/>
        </w:rPr>
        <w:t xml:space="preserve"> </w:t>
      </w:r>
      <w:r w:rsidR="00C52213">
        <w:rPr>
          <w:lang w:val="es-MX"/>
        </w:rPr>
        <w:t xml:space="preserve">de </w:t>
      </w:r>
      <w:r w:rsidR="00105B05">
        <w:rPr>
          <w:lang w:val="es-MX"/>
        </w:rPr>
        <w:t xml:space="preserve">3.0 </w:t>
      </w:r>
      <w:r w:rsidR="0019290E">
        <w:rPr>
          <w:lang w:val="es-MX"/>
        </w:rPr>
        <w:t>%</w:t>
      </w:r>
      <w:r w:rsidR="00C52213">
        <w:rPr>
          <w:lang w:val="es-MX"/>
        </w:rPr>
        <w:t xml:space="preserve"> </w:t>
      </w:r>
      <w:r w:rsidR="00434F08">
        <w:rPr>
          <w:lang w:val="es-MX"/>
        </w:rPr>
        <w:t>según el FMI y de 2.3</w:t>
      </w:r>
      <w:r w:rsidR="0019290E">
        <w:rPr>
          <w:lang w:val="es-MX"/>
        </w:rPr>
        <w:t xml:space="preserve"> %</w:t>
      </w:r>
      <w:r w:rsidR="00434F08">
        <w:rPr>
          <w:lang w:val="es-MX"/>
        </w:rPr>
        <w:t xml:space="preserve"> según el BM, y para 2026 </w:t>
      </w:r>
      <w:r w:rsidR="00E309F2">
        <w:rPr>
          <w:lang w:val="es-MX"/>
        </w:rPr>
        <w:t>son de 3.1</w:t>
      </w:r>
      <w:r w:rsidR="0019290E">
        <w:rPr>
          <w:lang w:val="es-MX"/>
        </w:rPr>
        <w:t xml:space="preserve"> %</w:t>
      </w:r>
      <w:r w:rsidR="005B7A6C">
        <w:rPr>
          <w:lang w:val="es-MX"/>
        </w:rPr>
        <w:t xml:space="preserve"> según el FMI y de 2.4</w:t>
      </w:r>
      <w:r w:rsidR="0019290E">
        <w:rPr>
          <w:lang w:val="es-MX"/>
        </w:rPr>
        <w:t xml:space="preserve"> %</w:t>
      </w:r>
      <w:r w:rsidR="00984B50">
        <w:rPr>
          <w:lang w:val="es-MX"/>
        </w:rPr>
        <w:t xml:space="preserve"> según el </w:t>
      </w:r>
      <w:r w:rsidR="003D3339">
        <w:rPr>
          <w:lang w:val="es-MX"/>
        </w:rPr>
        <w:t>BM.</w:t>
      </w:r>
    </w:p>
    <w:p w14:paraId="4D08308D" w14:textId="1DA6295D" w:rsidR="00AE57F0" w:rsidRPr="00305D32" w:rsidRDefault="002B0A2F" w:rsidP="00A050B1">
      <w:pPr>
        <w:pStyle w:val="Descripcin"/>
        <w:jc w:val="center"/>
        <w:rPr>
          <w:b w:val="0"/>
          <w:color w:val="000000"/>
          <w:lang w:val="es-MX"/>
        </w:rPr>
      </w:pPr>
      <w:bookmarkStart w:id="4" w:name="_heading=h.2dlolyb" w:colFirst="0" w:colLast="0"/>
      <w:bookmarkStart w:id="5" w:name="_Ref210209849"/>
      <w:bookmarkEnd w:id="4"/>
      <w:r w:rsidRPr="00305D32">
        <w:rPr>
          <w:lang w:val="es-MX"/>
        </w:rPr>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1</w:t>
      </w:r>
      <w:r w:rsidRPr="00305D32">
        <w:rPr>
          <w:lang w:val="es-MX"/>
        </w:rPr>
        <w:fldChar w:fldCharType="end"/>
      </w:r>
      <w:bookmarkEnd w:id="5"/>
      <w:r w:rsidRPr="00305D32">
        <w:rPr>
          <w:lang w:val="es-MX"/>
        </w:rPr>
        <w:t xml:space="preserve">. </w:t>
      </w:r>
      <w:r w:rsidRPr="00305D32">
        <w:rPr>
          <w:color w:val="000000"/>
          <w:lang w:val="es-MX"/>
        </w:rPr>
        <w:t>Perspectivas de crecimiento del PIB mundial, 2024-2026</w:t>
      </w:r>
    </w:p>
    <w:p w14:paraId="4D08308E" w14:textId="1BD17E11" w:rsidR="00AE57F0" w:rsidRPr="00305D32" w:rsidRDefault="00111E04" w:rsidP="003F4FDB">
      <w:pPr>
        <w:tabs>
          <w:tab w:val="left" w:pos="993"/>
          <w:tab w:val="left" w:pos="1418"/>
        </w:tabs>
        <w:spacing w:after="0"/>
        <w:jc w:val="center"/>
        <w:rPr>
          <w:lang w:val="es-MX"/>
        </w:rPr>
      </w:pPr>
      <w:r w:rsidRPr="00305D32">
        <w:rPr>
          <w:noProof/>
          <w:lang w:val="es-MX" w:eastAsia="es-MX"/>
        </w:rPr>
        <w:drawing>
          <wp:inline distT="0" distB="0" distL="0" distR="0" wp14:anchorId="4EDE13BD" wp14:editId="219EF3B7">
            <wp:extent cx="4572000" cy="2409825"/>
            <wp:effectExtent l="0" t="0" r="0" b="9525"/>
            <wp:docPr id="343862113" name="Gráfico 1">
              <a:extLst xmlns:a="http://schemas.openxmlformats.org/drawingml/2006/main">
                <a:ext uri="{FF2B5EF4-FFF2-40B4-BE49-F238E27FC236}">
                  <a16:creationId xmlns:a16="http://schemas.microsoft.com/office/drawing/2014/main" id="{C43C5E05-D331-7F0D-D69D-6D1A399C0A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D08308F" w14:textId="262BC28B" w:rsidR="00AE57F0" w:rsidRPr="00305D32" w:rsidRDefault="00414F7C">
      <w:pPr>
        <w:spacing w:line="240" w:lineRule="auto"/>
        <w:jc w:val="center"/>
        <w:rPr>
          <w:sz w:val="20"/>
          <w:szCs w:val="20"/>
          <w:lang w:val="es-MX"/>
        </w:rPr>
      </w:pPr>
      <w:r w:rsidRPr="00305D32">
        <w:rPr>
          <w:sz w:val="20"/>
          <w:szCs w:val="20"/>
          <w:lang w:val="es-MX"/>
        </w:rPr>
        <w:t xml:space="preserve"> Fuente: Elaboración de la Subsecretaría de Análisis Económico y Finanzas Públicas de la Secretaría de Finanzas y Planeación, con base en datos del Fondo Monetario Internacional (202</w:t>
      </w:r>
      <w:r w:rsidR="00111E04" w:rsidRPr="00305D32">
        <w:rPr>
          <w:sz w:val="20"/>
          <w:szCs w:val="20"/>
          <w:lang w:val="es-MX"/>
        </w:rPr>
        <w:t>5</w:t>
      </w:r>
      <w:r w:rsidRPr="00305D32">
        <w:rPr>
          <w:sz w:val="20"/>
          <w:szCs w:val="20"/>
          <w:lang w:val="es-MX"/>
        </w:rPr>
        <w:t>) y el Banco Mundial (202</w:t>
      </w:r>
      <w:r w:rsidR="00111E04" w:rsidRPr="00305D32">
        <w:rPr>
          <w:sz w:val="20"/>
          <w:szCs w:val="20"/>
          <w:lang w:val="es-MX"/>
        </w:rPr>
        <w:t>5</w:t>
      </w:r>
      <w:r w:rsidRPr="00305D32">
        <w:rPr>
          <w:sz w:val="20"/>
          <w:szCs w:val="20"/>
          <w:lang w:val="es-MX"/>
        </w:rPr>
        <w:t>).</w:t>
      </w:r>
    </w:p>
    <w:p w14:paraId="4D083090" w14:textId="035D9245" w:rsidR="00AE57F0" w:rsidRPr="00305D32" w:rsidRDefault="00414F7C">
      <w:pPr>
        <w:rPr>
          <w:lang w:val="es-MX"/>
        </w:rPr>
      </w:pPr>
      <w:r w:rsidRPr="00305D32">
        <w:rPr>
          <w:lang w:val="es-MX"/>
        </w:rPr>
        <w:t xml:space="preserve">En cuanto a EMDE, la </w:t>
      </w:r>
      <w:r w:rsidR="00DE3BB2" w:rsidRPr="00305D32">
        <w:rPr>
          <w:lang w:val="es-MX"/>
        </w:rPr>
        <w:fldChar w:fldCharType="begin"/>
      </w:r>
      <w:r w:rsidR="00DE3BB2" w:rsidRPr="00305D32">
        <w:rPr>
          <w:lang w:val="es-MX"/>
        </w:rPr>
        <w:instrText xml:space="preserve"> REF _Ref210209909 \h </w:instrText>
      </w:r>
      <w:r w:rsidR="00DE3BB2" w:rsidRPr="00305D32">
        <w:rPr>
          <w:lang w:val="es-MX"/>
        </w:rPr>
      </w:r>
      <w:r w:rsidR="00DE3BB2" w:rsidRPr="00305D32">
        <w:rPr>
          <w:lang w:val="es-MX"/>
        </w:rPr>
        <w:fldChar w:fldCharType="separate"/>
      </w:r>
      <w:r w:rsidR="00ED1F2F" w:rsidRPr="00305D32">
        <w:rPr>
          <w:lang w:val="es-MX"/>
        </w:rPr>
        <w:t xml:space="preserve">Figura </w:t>
      </w:r>
      <w:r w:rsidR="00ED1F2F">
        <w:rPr>
          <w:noProof/>
          <w:lang w:val="es-MX"/>
        </w:rPr>
        <w:t>2</w:t>
      </w:r>
      <w:r w:rsidR="00DE3BB2" w:rsidRPr="00305D32">
        <w:rPr>
          <w:lang w:val="es-MX"/>
        </w:rPr>
        <w:fldChar w:fldCharType="end"/>
      </w:r>
      <w:r w:rsidRPr="00305D32">
        <w:rPr>
          <w:lang w:val="es-MX"/>
        </w:rPr>
        <w:t xml:space="preserve"> muestra las proyecciones de crecimiento para 202</w:t>
      </w:r>
      <w:r w:rsidR="00A83A19" w:rsidRPr="00305D32">
        <w:rPr>
          <w:lang w:val="es-MX"/>
        </w:rPr>
        <w:t>5</w:t>
      </w:r>
      <w:r w:rsidRPr="00305D32">
        <w:rPr>
          <w:lang w:val="es-MX"/>
        </w:rPr>
        <w:t xml:space="preserve"> y 202</w:t>
      </w:r>
      <w:r w:rsidR="00A83A19" w:rsidRPr="00305D32">
        <w:rPr>
          <w:lang w:val="es-MX"/>
        </w:rPr>
        <w:t>6</w:t>
      </w:r>
      <w:r w:rsidR="007D1F07">
        <w:rPr>
          <w:lang w:val="es-MX"/>
        </w:rPr>
        <w:t>.</w:t>
      </w:r>
      <w:r w:rsidRPr="00305D32">
        <w:rPr>
          <w:lang w:val="es-MX"/>
        </w:rPr>
        <w:t xml:space="preserve"> </w:t>
      </w:r>
      <w:r w:rsidR="007D1F07">
        <w:rPr>
          <w:lang w:val="es-MX"/>
        </w:rPr>
        <w:t>A</w:t>
      </w:r>
      <w:r w:rsidRPr="00305D32">
        <w:rPr>
          <w:lang w:val="es-MX"/>
        </w:rPr>
        <w:t xml:space="preserve">mbas instituciones concuerdan en mostrar que las EMDE crecerán a una tasa </w:t>
      </w:r>
      <w:r w:rsidR="00980244">
        <w:rPr>
          <w:lang w:val="es-MX"/>
        </w:rPr>
        <w:t>superior</w:t>
      </w:r>
      <w:r w:rsidRPr="00305D32">
        <w:rPr>
          <w:lang w:val="es-MX"/>
        </w:rPr>
        <w:t xml:space="preserve"> que las economías avanzadas.</w:t>
      </w:r>
    </w:p>
    <w:p w14:paraId="4D083091" w14:textId="07216EB1" w:rsidR="00AE57F0" w:rsidRPr="00305D32" w:rsidRDefault="00DE3BB2" w:rsidP="00DE3BB2">
      <w:pPr>
        <w:pStyle w:val="Descripcin"/>
        <w:jc w:val="center"/>
        <w:rPr>
          <w:b w:val="0"/>
          <w:lang w:val="es-MX"/>
        </w:rPr>
      </w:pPr>
      <w:bookmarkStart w:id="6" w:name="_heading=h.sqyw64" w:colFirst="0" w:colLast="0"/>
      <w:bookmarkStart w:id="7" w:name="_Ref210209909"/>
      <w:bookmarkEnd w:id="6"/>
      <w:r w:rsidRPr="00305D32">
        <w:rPr>
          <w:lang w:val="es-MX"/>
        </w:rPr>
        <w:lastRenderedPageBreak/>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2</w:t>
      </w:r>
      <w:r w:rsidRPr="00305D32">
        <w:rPr>
          <w:lang w:val="es-MX"/>
        </w:rPr>
        <w:fldChar w:fldCharType="end"/>
      </w:r>
      <w:bookmarkEnd w:id="7"/>
      <w:r w:rsidR="00414F7C" w:rsidRPr="00305D32">
        <w:rPr>
          <w:b w:val="0"/>
          <w:lang w:val="es-MX"/>
        </w:rPr>
        <w:t xml:space="preserve">. </w:t>
      </w:r>
      <w:r w:rsidR="00414F7C" w:rsidRPr="00305D32">
        <w:rPr>
          <w:bCs w:val="0"/>
          <w:lang w:val="es-MX"/>
        </w:rPr>
        <w:t>Perspectivas de crecimiento del PIB de las economías emergentes y en desarrollo, 202</w:t>
      </w:r>
      <w:r w:rsidR="00D16E5C" w:rsidRPr="00305D32">
        <w:rPr>
          <w:bCs w:val="0"/>
          <w:lang w:val="es-MX"/>
        </w:rPr>
        <w:t>4</w:t>
      </w:r>
      <w:r w:rsidR="00414F7C" w:rsidRPr="00305D32">
        <w:rPr>
          <w:bCs w:val="0"/>
          <w:lang w:val="es-MX"/>
        </w:rPr>
        <w:t>-202</w:t>
      </w:r>
      <w:r w:rsidR="00D16E5C" w:rsidRPr="00305D32">
        <w:rPr>
          <w:bCs w:val="0"/>
          <w:lang w:val="es-MX"/>
        </w:rPr>
        <w:t>6</w:t>
      </w:r>
    </w:p>
    <w:p w14:paraId="4D083092" w14:textId="471F0CD8" w:rsidR="00AE57F0" w:rsidRPr="00305D32" w:rsidRDefault="00D16E5C">
      <w:pPr>
        <w:spacing w:after="0"/>
        <w:jc w:val="center"/>
        <w:rPr>
          <w:b/>
          <w:lang w:val="es-MX"/>
        </w:rPr>
      </w:pPr>
      <w:r w:rsidRPr="00305D32">
        <w:rPr>
          <w:noProof/>
          <w:lang w:val="es-MX" w:eastAsia="es-MX"/>
        </w:rPr>
        <w:drawing>
          <wp:inline distT="0" distB="0" distL="0" distR="0" wp14:anchorId="0D3CA4CC" wp14:editId="1D4D7B5B">
            <wp:extent cx="4933950" cy="2628900"/>
            <wp:effectExtent l="0" t="0" r="0" b="0"/>
            <wp:docPr id="45678572" name="Gráfico 1">
              <a:extLst xmlns:a="http://schemas.openxmlformats.org/drawingml/2006/main">
                <a:ext uri="{FF2B5EF4-FFF2-40B4-BE49-F238E27FC236}">
                  <a16:creationId xmlns:a16="http://schemas.microsoft.com/office/drawing/2014/main" id="{7B418D33-B770-92DE-1279-7180CD58C8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D083093" w14:textId="32EBBC7D" w:rsidR="00AE57F0" w:rsidRPr="00305D32" w:rsidRDefault="00414F7C">
      <w:pPr>
        <w:spacing w:line="240"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base en datos del Fondo Monetario Internacional (202</w:t>
      </w:r>
      <w:r w:rsidR="001D1056" w:rsidRPr="00305D32">
        <w:rPr>
          <w:sz w:val="20"/>
          <w:szCs w:val="20"/>
          <w:lang w:val="es-MX"/>
        </w:rPr>
        <w:t>5</w:t>
      </w:r>
      <w:r w:rsidRPr="00305D32">
        <w:rPr>
          <w:sz w:val="20"/>
          <w:szCs w:val="20"/>
          <w:lang w:val="es-MX"/>
        </w:rPr>
        <w:t>) y el Banco Mundial (202</w:t>
      </w:r>
      <w:r w:rsidR="001D1056" w:rsidRPr="00305D32">
        <w:rPr>
          <w:sz w:val="20"/>
          <w:szCs w:val="20"/>
          <w:lang w:val="es-MX"/>
        </w:rPr>
        <w:t>5</w:t>
      </w:r>
      <w:r w:rsidRPr="00305D32">
        <w:rPr>
          <w:sz w:val="20"/>
          <w:szCs w:val="20"/>
          <w:lang w:val="es-MX"/>
        </w:rPr>
        <w:t>).</w:t>
      </w:r>
    </w:p>
    <w:p w14:paraId="5E2B7B48" w14:textId="2122B21E" w:rsidR="00126FB3" w:rsidRDefault="00126FB3">
      <w:pPr>
        <w:rPr>
          <w:lang w:val="es-MX"/>
        </w:rPr>
      </w:pPr>
      <w:r w:rsidRPr="00126FB3">
        <w:rPr>
          <w:lang w:val="es-MX"/>
        </w:rPr>
        <w:t>Las proyecciones de crecimiento de las EMDE para 2024 del FMI indican un crecimiento del 4.3</w:t>
      </w:r>
      <w:r w:rsidR="0019290E">
        <w:rPr>
          <w:lang w:val="es-MX"/>
        </w:rPr>
        <w:t xml:space="preserve"> %</w:t>
      </w:r>
      <w:r w:rsidRPr="00126FB3">
        <w:rPr>
          <w:lang w:val="es-MX"/>
        </w:rPr>
        <w:t>, mientras que el BM proyecta un incremento del 4.2</w:t>
      </w:r>
      <w:r w:rsidR="0019290E">
        <w:rPr>
          <w:lang w:val="es-MX"/>
        </w:rPr>
        <w:t xml:space="preserve"> %</w:t>
      </w:r>
      <w:r w:rsidRPr="00126FB3">
        <w:rPr>
          <w:lang w:val="es-MX"/>
        </w:rPr>
        <w:t>, amb</w:t>
      </w:r>
      <w:r w:rsidR="003D48A4">
        <w:rPr>
          <w:lang w:val="es-MX"/>
        </w:rPr>
        <w:t>os datos</w:t>
      </w:r>
      <w:r w:rsidRPr="00126FB3">
        <w:rPr>
          <w:lang w:val="es-MX"/>
        </w:rPr>
        <w:t xml:space="preserve"> </w:t>
      </w:r>
      <w:r w:rsidR="00D57771">
        <w:rPr>
          <w:lang w:val="es-MX"/>
        </w:rPr>
        <w:t>son considerados estimaciones</w:t>
      </w:r>
      <w:r w:rsidRPr="00126FB3">
        <w:rPr>
          <w:lang w:val="es-MX"/>
        </w:rPr>
        <w:t xml:space="preserve"> porque algunos países aún no han actualizado su contabilidad nacional. </w:t>
      </w:r>
    </w:p>
    <w:p w14:paraId="62FA2797" w14:textId="33A610A3" w:rsidR="005A66FC" w:rsidRDefault="005A66FC">
      <w:pPr>
        <w:rPr>
          <w:lang w:val="es-MX"/>
        </w:rPr>
      </w:pPr>
      <w:r w:rsidRPr="005A66FC">
        <w:rPr>
          <w:lang w:val="es-MX"/>
        </w:rPr>
        <w:t>El FMI prevé que la tasa de crecimiento de las EMDE sea de 4.1</w:t>
      </w:r>
      <w:r w:rsidR="0019290E">
        <w:rPr>
          <w:lang w:val="es-MX"/>
        </w:rPr>
        <w:t xml:space="preserve"> %</w:t>
      </w:r>
      <w:r w:rsidRPr="005A66FC">
        <w:rPr>
          <w:lang w:val="es-MX"/>
        </w:rPr>
        <w:t xml:space="preserve"> en 2025, mientras que el BM tiene por expectativa una tasa de 3.8</w:t>
      </w:r>
      <w:r w:rsidR="0019290E">
        <w:rPr>
          <w:lang w:val="es-MX"/>
        </w:rPr>
        <w:t xml:space="preserve"> %</w:t>
      </w:r>
      <w:r w:rsidRPr="005A66FC">
        <w:rPr>
          <w:lang w:val="es-MX"/>
        </w:rPr>
        <w:t>. Para 2026, el FMI proyecta un crecimiento de 4</w:t>
      </w:r>
      <w:r w:rsidR="0019290E">
        <w:rPr>
          <w:lang w:val="es-MX"/>
        </w:rPr>
        <w:t xml:space="preserve"> %</w:t>
      </w:r>
      <w:r w:rsidRPr="005A66FC">
        <w:rPr>
          <w:lang w:val="es-MX"/>
        </w:rPr>
        <w:t xml:space="preserve"> y el BM mantiene su previsión de 3.8</w:t>
      </w:r>
      <w:r w:rsidR="0019290E">
        <w:rPr>
          <w:lang w:val="es-MX"/>
        </w:rPr>
        <w:t xml:space="preserve"> %</w:t>
      </w:r>
      <w:r w:rsidRPr="005A66FC">
        <w:rPr>
          <w:lang w:val="es-MX"/>
        </w:rPr>
        <w:t>.</w:t>
      </w:r>
    </w:p>
    <w:p w14:paraId="4D083095" w14:textId="32311630" w:rsidR="00AE57F0" w:rsidRPr="00305D32" w:rsidRDefault="00354E59">
      <w:pPr>
        <w:rPr>
          <w:lang w:val="es-MX"/>
        </w:rPr>
      </w:pPr>
      <w:r w:rsidRPr="00305D32">
        <w:rPr>
          <w:lang w:val="es-MX"/>
        </w:rPr>
        <w:t>En la</w:t>
      </w:r>
      <w:r w:rsidR="00076464" w:rsidRPr="00305D32">
        <w:rPr>
          <w:lang w:val="es-MX"/>
        </w:rPr>
        <w:t xml:space="preserve"> </w:t>
      </w:r>
      <w:r w:rsidR="00076464" w:rsidRPr="00305D32">
        <w:rPr>
          <w:lang w:val="es-MX"/>
        </w:rPr>
        <w:fldChar w:fldCharType="begin"/>
      </w:r>
      <w:r w:rsidR="00076464" w:rsidRPr="00305D32">
        <w:rPr>
          <w:lang w:val="es-MX"/>
        </w:rPr>
        <w:instrText xml:space="preserve"> REF _Ref210210160 \h </w:instrText>
      </w:r>
      <w:r w:rsidR="00076464" w:rsidRPr="00305D32">
        <w:rPr>
          <w:lang w:val="es-MX"/>
        </w:rPr>
      </w:r>
      <w:r w:rsidR="00076464" w:rsidRPr="00305D32">
        <w:rPr>
          <w:lang w:val="es-MX"/>
        </w:rPr>
        <w:fldChar w:fldCharType="separate"/>
      </w:r>
      <w:r w:rsidR="00ED1F2F" w:rsidRPr="00305D32">
        <w:rPr>
          <w:lang w:val="es-MX"/>
        </w:rPr>
        <w:t xml:space="preserve">Figura </w:t>
      </w:r>
      <w:r w:rsidR="00ED1F2F">
        <w:rPr>
          <w:noProof/>
          <w:lang w:val="es-MX"/>
        </w:rPr>
        <w:t>3</w:t>
      </w:r>
      <w:r w:rsidR="00076464" w:rsidRPr="00305D32">
        <w:rPr>
          <w:lang w:val="es-MX"/>
        </w:rPr>
        <w:fldChar w:fldCharType="end"/>
      </w:r>
      <w:r w:rsidR="00E133CC">
        <w:rPr>
          <w:lang w:val="es-MX"/>
        </w:rPr>
        <w:t xml:space="preserve"> se observa</w:t>
      </w:r>
      <w:r w:rsidR="00076464" w:rsidRPr="00305D32">
        <w:rPr>
          <w:lang w:val="es-MX"/>
        </w:rPr>
        <w:t xml:space="preserve"> que, </w:t>
      </w:r>
      <w:r w:rsidR="00EB7CAD" w:rsidRPr="00EB7CAD">
        <w:rPr>
          <w:lang w:val="es-MX"/>
        </w:rPr>
        <w:t>para las economías avanzadas, las estimaciones de crecimiento en 2024 fueron inferiores a las de las EMDE y a las de la economía mundial en su conjunto, ya que el FMI estimó un crecimiento de 1.8</w:t>
      </w:r>
      <w:r w:rsidR="0019290E">
        <w:rPr>
          <w:lang w:val="es-MX"/>
        </w:rPr>
        <w:t xml:space="preserve"> %</w:t>
      </w:r>
      <w:r w:rsidR="00EB7CAD" w:rsidRPr="00EB7CAD">
        <w:rPr>
          <w:lang w:val="es-MX"/>
        </w:rPr>
        <w:t xml:space="preserve"> y el BM de 1.7</w:t>
      </w:r>
      <w:r w:rsidR="0019290E">
        <w:rPr>
          <w:lang w:val="es-MX"/>
        </w:rPr>
        <w:t xml:space="preserve"> %</w:t>
      </w:r>
      <w:r w:rsidR="00EB7CAD" w:rsidRPr="00EB7CAD">
        <w:rPr>
          <w:lang w:val="es-MX"/>
        </w:rPr>
        <w:t>. Las proyecciones de crecimiento para 2025 del FMI se sitúan en 1.5</w:t>
      </w:r>
      <w:r w:rsidR="0019290E">
        <w:rPr>
          <w:lang w:val="es-MX"/>
        </w:rPr>
        <w:t xml:space="preserve"> %</w:t>
      </w:r>
      <w:r w:rsidR="00EB7CAD" w:rsidRPr="00EB7CAD">
        <w:rPr>
          <w:lang w:val="es-MX"/>
        </w:rPr>
        <w:t xml:space="preserve"> y para el </w:t>
      </w:r>
      <w:r w:rsidR="00EB7CAD" w:rsidRPr="00EB7CAD">
        <w:rPr>
          <w:lang w:val="es-MX"/>
        </w:rPr>
        <w:lastRenderedPageBreak/>
        <w:t>BM en 1.2</w:t>
      </w:r>
      <w:r w:rsidR="0019290E">
        <w:rPr>
          <w:lang w:val="es-MX"/>
        </w:rPr>
        <w:t xml:space="preserve"> %</w:t>
      </w:r>
      <w:r w:rsidR="00EB7CAD" w:rsidRPr="00EB7CAD">
        <w:rPr>
          <w:lang w:val="es-MX"/>
        </w:rPr>
        <w:t xml:space="preserve"> en estas economías avanzadas. Para 2026, se anticipa un ligero </w:t>
      </w:r>
      <w:r w:rsidR="000D0F2E" w:rsidRPr="00EB7CAD">
        <w:rPr>
          <w:lang w:val="es-MX"/>
        </w:rPr>
        <w:t>aumento, donde</w:t>
      </w:r>
      <w:r w:rsidR="00EB7CAD" w:rsidRPr="00EB7CAD">
        <w:rPr>
          <w:lang w:val="es-MX"/>
        </w:rPr>
        <w:t xml:space="preserve"> el </w:t>
      </w:r>
      <w:r w:rsidR="00EA5889" w:rsidRPr="00EB7CAD">
        <w:rPr>
          <w:lang w:val="es-MX"/>
        </w:rPr>
        <w:t>FMI proyecta</w:t>
      </w:r>
      <w:r w:rsidR="00EB7CAD" w:rsidRPr="00EB7CAD">
        <w:rPr>
          <w:lang w:val="es-MX"/>
        </w:rPr>
        <w:t xml:space="preserve"> un crecimiento de 1.6</w:t>
      </w:r>
      <w:r w:rsidR="0019290E">
        <w:rPr>
          <w:lang w:val="es-MX"/>
        </w:rPr>
        <w:t xml:space="preserve"> %</w:t>
      </w:r>
      <w:r w:rsidR="00EB7CAD" w:rsidRPr="00EB7CAD">
        <w:rPr>
          <w:lang w:val="es-MX"/>
        </w:rPr>
        <w:t xml:space="preserve"> y el BM una tasa de 1.4</w:t>
      </w:r>
      <w:r w:rsidR="0019290E">
        <w:rPr>
          <w:lang w:val="es-MX"/>
        </w:rPr>
        <w:t xml:space="preserve"> %</w:t>
      </w:r>
      <w:r w:rsidR="00EB7CAD" w:rsidRPr="00EB7CAD">
        <w:rPr>
          <w:lang w:val="es-MX"/>
        </w:rPr>
        <w:t>.</w:t>
      </w:r>
    </w:p>
    <w:p w14:paraId="4D083096" w14:textId="4D605263" w:rsidR="00AE57F0" w:rsidRPr="00305D32" w:rsidRDefault="001D7CC3" w:rsidP="00076464">
      <w:pPr>
        <w:pStyle w:val="Descripcin"/>
        <w:jc w:val="center"/>
        <w:rPr>
          <w:b w:val="0"/>
          <w:lang w:val="es-MX"/>
        </w:rPr>
      </w:pPr>
      <w:bookmarkStart w:id="8" w:name="_Ref210210160"/>
      <w:r w:rsidRPr="00305D32">
        <w:rPr>
          <w:lang w:val="es-MX"/>
        </w:rPr>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3</w:t>
      </w:r>
      <w:r w:rsidRPr="00305D32">
        <w:rPr>
          <w:lang w:val="es-MX"/>
        </w:rPr>
        <w:fldChar w:fldCharType="end"/>
      </w:r>
      <w:bookmarkEnd w:id="8"/>
      <w:r w:rsidR="00076464" w:rsidRPr="00305D32">
        <w:rPr>
          <w:lang w:val="es-MX"/>
        </w:rPr>
        <w:t>.</w:t>
      </w:r>
      <w:r w:rsidR="00076464" w:rsidRPr="00305D32">
        <w:rPr>
          <w:bCs w:val="0"/>
          <w:lang w:val="es-MX"/>
        </w:rPr>
        <w:t xml:space="preserve"> Perspectivas de crecimiento del PIB de las economías avanzadas, 2024-2026</w:t>
      </w:r>
    </w:p>
    <w:p w14:paraId="4D083097" w14:textId="3E4F891D" w:rsidR="00AE57F0" w:rsidRPr="00305D32" w:rsidRDefault="00F95C3B" w:rsidP="003F4FDB">
      <w:pPr>
        <w:spacing w:after="0"/>
        <w:jc w:val="center"/>
        <w:rPr>
          <w:lang w:val="es-MX"/>
        </w:rPr>
      </w:pPr>
      <w:r w:rsidRPr="00305D32">
        <w:rPr>
          <w:noProof/>
          <w:lang w:val="es-MX" w:eastAsia="es-MX"/>
        </w:rPr>
        <w:drawing>
          <wp:inline distT="0" distB="0" distL="0" distR="0" wp14:anchorId="0C4BF7D4" wp14:editId="2539CB9C">
            <wp:extent cx="4333875" cy="2286000"/>
            <wp:effectExtent l="0" t="0" r="9525" b="0"/>
            <wp:docPr id="18136464" name="Gráfico 1">
              <a:extLst xmlns:a="http://schemas.openxmlformats.org/drawingml/2006/main">
                <a:ext uri="{FF2B5EF4-FFF2-40B4-BE49-F238E27FC236}">
                  <a16:creationId xmlns:a16="http://schemas.microsoft.com/office/drawing/2014/main" id="{15BD9D3A-39E8-3856-FFC0-FDA36C5D25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D083098" w14:textId="310D76DA" w:rsidR="00AE57F0" w:rsidRDefault="00414F7C">
      <w:pPr>
        <w:spacing w:line="240"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base en datos del Fondo Monetario Internacional (202</w:t>
      </w:r>
      <w:r w:rsidR="00F95C3B" w:rsidRPr="00305D32">
        <w:rPr>
          <w:sz w:val="20"/>
          <w:szCs w:val="20"/>
          <w:lang w:val="es-MX"/>
        </w:rPr>
        <w:t>5</w:t>
      </w:r>
      <w:r w:rsidRPr="00305D32">
        <w:rPr>
          <w:sz w:val="20"/>
          <w:szCs w:val="20"/>
          <w:lang w:val="es-MX"/>
        </w:rPr>
        <w:t>) y el Banco Mundial (202</w:t>
      </w:r>
      <w:r w:rsidR="00F95C3B" w:rsidRPr="00305D32">
        <w:rPr>
          <w:sz w:val="20"/>
          <w:szCs w:val="20"/>
          <w:lang w:val="es-MX"/>
        </w:rPr>
        <w:t>5</w:t>
      </w:r>
      <w:r w:rsidRPr="00305D32">
        <w:rPr>
          <w:sz w:val="20"/>
          <w:szCs w:val="20"/>
          <w:lang w:val="es-MX"/>
        </w:rPr>
        <w:t>).</w:t>
      </w:r>
    </w:p>
    <w:p w14:paraId="73BF3ACD" w14:textId="77777777" w:rsidR="00F10E77" w:rsidRPr="00305D32" w:rsidRDefault="00F10E77">
      <w:pPr>
        <w:spacing w:line="240" w:lineRule="auto"/>
        <w:jc w:val="center"/>
        <w:rPr>
          <w:sz w:val="20"/>
          <w:szCs w:val="20"/>
          <w:lang w:val="es-MX"/>
        </w:rPr>
      </w:pPr>
    </w:p>
    <w:p w14:paraId="4D083099" w14:textId="77777777" w:rsidR="00AE57F0" w:rsidRPr="00305D32" w:rsidRDefault="00414F7C">
      <w:pPr>
        <w:pStyle w:val="Ttulo3"/>
        <w:numPr>
          <w:ilvl w:val="2"/>
          <w:numId w:val="5"/>
        </w:numPr>
        <w:rPr>
          <w:lang w:val="es-MX"/>
        </w:rPr>
      </w:pPr>
      <w:bookmarkStart w:id="9" w:name="_heading=h.4bvk7pj" w:colFirst="0" w:colLast="0"/>
      <w:bookmarkEnd w:id="9"/>
      <w:r w:rsidRPr="00305D32">
        <w:rPr>
          <w:lang w:val="es-MX"/>
        </w:rPr>
        <w:t>Inflación</w:t>
      </w:r>
    </w:p>
    <w:p w14:paraId="75A2FD7F" w14:textId="77777777" w:rsidR="00347BCE" w:rsidRDefault="00347BCE">
      <w:pPr>
        <w:rPr>
          <w:lang w:val="es-MX"/>
        </w:rPr>
      </w:pPr>
      <w:r w:rsidRPr="00347BCE">
        <w:rPr>
          <w:lang w:val="es-MX"/>
        </w:rPr>
        <w:t>El ritmo de la desinflación se ha vuelto cada vez más lento, lo que podría provocar que los bancos centrales adopten una política monetaria más conservadora, en el sentido de pausar el ciclo de relajamiento monetario o, incluso, considerar incrementos en las tasas de interés si la inflación presenta un comportamiento distinto a los objetivos de los diversos bancos centrales.  A ello se suman las crecientes tensiones comerciales, que generan expectativas de riesgo ante posibles altas tasas de inflación como elevadas tasas de interés.</w:t>
      </w:r>
    </w:p>
    <w:p w14:paraId="4D08309B" w14:textId="6821EECE" w:rsidR="00AE57F0" w:rsidRPr="00305D32" w:rsidRDefault="00414F7C">
      <w:pPr>
        <w:rPr>
          <w:lang w:val="es-MX"/>
        </w:rPr>
      </w:pPr>
      <w:r w:rsidRPr="00305D32">
        <w:rPr>
          <w:lang w:val="es-MX"/>
        </w:rPr>
        <w:lastRenderedPageBreak/>
        <w:t xml:space="preserve">En la </w:t>
      </w:r>
      <w:r w:rsidR="00714623" w:rsidRPr="00305D32">
        <w:rPr>
          <w:lang w:val="es-MX"/>
        </w:rPr>
        <w:fldChar w:fldCharType="begin"/>
      </w:r>
      <w:r w:rsidR="00714623" w:rsidRPr="00305D32">
        <w:rPr>
          <w:lang w:val="es-MX"/>
        </w:rPr>
        <w:instrText xml:space="preserve"> REF _Ref210210354 \h </w:instrText>
      </w:r>
      <w:r w:rsidR="00714623" w:rsidRPr="00305D32">
        <w:rPr>
          <w:lang w:val="es-MX"/>
        </w:rPr>
      </w:r>
      <w:r w:rsidR="00714623" w:rsidRPr="00305D32">
        <w:rPr>
          <w:lang w:val="es-MX"/>
        </w:rPr>
        <w:fldChar w:fldCharType="separate"/>
      </w:r>
      <w:r w:rsidR="00ED1F2F" w:rsidRPr="00305D32">
        <w:rPr>
          <w:lang w:val="es-MX"/>
        </w:rPr>
        <w:t xml:space="preserve">Figura </w:t>
      </w:r>
      <w:r w:rsidR="00ED1F2F">
        <w:rPr>
          <w:noProof/>
          <w:lang w:val="es-MX"/>
        </w:rPr>
        <w:t>4</w:t>
      </w:r>
      <w:r w:rsidR="00714623" w:rsidRPr="00305D32">
        <w:rPr>
          <w:lang w:val="es-MX"/>
        </w:rPr>
        <w:fldChar w:fldCharType="end"/>
      </w:r>
      <w:r w:rsidRPr="00305D32">
        <w:rPr>
          <w:b/>
          <w:lang w:val="es-MX"/>
        </w:rPr>
        <w:t xml:space="preserve"> </w:t>
      </w:r>
      <w:r w:rsidRPr="00305D32">
        <w:rPr>
          <w:lang w:val="es-MX"/>
        </w:rPr>
        <w:t>se presentan las perspectivas de inflación que presenta el FMI en su último informe de julio de 202</w:t>
      </w:r>
      <w:r w:rsidR="00D63C84" w:rsidRPr="00305D32">
        <w:rPr>
          <w:lang w:val="es-MX"/>
        </w:rPr>
        <w:t>5</w:t>
      </w:r>
      <w:r w:rsidRPr="00305D32">
        <w:rPr>
          <w:lang w:val="es-MX"/>
        </w:rPr>
        <w:t>. En términos generales se visualiza una desaceleración sistemática de la inflación, a nivel mundial en 202</w:t>
      </w:r>
      <w:r w:rsidR="000E6E46" w:rsidRPr="00305D32">
        <w:rPr>
          <w:lang w:val="es-MX"/>
        </w:rPr>
        <w:t>4</w:t>
      </w:r>
      <w:r w:rsidRPr="00305D32">
        <w:rPr>
          <w:lang w:val="es-MX"/>
        </w:rPr>
        <w:t xml:space="preserve"> la tasa de inflación fue de </w:t>
      </w:r>
      <w:r w:rsidR="00AD13A2" w:rsidRPr="00305D32">
        <w:rPr>
          <w:lang w:val="es-MX"/>
        </w:rPr>
        <w:t>5</w:t>
      </w:r>
      <w:r w:rsidRPr="00305D32">
        <w:rPr>
          <w:lang w:val="es-MX"/>
        </w:rPr>
        <w:t>.6</w:t>
      </w:r>
      <w:r w:rsidR="0019290E">
        <w:rPr>
          <w:lang w:val="es-MX"/>
        </w:rPr>
        <w:t xml:space="preserve"> %</w:t>
      </w:r>
      <w:r w:rsidRPr="00305D32">
        <w:rPr>
          <w:lang w:val="es-MX"/>
        </w:rPr>
        <w:t>, para 202</w:t>
      </w:r>
      <w:r w:rsidR="00AC1BCC" w:rsidRPr="00305D32">
        <w:rPr>
          <w:lang w:val="es-MX"/>
        </w:rPr>
        <w:t>5</w:t>
      </w:r>
      <w:r w:rsidRPr="00305D32">
        <w:rPr>
          <w:lang w:val="es-MX"/>
        </w:rPr>
        <w:t xml:space="preserve"> se espera que disminuya a </w:t>
      </w:r>
      <w:r w:rsidR="00AC1BCC" w:rsidRPr="00305D32">
        <w:rPr>
          <w:lang w:val="es-MX"/>
        </w:rPr>
        <w:t>4</w:t>
      </w:r>
      <w:r w:rsidRPr="00305D32">
        <w:rPr>
          <w:lang w:val="es-MX"/>
        </w:rPr>
        <w:t>.</w:t>
      </w:r>
      <w:r w:rsidR="00AC1BCC" w:rsidRPr="00305D32">
        <w:rPr>
          <w:lang w:val="es-MX"/>
        </w:rPr>
        <w:t>2</w:t>
      </w:r>
      <w:r w:rsidR="0019290E">
        <w:rPr>
          <w:lang w:val="es-MX"/>
        </w:rPr>
        <w:t xml:space="preserve"> %</w:t>
      </w:r>
      <w:r w:rsidRPr="00305D32">
        <w:rPr>
          <w:lang w:val="es-MX"/>
        </w:rPr>
        <w:t xml:space="preserve"> y para 202</w:t>
      </w:r>
      <w:r w:rsidR="00A10DC1">
        <w:rPr>
          <w:lang w:val="es-MX"/>
        </w:rPr>
        <w:t>6</w:t>
      </w:r>
      <w:r w:rsidRPr="00305D32">
        <w:rPr>
          <w:lang w:val="es-MX"/>
        </w:rPr>
        <w:t xml:space="preserve"> llegue a </w:t>
      </w:r>
      <w:r w:rsidR="00AC1BCC" w:rsidRPr="00305D32">
        <w:rPr>
          <w:lang w:val="es-MX"/>
        </w:rPr>
        <w:t>3.6</w:t>
      </w:r>
      <w:r w:rsidR="0019290E">
        <w:rPr>
          <w:lang w:val="es-MX"/>
        </w:rPr>
        <w:t xml:space="preserve"> %</w:t>
      </w:r>
      <w:r w:rsidRPr="00305D32">
        <w:rPr>
          <w:lang w:val="es-MX"/>
        </w:rPr>
        <w:t>.</w:t>
      </w:r>
    </w:p>
    <w:p w14:paraId="6F370B63" w14:textId="5D9C1DC3" w:rsidR="000436F9" w:rsidRDefault="00414F7C">
      <w:pPr>
        <w:rPr>
          <w:lang w:val="es-MX"/>
        </w:rPr>
      </w:pPr>
      <w:r w:rsidRPr="00305D32">
        <w:rPr>
          <w:lang w:val="es-MX"/>
        </w:rPr>
        <w:t>En las economías avanzadas</w:t>
      </w:r>
      <w:r w:rsidR="001A6FE3">
        <w:rPr>
          <w:lang w:val="es-MX"/>
        </w:rPr>
        <w:t>,</w:t>
      </w:r>
      <w:r w:rsidRPr="00305D32">
        <w:rPr>
          <w:lang w:val="es-MX"/>
        </w:rPr>
        <w:t xml:space="preserve"> la tasa de inflación fue de </w:t>
      </w:r>
      <w:r w:rsidR="00B51C5D" w:rsidRPr="00305D32">
        <w:rPr>
          <w:lang w:val="es-MX"/>
        </w:rPr>
        <w:t>2</w:t>
      </w:r>
      <w:r w:rsidRPr="00305D32">
        <w:rPr>
          <w:lang w:val="es-MX"/>
        </w:rPr>
        <w:t>.6</w:t>
      </w:r>
      <w:r w:rsidR="0019290E">
        <w:rPr>
          <w:lang w:val="es-MX"/>
        </w:rPr>
        <w:t xml:space="preserve"> %</w:t>
      </w:r>
      <w:r w:rsidRPr="00305D32">
        <w:rPr>
          <w:lang w:val="es-MX"/>
        </w:rPr>
        <w:t xml:space="preserve"> en 202</w:t>
      </w:r>
      <w:r w:rsidR="00A97972" w:rsidRPr="00305D32">
        <w:rPr>
          <w:lang w:val="es-MX"/>
        </w:rPr>
        <w:t>4</w:t>
      </w:r>
      <w:r w:rsidRPr="00305D32">
        <w:rPr>
          <w:lang w:val="es-MX"/>
        </w:rPr>
        <w:t>, mientras que para 202</w:t>
      </w:r>
      <w:r w:rsidR="00A97972" w:rsidRPr="00305D32">
        <w:rPr>
          <w:lang w:val="es-MX"/>
        </w:rPr>
        <w:t>5</w:t>
      </w:r>
      <w:r w:rsidRPr="00305D32">
        <w:rPr>
          <w:lang w:val="es-MX"/>
        </w:rPr>
        <w:t xml:space="preserve"> se proyecta </w:t>
      </w:r>
      <w:r w:rsidR="00AE6A6E">
        <w:rPr>
          <w:lang w:val="es-MX"/>
        </w:rPr>
        <w:t xml:space="preserve">un </w:t>
      </w:r>
      <w:r w:rsidRPr="00305D32">
        <w:rPr>
          <w:lang w:val="es-MX"/>
        </w:rPr>
        <w:t xml:space="preserve">cierre </w:t>
      </w:r>
      <w:r w:rsidR="009F58BA">
        <w:rPr>
          <w:lang w:val="es-MX"/>
        </w:rPr>
        <w:t>de</w:t>
      </w:r>
      <w:r w:rsidRPr="00305D32">
        <w:rPr>
          <w:lang w:val="es-MX"/>
        </w:rPr>
        <w:t xml:space="preserve"> 2.</w:t>
      </w:r>
      <w:r w:rsidR="00A97972" w:rsidRPr="00305D32">
        <w:rPr>
          <w:lang w:val="es-MX"/>
        </w:rPr>
        <w:t>5</w:t>
      </w:r>
      <w:r w:rsidR="0019290E">
        <w:rPr>
          <w:lang w:val="es-MX"/>
        </w:rPr>
        <w:t xml:space="preserve"> %</w:t>
      </w:r>
      <w:r w:rsidRPr="00305D32">
        <w:rPr>
          <w:lang w:val="es-MX"/>
        </w:rPr>
        <w:t xml:space="preserve"> y para 202</w:t>
      </w:r>
      <w:r w:rsidR="00A97972" w:rsidRPr="00305D32">
        <w:rPr>
          <w:lang w:val="es-MX"/>
        </w:rPr>
        <w:t>6</w:t>
      </w:r>
      <w:r w:rsidRPr="00305D32">
        <w:rPr>
          <w:lang w:val="es-MX"/>
        </w:rPr>
        <w:t xml:space="preserve"> </w:t>
      </w:r>
      <w:r w:rsidR="000436F9" w:rsidRPr="000436F9">
        <w:rPr>
          <w:lang w:val="es-MX"/>
        </w:rPr>
        <w:t>se estima una desaceleración a 2.1</w:t>
      </w:r>
      <w:r w:rsidR="0019290E">
        <w:rPr>
          <w:lang w:val="es-MX"/>
        </w:rPr>
        <w:t xml:space="preserve"> %</w:t>
      </w:r>
      <w:r w:rsidR="000436F9" w:rsidRPr="000436F9">
        <w:rPr>
          <w:lang w:val="es-MX"/>
        </w:rPr>
        <w:t>. Para las EMDE la inflación en 2024 fue de 7.7</w:t>
      </w:r>
      <w:r w:rsidR="0019290E">
        <w:rPr>
          <w:lang w:val="es-MX"/>
        </w:rPr>
        <w:t xml:space="preserve"> %</w:t>
      </w:r>
      <w:r w:rsidR="000436F9" w:rsidRPr="000436F9">
        <w:rPr>
          <w:lang w:val="es-MX"/>
        </w:rPr>
        <w:t>, se espera se reduzca a 5.4</w:t>
      </w:r>
      <w:r w:rsidR="0019290E">
        <w:rPr>
          <w:lang w:val="es-MX"/>
        </w:rPr>
        <w:t xml:space="preserve"> %</w:t>
      </w:r>
      <w:r w:rsidR="000436F9" w:rsidRPr="000436F9">
        <w:rPr>
          <w:lang w:val="es-MX"/>
        </w:rPr>
        <w:t xml:space="preserve"> en 2025 y 4.5</w:t>
      </w:r>
      <w:r w:rsidR="0019290E">
        <w:rPr>
          <w:lang w:val="es-MX"/>
        </w:rPr>
        <w:t xml:space="preserve"> %</w:t>
      </w:r>
      <w:r w:rsidR="000436F9" w:rsidRPr="000436F9">
        <w:rPr>
          <w:lang w:val="es-MX"/>
        </w:rPr>
        <w:t xml:space="preserve"> en 2026.</w:t>
      </w:r>
    </w:p>
    <w:p w14:paraId="0A3FBBFE" w14:textId="77777777" w:rsidR="00F10E77" w:rsidRPr="00305D32" w:rsidRDefault="00F10E77">
      <w:pPr>
        <w:rPr>
          <w:lang w:val="es-MX"/>
        </w:rPr>
      </w:pPr>
    </w:p>
    <w:p w14:paraId="4D08309D" w14:textId="4B5F832C" w:rsidR="00AE57F0" w:rsidRPr="00305D32" w:rsidRDefault="00714623" w:rsidP="00714623">
      <w:pPr>
        <w:pStyle w:val="Descripcin"/>
        <w:jc w:val="center"/>
        <w:rPr>
          <w:lang w:val="es-MX"/>
        </w:rPr>
      </w:pPr>
      <w:bookmarkStart w:id="10" w:name="_heading=h.2r0uhxc" w:colFirst="0" w:colLast="0"/>
      <w:bookmarkStart w:id="11" w:name="_Ref210210354"/>
      <w:bookmarkEnd w:id="10"/>
      <w:r w:rsidRPr="00305D32">
        <w:rPr>
          <w:lang w:val="es-MX"/>
        </w:rPr>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4</w:t>
      </w:r>
      <w:r w:rsidRPr="00305D32">
        <w:rPr>
          <w:lang w:val="es-MX"/>
        </w:rPr>
        <w:fldChar w:fldCharType="end"/>
      </w:r>
      <w:bookmarkEnd w:id="11"/>
      <w:r w:rsidR="00414F7C" w:rsidRPr="00305D32">
        <w:rPr>
          <w:lang w:val="es-MX"/>
        </w:rPr>
        <w:t>. Perspectivas de inflación mundial, economías avanzadas y economías emergentes y en desarrollo 202</w:t>
      </w:r>
      <w:r w:rsidR="00BA049D" w:rsidRPr="00305D32">
        <w:rPr>
          <w:lang w:val="es-MX"/>
        </w:rPr>
        <w:t>3</w:t>
      </w:r>
      <w:r w:rsidR="00414F7C" w:rsidRPr="00305D32">
        <w:rPr>
          <w:lang w:val="es-MX"/>
        </w:rPr>
        <w:t>-202</w:t>
      </w:r>
      <w:r w:rsidR="00BA049D" w:rsidRPr="00305D32">
        <w:rPr>
          <w:lang w:val="es-MX"/>
        </w:rPr>
        <w:t>6</w:t>
      </w:r>
    </w:p>
    <w:p w14:paraId="4D08309E" w14:textId="273F0CE0" w:rsidR="00AE57F0" w:rsidRPr="00305D32" w:rsidRDefault="005E010F" w:rsidP="005E33FF">
      <w:pPr>
        <w:keepNext/>
        <w:tabs>
          <w:tab w:val="left" w:pos="567"/>
          <w:tab w:val="left" w:pos="851"/>
          <w:tab w:val="left" w:pos="993"/>
        </w:tabs>
        <w:spacing w:after="0"/>
        <w:jc w:val="center"/>
        <w:rPr>
          <w:lang w:val="es-MX"/>
        </w:rPr>
      </w:pPr>
      <w:r w:rsidRPr="00305D32">
        <w:rPr>
          <w:noProof/>
          <w:lang w:val="es-MX" w:eastAsia="es-MX"/>
        </w:rPr>
        <w:drawing>
          <wp:inline distT="0" distB="0" distL="0" distR="0" wp14:anchorId="054C1F20" wp14:editId="656D17E0">
            <wp:extent cx="4572000" cy="2743200"/>
            <wp:effectExtent l="0" t="0" r="0" b="0"/>
            <wp:docPr id="1259900547" name="Gráfico 1">
              <a:extLst xmlns:a="http://schemas.openxmlformats.org/drawingml/2006/main">
                <a:ext uri="{FF2B5EF4-FFF2-40B4-BE49-F238E27FC236}">
                  <a16:creationId xmlns:a16="http://schemas.microsoft.com/office/drawing/2014/main" id="{667EAAD4-66AD-622D-0612-D6A3BB5C00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D08309F" w14:textId="15739452" w:rsidR="00AE57F0" w:rsidRPr="00305D32" w:rsidRDefault="00414F7C">
      <w:pPr>
        <w:spacing w:line="240" w:lineRule="auto"/>
        <w:jc w:val="center"/>
        <w:rPr>
          <w:sz w:val="20"/>
          <w:szCs w:val="20"/>
          <w:lang w:val="es-MX"/>
        </w:rPr>
      </w:pPr>
      <w:r w:rsidRPr="00305D32">
        <w:rPr>
          <w:color w:val="000000"/>
          <w:sz w:val="20"/>
          <w:szCs w:val="20"/>
          <w:lang w:val="es-MX"/>
        </w:rPr>
        <w:t>Fuente</w:t>
      </w:r>
      <w:r w:rsidRPr="00305D32">
        <w:rPr>
          <w:b/>
          <w:color w:val="000000"/>
          <w:sz w:val="20"/>
          <w:szCs w:val="20"/>
          <w:lang w:val="es-MX"/>
        </w:rPr>
        <w:t xml:space="preserve">: </w:t>
      </w:r>
      <w:r w:rsidRPr="00305D32">
        <w:rPr>
          <w:sz w:val="20"/>
          <w:szCs w:val="20"/>
          <w:lang w:val="es-MX"/>
        </w:rPr>
        <w:t>Elaboración de la Subsecretaría de Análisis Económico y Finanzas Públicas de la Secretaría de Finanzas y Planeación, con base en datos del Fondo Monetario Internacional (202</w:t>
      </w:r>
      <w:r w:rsidR="00947C84" w:rsidRPr="00305D32">
        <w:rPr>
          <w:sz w:val="20"/>
          <w:szCs w:val="20"/>
          <w:lang w:val="es-MX"/>
        </w:rPr>
        <w:t>5</w:t>
      </w:r>
      <w:r w:rsidRPr="00305D32">
        <w:rPr>
          <w:sz w:val="20"/>
          <w:szCs w:val="20"/>
          <w:lang w:val="es-MX"/>
        </w:rPr>
        <w:t>).</w:t>
      </w:r>
    </w:p>
    <w:p w14:paraId="35CA5388" w14:textId="77777777" w:rsidR="00233719" w:rsidRDefault="00233719">
      <w:pPr>
        <w:spacing w:line="240" w:lineRule="auto"/>
        <w:jc w:val="center"/>
        <w:rPr>
          <w:sz w:val="20"/>
          <w:szCs w:val="20"/>
          <w:lang w:val="es-MX"/>
        </w:rPr>
      </w:pPr>
    </w:p>
    <w:p w14:paraId="4D0830A0" w14:textId="77777777" w:rsidR="00AE57F0" w:rsidRPr="00305D32" w:rsidRDefault="00414F7C">
      <w:pPr>
        <w:pStyle w:val="Ttulo2"/>
        <w:numPr>
          <w:ilvl w:val="1"/>
          <w:numId w:val="5"/>
        </w:numPr>
        <w:rPr>
          <w:lang w:val="es-MX"/>
        </w:rPr>
      </w:pPr>
      <w:r w:rsidRPr="00305D32">
        <w:rPr>
          <w:lang w:val="es-MX"/>
        </w:rPr>
        <w:lastRenderedPageBreak/>
        <w:t>Comportamiento y perspectivas de la economía regional: América Latina y el Caribe</w:t>
      </w:r>
    </w:p>
    <w:p w14:paraId="5806DFD6" w14:textId="1444167A" w:rsidR="0026243A" w:rsidRDefault="00414F7C">
      <w:pPr>
        <w:rPr>
          <w:lang w:val="es-MX"/>
        </w:rPr>
      </w:pPr>
      <w:r w:rsidRPr="00305D32">
        <w:rPr>
          <w:lang w:val="es-MX"/>
        </w:rPr>
        <w:t>El crecimiento estimado para América Latina y el Caribe</w:t>
      </w:r>
      <w:r w:rsidR="00EA38F3">
        <w:rPr>
          <w:lang w:val="es-MX"/>
        </w:rPr>
        <w:t xml:space="preserve"> (</w:t>
      </w:r>
      <w:r w:rsidR="00581865">
        <w:rPr>
          <w:lang w:val="es-MX"/>
        </w:rPr>
        <w:t>ALC)</w:t>
      </w:r>
      <w:r w:rsidRPr="00305D32">
        <w:rPr>
          <w:lang w:val="es-MX"/>
        </w:rPr>
        <w:t xml:space="preserve"> en 202</w:t>
      </w:r>
      <w:r w:rsidR="00167CD3" w:rsidRPr="00305D32">
        <w:rPr>
          <w:lang w:val="es-MX"/>
        </w:rPr>
        <w:t>5</w:t>
      </w:r>
      <w:r w:rsidRPr="00305D32">
        <w:rPr>
          <w:lang w:val="es-MX"/>
        </w:rPr>
        <w:t xml:space="preserve"> es de </w:t>
      </w:r>
      <w:r w:rsidR="00A17016" w:rsidRPr="00305D32">
        <w:rPr>
          <w:lang w:val="es-MX"/>
        </w:rPr>
        <w:t>2.3</w:t>
      </w:r>
      <w:r w:rsidR="0019290E">
        <w:rPr>
          <w:lang w:val="es-MX"/>
        </w:rPr>
        <w:t xml:space="preserve"> %</w:t>
      </w:r>
      <w:r w:rsidRPr="00305D32">
        <w:rPr>
          <w:lang w:val="es-MX"/>
        </w:rPr>
        <w:t xml:space="preserve">, como se observa en la </w:t>
      </w:r>
      <w:r w:rsidR="00233719" w:rsidRPr="00305D32">
        <w:rPr>
          <w:lang w:val="es-MX"/>
        </w:rPr>
        <w:fldChar w:fldCharType="begin"/>
      </w:r>
      <w:r w:rsidR="00233719" w:rsidRPr="00305D32">
        <w:rPr>
          <w:lang w:val="es-MX"/>
        </w:rPr>
        <w:instrText xml:space="preserve"> REF _Ref210210747 \h </w:instrText>
      </w:r>
      <w:r w:rsidR="00233719" w:rsidRPr="00305D32">
        <w:rPr>
          <w:lang w:val="es-MX"/>
        </w:rPr>
      </w:r>
      <w:r w:rsidR="00233719" w:rsidRPr="00305D32">
        <w:rPr>
          <w:lang w:val="es-MX"/>
        </w:rPr>
        <w:fldChar w:fldCharType="separate"/>
      </w:r>
      <w:r w:rsidR="00ED1F2F" w:rsidRPr="00305D32">
        <w:rPr>
          <w:lang w:val="es-MX"/>
        </w:rPr>
        <w:t xml:space="preserve">Tabla </w:t>
      </w:r>
      <w:r w:rsidR="00ED1F2F">
        <w:rPr>
          <w:noProof/>
          <w:lang w:val="es-MX"/>
        </w:rPr>
        <w:t>1</w:t>
      </w:r>
      <w:r w:rsidR="00233719" w:rsidRPr="00305D32">
        <w:rPr>
          <w:lang w:val="es-MX"/>
        </w:rPr>
        <w:fldChar w:fldCharType="end"/>
      </w:r>
      <w:r w:rsidR="000D713E">
        <w:rPr>
          <w:lang w:val="es-MX"/>
        </w:rPr>
        <w:t>.</w:t>
      </w:r>
      <w:r w:rsidRPr="00305D32">
        <w:rPr>
          <w:lang w:val="es-MX"/>
        </w:rPr>
        <w:t xml:space="preserve"> </w:t>
      </w:r>
      <w:r w:rsidR="000D713E">
        <w:rPr>
          <w:lang w:val="es-MX"/>
        </w:rPr>
        <w:t>E</w:t>
      </w:r>
      <w:r w:rsidRPr="00305D32">
        <w:rPr>
          <w:lang w:val="es-MX"/>
        </w:rPr>
        <w:t>ntre los países con mayor crecimiento esperado durante 202</w:t>
      </w:r>
      <w:r w:rsidR="00A17016" w:rsidRPr="00305D32">
        <w:rPr>
          <w:lang w:val="es-MX"/>
        </w:rPr>
        <w:t>5</w:t>
      </w:r>
      <w:r w:rsidRPr="00305D32">
        <w:rPr>
          <w:lang w:val="es-MX"/>
        </w:rPr>
        <w:t xml:space="preserve"> son</w:t>
      </w:r>
      <w:r w:rsidR="004F66EB" w:rsidRPr="00305D32">
        <w:rPr>
          <w:lang w:val="es-MX"/>
        </w:rPr>
        <w:t>:</w:t>
      </w:r>
      <w:r w:rsidR="002208A2" w:rsidRPr="00305D32">
        <w:rPr>
          <w:lang w:val="es-MX"/>
        </w:rPr>
        <w:t xml:space="preserve"> Guyana</w:t>
      </w:r>
      <w:r w:rsidR="00E9141D" w:rsidRPr="00305D32">
        <w:rPr>
          <w:lang w:val="es-MX"/>
        </w:rPr>
        <w:t xml:space="preserve"> </w:t>
      </w:r>
      <w:r w:rsidRPr="00305D32">
        <w:rPr>
          <w:lang w:val="es-MX"/>
        </w:rPr>
        <w:t>(</w:t>
      </w:r>
      <w:r w:rsidR="00E9141D" w:rsidRPr="00305D32">
        <w:rPr>
          <w:lang w:val="es-MX"/>
        </w:rPr>
        <w:t>10</w:t>
      </w:r>
      <w:r w:rsidR="006777FA">
        <w:rPr>
          <w:lang w:val="es-MX"/>
        </w:rPr>
        <w:t>.0</w:t>
      </w:r>
      <w:r w:rsidR="0019290E">
        <w:rPr>
          <w:lang w:val="es-MX"/>
        </w:rPr>
        <w:t xml:space="preserve"> %</w:t>
      </w:r>
      <w:r w:rsidRPr="00305D32">
        <w:rPr>
          <w:lang w:val="es-MX"/>
        </w:rPr>
        <w:t>),</w:t>
      </w:r>
      <w:r w:rsidR="00E9141D" w:rsidRPr="00305D32">
        <w:rPr>
          <w:lang w:val="es-MX"/>
        </w:rPr>
        <w:t xml:space="preserve"> Argentina</w:t>
      </w:r>
      <w:r w:rsidRPr="00305D32">
        <w:rPr>
          <w:lang w:val="es-MX"/>
        </w:rPr>
        <w:t xml:space="preserve"> (5.</w:t>
      </w:r>
      <w:r w:rsidR="00E9141D" w:rsidRPr="00305D32">
        <w:rPr>
          <w:lang w:val="es-MX"/>
        </w:rPr>
        <w:t>5</w:t>
      </w:r>
      <w:r w:rsidR="0019290E">
        <w:rPr>
          <w:lang w:val="es-MX"/>
        </w:rPr>
        <w:t xml:space="preserve"> %</w:t>
      </w:r>
      <w:r w:rsidRPr="00305D32">
        <w:rPr>
          <w:lang w:val="es-MX"/>
        </w:rPr>
        <w:t xml:space="preserve">) y San Vicente y las </w:t>
      </w:r>
      <w:r w:rsidR="00E9141D" w:rsidRPr="00305D32">
        <w:rPr>
          <w:lang w:val="es-MX"/>
        </w:rPr>
        <w:t>Granadinas</w:t>
      </w:r>
      <w:r w:rsidRPr="00305D32">
        <w:rPr>
          <w:lang w:val="es-MX"/>
        </w:rPr>
        <w:t xml:space="preserve"> (4.</w:t>
      </w:r>
      <w:r w:rsidR="00B7403F" w:rsidRPr="00305D32">
        <w:rPr>
          <w:lang w:val="es-MX"/>
        </w:rPr>
        <w:t>9</w:t>
      </w:r>
      <w:r w:rsidR="0019290E">
        <w:rPr>
          <w:lang w:val="es-MX"/>
        </w:rPr>
        <w:t xml:space="preserve"> %</w:t>
      </w:r>
      <w:r w:rsidRPr="00305D32">
        <w:rPr>
          <w:lang w:val="es-MX"/>
        </w:rPr>
        <w:t>). México por su parte</w:t>
      </w:r>
      <w:r w:rsidR="009A3846">
        <w:rPr>
          <w:lang w:val="es-MX"/>
        </w:rPr>
        <w:t>,</w:t>
      </w:r>
      <w:r w:rsidRPr="00305D32">
        <w:rPr>
          <w:lang w:val="es-MX"/>
        </w:rPr>
        <w:t xml:space="preserve"> ocupa el lugar 2</w:t>
      </w:r>
      <w:r w:rsidR="004842F3" w:rsidRPr="00305D32">
        <w:rPr>
          <w:lang w:val="es-MX"/>
        </w:rPr>
        <w:t>8</w:t>
      </w:r>
      <w:r w:rsidRPr="00305D32">
        <w:rPr>
          <w:lang w:val="es-MX"/>
        </w:rPr>
        <w:t xml:space="preserve"> en crecimiento del PIB real en 202</w:t>
      </w:r>
      <w:r w:rsidR="004842F3" w:rsidRPr="00305D32">
        <w:rPr>
          <w:lang w:val="es-MX"/>
        </w:rPr>
        <w:t>5</w:t>
      </w:r>
      <w:r w:rsidRPr="00305D32">
        <w:rPr>
          <w:lang w:val="es-MX"/>
        </w:rPr>
        <w:t xml:space="preserve"> entre los </w:t>
      </w:r>
      <w:r w:rsidR="00585A09" w:rsidRPr="00305D32">
        <w:rPr>
          <w:lang w:val="es-MX"/>
        </w:rPr>
        <w:t>29</w:t>
      </w:r>
      <w:r w:rsidRPr="00305D32">
        <w:rPr>
          <w:lang w:val="es-MX"/>
        </w:rPr>
        <w:t xml:space="preserve"> países de </w:t>
      </w:r>
      <w:r w:rsidR="00EA5889">
        <w:rPr>
          <w:lang w:val="es-MX"/>
        </w:rPr>
        <w:t>ALC</w:t>
      </w:r>
      <w:r w:rsidRPr="00305D32">
        <w:rPr>
          <w:lang w:val="es-MX"/>
        </w:rPr>
        <w:t>.</w:t>
      </w:r>
      <w:bookmarkStart w:id="12" w:name="_heading=h.3q5sasy" w:colFirst="0" w:colLast="0"/>
      <w:bookmarkEnd w:id="12"/>
    </w:p>
    <w:p w14:paraId="7514DCD1" w14:textId="77777777" w:rsidR="005D77A5" w:rsidRDefault="003A0420" w:rsidP="003A0420">
      <w:pPr>
        <w:rPr>
          <w:lang w:val="es-MX"/>
        </w:rPr>
      </w:pPr>
      <w:r w:rsidRPr="00305D32">
        <w:rPr>
          <w:lang w:val="es-MX"/>
        </w:rPr>
        <w:t xml:space="preserve">El dinamismo económico </w:t>
      </w:r>
      <w:r w:rsidR="00F4184C">
        <w:rPr>
          <w:lang w:val="es-MX"/>
        </w:rPr>
        <w:t>de</w:t>
      </w:r>
      <w:r w:rsidRPr="00305D32">
        <w:rPr>
          <w:lang w:val="es-MX"/>
        </w:rPr>
        <w:t xml:space="preserve"> los países de </w:t>
      </w:r>
      <w:r w:rsidR="00005EF7">
        <w:rPr>
          <w:lang w:val="es-MX"/>
        </w:rPr>
        <w:t xml:space="preserve">la región de </w:t>
      </w:r>
      <w:r w:rsidRPr="00305D32">
        <w:rPr>
          <w:lang w:val="es-MX"/>
        </w:rPr>
        <w:t xml:space="preserve">ALC se ha visto afectado por las barreras comerciales y el </w:t>
      </w:r>
      <w:r w:rsidR="00DA2A6E">
        <w:rPr>
          <w:lang w:val="es-MX"/>
        </w:rPr>
        <w:t xml:space="preserve">aumento del </w:t>
      </w:r>
      <w:r w:rsidRPr="00305D32">
        <w:rPr>
          <w:lang w:val="es-MX"/>
        </w:rPr>
        <w:t xml:space="preserve">proteccionismo a nivel internacional. Las políticas arancelarias </w:t>
      </w:r>
      <w:r w:rsidR="000D2877">
        <w:rPr>
          <w:lang w:val="es-MX"/>
        </w:rPr>
        <w:t xml:space="preserve">implementadas </w:t>
      </w:r>
      <w:r w:rsidRPr="00305D32">
        <w:rPr>
          <w:lang w:val="es-MX"/>
        </w:rPr>
        <w:t xml:space="preserve">por Estados Unidos </w:t>
      </w:r>
      <w:r w:rsidR="005D77A5" w:rsidRPr="005D77A5">
        <w:rPr>
          <w:lang w:val="es-MX"/>
        </w:rPr>
        <w:t>impactan directamente a economías como México, Chile, Ecuador, Brasil, Perú y Jamaica, lo que podría llevar a una disminución de sus exportaciones.</w:t>
      </w:r>
    </w:p>
    <w:p w14:paraId="58B7D445" w14:textId="17F68491" w:rsidR="003A0420" w:rsidRPr="00305D32" w:rsidRDefault="003A0420" w:rsidP="003A0420">
      <w:pPr>
        <w:rPr>
          <w:lang w:val="es-MX"/>
        </w:rPr>
      </w:pPr>
      <w:r w:rsidRPr="00305D32">
        <w:rPr>
          <w:lang w:val="es-MX"/>
        </w:rPr>
        <w:t xml:space="preserve">Dado que México, Centroamérica y el Caribe se encuentran estrechamente vinculados con Estados Unidos </w:t>
      </w:r>
      <w:r w:rsidR="00335AAE">
        <w:rPr>
          <w:lang w:val="es-MX"/>
        </w:rPr>
        <w:t>a través d</w:t>
      </w:r>
      <w:r w:rsidRPr="00305D32">
        <w:rPr>
          <w:lang w:val="es-MX"/>
        </w:rPr>
        <w:t xml:space="preserve">el comercio, la inversión, las remesas y </w:t>
      </w:r>
      <w:r w:rsidR="00CE55B2">
        <w:rPr>
          <w:lang w:val="es-MX"/>
        </w:rPr>
        <w:t>los flujos</w:t>
      </w:r>
      <w:r w:rsidRPr="00305D32">
        <w:rPr>
          <w:lang w:val="es-MX"/>
        </w:rPr>
        <w:t xml:space="preserve"> financieros</w:t>
      </w:r>
      <w:r w:rsidR="00F07194">
        <w:rPr>
          <w:lang w:val="es-MX"/>
        </w:rPr>
        <w:t>,</w:t>
      </w:r>
      <w:r w:rsidRPr="00305D32">
        <w:rPr>
          <w:lang w:val="es-MX"/>
        </w:rPr>
        <w:t xml:space="preserve"> toda la región </w:t>
      </w:r>
      <w:r w:rsidR="007E58EC">
        <w:rPr>
          <w:lang w:val="es-MX"/>
        </w:rPr>
        <w:t>podría verse</w:t>
      </w:r>
      <w:r w:rsidRPr="00305D32">
        <w:rPr>
          <w:lang w:val="es-MX"/>
        </w:rPr>
        <w:t xml:space="preserve"> altamente afectada por los aranceles impuestos por </w:t>
      </w:r>
      <w:r w:rsidR="00EE1A61">
        <w:rPr>
          <w:lang w:val="es-MX"/>
        </w:rPr>
        <w:t>dicho</w:t>
      </w:r>
      <w:r w:rsidRPr="00305D32">
        <w:rPr>
          <w:lang w:val="es-MX"/>
        </w:rPr>
        <w:t xml:space="preserve"> país. </w:t>
      </w:r>
    </w:p>
    <w:p w14:paraId="4D0830A2" w14:textId="2064FD35" w:rsidR="00AE57F0" w:rsidRPr="00305D32" w:rsidRDefault="00233719" w:rsidP="00233719">
      <w:pPr>
        <w:pStyle w:val="Descripcin"/>
        <w:jc w:val="center"/>
        <w:rPr>
          <w:b w:val="0"/>
          <w:lang w:val="es-MX"/>
        </w:rPr>
      </w:pPr>
      <w:bookmarkStart w:id="13" w:name="_Ref210210747"/>
      <w:r w:rsidRPr="00305D32">
        <w:rPr>
          <w:lang w:val="es-MX"/>
        </w:rPr>
        <w:t xml:space="preserve">Tabla </w:t>
      </w:r>
      <w:r w:rsidRPr="00305D32">
        <w:rPr>
          <w:lang w:val="es-MX"/>
        </w:rPr>
        <w:fldChar w:fldCharType="begin"/>
      </w:r>
      <w:r w:rsidRPr="00305D32">
        <w:rPr>
          <w:lang w:val="es-MX"/>
        </w:rPr>
        <w:instrText xml:space="preserve"> SEQ Tabla \* ARABIC </w:instrText>
      </w:r>
      <w:r w:rsidRPr="00305D32">
        <w:rPr>
          <w:lang w:val="es-MX"/>
        </w:rPr>
        <w:fldChar w:fldCharType="separate"/>
      </w:r>
      <w:r w:rsidR="00ED1F2F">
        <w:rPr>
          <w:noProof/>
          <w:lang w:val="es-MX"/>
        </w:rPr>
        <w:t>1</w:t>
      </w:r>
      <w:r w:rsidRPr="00305D32">
        <w:rPr>
          <w:lang w:val="es-MX"/>
        </w:rPr>
        <w:fldChar w:fldCharType="end"/>
      </w:r>
      <w:bookmarkEnd w:id="13"/>
      <w:r w:rsidR="00414F7C" w:rsidRPr="00305D32">
        <w:rPr>
          <w:lang w:val="es-MX"/>
        </w:rPr>
        <w:t>. Pronósticos de crecimiento del PIB real de los países de América Latina y el Caribe, 202</w:t>
      </w:r>
      <w:r w:rsidR="00AF6F39" w:rsidRPr="00305D32">
        <w:rPr>
          <w:lang w:val="es-MX"/>
        </w:rPr>
        <w:t>2</w:t>
      </w:r>
      <w:r w:rsidR="00414F7C" w:rsidRPr="00305D32">
        <w:rPr>
          <w:lang w:val="es-MX"/>
        </w:rPr>
        <w:t>-202</w:t>
      </w:r>
      <w:r w:rsidR="00AF6F39" w:rsidRPr="00305D32">
        <w:rPr>
          <w:lang w:val="es-MX"/>
        </w:rPr>
        <w:t>7</w:t>
      </w:r>
    </w:p>
    <w:tbl>
      <w:tblPr>
        <w:tblW w:w="5000" w:type="pct"/>
        <w:tblCellMar>
          <w:left w:w="70" w:type="dxa"/>
          <w:right w:w="70" w:type="dxa"/>
        </w:tblCellMar>
        <w:tblLook w:val="04A0" w:firstRow="1" w:lastRow="0" w:firstColumn="1" w:lastColumn="0" w:noHBand="0" w:noVBand="1"/>
      </w:tblPr>
      <w:tblGrid>
        <w:gridCol w:w="4139"/>
        <w:gridCol w:w="791"/>
        <w:gridCol w:w="791"/>
        <w:gridCol w:w="941"/>
        <w:gridCol w:w="867"/>
        <w:gridCol w:w="867"/>
        <w:gridCol w:w="865"/>
      </w:tblGrid>
      <w:tr w:rsidR="00B20A92" w:rsidRPr="005E33FF" w14:paraId="5DFA2B01" w14:textId="77777777" w:rsidTr="002D1EA9">
        <w:trPr>
          <w:trHeight w:val="285"/>
          <w:tblHeader/>
        </w:trPr>
        <w:tc>
          <w:tcPr>
            <w:tcW w:w="2235" w:type="pct"/>
            <w:tcBorders>
              <w:top w:val="single" w:sz="4" w:space="0" w:color="auto"/>
              <w:left w:val="single" w:sz="4" w:space="0" w:color="auto"/>
              <w:bottom w:val="single" w:sz="4" w:space="0" w:color="auto"/>
              <w:right w:val="single" w:sz="4" w:space="0" w:color="auto"/>
            </w:tcBorders>
            <w:noWrap/>
            <w:vAlign w:val="bottom"/>
            <w:hideMark/>
          </w:tcPr>
          <w:p w14:paraId="1F07D6F5" w14:textId="77777777" w:rsidR="00186B19" w:rsidRPr="005E33FF" w:rsidRDefault="00186B19" w:rsidP="002D1EA9">
            <w:pPr>
              <w:spacing w:after="0" w:line="240" w:lineRule="auto"/>
              <w:jc w:val="left"/>
              <w:rPr>
                <w:rFonts w:eastAsia="Times New Roman"/>
                <w:b/>
                <w:bCs/>
                <w:color w:val="000000"/>
                <w:sz w:val="20"/>
                <w:szCs w:val="20"/>
                <w:lang w:val="es-MX" w:eastAsia="es-MX"/>
              </w:rPr>
            </w:pPr>
            <w:r w:rsidRPr="005E33FF">
              <w:rPr>
                <w:rFonts w:eastAsia="Times New Roman"/>
                <w:b/>
                <w:bCs/>
                <w:color w:val="000000"/>
                <w:sz w:val="20"/>
                <w:szCs w:val="20"/>
                <w:lang w:val="es-MX" w:eastAsia="es-MX"/>
              </w:rPr>
              <w:t>País</w:t>
            </w:r>
          </w:p>
        </w:tc>
        <w:tc>
          <w:tcPr>
            <w:tcW w:w="427" w:type="pct"/>
            <w:tcBorders>
              <w:top w:val="single" w:sz="4" w:space="0" w:color="auto"/>
              <w:left w:val="nil"/>
              <w:bottom w:val="single" w:sz="4" w:space="0" w:color="auto"/>
              <w:right w:val="single" w:sz="4" w:space="0" w:color="auto"/>
            </w:tcBorders>
            <w:noWrap/>
            <w:vAlign w:val="bottom"/>
            <w:hideMark/>
          </w:tcPr>
          <w:p w14:paraId="0ACE4182" w14:textId="77777777" w:rsidR="00186B19" w:rsidRPr="005E33FF" w:rsidRDefault="00186B19" w:rsidP="002D1EA9">
            <w:pPr>
              <w:spacing w:after="0" w:line="240" w:lineRule="auto"/>
              <w:jc w:val="right"/>
              <w:rPr>
                <w:rFonts w:eastAsia="Times New Roman"/>
                <w:b/>
                <w:bCs/>
                <w:color w:val="000000"/>
                <w:sz w:val="20"/>
                <w:szCs w:val="20"/>
                <w:lang w:val="es-MX" w:eastAsia="es-MX"/>
              </w:rPr>
            </w:pPr>
            <w:r w:rsidRPr="005E33FF">
              <w:rPr>
                <w:rFonts w:eastAsia="Times New Roman"/>
                <w:b/>
                <w:bCs/>
                <w:color w:val="000000"/>
                <w:sz w:val="20"/>
                <w:szCs w:val="20"/>
                <w:lang w:val="es-MX" w:eastAsia="es-MX"/>
              </w:rPr>
              <w:t>2022</w:t>
            </w:r>
          </w:p>
        </w:tc>
        <w:tc>
          <w:tcPr>
            <w:tcW w:w="427" w:type="pct"/>
            <w:tcBorders>
              <w:top w:val="single" w:sz="4" w:space="0" w:color="auto"/>
              <w:left w:val="nil"/>
              <w:bottom w:val="single" w:sz="4" w:space="0" w:color="auto"/>
              <w:right w:val="single" w:sz="4" w:space="0" w:color="auto"/>
            </w:tcBorders>
            <w:noWrap/>
            <w:vAlign w:val="bottom"/>
            <w:hideMark/>
          </w:tcPr>
          <w:p w14:paraId="25B3DD2A" w14:textId="77777777" w:rsidR="00186B19" w:rsidRPr="005E33FF" w:rsidRDefault="00186B19" w:rsidP="002D1EA9">
            <w:pPr>
              <w:spacing w:after="0" w:line="240" w:lineRule="auto"/>
              <w:jc w:val="right"/>
              <w:rPr>
                <w:rFonts w:eastAsia="Times New Roman"/>
                <w:b/>
                <w:bCs/>
                <w:color w:val="000000"/>
                <w:sz w:val="20"/>
                <w:szCs w:val="20"/>
                <w:lang w:val="es-MX" w:eastAsia="es-MX"/>
              </w:rPr>
            </w:pPr>
            <w:r w:rsidRPr="005E33FF">
              <w:rPr>
                <w:rFonts w:eastAsia="Times New Roman"/>
                <w:b/>
                <w:bCs/>
                <w:color w:val="000000"/>
                <w:sz w:val="20"/>
                <w:szCs w:val="20"/>
                <w:lang w:val="es-MX" w:eastAsia="es-MX"/>
              </w:rPr>
              <w:t>2023</w:t>
            </w:r>
          </w:p>
        </w:tc>
        <w:tc>
          <w:tcPr>
            <w:tcW w:w="508" w:type="pct"/>
            <w:tcBorders>
              <w:top w:val="single" w:sz="4" w:space="0" w:color="auto"/>
              <w:left w:val="nil"/>
              <w:bottom w:val="single" w:sz="4" w:space="0" w:color="auto"/>
              <w:right w:val="single" w:sz="4" w:space="0" w:color="auto"/>
            </w:tcBorders>
            <w:noWrap/>
            <w:vAlign w:val="bottom"/>
            <w:hideMark/>
          </w:tcPr>
          <w:p w14:paraId="00384BEF" w14:textId="77777777" w:rsidR="00186B19" w:rsidRPr="005E33FF" w:rsidRDefault="00186B19" w:rsidP="002D1EA9">
            <w:pPr>
              <w:spacing w:after="0" w:line="240" w:lineRule="auto"/>
              <w:jc w:val="left"/>
              <w:rPr>
                <w:rFonts w:eastAsia="Times New Roman"/>
                <w:b/>
                <w:bCs/>
                <w:color w:val="000000"/>
                <w:sz w:val="20"/>
                <w:szCs w:val="20"/>
                <w:lang w:val="es-MX" w:eastAsia="es-MX"/>
              </w:rPr>
            </w:pPr>
            <w:r w:rsidRPr="005E33FF">
              <w:rPr>
                <w:rFonts w:eastAsia="Times New Roman"/>
                <w:b/>
                <w:bCs/>
                <w:color w:val="000000"/>
                <w:sz w:val="20"/>
                <w:szCs w:val="20"/>
                <w:lang w:val="es-MX" w:eastAsia="es-MX"/>
              </w:rPr>
              <w:t>2024e</w:t>
            </w:r>
          </w:p>
        </w:tc>
        <w:tc>
          <w:tcPr>
            <w:tcW w:w="468" w:type="pct"/>
            <w:tcBorders>
              <w:top w:val="single" w:sz="4" w:space="0" w:color="auto"/>
              <w:left w:val="nil"/>
              <w:bottom w:val="single" w:sz="4" w:space="0" w:color="auto"/>
              <w:right w:val="single" w:sz="4" w:space="0" w:color="auto"/>
            </w:tcBorders>
            <w:noWrap/>
            <w:vAlign w:val="bottom"/>
            <w:hideMark/>
          </w:tcPr>
          <w:p w14:paraId="0AC5C1BB" w14:textId="77777777" w:rsidR="00186B19" w:rsidRPr="005E33FF" w:rsidRDefault="00186B19" w:rsidP="002D1EA9">
            <w:pPr>
              <w:spacing w:after="0" w:line="240" w:lineRule="auto"/>
              <w:jc w:val="left"/>
              <w:rPr>
                <w:rFonts w:eastAsia="Times New Roman"/>
                <w:b/>
                <w:bCs/>
                <w:color w:val="000000"/>
                <w:sz w:val="20"/>
                <w:szCs w:val="20"/>
                <w:lang w:val="es-MX" w:eastAsia="es-MX"/>
              </w:rPr>
            </w:pPr>
            <w:r w:rsidRPr="005E33FF">
              <w:rPr>
                <w:rFonts w:eastAsia="Times New Roman"/>
                <w:b/>
                <w:bCs/>
                <w:color w:val="000000"/>
                <w:sz w:val="20"/>
                <w:szCs w:val="20"/>
                <w:lang w:val="es-MX" w:eastAsia="es-MX"/>
              </w:rPr>
              <w:t>2025f</w:t>
            </w:r>
          </w:p>
        </w:tc>
        <w:tc>
          <w:tcPr>
            <w:tcW w:w="468" w:type="pct"/>
            <w:tcBorders>
              <w:top w:val="single" w:sz="4" w:space="0" w:color="auto"/>
              <w:left w:val="nil"/>
              <w:bottom w:val="single" w:sz="4" w:space="0" w:color="auto"/>
              <w:right w:val="single" w:sz="4" w:space="0" w:color="auto"/>
            </w:tcBorders>
            <w:noWrap/>
            <w:vAlign w:val="bottom"/>
            <w:hideMark/>
          </w:tcPr>
          <w:p w14:paraId="5FA5D55C" w14:textId="77777777" w:rsidR="00186B19" w:rsidRPr="005E33FF" w:rsidRDefault="00186B19" w:rsidP="002D1EA9">
            <w:pPr>
              <w:spacing w:after="0" w:line="240" w:lineRule="auto"/>
              <w:jc w:val="left"/>
              <w:rPr>
                <w:rFonts w:eastAsia="Times New Roman"/>
                <w:b/>
                <w:bCs/>
                <w:color w:val="000000"/>
                <w:sz w:val="20"/>
                <w:szCs w:val="20"/>
                <w:lang w:val="es-MX" w:eastAsia="es-MX"/>
              </w:rPr>
            </w:pPr>
            <w:r w:rsidRPr="005E33FF">
              <w:rPr>
                <w:rFonts w:eastAsia="Times New Roman"/>
                <w:b/>
                <w:bCs/>
                <w:color w:val="000000"/>
                <w:sz w:val="20"/>
                <w:szCs w:val="20"/>
                <w:lang w:val="es-MX" w:eastAsia="es-MX"/>
              </w:rPr>
              <w:t>2026f</w:t>
            </w:r>
          </w:p>
        </w:tc>
        <w:tc>
          <w:tcPr>
            <w:tcW w:w="468" w:type="pct"/>
            <w:tcBorders>
              <w:top w:val="single" w:sz="4" w:space="0" w:color="auto"/>
              <w:left w:val="nil"/>
              <w:bottom w:val="single" w:sz="4" w:space="0" w:color="auto"/>
              <w:right w:val="single" w:sz="4" w:space="0" w:color="auto"/>
            </w:tcBorders>
            <w:noWrap/>
            <w:vAlign w:val="bottom"/>
            <w:hideMark/>
          </w:tcPr>
          <w:p w14:paraId="77F71C00" w14:textId="77777777" w:rsidR="00186B19" w:rsidRPr="005E33FF" w:rsidRDefault="00186B19" w:rsidP="002D1EA9">
            <w:pPr>
              <w:spacing w:after="0" w:line="240" w:lineRule="auto"/>
              <w:jc w:val="left"/>
              <w:rPr>
                <w:rFonts w:eastAsia="Times New Roman"/>
                <w:b/>
                <w:bCs/>
                <w:color w:val="000000"/>
                <w:sz w:val="20"/>
                <w:szCs w:val="20"/>
                <w:lang w:val="es-MX" w:eastAsia="es-MX"/>
              </w:rPr>
            </w:pPr>
            <w:r w:rsidRPr="005E33FF">
              <w:rPr>
                <w:rFonts w:eastAsia="Times New Roman"/>
                <w:b/>
                <w:bCs/>
                <w:color w:val="000000"/>
                <w:sz w:val="20"/>
                <w:szCs w:val="20"/>
                <w:lang w:val="es-MX" w:eastAsia="es-MX"/>
              </w:rPr>
              <w:t>2027f</w:t>
            </w:r>
          </w:p>
        </w:tc>
      </w:tr>
      <w:tr w:rsidR="00B20A92" w:rsidRPr="00305D32" w14:paraId="13A298A8"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61509AB4"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América Latina y el Caribe (LAC)</w:t>
            </w:r>
          </w:p>
        </w:tc>
        <w:tc>
          <w:tcPr>
            <w:tcW w:w="427" w:type="pct"/>
            <w:tcBorders>
              <w:top w:val="nil"/>
              <w:left w:val="nil"/>
              <w:bottom w:val="single" w:sz="4" w:space="0" w:color="auto"/>
              <w:right w:val="single" w:sz="4" w:space="0" w:color="auto"/>
            </w:tcBorders>
            <w:noWrap/>
            <w:vAlign w:val="bottom"/>
            <w:hideMark/>
          </w:tcPr>
          <w:p w14:paraId="6C4BE752"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4</w:t>
            </w:r>
          </w:p>
        </w:tc>
        <w:tc>
          <w:tcPr>
            <w:tcW w:w="427" w:type="pct"/>
            <w:tcBorders>
              <w:top w:val="nil"/>
              <w:left w:val="nil"/>
              <w:bottom w:val="single" w:sz="4" w:space="0" w:color="auto"/>
              <w:right w:val="single" w:sz="4" w:space="0" w:color="auto"/>
            </w:tcBorders>
            <w:noWrap/>
            <w:vAlign w:val="bottom"/>
            <w:hideMark/>
          </w:tcPr>
          <w:p w14:paraId="36F61F43"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2.4</w:t>
            </w:r>
          </w:p>
        </w:tc>
        <w:tc>
          <w:tcPr>
            <w:tcW w:w="508" w:type="pct"/>
            <w:tcBorders>
              <w:top w:val="nil"/>
              <w:left w:val="nil"/>
              <w:bottom w:val="single" w:sz="4" w:space="0" w:color="auto"/>
              <w:right w:val="single" w:sz="4" w:space="0" w:color="auto"/>
            </w:tcBorders>
            <w:noWrap/>
            <w:vAlign w:val="bottom"/>
            <w:hideMark/>
          </w:tcPr>
          <w:p w14:paraId="1B1A2B87"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2.3</w:t>
            </w:r>
          </w:p>
        </w:tc>
        <w:tc>
          <w:tcPr>
            <w:tcW w:w="468" w:type="pct"/>
            <w:tcBorders>
              <w:top w:val="nil"/>
              <w:left w:val="nil"/>
              <w:bottom w:val="single" w:sz="4" w:space="0" w:color="auto"/>
              <w:right w:val="single" w:sz="4" w:space="0" w:color="auto"/>
            </w:tcBorders>
            <w:noWrap/>
            <w:vAlign w:val="bottom"/>
            <w:hideMark/>
          </w:tcPr>
          <w:p w14:paraId="560499E1"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2.3</w:t>
            </w:r>
          </w:p>
        </w:tc>
        <w:tc>
          <w:tcPr>
            <w:tcW w:w="468" w:type="pct"/>
            <w:tcBorders>
              <w:top w:val="nil"/>
              <w:left w:val="nil"/>
              <w:bottom w:val="single" w:sz="4" w:space="0" w:color="auto"/>
              <w:right w:val="single" w:sz="4" w:space="0" w:color="auto"/>
            </w:tcBorders>
            <w:noWrap/>
            <w:vAlign w:val="bottom"/>
            <w:hideMark/>
          </w:tcPr>
          <w:p w14:paraId="099043A7"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2.4</w:t>
            </w:r>
          </w:p>
        </w:tc>
        <w:tc>
          <w:tcPr>
            <w:tcW w:w="468" w:type="pct"/>
            <w:tcBorders>
              <w:top w:val="nil"/>
              <w:left w:val="nil"/>
              <w:bottom w:val="single" w:sz="4" w:space="0" w:color="auto"/>
              <w:right w:val="single" w:sz="4" w:space="0" w:color="auto"/>
            </w:tcBorders>
            <w:noWrap/>
            <w:vAlign w:val="bottom"/>
            <w:hideMark/>
          </w:tcPr>
          <w:p w14:paraId="7E801B41"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2.6</w:t>
            </w:r>
          </w:p>
        </w:tc>
      </w:tr>
      <w:tr w:rsidR="00B20A92" w:rsidRPr="00305D32" w14:paraId="0CC50438"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5FC72B3D"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Argentina</w:t>
            </w:r>
          </w:p>
        </w:tc>
        <w:tc>
          <w:tcPr>
            <w:tcW w:w="427" w:type="pct"/>
            <w:tcBorders>
              <w:top w:val="nil"/>
              <w:left w:val="nil"/>
              <w:bottom w:val="single" w:sz="4" w:space="0" w:color="auto"/>
              <w:right w:val="single" w:sz="4" w:space="0" w:color="auto"/>
            </w:tcBorders>
            <w:noWrap/>
            <w:vAlign w:val="bottom"/>
            <w:hideMark/>
          </w:tcPr>
          <w:p w14:paraId="76D2A490"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5.3</w:t>
            </w:r>
          </w:p>
        </w:tc>
        <w:tc>
          <w:tcPr>
            <w:tcW w:w="427" w:type="pct"/>
            <w:tcBorders>
              <w:top w:val="nil"/>
              <w:left w:val="nil"/>
              <w:bottom w:val="single" w:sz="4" w:space="0" w:color="auto"/>
              <w:right w:val="single" w:sz="4" w:space="0" w:color="auto"/>
            </w:tcBorders>
            <w:noWrap/>
            <w:vAlign w:val="bottom"/>
            <w:hideMark/>
          </w:tcPr>
          <w:p w14:paraId="0A002D9D"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-1.6</w:t>
            </w:r>
          </w:p>
        </w:tc>
        <w:tc>
          <w:tcPr>
            <w:tcW w:w="508" w:type="pct"/>
            <w:tcBorders>
              <w:top w:val="nil"/>
              <w:left w:val="nil"/>
              <w:bottom w:val="single" w:sz="4" w:space="0" w:color="auto"/>
              <w:right w:val="single" w:sz="4" w:space="0" w:color="auto"/>
            </w:tcBorders>
            <w:noWrap/>
            <w:vAlign w:val="bottom"/>
            <w:hideMark/>
          </w:tcPr>
          <w:p w14:paraId="43E298E8"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-1.8</w:t>
            </w:r>
          </w:p>
        </w:tc>
        <w:tc>
          <w:tcPr>
            <w:tcW w:w="468" w:type="pct"/>
            <w:tcBorders>
              <w:top w:val="nil"/>
              <w:left w:val="nil"/>
              <w:bottom w:val="single" w:sz="4" w:space="0" w:color="auto"/>
              <w:right w:val="single" w:sz="4" w:space="0" w:color="auto"/>
            </w:tcBorders>
            <w:noWrap/>
            <w:vAlign w:val="bottom"/>
            <w:hideMark/>
          </w:tcPr>
          <w:p w14:paraId="6710D0F3"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5.5</w:t>
            </w:r>
          </w:p>
        </w:tc>
        <w:tc>
          <w:tcPr>
            <w:tcW w:w="468" w:type="pct"/>
            <w:tcBorders>
              <w:top w:val="nil"/>
              <w:left w:val="nil"/>
              <w:bottom w:val="single" w:sz="4" w:space="0" w:color="auto"/>
              <w:right w:val="single" w:sz="4" w:space="0" w:color="auto"/>
            </w:tcBorders>
            <w:noWrap/>
            <w:vAlign w:val="bottom"/>
            <w:hideMark/>
          </w:tcPr>
          <w:p w14:paraId="0B2CDDDC"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4.5</w:t>
            </w:r>
          </w:p>
        </w:tc>
        <w:tc>
          <w:tcPr>
            <w:tcW w:w="468" w:type="pct"/>
            <w:tcBorders>
              <w:top w:val="nil"/>
              <w:left w:val="nil"/>
              <w:bottom w:val="single" w:sz="4" w:space="0" w:color="auto"/>
              <w:right w:val="single" w:sz="4" w:space="0" w:color="auto"/>
            </w:tcBorders>
            <w:noWrap/>
            <w:vAlign w:val="bottom"/>
            <w:hideMark/>
          </w:tcPr>
          <w:p w14:paraId="534803C2"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4</w:t>
            </w:r>
          </w:p>
        </w:tc>
      </w:tr>
      <w:tr w:rsidR="00B20A92" w:rsidRPr="00305D32" w14:paraId="13A851D8"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7D3F8A8B"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Barbados</w:t>
            </w:r>
          </w:p>
        </w:tc>
        <w:tc>
          <w:tcPr>
            <w:tcW w:w="427" w:type="pct"/>
            <w:tcBorders>
              <w:top w:val="nil"/>
              <w:left w:val="nil"/>
              <w:bottom w:val="single" w:sz="4" w:space="0" w:color="auto"/>
              <w:right w:val="single" w:sz="4" w:space="0" w:color="auto"/>
            </w:tcBorders>
            <w:noWrap/>
            <w:vAlign w:val="bottom"/>
            <w:hideMark/>
          </w:tcPr>
          <w:p w14:paraId="09B2EB2A"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17.8</w:t>
            </w:r>
          </w:p>
        </w:tc>
        <w:tc>
          <w:tcPr>
            <w:tcW w:w="427" w:type="pct"/>
            <w:tcBorders>
              <w:top w:val="nil"/>
              <w:left w:val="nil"/>
              <w:bottom w:val="single" w:sz="4" w:space="0" w:color="auto"/>
              <w:right w:val="single" w:sz="4" w:space="0" w:color="auto"/>
            </w:tcBorders>
            <w:noWrap/>
            <w:vAlign w:val="bottom"/>
            <w:hideMark/>
          </w:tcPr>
          <w:p w14:paraId="2FF456B1"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4.1</w:t>
            </w:r>
          </w:p>
        </w:tc>
        <w:tc>
          <w:tcPr>
            <w:tcW w:w="508" w:type="pct"/>
            <w:tcBorders>
              <w:top w:val="nil"/>
              <w:left w:val="nil"/>
              <w:bottom w:val="single" w:sz="4" w:space="0" w:color="auto"/>
              <w:right w:val="single" w:sz="4" w:space="0" w:color="auto"/>
            </w:tcBorders>
            <w:noWrap/>
            <w:vAlign w:val="bottom"/>
            <w:hideMark/>
          </w:tcPr>
          <w:p w14:paraId="4BAE9320"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3.8</w:t>
            </w:r>
          </w:p>
        </w:tc>
        <w:tc>
          <w:tcPr>
            <w:tcW w:w="468" w:type="pct"/>
            <w:tcBorders>
              <w:top w:val="nil"/>
              <w:left w:val="nil"/>
              <w:bottom w:val="single" w:sz="4" w:space="0" w:color="auto"/>
              <w:right w:val="single" w:sz="4" w:space="0" w:color="auto"/>
            </w:tcBorders>
            <w:noWrap/>
            <w:vAlign w:val="bottom"/>
            <w:hideMark/>
          </w:tcPr>
          <w:p w14:paraId="034F0FC4"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2.8</w:t>
            </w:r>
          </w:p>
        </w:tc>
        <w:tc>
          <w:tcPr>
            <w:tcW w:w="468" w:type="pct"/>
            <w:tcBorders>
              <w:top w:val="nil"/>
              <w:left w:val="nil"/>
              <w:bottom w:val="single" w:sz="4" w:space="0" w:color="auto"/>
              <w:right w:val="single" w:sz="4" w:space="0" w:color="auto"/>
            </w:tcBorders>
            <w:noWrap/>
            <w:vAlign w:val="bottom"/>
            <w:hideMark/>
          </w:tcPr>
          <w:p w14:paraId="0B1C7D37"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w:t>
            </w:r>
          </w:p>
        </w:tc>
        <w:tc>
          <w:tcPr>
            <w:tcW w:w="468" w:type="pct"/>
            <w:tcBorders>
              <w:top w:val="nil"/>
              <w:left w:val="nil"/>
              <w:bottom w:val="single" w:sz="4" w:space="0" w:color="auto"/>
              <w:right w:val="single" w:sz="4" w:space="0" w:color="auto"/>
            </w:tcBorders>
            <w:noWrap/>
            <w:vAlign w:val="bottom"/>
            <w:hideMark/>
          </w:tcPr>
          <w:p w14:paraId="5EFC647F"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1.7</w:t>
            </w:r>
          </w:p>
        </w:tc>
      </w:tr>
      <w:tr w:rsidR="00B20A92" w:rsidRPr="00305D32" w14:paraId="1A1615E0"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3B587D5F"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Bahamas</w:t>
            </w:r>
          </w:p>
        </w:tc>
        <w:tc>
          <w:tcPr>
            <w:tcW w:w="427" w:type="pct"/>
            <w:tcBorders>
              <w:top w:val="nil"/>
              <w:left w:val="nil"/>
              <w:bottom w:val="single" w:sz="4" w:space="0" w:color="auto"/>
              <w:right w:val="single" w:sz="4" w:space="0" w:color="auto"/>
            </w:tcBorders>
            <w:noWrap/>
            <w:vAlign w:val="bottom"/>
            <w:hideMark/>
          </w:tcPr>
          <w:p w14:paraId="4CCE7E4D"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10.8</w:t>
            </w:r>
          </w:p>
        </w:tc>
        <w:tc>
          <w:tcPr>
            <w:tcW w:w="427" w:type="pct"/>
            <w:tcBorders>
              <w:top w:val="nil"/>
              <w:left w:val="nil"/>
              <w:bottom w:val="single" w:sz="4" w:space="0" w:color="auto"/>
              <w:right w:val="single" w:sz="4" w:space="0" w:color="auto"/>
            </w:tcBorders>
            <w:noWrap/>
            <w:vAlign w:val="bottom"/>
            <w:hideMark/>
          </w:tcPr>
          <w:p w14:paraId="28D0332E"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2.6</w:t>
            </w:r>
          </w:p>
        </w:tc>
        <w:tc>
          <w:tcPr>
            <w:tcW w:w="508" w:type="pct"/>
            <w:tcBorders>
              <w:top w:val="nil"/>
              <w:left w:val="nil"/>
              <w:bottom w:val="single" w:sz="4" w:space="0" w:color="auto"/>
              <w:right w:val="single" w:sz="4" w:space="0" w:color="auto"/>
            </w:tcBorders>
            <w:noWrap/>
            <w:vAlign w:val="bottom"/>
            <w:hideMark/>
          </w:tcPr>
          <w:p w14:paraId="56483211"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1.9</w:t>
            </w:r>
          </w:p>
        </w:tc>
        <w:tc>
          <w:tcPr>
            <w:tcW w:w="468" w:type="pct"/>
            <w:tcBorders>
              <w:top w:val="nil"/>
              <w:left w:val="nil"/>
              <w:bottom w:val="single" w:sz="4" w:space="0" w:color="auto"/>
              <w:right w:val="single" w:sz="4" w:space="0" w:color="auto"/>
            </w:tcBorders>
            <w:noWrap/>
            <w:vAlign w:val="bottom"/>
            <w:hideMark/>
          </w:tcPr>
          <w:p w14:paraId="2AB5A585"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1.1</w:t>
            </w:r>
          </w:p>
        </w:tc>
        <w:tc>
          <w:tcPr>
            <w:tcW w:w="468" w:type="pct"/>
            <w:tcBorders>
              <w:top w:val="nil"/>
              <w:left w:val="nil"/>
              <w:bottom w:val="single" w:sz="4" w:space="0" w:color="auto"/>
              <w:right w:val="single" w:sz="4" w:space="0" w:color="auto"/>
            </w:tcBorders>
            <w:noWrap/>
            <w:vAlign w:val="bottom"/>
            <w:hideMark/>
          </w:tcPr>
          <w:p w14:paraId="159BB603"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1.2</w:t>
            </w:r>
          </w:p>
        </w:tc>
        <w:tc>
          <w:tcPr>
            <w:tcW w:w="468" w:type="pct"/>
            <w:tcBorders>
              <w:top w:val="nil"/>
              <w:left w:val="nil"/>
              <w:bottom w:val="single" w:sz="4" w:space="0" w:color="auto"/>
              <w:right w:val="single" w:sz="4" w:space="0" w:color="auto"/>
            </w:tcBorders>
            <w:noWrap/>
            <w:vAlign w:val="bottom"/>
            <w:hideMark/>
          </w:tcPr>
          <w:p w14:paraId="11A24AA3"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1.3</w:t>
            </w:r>
          </w:p>
        </w:tc>
      </w:tr>
      <w:tr w:rsidR="00B20A92" w:rsidRPr="00305D32" w14:paraId="239699FD"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5C51F0DD"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Belice</w:t>
            </w:r>
          </w:p>
        </w:tc>
        <w:tc>
          <w:tcPr>
            <w:tcW w:w="427" w:type="pct"/>
            <w:tcBorders>
              <w:top w:val="nil"/>
              <w:left w:val="nil"/>
              <w:bottom w:val="single" w:sz="4" w:space="0" w:color="auto"/>
              <w:right w:val="single" w:sz="4" w:space="0" w:color="auto"/>
            </w:tcBorders>
            <w:noWrap/>
            <w:vAlign w:val="bottom"/>
            <w:hideMark/>
          </w:tcPr>
          <w:p w14:paraId="4E923ADB"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9.4</w:t>
            </w:r>
          </w:p>
        </w:tc>
        <w:tc>
          <w:tcPr>
            <w:tcW w:w="427" w:type="pct"/>
            <w:tcBorders>
              <w:top w:val="nil"/>
              <w:left w:val="nil"/>
              <w:bottom w:val="single" w:sz="4" w:space="0" w:color="auto"/>
              <w:right w:val="single" w:sz="4" w:space="0" w:color="auto"/>
            </w:tcBorders>
            <w:noWrap/>
            <w:vAlign w:val="bottom"/>
            <w:hideMark/>
          </w:tcPr>
          <w:p w14:paraId="5AE8C4F7"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1.1</w:t>
            </w:r>
          </w:p>
        </w:tc>
        <w:tc>
          <w:tcPr>
            <w:tcW w:w="508" w:type="pct"/>
            <w:tcBorders>
              <w:top w:val="nil"/>
              <w:left w:val="nil"/>
              <w:bottom w:val="single" w:sz="4" w:space="0" w:color="auto"/>
              <w:right w:val="single" w:sz="4" w:space="0" w:color="auto"/>
            </w:tcBorders>
            <w:noWrap/>
            <w:vAlign w:val="bottom"/>
            <w:hideMark/>
          </w:tcPr>
          <w:p w14:paraId="2ED916AA"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8.2</w:t>
            </w:r>
          </w:p>
        </w:tc>
        <w:tc>
          <w:tcPr>
            <w:tcW w:w="468" w:type="pct"/>
            <w:tcBorders>
              <w:top w:val="nil"/>
              <w:left w:val="nil"/>
              <w:bottom w:val="single" w:sz="4" w:space="0" w:color="auto"/>
              <w:right w:val="single" w:sz="4" w:space="0" w:color="auto"/>
            </w:tcBorders>
            <w:noWrap/>
            <w:vAlign w:val="bottom"/>
            <w:hideMark/>
          </w:tcPr>
          <w:p w14:paraId="594756EA"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2.8</w:t>
            </w:r>
          </w:p>
        </w:tc>
        <w:tc>
          <w:tcPr>
            <w:tcW w:w="468" w:type="pct"/>
            <w:tcBorders>
              <w:top w:val="nil"/>
              <w:left w:val="nil"/>
              <w:bottom w:val="single" w:sz="4" w:space="0" w:color="auto"/>
              <w:right w:val="single" w:sz="4" w:space="0" w:color="auto"/>
            </w:tcBorders>
            <w:noWrap/>
            <w:vAlign w:val="bottom"/>
            <w:hideMark/>
          </w:tcPr>
          <w:p w14:paraId="20DE4313"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2.4</w:t>
            </w:r>
          </w:p>
        </w:tc>
        <w:tc>
          <w:tcPr>
            <w:tcW w:w="468" w:type="pct"/>
            <w:tcBorders>
              <w:top w:val="nil"/>
              <w:left w:val="nil"/>
              <w:bottom w:val="single" w:sz="4" w:space="0" w:color="auto"/>
              <w:right w:val="single" w:sz="4" w:space="0" w:color="auto"/>
            </w:tcBorders>
            <w:noWrap/>
            <w:vAlign w:val="bottom"/>
            <w:hideMark/>
          </w:tcPr>
          <w:p w14:paraId="09BFF13E"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2.3</w:t>
            </w:r>
          </w:p>
        </w:tc>
      </w:tr>
      <w:tr w:rsidR="00B20A92" w:rsidRPr="00305D32" w14:paraId="3093B6FE"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639E36CE"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Bolivia</w:t>
            </w:r>
          </w:p>
        </w:tc>
        <w:tc>
          <w:tcPr>
            <w:tcW w:w="427" w:type="pct"/>
            <w:tcBorders>
              <w:top w:val="nil"/>
              <w:left w:val="nil"/>
              <w:bottom w:val="single" w:sz="4" w:space="0" w:color="auto"/>
              <w:right w:val="single" w:sz="4" w:space="0" w:color="auto"/>
            </w:tcBorders>
            <w:noWrap/>
            <w:vAlign w:val="bottom"/>
            <w:hideMark/>
          </w:tcPr>
          <w:p w14:paraId="47A96A02"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3.6</w:t>
            </w:r>
          </w:p>
        </w:tc>
        <w:tc>
          <w:tcPr>
            <w:tcW w:w="427" w:type="pct"/>
            <w:tcBorders>
              <w:top w:val="nil"/>
              <w:left w:val="nil"/>
              <w:bottom w:val="single" w:sz="4" w:space="0" w:color="auto"/>
              <w:right w:val="single" w:sz="4" w:space="0" w:color="auto"/>
            </w:tcBorders>
            <w:noWrap/>
            <w:vAlign w:val="bottom"/>
            <w:hideMark/>
          </w:tcPr>
          <w:p w14:paraId="49549B27"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3.1</w:t>
            </w:r>
          </w:p>
        </w:tc>
        <w:tc>
          <w:tcPr>
            <w:tcW w:w="508" w:type="pct"/>
            <w:tcBorders>
              <w:top w:val="nil"/>
              <w:left w:val="nil"/>
              <w:bottom w:val="single" w:sz="4" w:space="0" w:color="auto"/>
              <w:right w:val="single" w:sz="4" w:space="0" w:color="auto"/>
            </w:tcBorders>
            <w:noWrap/>
            <w:vAlign w:val="bottom"/>
            <w:hideMark/>
          </w:tcPr>
          <w:p w14:paraId="4DD10B7F"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1.4</w:t>
            </w:r>
          </w:p>
        </w:tc>
        <w:tc>
          <w:tcPr>
            <w:tcW w:w="468" w:type="pct"/>
            <w:tcBorders>
              <w:top w:val="nil"/>
              <w:left w:val="nil"/>
              <w:bottom w:val="single" w:sz="4" w:space="0" w:color="auto"/>
              <w:right w:val="single" w:sz="4" w:space="0" w:color="auto"/>
            </w:tcBorders>
            <w:noWrap/>
            <w:vAlign w:val="bottom"/>
            <w:hideMark/>
          </w:tcPr>
          <w:p w14:paraId="67B2E94A"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1.2</w:t>
            </w:r>
          </w:p>
        </w:tc>
        <w:tc>
          <w:tcPr>
            <w:tcW w:w="468" w:type="pct"/>
            <w:tcBorders>
              <w:top w:val="nil"/>
              <w:left w:val="nil"/>
              <w:bottom w:val="single" w:sz="4" w:space="0" w:color="auto"/>
              <w:right w:val="single" w:sz="4" w:space="0" w:color="auto"/>
            </w:tcBorders>
            <w:noWrap/>
            <w:vAlign w:val="bottom"/>
            <w:hideMark/>
          </w:tcPr>
          <w:p w14:paraId="55ACBA23"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1.1</w:t>
            </w:r>
          </w:p>
        </w:tc>
        <w:tc>
          <w:tcPr>
            <w:tcW w:w="468" w:type="pct"/>
            <w:tcBorders>
              <w:top w:val="nil"/>
              <w:left w:val="nil"/>
              <w:bottom w:val="single" w:sz="4" w:space="0" w:color="auto"/>
              <w:right w:val="single" w:sz="4" w:space="0" w:color="auto"/>
            </w:tcBorders>
            <w:noWrap/>
            <w:vAlign w:val="bottom"/>
            <w:hideMark/>
          </w:tcPr>
          <w:p w14:paraId="5E6DAD06"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1.1</w:t>
            </w:r>
          </w:p>
        </w:tc>
      </w:tr>
      <w:tr w:rsidR="00B20A92" w:rsidRPr="00305D32" w14:paraId="62DE47B3"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2DDFF2C2"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Brasil</w:t>
            </w:r>
          </w:p>
        </w:tc>
        <w:tc>
          <w:tcPr>
            <w:tcW w:w="427" w:type="pct"/>
            <w:tcBorders>
              <w:top w:val="nil"/>
              <w:left w:val="nil"/>
              <w:bottom w:val="single" w:sz="4" w:space="0" w:color="auto"/>
              <w:right w:val="single" w:sz="4" w:space="0" w:color="auto"/>
            </w:tcBorders>
            <w:noWrap/>
            <w:vAlign w:val="bottom"/>
            <w:hideMark/>
          </w:tcPr>
          <w:p w14:paraId="0370D712"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w:t>
            </w:r>
          </w:p>
        </w:tc>
        <w:tc>
          <w:tcPr>
            <w:tcW w:w="427" w:type="pct"/>
            <w:tcBorders>
              <w:top w:val="nil"/>
              <w:left w:val="nil"/>
              <w:bottom w:val="single" w:sz="4" w:space="0" w:color="auto"/>
              <w:right w:val="single" w:sz="4" w:space="0" w:color="auto"/>
            </w:tcBorders>
            <w:noWrap/>
            <w:vAlign w:val="bottom"/>
            <w:hideMark/>
          </w:tcPr>
          <w:p w14:paraId="1AF771CF"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3.2</w:t>
            </w:r>
          </w:p>
        </w:tc>
        <w:tc>
          <w:tcPr>
            <w:tcW w:w="508" w:type="pct"/>
            <w:tcBorders>
              <w:top w:val="nil"/>
              <w:left w:val="nil"/>
              <w:bottom w:val="single" w:sz="4" w:space="0" w:color="auto"/>
              <w:right w:val="single" w:sz="4" w:space="0" w:color="auto"/>
            </w:tcBorders>
            <w:noWrap/>
            <w:vAlign w:val="bottom"/>
            <w:hideMark/>
          </w:tcPr>
          <w:p w14:paraId="21D5C261"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3.4</w:t>
            </w:r>
          </w:p>
        </w:tc>
        <w:tc>
          <w:tcPr>
            <w:tcW w:w="468" w:type="pct"/>
            <w:tcBorders>
              <w:top w:val="nil"/>
              <w:left w:val="nil"/>
              <w:bottom w:val="single" w:sz="4" w:space="0" w:color="auto"/>
              <w:right w:val="single" w:sz="4" w:space="0" w:color="auto"/>
            </w:tcBorders>
            <w:noWrap/>
            <w:vAlign w:val="bottom"/>
            <w:hideMark/>
          </w:tcPr>
          <w:p w14:paraId="208ED536"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2.4</w:t>
            </w:r>
          </w:p>
        </w:tc>
        <w:tc>
          <w:tcPr>
            <w:tcW w:w="468" w:type="pct"/>
            <w:tcBorders>
              <w:top w:val="nil"/>
              <w:left w:val="nil"/>
              <w:bottom w:val="single" w:sz="4" w:space="0" w:color="auto"/>
              <w:right w:val="single" w:sz="4" w:space="0" w:color="auto"/>
            </w:tcBorders>
            <w:noWrap/>
            <w:vAlign w:val="bottom"/>
            <w:hideMark/>
          </w:tcPr>
          <w:p w14:paraId="22964785"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2.2</w:t>
            </w:r>
          </w:p>
        </w:tc>
        <w:tc>
          <w:tcPr>
            <w:tcW w:w="468" w:type="pct"/>
            <w:tcBorders>
              <w:top w:val="nil"/>
              <w:left w:val="nil"/>
              <w:bottom w:val="single" w:sz="4" w:space="0" w:color="auto"/>
              <w:right w:val="single" w:sz="4" w:space="0" w:color="auto"/>
            </w:tcBorders>
            <w:noWrap/>
            <w:vAlign w:val="bottom"/>
            <w:hideMark/>
          </w:tcPr>
          <w:p w14:paraId="7A42770E"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2.3</w:t>
            </w:r>
          </w:p>
        </w:tc>
      </w:tr>
      <w:tr w:rsidR="00B20A92" w:rsidRPr="00305D32" w14:paraId="44CF15DA"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0471825C"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Chile</w:t>
            </w:r>
          </w:p>
        </w:tc>
        <w:tc>
          <w:tcPr>
            <w:tcW w:w="427" w:type="pct"/>
            <w:tcBorders>
              <w:top w:val="nil"/>
              <w:left w:val="nil"/>
              <w:bottom w:val="single" w:sz="4" w:space="0" w:color="auto"/>
              <w:right w:val="single" w:sz="4" w:space="0" w:color="auto"/>
            </w:tcBorders>
            <w:noWrap/>
            <w:vAlign w:val="bottom"/>
            <w:hideMark/>
          </w:tcPr>
          <w:p w14:paraId="11A2BF38"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2.2</w:t>
            </w:r>
          </w:p>
        </w:tc>
        <w:tc>
          <w:tcPr>
            <w:tcW w:w="427" w:type="pct"/>
            <w:tcBorders>
              <w:top w:val="nil"/>
              <w:left w:val="nil"/>
              <w:bottom w:val="single" w:sz="4" w:space="0" w:color="auto"/>
              <w:right w:val="single" w:sz="4" w:space="0" w:color="auto"/>
            </w:tcBorders>
            <w:noWrap/>
            <w:vAlign w:val="bottom"/>
            <w:hideMark/>
          </w:tcPr>
          <w:p w14:paraId="2B8E78DF"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0.5</w:t>
            </w:r>
          </w:p>
        </w:tc>
        <w:tc>
          <w:tcPr>
            <w:tcW w:w="508" w:type="pct"/>
            <w:tcBorders>
              <w:top w:val="nil"/>
              <w:left w:val="nil"/>
              <w:bottom w:val="single" w:sz="4" w:space="0" w:color="auto"/>
              <w:right w:val="single" w:sz="4" w:space="0" w:color="auto"/>
            </w:tcBorders>
            <w:noWrap/>
            <w:vAlign w:val="bottom"/>
            <w:hideMark/>
          </w:tcPr>
          <w:p w14:paraId="13BFDF54"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2.6</w:t>
            </w:r>
          </w:p>
        </w:tc>
        <w:tc>
          <w:tcPr>
            <w:tcW w:w="468" w:type="pct"/>
            <w:tcBorders>
              <w:top w:val="nil"/>
              <w:left w:val="nil"/>
              <w:bottom w:val="single" w:sz="4" w:space="0" w:color="auto"/>
              <w:right w:val="single" w:sz="4" w:space="0" w:color="auto"/>
            </w:tcBorders>
            <w:noWrap/>
            <w:vAlign w:val="bottom"/>
            <w:hideMark/>
          </w:tcPr>
          <w:p w14:paraId="42E74499"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2.1</w:t>
            </w:r>
          </w:p>
        </w:tc>
        <w:tc>
          <w:tcPr>
            <w:tcW w:w="468" w:type="pct"/>
            <w:tcBorders>
              <w:top w:val="nil"/>
              <w:left w:val="nil"/>
              <w:bottom w:val="single" w:sz="4" w:space="0" w:color="auto"/>
              <w:right w:val="single" w:sz="4" w:space="0" w:color="auto"/>
            </w:tcBorders>
            <w:noWrap/>
            <w:vAlign w:val="bottom"/>
            <w:hideMark/>
          </w:tcPr>
          <w:p w14:paraId="3D3F8C6E"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2.2</w:t>
            </w:r>
          </w:p>
        </w:tc>
        <w:tc>
          <w:tcPr>
            <w:tcW w:w="468" w:type="pct"/>
            <w:tcBorders>
              <w:top w:val="nil"/>
              <w:left w:val="nil"/>
              <w:bottom w:val="single" w:sz="4" w:space="0" w:color="auto"/>
              <w:right w:val="single" w:sz="4" w:space="0" w:color="auto"/>
            </w:tcBorders>
            <w:noWrap/>
            <w:vAlign w:val="bottom"/>
            <w:hideMark/>
          </w:tcPr>
          <w:p w14:paraId="49FB328D"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2.1</w:t>
            </w:r>
          </w:p>
        </w:tc>
      </w:tr>
      <w:tr w:rsidR="00B20A92" w:rsidRPr="00305D32" w14:paraId="7C7C5A86"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578622BD"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Colombia</w:t>
            </w:r>
          </w:p>
        </w:tc>
        <w:tc>
          <w:tcPr>
            <w:tcW w:w="427" w:type="pct"/>
            <w:tcBorders>
              <w:top w:val="nil"/>
              <w:left w:val="nil"/>
              <w:bottom w:val="single" w:sz="4" w:space="0" w:color="auto"/>
              <w:right w:val="single" w:sz="4" w:space="0" w:color="auto"/>
            </w:tcBorders>
            <w:noWrap/>
            <w:vAlign w:val="bottom"/>
            <w:hideMark/>
          </w:tcPr>
          <w:p w14:paraId="4FEF7EA2"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7.3</w:t>
            </w:r>
          </w:p>
        </w:tc>
        <w:tc>
          <w:tcPr>
            <w:tcW w:w="427" w:type="pct"/>
            <w:tcBorders>
              <w:top w:val="nil"/>
              <w:left w:val="nil"/>
              <w:bottom w:val="single" w:sz="4" w:space="0" w:color="auto"/>
              <w:right w:val="single" w:sz="4" w:space="0" w:color="auto"/>
            </w:tcBorders>
            <w:noWrap/>
            <w:vAlign w:val="bottom"/>
            <w:hideMark/>
          </w:tcPr>
          <w:p w14:paraId="31D9DBC1"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0.7</w:t>
            </w:r>
          </w:p>
        </w:tc>
        <w:tc>
          <w:tcPr>
            <w:tcW w:w="508" w:type="pct"/>
            <w:tcBorders>
              <w:top w:val="nil"/>
              <w:left w:val="nil"/>
              <w:bottom w:val="single" w:sz="4" w:space="0" w:color="auto"/>
              <w:right w:val="single" w:sz="4" w:space="0" w:color="auto"/>
            </w:tcBorders>
            <w:noWrap/>
            <w:vAlign w:val="bottom"/>
            <w:hideMark/>
          </w:tcPr>
          <w:p w14:paraId="0DD038DC"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1.6</w:t>
            </w:r>
          </w:p>
        </w:tc>
        <w:tc>
          <w:tcPr>
            <w:tcW w:w="468" w:type="pct"/>
            <w:tcBorders>
              <w:top w:val="nil"/>
              <w:left w:val="nil"/>
              <w:bottom w:val="single" w:sz="4" w:space="0" w:color="auto"/>
              <w:right w:val="single" w:sz="4" w:space="0" w:color="auto"/>
            </w:tcBorders>
            <w:noWrap/>
            <w:vAlign w:val="bottom"/>
            <w:hideMark/>
          </w:tcPr>
          <w:p w14:paraId="0821F6D0"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2.5</w:t>
            </w:r>
          </w:p>
        </w:tc>
        <w:tc>
          <w:tcPr>
            <w:tcW w:w="468" w:type="pct"/>
            <w:tcBorders>
              <w:top w:val="nil"/>
              <w:left w:val="nil"/>
              <w:bottom w:val="single" w:sz="4" w:space="0" w:color="auto"/>
              <w:right w:val="single" w:sz="4" w:space="0" w:color="auto"/>
            </w:tcBorders>
            <w:noWrap/>
            <w:vAlign w:val="bottom"/>
            <w:hideMark/>
          </w:tcPr>
          <w:p w14:paraId="1A064775"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2.7</w:t>
            </w:r>
          </w:p>
        </w:tc>
        <w:tc>
          <w:tcPr>
            <w:tcW w:w="468" w:type="pct"/>
            <w:tcBorders>
              <w:top w:val="nil"/>
              <w:left w:val="nil"/>
              <w:bottom w:val="single" w:sz="4" w:space="0" w:color="auto"/>
              <w:right w:val="single" w:sz="4" w:space="0" w:color="auto"/>
            </w:tcBorders>
            <w:noWrap/>
            <w:vAlign w:val="bottom"/>
            <w:hideMark/>
          </w:tcPr>
          <w:p w14:paraId="7DF00853"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2.9</w:t>
            </w:r>
          </w:p>
        </w:tc>
      </w:tr>
      <w:tr w:rsidR="00B20A92" w:rsidRPr="00305D32" w14:paraId="1D08E5F3"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49A9C8FB"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lastRenderedPageBreak/>
              <w:t>Costa Rica</w:t>
            </w:r>
          </w:p>
        </w:tc>
        <w:tc>
          <w:tcPr>
            <w:tcW w:w="427" w:type="pct"/>
            <w:tcBorders>
              <w:top w:val="nil"/>
              <w:left w:val="nil"/>
              <w:bottom w:val="single" w:sz="4" w:space="0" w:color="auto"/>
              <w:right w:val="single" w:sz="4" w:space="0" w:color="auto"/>
            </w:tcBorders>
            <w:noWrap/>
            <w:vAlign w:val="bottom"/>
            <w:hideMark/>
          </w:tcPr>
          <w:p w14:paraId="11901A3B"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4.6</w:t>
            </w:r>
          </w:p>
        </w:tc>
        <w:tc>
          <w:tcPr>
            <w:tcW w:w="427" w:type="pct"/>
            <w:tcBorders>
              <w:top w:val="nil"/>
              <w:left w:val="nil"/>
              <w:bottom w:val="single" w:sz="4" w:space="0" w:color="auto"/>
              <w:right w:val="single" w:sz="4" w:space="0" w:color="auto"/>
            </w:tcBorders>
            <w:noWrap/>
            <w:vAlign w:val="bottom"/>
            <w:hideMark/>
          </w:tcPr>
          <w:p w14:paraId="604B0320"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5.1</w:t>
            </w:r>
          </w:p>
        </w:tc>
        <w:tc>
          <w:tcPr>
            <w:tcW w:w="508" w:type="pct"/>
            <w:tcBorders>
              <w:top w:val="nil"/>
              <w:left w:val="nil"/>
              <w:bottom w:val="single" w:sz="4" w:space="0" w:color="auto"/>
              <w:right w:val="single" w:sz="4" w:space="0" w:color="auto"/>
            </w:tcBorders>
            <w:noWrap/>
            <w:vAlign w:val="bottom"/>
            <w:hideMark/>
          </w:tcPr>
          <w:p w14:paraId="38C3DD95"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4.3</w:t>
            </w:r>
          </w:p>
        </w:tc>
        <w:tc>
          <w:tcPr>
            <w:tcW w:w="468" w:type="pct"/>
            <w:tcBorders>
              <w:top w:val="nil"/>
              <w:left w:val="nil"/>
              <w:bottom w:val="single" w:sz="4" w:space="0" w:color="auto"/>
              <w:right w:val="single" w:sz="4" w:space="0" w:color="auto"/>
            </w:tcBorders>
            <w:noWrap/>
            <w:vAlign w:val="bottom"/>
            <w:hideMark/>
          </w:tcPr>
          <w:p w14:paraId="4D1879BD"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3.5</w:t>
            </w:r>
          </w:p>
        </w:tc>
        <w:tc>
          <w:tcPr>
            <w:tcW w:w="468" w:type="pct"/>
            <w:tcBorders>
              <w:top w:val="nil"/>
              <w:left w:val="nil"/>
              <w:bottom w:val="single" w:sz="4" w:space="0" w:color="auto"/>
              <w:right w:val="single" w:sz="4" w:space="0" w:color="auto"/>
            </w:tcBorders>
            <w:noWrap/>
            <w:vAlign w:val="bottom"/>
            <w:hideMark/>
          </w:tcPr>
          <w:p w14:paraId="3F0334FB"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3.7</w:t>
            </w:r>
          </w:p>
        </w:tc>
        <w:tc>
          <w:tcPr>
            <w:tcW w:w="468" w:type="pct"/>
            <w:tcBorders>
              <w:top w:val="nil"/>
              <w:left w:val="nil"/>
              <w:bottom w:val="single" w:sz="4" w:space="0" w:color="auto"/>
              <w:right w:val="single" w:sz="4" w:space="0" w:color="auto"/>
            </w:tcBorders>
            <w:noWrap/>
            <w:vAlign w:val="bottom"/>
            <w:hideMark/>
          </w:tcPr>
          <w:p w14:paraId="79145B8B"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3.8</w:t>
            </w:r>
          </w:p>
        </w:tc>
      </w:tr>
      <w:tr w:rsidR="00B20A92" w:rsidRPr="00305D32" w14:paraId="33925219"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796A57E4"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Dominica</w:t>
            </w:r>
          </w:p>
        </w:tc>
        <w:tc>
          <w:tcPr>
            <w:tcW w:w="427" w:type="pct"/>
            <w:tcBorders>
              <w:top w:val="nil"/>
              <w:left w:val="nil"/>
              <w:bottom w:val="single" w:sz="4" w:space="0" w:color="auto"/>
              <w:right w:val="single" w:sz="4" w:space="0" w:color="auto"/>
            </w:tcBorders>
            <w:noWrap/>
            <w:vAlign w:val="bottom"/>
            <w:hideMark/>
          </w:tcPr>
          <w:p w14:paraId="7FBAC401"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5.6</w:t>
            </w:r>
          </w:p>
        </w:tc>
        <w:tc>
          <w:tcPr>
            <w:tcW w:w="427" w:type="pct"/>
            <w:tcBorders>
              <w:top w:val="nil"/>
              <w:left w:val="nil"/>
              <w:bottom w:val="single" w:sz="4" w:space="0" w:color="auto"/>
              <w:right w:val="single" w:sz="4" w:space="0" w:color="auto"/>
            </w:tcBorders>
            <w:noWrap/>
            <w:vAlign w:val="bottom"/>
            <w:hideMark/>
          </w:tcPr>
          <w:p w14:paraId="3AFE5612"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4.7</w:t>
            </w:r>
          </w:p>
        </w:tc>
        <w:tc>
          <w:tcPr>
            <w:tcW w:w="508" w:type="pct"/>
            <w:tcBorders>
              <w:top w:val="nil"/>
              <w:left w:val="nil"/>
              <w:bottom w:val="single" w:sz="4" w:space="0" w:color="auto"/>
              <w:right w:val="single" w:sz="4" w:space="0" w:color="auto"/>
            </w:tcBorders>
            <w:noWrap/>
            <w:vAlign w:val="bottom"/>
            <w:hideMark/>
          </w:tcPr>
          <w:p w14:paraId="4A38C62F"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4.6</w:t>
            </w:r>
          </w:p>
        </w:tc>
        <w:tc>
          <w:tcPr>
            <w:tcW w:w="468" w:type="pct"/>
            <w:tcBorders>
              <w:top w:val="nil"/>
              <w:left w:val="nil"/>
              <w:bottom w:val="single" w:sz="4" w:space="0" w:color="auto"/>
              <w:right w:val="single" w:sz="4" w:space="0" w:color="auto"/>
            </w:tcBorders>
            <w:noWrap/>
            <w:vAlign w:val="bottom"/>
            <w:hideMark/>
          </w:tcPr>
          <w:p w14:paraId="7F17C426"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4.3</w:t>
            </w:r>
          </w:p>
        </w:tc>
        <w:tc>
          <w:tcPr>
            <w:tcW w:w="468" w:type="pct"/>
            <w:tcBorders>
              <w:top w:val="nil"/>
              <w:left w:val="nil"/>
              <w:bottom w:val="single" w:sz="4" w:space="0" w:color="auto"/>
              <w:right w:val="single" w:sz="4" w:space="0" w:color="auto"/>
            </w:tcBorders>
            <w:noWrap/>
            <w:vAlign w:val="bottom"/>
            <w:hideMark/>
          </w:tcPr>
          <w:p w14:paraId="4DCCE628"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3.4</w:t>
            </w:r>
          </w:p>
        </w:tc>
        <w:tc>
          <w:tcPr>
            <w:tcW w:w="468" w:type="pct"/>
            <w:tcBorders>
              <w:top w:val="nil"/>
              <w:left w:val="nil"/>
              <w:bottom w:val="single" w:sz="4" w:space="0" w:color="auto"/>
              <w:right w:val="single" w:sz="4" w:space="0" w:color="auto"/>
            </w:tcBorders>
            <w:noWrap/>
            <w:vAlign w:val="bottom"/>
            <w:hideMark/>
          </w:tcPr>
          <w:p w14:paraId="48A66C37"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2.8</w:t>
            </w:r>
          </w:p>
        </w:tc>
      </w:tr>
      <w:tr w:rsidR="00B20A92" w:rsidRPr="00305D32" w14:paraId="35740638"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0F6453F0"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Ecuador</w:t>
            </w:r>
          </w:p>
        </w:tc>
        <w:tc>
          <w:tcPr>
            <w:tcW w:w="427" w:type="pct"/>
            <w:tcBorders>
              <w:top w:val="nil"/>
              <w:left w:val="nil"/>
              <w:bottom w:val="single" w:sz="4" w:space="0" w:color="auto"/>
              <w:right w:val="single" w:sz="4" w:space="0" w:color="auto"/>
            </w:tcBorders>
            <w:noWrap/>
            <w:vAlign w:val="bottom"/>
            <w:hideMark/>
          </w:tcPr>
          <w:p w14:paraId="16F4E346"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5.9</w:t>
            </w:r>
          </w:p>
        </w:tc>
        <w:tc>
          <w:tcPr>
            <w:tcW w:w="427" w:type="pct"/>
            <w:tcBorders>
              <w:top w:val="nil"/>
              <w:left w:val="nil"/>
              <w:bottom w:val="single" w:sz="4" w:space="0" w:color="auto"/>
              <w:right w:val="single" w:sz="4" w:space="0" w:color="auto"/>
            </w:tcBorders>
            <w:noWrap/>
            <w:vAlign w:val="bottom"/>
            <w:hideMark/>
          </w:tcPr>
          <w:p w14:paraId="4BBFBA0A"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w:t>
            </w:r>
          </w:p>
        </w:tc>
        <w:tc>
          <w:tcPr>
            <w:tcW w:w="508" w:type="pct"/>
            <w:tcBorders>
              <w:top w:val="nil"/>
              <w:left w:val="nil"/>
              <w:bottom w:val="single" w:sz="4" w:space="0" w:color="auto"/>
              <w:right w:val="single" w:sz="4" w:space="0" w:color="auto"/>
            </w:tcBorders>
            <w:noWrap/>
            <w:vAlign w:val="bottom"/>
            <w:hideMark/>
          </w:tcPr>
          <w:p w14:paraId="1550E1A9"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-2.5</w:t>
            </w:r>
          </w:p>
        </w:tc>
        <w:tc>
          <w:tcPr>
            <w:tcW w:w="468" w:type="pct"/>
            <w:tcBorders>
              <w:top w:val="nil"/>
              <w:left w:val="nil"/>
              <w:bottom w:val="single" w:sz="4" w:space="0" w:color="auto"/>
              <w:right w:val="single" w:sz="4" w:space="0" w:color="auto"/>
            </w:tcBorders>
            <w:noWrap/>
            <w:vAlign w:val="bottom"/>
            <w:hideMark/>
          </w:tcPr>
          <w:p w14:paraId="5AEDC392"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1.9</w:t>
            </w:r>
          </w:p>
        </w:tc>
        <w:tc>
          <w:tcPr>
            <w:tcW w:w="468" w:type="pct"/>
            <w:tcBorders>
              <w:top w:val="nil"/>
              <w:left w:val="nil"/>
              <w:bottom w:val="single" w:sz="4" w:space="0" w:color="auto"/>
              <w:right w:val="single" w:sz="4" w:space="0" w:color="auto"/>
            </w:tcBorders>
            <w:noWrap/>
            <w:vAlign w:val="bottom"/>
            <w:hideMark/>
          </w:tcPr>
          <w:p w14:paraId="6E749433"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w:t>
            </w:r>
          </w:p>
        </w:tc>
        <w:tc>
          <w:tcPr>
            <w:tcW w:w="468" w:type="pct"/>
            <w:tcBorders>
              <w:top w:val="nil"/>
              <w:left w:val="nil"/>
              <w:bottom w:val="single" w:sz="4" w:space="0" w:color="auto"/>
              <w:right w:val="single" w:sz="4" w:space="0" w:color="auto"/>
            </w:tcBorders>
            <w:noWrap/>
            <w:vAlign w:val="bottom"/>
            <w:hideMark/>
          </w:tcPr>
          <w:p w14:paraId="09665268"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2.1</w:t>
            </w:r>
          </w:p>
        </w:tc>
      </w:tr>
      <w:tr w:rsidR="00B20A92" w:rsidRPr="00305D32" w14:paraId="1D18601D"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3F1F7327"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El Salvador</w:t>
            </w:r>
          </w:p>
        </w:tc>
        <w:tc>
          <w:tcPr>
            <w:tcW w:w="427" w:type="pct"/>
            <w:tcBorders>
              <w:top w:val="nil"/>
              <w:left w:val="nil"/>
              <w:bottom w:val="single" w:sz="4" w:space="0" w:color="auto"/>
              <w:right w:val="single" w:sz="4" w:space="0" w:color="auto"/>
            </w:tcBorders>
            <w:noWrap/>
            <w:vAlign w:val="bottom"/>
            <w:hideMark/>
          </w:tcPr>
          <w:p w14:paraId="34916CB8"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w:t>
            </w:r>
          </w:p>
        </w:tc>
        <w:tc>
          <w:tcPr>
            <w:tcW w:w="427" w:type="pct"/>
            <w:tcBorders>
              <w:top w:val="nil"/>
              <w:left w:val="nil"/>
              <w:bottom w:val="single" w:sz="4" w:space="0" w:color="auto"/>
              <w:right w:val="single" w:sz="4" w:space="0" w:color="auto"/>
            </w:tcBorders>
            <w:noWrap/>
            <w:vAlign w:val="bottom"/>
            <w:hideMark/>
          </w:tcPr>
          <w:p w14:paraId="4A04A89C"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3.5</w:t>
            </w:r>
          </w:p>
        </w:tc>
        <w:tc>
          <w:tcPr>
            <w:tcW w:w="508" w:type="pct"/>
            <w:tcBorders>
              <w:top w:val="nil"/>
              <w:left w:val="nil"/>
              <w:bottom w:val="single" w:sz="4" w:space="0" w:color="auto"/>
              <w:right w:val="single" w:sz="4" w:space="0" w:color="auto"/>
            </w:tcBorders>
            <w:noWrap/>
            <w:vAlign w:val="bottom"/>
            <w:hideMark/>
          </w:tcPr>
          <w:p w14:paraId="2FC53360"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2.6</w:t>
            </w:r>
          </w:p>
        </w:tc>
        <w:tc>
          <w:tcPr>
            <w:tcW w:w="468" w:type="pct"/>
            <w:tcBorders>
              <w:top w:val="nil"/>
              <w:left w:val="nil"/>
              <w:bottom w:val="single" w:sz="4" w:space="0" w:color="auto"/>
              <w:right w:val="single" w:sz="4" w:space="0" w:color="auto"/>
            </w:tcBorders>
            <w:noWrap/>
            <w:vAlign w:val="bottom"/>
            <w:hideMark/>
          </w:tcPr>
          <w:p w14:paraId="3B50C763"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2.2</w:t>
            </w:r>
          </w:p>
        </w:tc>
        <w:tc>
          <w:tcPr>
            <w:tcW w:w="468" w:type="pct"/>
            <w:tcBorders>
              <w:top w:val="nil"/>
              <w:left w:val="nil"/>
              <w:bottom w:val="single" w:sz="4" w:space="0" w:color="auto"/>
              <w:right w:val="single" w:sz="4" w:space="0" w:color="auto"/>
            </w:tcBorders>
            <w:noWrap/>
            <w:vAlign w:val="bottom"/>
            <w:hideMark/>
          </w:tcPr>
          <w:p w14:paraId="24FDEED1"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2.4</w:t>
            </w:r>
          </w:p>
        </w:tc>
        <w:tc>
          <w:tcPr>
            <w:tcW w:w="468" w:type="pct"/>
            <w:tcBorders>
              <w:top w:val="nil"/>
              <w:left w:val="nil"/>
              <w:bottom w:val="single" w:sz="4" w:space="0" w:color="auto"/>
              <w:right w:val="single" w:sz="4" w:space="0" w:color="auto"/>
            </w:tcBorders>
            <w:noWrap/>
            <w:vAlign w:val="bottom"/>
            <w:hideMark/>
          </w:tcPr>
          <w:p w14:paraId="3CBF9733"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2.9</w:t>
            </w:r>
          </w:p>
        </w:tc>
      </w:tr>
      <w:tr w:rsidR="00B20A92" w:rsidRPr="00305D32" w14:paraId="575AC115"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4B2BF12E"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Granada</w:t>
            </w:r>
          </w:p>
        </w:tc>
        <w:tc>
          <w:tcPr>
            <w:tcW w:w="427" w:type="pct"/>
            <w:tcBorders>
              <w:top w:val="nil"/>
              <w:left w:val="nil"/>
              <w:bottom w:val="single" w:sz="4" w:space="0" w:color="auto"/>
              <w:right w:val="single" w:sz="4" w:space="0" w:color="auto"/>
            </w:tcBorders>
            <w:noWrap/>
            <w:vAlign w:val="bottom"/>
            <w:hideMark/>
          </w:tcPr>
          <w:p w14:paraId="6FD057D6"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7.3</w:t>
            </w:r>
          </w:p>
        </w:tc>
        <w:tc>
          <w:tcPr>
            <w:tcW w:w="427" w:type="pct"/>
            <w:tcBorders>
              <w:top w:val="nil"/>
              <w:left w:val="nil"/>
              <w:bottom w:val="single" w:sz="4" w:space="0" w:color="auto"/>
              <w:right w:val="single" w:sz="4" w:space="0" w:color="auto"/>
            </w:tcBorders>
            <w:noWrap/>
            <w:vAlign w:val="bottom"/>
            <w:hideMark/>
          </w:tcPr>
          <w:p w14:paraId="26C69CB0"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4.7</w:t>
            </w:r>
          </w:p>
        </w:tc>
        <w:tc>
          <w:tcPr>
            <w:tcW w:w="508" w:type="pct"/>
            <w:tcBorders>
              <w:top w:val="nil"/>
              <w:left w:val="nil"/>
              <w:bottom w:val="single" w:sz="4" w:space="0" w:color="auto"/>
              <w:right w:val="single" w:sz="4" w:space="0" w:color="auto"/>
            </w:tcBorders>
            <w:noWrap/>
            <w:vAlign w:val="bottom"/>
            <w:hideMark/>
          </w:tcPr>
          <w:p w14:paraId="2C75CDCD"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3.7</w:t>
            </w:r>
          </w:p>
        </w:tc>
        <w:tc>
          <w:tcPr>
            <w:tcW w:w="468" w:type="pct"/>
            <w:tcBorders>
              <w:top w:val="nil"/>
              <w:left w:val="nil"/>
              <w:bottom w:val="single" w:sz="4" w:space="0" w:color="auto"/>
              <w:right w:val="single" w:sz="4" w:space="0" w:color="auto"/>
            </w:tcBorders>
            <w:noWrap/>
            <w:vAlign w:val="bottom"/>
            <w:hideMark/>
          </w:tcPr>
          <w:p w14:paraId="3E64FE59"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3.8</w:t>
            </w:r>
          </w:p>
        </w:tc>
        <w:tc>
          <w:tcPr>
            <w:tcW w:w="468" w:type="pct"/>
            <w:tcBorders>
              <w:top w:val="nil"/>
              <w:left w:val="nil"/>
              <w:bottom w:val="single" w:sz="4" w:space="0" w:color="auto"/>
              <w:right w:val="single" w:sz="4" w:space="0" w:color="auto"/>
            </w:tcBorders>
            <w:noWrap/>
            <w:vAlign w:val="bottom"/>
            <w:hideMark/>
          </w:tcPr>
          <w:p w14:paraId="437E841C"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3.4</w:t>
            </w:r>
          </w:p>
        </w:tc>
        <w:tc>
          <w:tcPr>
            <w:tcW w:w="468" w:type="pct"/>
            <w:tcBorders>
              <w:top w:val="nil"/>
              <w:left w:val="nil"/>
              <w:bottom w:val="single" w:sz="4" w:space="0" w:color="auto"/>
              <w:right w:val="single" w:sz="4" w:space="0" w:color="auto"/>
            </w:tcBorders>
            <w:noWrap/>
            <w:vAlign w:val="bottom"/>
            <w:hideMark/>
          </w:tcPr>
          <w:p w14:paraId="679EEF99"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2.7</w:t>
            </w:r>
          </w:p>
        </w:tc>
      </w:tr>
      <w:tr w:rsidR="00B20A92" w:rsidRPr="00305D32" w14:paraId="2F1C3207"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4FAE302C"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Guatemala</w:t>
            </w:r>
          </w:p>
        </w:tc>
        <w:tc>
          <w:tcPr>
            <w:tcW w:w="427" w:type="pct"/>
            <w:tcBorders>
              <w:top w:val="nil"/>
              <w:left w:val="nil"/>
              <w:bottom w:val="single" w:sz="4" w:space="0" w:color="auto"/>
              <w:right w:val="single" w:sz="4" w:space="0" w:color="auto"/>
            </w:tcBorders>
            <w:noWrap/>
            <w:vAlign w:val="bottom"/>
            <w:hideMark/>
          </w:tcPr>
          <w:p w14:paraId="687AF740"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4.2</w:t>
            </w:r>
          </w:p>
        </w:tc>
        <w:tc>
          <w:tcPr>
            <w:tcW w:w="427" w:type="pct"/>
            <w:tcBorders>
              <w:top w:val="nil"/>
              <w:left w:val="nil"/>
              <w:bottom w:val="single" w:sz="4" w:space="0" w:color="auto"/>
              <w:right w:val="single" w:sz="4" w:space="0" w:color="auto"/>
            </w:tcBorders>
            <w:noWrap/>
            <w:vAlign w:val="bottom"/>
            <w:hideMark/>
          </w:tcPr>
          <w:p w14:paraId="506C4856"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3.5</w:t>
            </w:r>
          </w:p>
        </w:tc>
        <w:tc>
          <w:tcPr>
            <w:tcW w:w="508" w:type="pct"/>
            <w:tcBorders>
              <w:top w:val="nil"/>
              <w:left w:val="nil"/>
              <w:bottom w:val="single" w:sz="4" w:space="0" w:color="auto"/>
              <w:right w:val="single" w:sz="4" w:space="0" w:color="auto"/>
            </w:tcBorders>
            <w:noWrap/>
            <w:vAlign w:val="bottom"/>
            <w:hideMark/>
          </w:tcPr>
          <w:p w14:paraId="651FEF45"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3.7</w:t>
            </w:r>
          </w:p>
        </w:tc>
        <w:tc>
          <w:tcPr>
            <w:tcW w:w="468" w:type="pct"/>
            <w:tcBorders>
              <w:top w:val="nil"/>
              <w:left w:val="nil"/>
              <w:bottom w:val="single" w:sz="4" w:space="0" w:color="auto"/>
              <w:right w:val="single" w:sz="4" w:space="0" w:color="auto"/>
            </w:tcBorders>
            <w:noWrap/>
            <w:vAlign w:val="bottom"/>
            <w:hideMark/>
          </w:tcPr>
          <w:p w14:paraId="152B16B7"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3.5</w:t>
            </w:r>
          </w:p>
        </w:tc>
        <w:tc>
          <w:tcPr>
            <w:tcW w:w="468" w:type="pct"/>
            <w:tcBorders>
              <w:top w:val="nil"/>
              <w:left w:val="nil"/>
              <w:bottom w:val="single" w:sz="4" w:space="0" w:color="auto"/>
              <w:right w:val="single" w:sz="4" w:space="0" w:color="auto"/>
            </w:tcBorders>
            <w:noWrap/>
            <w:vAlign w:val="bottom"/>
            <w:hideMark/>
          </w:tcPr>
          <w:p w14:paraId="31132C7E"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3.8</w:t>
            </w:r>
          </w:p>
        </w:tc>
        <w:tc>
          <w:tcPr>
            <w:tcW w:w="468" w:type="pct"/>
            <w:tcBorders>
              <w:top w:val="nil"/>
              <w:left w:val="nil"/>
              <w:bottom w:val="single" w:sz="4" w:space="0" w:color="auto"/>
              <w:right w:val="single" w:sz="4" w:space="0" w:color="auto"/>
            </w:tcBorders>
            <w:noWrap/>
            <w:vAlign w:val="bottom"/>
            <w:hideMark/>
          </w:tcPr>
          <w:p w14:paraId="479EB896"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3.8</w:t>
            </w:r>
          </w:p>
        </w:tc>
      </w:tr>
      <w:tr w:rsidR="00B20A92" w:rsidRPr="00305D32" w14:paraId="444B9684"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67B800B8"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Guyana</w:t>
            </w:r>
          </w:p>
        </w:tc>
        <w:tc>
          <w:tcPr>
            <w:tcW w:w="427" w:type="pct"/>
            <w:tcBorders>
              <w:top w:val="nil"/>
              <w:left w:val="nil"/>
              <w:bottom w:val="single" w:sz="4" w:space="0" w:color="auto"/>
              <w:right w:val="single" w:sz="4" w:space="0" w:color="auto"/>
            </w:tcBorders>
            <w:noWrap/>
            <w:vAlign w:val="bottom"/>
            <w:hideMark/>
          </w:tcPr>
          <w:p w14:paraId="19008C4E"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63.3</w:t>
            </w:r>
          </w:p>
        </w:tc>
        <w:tc>
          <w:tcPr>
            <w:tcW w:w="427" w:type="pct"/>
            <w:tcBorders>
              <w:top w:val="nil"/>
              <w:left w:val="nil"/>
              <w:bottom w:val="single" w:sz="4" w:space="0" w:color="auto"/>
              <w:right w:val="single" w:sz="4" w:space="0" w:color="auto"/>
            </w:tcBorders>
            <w:noWrap/>
            <w:vAlign w:val="bottom"/>
            <w:hideMark/>
          </w:tcPr>
          <w:p w14:paraId="451350AC"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33.8</w:t>
            </w:r>
          </w:p>
        </w:tc>
        <w:tc>
          <w:tcPr>
            <w:tcW w:w="508" w:type="pct"/>
            <w:tcBorders>
              <w:top w:val="nil"/>
              <w:left w:val="nil"/>
              <w:bottom w:val="single" w:sz="4" w:space="0" w:color="auto"/>
              <w:right w:val="single" w:sz="4" w:space="0" w:color="auto"/>
            </w:tcBorders>
            <w:noWrap/>
            <w:vAlign w:val="bottom"/>
            <w:hideMark/>
          </w:tcPr>
          <w:p w14:paraId="110AA324"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43.4</w:t>
            </w:r>
          </w:p>
        </w:tc>
        <w:tc>
          <w:tcPr>
            <w:tcW w:w="468" w:type="pct"/>
            <w:tcBorders>
              <w:top w:val="nil"/>
              <w:left w:val="nil"/>
              <w:bottom w:val="single" w:sz="4" w:space="0" w:color="auto"/>
              <w:right w:val="single" w:sz="4" w:space="0" w:color="auto"/>
            </w:tcBorders>
            <w:noWrap/>
            <w:vAlign w:val="bottom"/>
            <w:hideMark/>
          </w:tcPr>
          <w:p w14:paraId="60214895"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10</w:t>
            </w:r>
          </w:p>
        </w:tc>
        <w:tc>
          <w:tcPr>
            <w:tcW w:w="468" w:type="pct"/>
            <w:tcBorders>
              <w:top w:val="nil"/>
              <w:left w:val="nil"/>
              <w:bottom w:val="single" w:sz="4" w:space="0" w:color="auto"/>
              <w:right w:val="single" w:sz="4" w:space="0" w:color="auto"/>
            </w:tcBorders>
            <w:noWrap/>
            <w:vAlign w:val="bottom"/>
            <w:hideMark/>
          </w:tcPr>
          <w:p w14:paraId="77EA7848"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23</w:t>
            </w:r>
          </w:p>
        </w:tc>
        <w:tc>
          <w:tcPr>
            <w:tcW w:w="468" w:type="pct"/>
            <w:tcBorders>
              <w:top w:val="nil"/>
              <w:left w:val="nil"/>
              <w:bottom w:val="single" w:sz="4" w:space="0" w:color="auto"/>
              <w:right w:val="single" w:sz="4" w:space="0" w:color="auto"/>
            </w:tcBorders>
            <w:noWrap/>
            <w:vAlign w:val="bottom"/>
            <w:hideMark/>
          </w:tcPr>
          <w:p w14:paraId="79156188"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24.3</w:t>
            </w:r>
          </w:p>
        </w:tc>
      </w:tr>
      <w:tr w:rsidR="00B20A92" w:rsidRPr="00305D32" w14:paraId="3B87DF4B"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22DA2663"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Haití</w:t>
            </w:r>
          </w:p>
        </w:tc>
        <w:tc>
          <w:tcPr>
            <w:tcW w:w="427" w:type="pct"/>
            <w:tcBorders>
              <w:top w:val="nil"/>
              <w:left w:val="nil"/>
              <w:bottom w:val="single" w:sz="4" w:space="0" w:color="auto"/>
              <w:right w:val="single" w:sz="4" w:space="0" w:color="auto"/>
            </w:tcBorders>
            <w:noWrap/>
            <w:vAlign w:val="bottom"/>
            <w:hideMark/>
          </w:tcPr>
          <w:p w14:paraId="25FF750A"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-1.7</w:t>
            </w:r>
          </w:p>
        </w:tc>
        <w:tc>
          <w:tcPr>
            <w:tcW w:w="427" w:type="pct"/>
            <w:tcBorders>
              <w:top w:val="nil"/>
              <w:left w:val="nil"/>
              <w:bottom w:val="single" w:sz="4" w:space="0" w:color="auto"/>
              <w:right w:val="single" w:sz="4" w:space="0" w:color="auto"/>
            </w:tcBorders>
            <w:noWrap/>
            <w:vAlign w:val="bottom"/>
            <w:hideMark/>
          </w:tcPr>
          <w:p w14:paraId="5439C8A3"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-1.9</w:t>
            </w:r>
          </w:p>
        </w:tc>
        <w:tc>
          <w:tcPr>
            <w:tcW w:w="508" w:type="pct"/>
            <w:tcBorders>
              <w:top w:val="nil"/>
              <w:left w:val="nil"/>
              <w:bottom w:val="single" w:sz="4" w:space="0" w:color="auto"/>
              <w:right w:val="single" w:sz="4" w:space="0" w:color="auto"/>
            </w:tcBorders>
            <w:noWrap/>
            <w:vAlign w:val="bottom"/>
            <w:hideMark/>
          </w:tcPr>
          <w:p w14:paraId="47D30469"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-4.2</w:t>
            </w:r>
          </w:p>
        </w:tc>
        <w:tc>
          <w:tcPr>
            <w:tcW w:w="468" w:type="pct"/>
            <w:tcBorders>
              <w:top w:val="nil"/>
              <w:left w:val="nil"/>
              <w:bottom w:val="single" w:sz="4" w:space="0" w:color="auto"/>
              <w:right w:val="single" w:sz="4" w:space="0" w:color="auto"/>
            </w:tcBorders>
            <w:noWrap/>
            <w:vAlign w:val="bottom"/>
            <w:hideMark/>
          </w:tcPr>
          <w:p w14:paraId="055CF8E7"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-2.2</w:t>
            </w:r>
          </w:p>
        </w:tc>
        <w:tc>
          <w:tcPr>
            <w:tcW w:w="468" w:type="pct"/>
            <w:tcBorders>
              <w:top w:val="nil"/>
              <w:left w:val="nil"/>
              <w:bottom w:val="single" w:sz="4" w:space="0" w:color="auto"/>
              <w:right w:val="single" w:sz="4" w:space="0" w:color="auto"/>
            </w:tcBorders>
            <w:noWrap/>
            <w:vAlign w:val="bottom"/>
            <w:hideMark/>
          </w:tcPr>
          <w:p w14:paraId="5AC577B4"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w:t>
            </w:r>
          </w:p>
        </w:tc>
        <w:tc>
          <w:tcPr>
            <w:tcW w:w="468" w:type="pct"/>
            <w:tcBorders>
              <w:top w:val="nil"/>
              <w:left w:val="nil"/>
              <w:bottom w:val="single" w:sz="4" w:space="0" w:color="auto"/>
              <w:right w:val="single" w:sz="4" w:space="0" w:color="auto"/>
            </w:tcBorders>
            <w:noWrap/>
            <w:vAlign w:val="bottom"/>
            <w:hideMark/>
          </w:tcPr>
          <w:p w14:paraId="648E20A9"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2.5</w:t>
            </w:r>
          </w:p>
        </w:tc>
      </w:tr>
      <w:tr w:rsidR="00B20A92" w:rsidRPr="00305D32" w14:paraId="0947DFF5"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668E094D"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Honduras</w:t>
            </w:r>
          </w:p>
        </w:tc>
        <w:tc>
          <w:tcPr>
            <w:tcW w:w="427" w:type="pct"/>
            <w:tcBorders>
              <w:top w:val="nil"/>
              <w:left w:val="nil"/>
              <w:bottom w:val="single" w:sz="4" w:space="0" w:color="auto"/>
              <w:right w:val="single" w:sz="4" w:space="0" w:color="auto"/>
            </w:tcBorders>
            <w:noWrap/>
            <w:vAlign w:val="bottom"/>
            <w:hideMark/>
          </w:tcPr>
          <w:p w14:paraId="7207ACA1"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4.1</w:t>
            </w:r>
          </w:p>
        </w:tc>
        <w:tc>
          <w:tcPr>
            <w:tcW w:w="427" w:type="pct"/>
            <w:tcBorders>
              <w:top w:val="nil"/>
              <w:left w:val="nil"/>
              <w:bottom w:val="single" w:sz="4" w:space="0" w:color="auto"/>
              <w:right w:val="single" w:sz="4" w:space="0" w:color="auto"/>
            </w:tcBorders>
            <w:noWrap/>
            <w:vAlign w:val="bottom"/>
            <w:hideMark/>
          </w:tcPr>
          <w:p w14:paraId="2B769EA4"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3.6</w:t>
            </w:r>
          </w:p>
        </w:tc>
        <w:tc>
          <w:tcPr>
            <w:tcW w:w="508" w:type="pct"/>
            <w:tcBorders>
              <w:top w:val="nil"/>
              <w:left w:val="nil"/>
              <w:bottom w:val="single" w:sz="4" w:space="0" w:color="auto"/>
              <w:right w:val="single" w:sz="4" w:space="0" w:color="auto"/>
            </w:tcBorders>
            <w:noWrap/>
            <w:vAlign w:val="bottom"/>
            <w:hideMark/>
          </w:tcPr>
          <w:p w14:paraId="00B0C0B0"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3.6</w:t>
            </w:r>
          </w:p>
        </w:tc>
        <w:tc>
          <w:tcPr>
            <w:tcW w:w="468" w:type="pct"/>
            <w:tcBorders>
              <w:top w:val="nil"/>
              <w:left w:val="nil"/>
              <w:bottom w:val="single" w:sz="4" w:space="0" w:color="auto"/>
              <w:right w:val="single" w:sz="4" w:space="0" w:color="auto"/>
            </w:tcBorders>
            <w:noWrap/>
            <w:vAlign w:val="bottom"/>
            <w:hideMark/>
          </w:tcPr>
          <w:p w14:paraId="17DCE1E1"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2.8</w:t>
            </w:r>
          </w:p>
        </w:tc>
        <w:tc>
          <w:tcPr>
            <w:tcW w:w="468" w:type="pct"/>
            <w:tcBorders>
              <w:top w:val="nil"/>
              <w:left w:val="nil"/>
              <w:bottom w:val="single" w:sz="4" w:space="0" w:color="auto"/>
              <w:right w:val="single" w:sz="4" w:space="0" w:color="auto"/>
            </w:tcBorders>
            <w:noWrap/>
            <w:vAlign w:val="bottom"/>
            <w:hideMark/>
          </w:tcPr>
          <w:p w14:paraId="0FD22239"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3.4</w:t>
            </w:r>
          </w:p>
        </w:tc>
        <w:tc>
          <w:tcPr>
            <w:tcW w:w="468" w:type="pct"/>
            <w:tcBorders>
              <w:top w:val="nil"/>
              <w:left w:val="nil"/>
              <w:bottom w:val="single" w:sz="4" w:space="0" w:color="auto"/>
              <w:right w:val="single" w:sz="4" w:space="0" w:color="auto"/>
            </w:tcBorders>
            <w:noWrap/>
            <w:vAlign w:val="bottom"/>
            <w:hideMark/>
          </w:tcPr>
          <w:p w14:paraId="0B77AD81"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3.7</w:t>
            </w:r>
          </w:p>
        </w:tc>
      </w:tr>
      <w:tr w:rsidR="00B20A92" w:rsidRPr="00305D32" w14:paraId="4CDBC142"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25676AAC"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Jamaica</w:t>
            </w:r>
          </w:p>
        </w:tc>
        <w:tc>
          <w:tcPr>
            <w:tcW w:w="427" w:type="pct"/>
            <w:tcBorders>
              <w:top w:val="nil"/>
              <w:left w:val="nil"/>
              <w:bottom w:val="single" w:sz="4" w:space="0" w:color="auto"/>
              <w:right w:val="single" w:sz="4" w:space="0" w:color="auto"/>
            </w:tcBorders>
            <w:noWrap/>
            <w:vAlign w:val="bottom"/>
            <w:hideMark/>
          </w:tcPr>
          <w:p w14:paraId="0B740E35"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5.2</w:t>
            </w:r>
          </w:p>
        </w:tc>
        <w:tc>
          <w:tcPr>
            <w:tcW w:w="427" w:type="pct"/>
            <w:tcBorders>
              <w:top w:val="nil"/>
              <w:left w:val="nil"/>
              <w:bottom w:val="single" w:sz="4" w:space="0" w:color="auto"/>
              <w:right w:val="single" w:sz="4" w:space="0" w:color="auto"/>
            </w:tcBorders>
            <w:noWrap/>
            <w:vAlign w:val="bottom"/>
            <w:hideMark/>
          </w:tcPr>
          <w:p w14:paraId="7E51CE8B"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2.6</w:t>
            </w:r>
          </w:p>
        </w:tc>
        <w:tc>
          <w:tcPr>
            <w:tcW w:w="508" w:type="pct"/>
            <w:tcBorders>
              <w:top w:val="nil"/>
              <w:left w:val="nil"/>
              <w:bottom w:val="single" w:sz="4" w:space="0" w:color="auto"/>
              <w:right w:val="single" w:sz="4" w:space="0" w:color="auto"/>
            </w:tcBorders>
            <w:noWrap/>
            <w:vAlign w:val="bottom"/>
            <w:hideMark/>
          </w:tcPr>
          <w:p w14:paraId="236DB767"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-0.7</w:t>
            </w:r>
          </w:p>
        </w:tc>
        <w:tc>
          <w:tcPr>
            <w:tcW w:w="468" w:type="pct"/>
            <w:tcBorders>
              <w:top w:val="nil"/>
              <w:left w:val="nil"/>
              <w:bottom w:val="single" w:sz="4" w:space="0" w:color="auto"/>
              <w:right w:val="single" w:sz="4" w:space="0" w:color="auto"/>
            </w:tcBorders>
            <w:noWrap/>
            <w:vAlign w:val="bottom"/>
            <w:hideMark/>
          </w:tcPr>
          <w:p w14:paraId="4321A0E4"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1.7</w:t>
            </w:r>
          </w:p>
        </w:tc>
        <w:tc>
          <w:tcPr>
            <w:tcW w:w="468" w:type="pct"/>
            <w:tcBorders>
              <w:top w:val="nil"/>
              <w:left w:val="nil"/>
              <w:bottom w:val="single" w:sz="4" w:space="0" w:color="auto"/>
              <w:right w:val="single" w:sz="4" w:space="0" w:color="auto"/>
            </w:tcBorders>
            <w:noWrap/>
            <w:vAlign w:val="bottom"/>
            <w:hideMark/>
          </w:tcPr>
          <w:p w14:paraId="7C2626B0"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1.7</w:t>
            </w:r>
          </w:p>
        </w:tc>
        <w:tc>
          <w:tcPr>
            <w:tcW w:w="468" w:type="pct"/>
            <w:tcBorders>
              <w:top w:val="nil"/>
              <w:left w:val="nil"/>
              <w:bottom w:val="single" w:sz="4" w:space="0" w:color="auto"/>
              <w:right w:val="single" w:sz="4" w:space="0" w:color="auto"/>
            </w:tcBorders>
            <w:noWrap/>
            <w:vAlign w:val="bottom"/>
            <w:hideMark/>
          </w:tcPr>
          <w:p w14:paraId="5EA7224D"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1.6</w:t>
            </w:r>
          </w:p>
        </w:tc>
      </w:tr>
      <w:tr w:rsidR="00B20A92" w:rsidRPr="00305D32" w14:paraId="3A65EEF0"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2591E04A"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México</w:t>
            </w:r>
          </w:p>
        </w:tc>
        <w:tc>
          <w:tcPr>
            <w:tcW w:w="427" w:type="pct"/>
            <w:tcBorders>
              <w:top w:val="nil"/>
              <w:left w:val="nil"/>
              <w:bottom w:val="single" w:sz="4" w:space="0" w:color="auto"/>
              <w:right w:val="single" w:sz="4" w:space="0" w:color="auto"/>
            </w:tcBorders>
            <w:noWrap/>
            <w:vAlign w:val="bottom"/>
            <w:hideMark/>
          </w:tcPr>
          <w:p w14:paraId="68562C28"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3.7</w:t>
            </w:r>
          </w:p>
        </w:tc>
        <w:tc>
          <w:tcPr>
            <w:tcW w:w="427" w:type="pct"/>
            <w:tcBorders>
              <w:top w:val="nil"/>
              <w:left w:val="nil"/>
              <w:bottom w:val="single" w:sz="4" w:space="0" w:color="auto"/>
              <w:right w:val="single" w:sz="4" w:space="0" w:color="auto"/>
            </w:tcBorders>
            <w:noWrap/>
            <w:vAlign w:val="bottom"/>
            <w:hideMark/>
          </w:tcPr>
          <w:p w14:paraId="4CE8D9FD"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3.3</w:t>
            </w:r>
          </w:p>
        </w:tc>
        <w:tc>
          <w:tcPr>
            <w:tcW w:w="508" w:type="pct"/>
            <w:tcBorders>
              <w:top w:val="nil"/>
              <w:left w:val="nil"/>
              <w:bottom w:val="single" w:sz="4" w:space="0" w:color="auto"/>
              <w:right w:val="single" w:sz="4" w:space="0" w:color="auto"/>
            </w:tcBorders>
            <w:noWrap/>
            <w:vAlign w:val="bottom"/>
            <w:hideMark/>
          </w:tcPr>
          <w:p w14:paraId="1BFFA87D"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1.5</w:t>
            </w:r>
          </w:p>
        </w:tc>
        <w:tc>
          <w:tcPr>
            <w:tcW w:w="468" w:type="pct"/>
            <w:tcBorders>
              <w:top w:val="nil"/>
              <w:left w:val="nil"/>
              <w:bottom w:val="single" w:sz="4" w:space="0" w:color="auto"/>
              <w:right w:val="single" w:sz="4" w:space="0" w:color="auto"/>
            </w:tcBorders>
            <w:noWrap/>
            <w:vAlign w:val="bottom"/>
            <w:hideMark/>
          </w:tcPr>
          <w:p w14:paraId="39EF7444"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0.2</w:t>
            </w:r>
          </w:p>
        </w:tc>
        <w:tc>
          <w:tcPr>
            <w:tcW w:w="468" w:type="pct"/>
            <w:tcBorders>
              <w:top w:val="nil"/>
              <w:left w:val="nil"/>
              <w:bottom w:val="single" w:sz="4" w:space="0" w:color="auto"/>
              <w:right w:val="single" w:sz="4" w:space="0" w:color="auto"/>
            </w:tcBorders>
            <w:noWrap/>
            <w:vAlign w:val="bottom"/>
            <w:hideMark/>
          </w:tcPr>
          <w:p w14:paraId="324C18AA"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1.1</w:t>
            </w:r>
          </w:p>
        </w:tc>
        <w:tc>
          <w:tcPr>
            <w:tcW w:w="468" w:type="pct"/>
            <w:tcBorders>
              <w:top w:val="nil"/>
              <w:left w:val="nil"/>
              <w:bottom w:val="single" w:sz="4" w:space="0" w:color="auto"/>
              <w:right w:val="single" w:sz="4" w:space="0" w:color="auto"/>
            </w:tcBorders>
            <w:noWrap/>
            <w:vAlign w:val="bottom"/>
            <w:hideMark/>
          </w:tcPr>
          <w:p w14:paraId="2C5B01EF"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1.8</w:t>
            </w:r>
          </w:p>
        </w:tc>
      </w:tr>
      <w:tr w:rsidR="00B20A92" w:rsidRPr="00305D32" w14:paraId="5F6D0FF6"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738C411B"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Nicaragua</w:t>
            </w:r>
          </w:p>
        </w:tc>
        <w:tc>
          <w:tcPr>
            <w:tcW w:w="427" w:type="pct"/>
            <w:tcBorders>
              <w:top w:val="nil"/>
              <w:left w:val="nil"/>
              <w:bottom w:val="single" w:sz="4" w:space="0" w:color="auto"/>
              <w:right w:val="single" w:sz="4" w:space="0" w:color="auto"/>
            </w:tcBorders>
            <w:noWrap/>
            <w:vAlign w:val="bottom"/>
            <w:hideMark/>
          </w:tcPr>
          <w:p w14:paraId="66AA936E"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3.8</w:t>
            </w:r>
          </w:p>
        </w:tc>
        <w:tc>
          <w:tcPr>
            <w:tcW w:w="427" w:type="pct"/>
            <w:tcBorders>
              <w:top w:val="nil"/>
              <w:left w:val="nil"/>
              <w:bottom w:val="single" w:sz="4" w:space="0" w:color="auto"/>
              <w:right w:val="single" w:sz="4" w:space="0" w:color="auto"/>
            </w:tcBorders>
            <w:noWrap/>
            <w:vAlign w:val="bottom"/>
            <w:hideMark/>
          </w:tcPr>
          <w:p w14:paraId="38E6CF15"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4.6</w:t>
            </w:r>
          </w:p>
        </w:tc>
        <w:tc>
          <w:tcPr>
            <w:tcW w:w="508" w:type="pct"/>
            <w:tcBorders>
              <w:top w:val="nil"/>
              <w:left w:val="nil"/>
              <w:bottom w:val="single" w:sz="4" w:space="0" w:color="auto"/>
              <w:right w:val="single" w:sz="4" w:space="0" w:color="auto"/>
            </w:tcBorders>
            <w:noWrap/>
            <w:vAlign w:val="bottom"/>
            <w:hideMark/>
          </w:tcPr>
          <w:p w14:paraId="09A33698"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3.6</w:t>
            </w:r>
          </w:p>
        </w:tc>
        <w:tc>
          <w:tcPr>
            <w:tcW w:w="468" w:type="pct"/>
            <w:tcBorders>
              <w:top w:val="nil"/>
              <w:left w:val="nil"/>
              <w:bottom w:val="single" w:sz="4" w:space="0" w:color="auto"/>
              <w:right w:val="single" w:sz="4" w:space="0" w:color="auto"/>
            </w:tcBorders>
            <w:noWrap/>
            <w:vAlign w:val="bottom"/>
            <w:hideMark/>
          </w:tcPr>
          <w:p w14:paraId="55721027"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3.4</w:t>
            </w:r>
          </w:p>
        </w:tc>
        <w:tc>
          <w:tcPr>
            <w:tcW w:w="468" w:type="pct"/>
            <w:tcBorders>
              <w:top w:val="nil"/>
              <w:left w:val="nil"/>
              <w:bottom w:val="single" w:sz="4" w:space="0" w:color="auto"/>
              <w:right w:val="single" w:sz="4" w:space="0" w:color="auto"/>
            </w:tcBorders>
            <w:noWrap/>
            <w:vAlign w:val="bottom"/>
            <w:hideMark/>
          </w:tcPr>
          <w:p w14:paraId="13E28515"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3.3</w:t>
            </w:r>
          </w:p>
        </w:tc>
        <w:tc>
          <w:tcPr>
            <w:tcW w:w="468" w:type="pct"/>
            <w:tcBorders>
              <w:top w:val="nil"/>
              <w:left w:val="nil"/>
              <w:bottom w:val="single" w:sz="4" w:space="0" w:color="auto"/>
              <w:right w:val="single" w:sz="4" w:space="0" w:color="auto"/>
            </w:tcBorders>
            <w:noWrap/>
            <w:vAlign w:val="bottom"/>
            <w:hideMark/>
          </w:tcPr>
          <w:p w14:paraId="74183318"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3.3</w:t>
            </w:r>
          </w:p>
        </w:tc>
      </w:tr>
      <w:tr w:rsidR="00B20A92" w:rsidRPr="00305D32" w14:paraId="1D34CC24"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760A2E19"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Panamá</w:t>
            </w:r>
          </w:p>
        </w:tc>
        <w:tc>
          <w:tcPr>
            <w:tcW w:w="427" w:type="pct"/>
            <w:tcBorders>
              <w:top w:val="nil"/>
              <w:left w:val="nil"/>
              <w:bottom w:val="single" w:sz="4" w:space="0" w:color="auto"/>
              <w:right w:val="single" w:sz="4" w:space="0" w:color="auto"/>
            </w:tcBorders>
            <w:noWrap/>
            <w:vAlign w:val="bottom"/>
            <w:hideMark/>
          </w:tcPr>
          <w:p w14:paraId="7F977E32"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10.8</w:t>
            </w:r>
          </w:p>
        </w:tc>
        <w:tc>
          <w:tcPr>
            <w:tcW w:w="427" w:type="pct"/>
            <w:tcBorders>
              <w:top w:val="nil"/>
              <w:left w:val="nil"/>
              <w:bottom w:val="single" w:sz="4" w:space="0" w:color="auto"/>
              <w:right w:val="single" w:sz="4" w:space="0" w:color="auto"/>
            </w:tcBorders>
            <w:noWrap/>
            <w:vAlign w:val="bottom"/>
            <w:hideMark/>
          </w:tcPr>
          <w:p w14:paraId="71D153F3"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7.4</w:t>
            </w:r>
          </w:p>
        </w:tc>
        <w:tc>
          <w:tcPr>
            <w:tcW w:w="508" w:type="pct"/>
            <w:tcBorders>
              <w:top w:val="nil"/>
              <w:left w:val="nil"/>
              <w:bottom w:val="single" w:sz="4" w:space="0" w:color="auto"/>
              <w:right w:val="single" w:sz="4" w:space="0" w:color="auto"/>
            </w:tcBorders>
            <w:noWrap/>
            <w:vAlign w:val="bottom"/>
            <w:hideMark/>
          </w:tcPr>
          <w:p w14:paraId="068E8100"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2.9</w:t>
            </w:r>
          </w:p>
        </w:tc>
        <w:tc>
          <w:tcPr>
            <w:tcW w:w="468" w:type="pct"/>
            <w:tcBorders>
              <w:top w:val="nil"/>
              <w:left w:val="nil"/>
              <w:bottom w:val="single" w:sz="4" w:space="0" w:color="auto"/>
              <w:right w:val="single" w:sz="4" w:space="0" w:color="auto"/>
            </w:tcBorders>
            <w:noWrap/>
            <w:vAlign w:val="bottom"/>
            <w:hideMark/>
          </w:tcPr>
          <w:p w14:paraId="23F789E2"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3.5</w:t>
            </w:r>
          </w:p>
        </w:tc>
        <w:tc>
          <w:tcPr>
            <w:tcW w:w="468" w:type="pct"/>
            <w:tcBorders>
              <w:top w:val="nil"/>
              <w:left w:val="nil"/>
              <w:bottom w:val="single" w:sz="4" w:space="0" w:color="auto"/>
              <w:right w:val="single" w:sz="4" w:space="0" w:color="auto"/>
            </w:tcBorders>
            <w:noWrap/>
            <w:vAlign w:val="bottom"/>
            <w:hideMark/>
          </w:tcPr>
          <w:p w14:paraId="6A71755F"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3.8</w:t>
            </w:r>
          </w:p>
        </w:tc>
        <w:tc>
          <w:tcPr>
            <w:tcW w:w="468" w:type="pct"/>
            <w:tcBorders>
              <w:top w:val="nil"/>
              <w:left w:val="nil"/>
              <w:bottom w:val="single" w:sz="4" w:space="0" w:color="auto"/>
              <w:right w:val="single" w:sz="4" w:space="0" w:color="auto"/>
            </w:tcBorders>
            <w:noWrap/>
            <w:vAlign w:val="bottom"/>
            <w:hideMark/>
          </w:tcPr>
          <w:p w14:paraId="1DB0A849"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4.3</w:t>
            </w:r>
          </w:p>
        </w:tc>
      </w:tr>
      <w:tr w:rsidR="00B20A92" w:rsidRPr="00305D32" w14:paraId="3D9E2F10"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0D884FD5"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Paraguay</w:t>
            </w:r>
          </w:p>
        </w:tc>
        <w:tc>
          <w:tcPr>
            <w:tcW w:w="427" w:type="pct"/>
            <w:tcBorders>
              <w:top w:val="nil"/>
              <w:left w:val="nil"/>
              <w:bottom w:val="single" w:sz="4" w:space="0" w:color="auto"/>
              <w:right w:val="single" w:sz="4" w:space="0" w:color="auto"/>
            </w:tcBorders>
            <w:noWrap/>
            <w:vAlign w:val="bottom"/>
            <w:hideMark/>
          </w:tcPr>
          <w:p w14:paraId="416B4E2F"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0.2</w:t>
            </w:r>
          </w:p>
        </w:tc>
        <w:tc>
          <w:tcPr>
            <w:tcW w:w="427" w:type="pct"/>
            <w:tcBorders>
              <w:top w:val="nil"/>
              <w:left w:val="nil"/>
              <w:bottom w:val="single" w:sz="4" w:space="0" w:color="auto"/>
              <w:right w:val="single" w:sz="4" w:space="0" w:color="auto"/>
            </w:tcBorders>
            <w:noWrap/>
            <w:vAlign w:val="bottom"/>
            <w:hideMark/>
          </w:tcPr>
          <w:p w14:paraId="4CA33691"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5</w:t>
            </w:r>
          </w:p>
        </w:tc>
        <w:tc>
          <w:tcPr>
            <w:tcW w:w="508" w:type="pct"/>
            <w:tcBorders>
              <w:top w:val="nil"/>
              <w:left w:val="nil"/>
              <w:bottom w:val="single" w:sz="4" w:space="0" w:color="auto"/>
              <w:right w:val="single" w:sz="4" w:space="0" w:color="auto"/>
            </w:tcBorders>
            <w:noWrap/>
            <w:vAlign w:val="bottom"/>
            <w:hideMark/>
          </w:tcPr>
          <w:p w14:paraId="2C713C2F"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4.2</w:t>
            </w:r>
          </w:p>
        </w:tc>
        <w:tc>
          <w:tcPr>
            <w:tcW w:w="468" w:type="pct"/>
            <w:tcBorders>
              <w:top w:val="nil"/>
              <w:left w:val="nil"/>
              <w:bottom w:val="single" w:sz="4" w:space="0" w:color="auto"/>
              <w:right w:val="single" w:sz="4" w:space="0" w:color="auto"/>
            </w:tcBorders>
            <w:noWrap/>
            <w:vAlign w:val="bottom"/>
            <w:hideMark/>
          </w:tcPr>
          <w:p w14:paraId="0F1E92F2"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3.7</w:t>
            </w:r>
          </w:p>
        </w:tc>
        <w:tc>
          <w:tcPr>
            <w:tcW w:w="468" w:type="pct"/>
            <w:tcBorders>
              <w:top w:val="nil"/>
              <w:left w:val="nil"/>
              <w:bottom w:val="single" w:sz="4" w:space="0" w:color="auto"/>
              <w:right w:val="single" w:sz="4" w:space="0" w:color="auto"/>
            </w:tcBorders>
            <w:noWrap/>
            <w:vAlign w:val="bottom"/>
            <w:hideMark/>
          </w:tcPr>
          <w:p w14:paraId="22F80669"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3.6</w:t>
            </w:r>
          </w:p>
        </w:tc>
        <w:tc>
          <w:tcPr>
            <w:tcW w:w="468" w:type="pct"/>
            <w:tcBorders>
              <w:top w:val="nil"/>
              <w:left w:val="nil"/>
              <w:bottom w:val="single" w:sz="4" w:space="0" w:color="auto"/>
              <w:right w:val="single" w:sz="4" w:space="0" w:color="auto"/>
            </w:tcBorders>
            <w:noWrap/>
            <w:vAlign w:val="bottom"/>
            <w:hideMark/>
          </w:tcPr>
          <w:p w14:paraId="201AC256"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3.6</w:t>
            </w:r>
          </w:p>
        </w:tc>
      </w:tr>
      <w:tr w:rsidR="00B20A92" w:rsidRPr="00305D32" w14:paraId="46EE5151"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78806023"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Perú</w:t>
            </w:r>
          </w:p>
        </w:tc>
        <w:tc>
          <w:tcPr>
            <w:tcW w:w="427" w:type="pct"/>
            <w:tcBorders>
              <w:top w:val="nil"/>
              <w:left w:val="nil"/>
              <w:bottom w:val="single" w:sz="4" w:space="0" w:color="auto"/>
              <w:right w:val="single" w:sz="4" w:space="0" w:color="auto"/>
            </w:tcBorders>
            <w:noWrap/>
            <w:vAlign w:val="bottom"/>
            <w:hideMark/>
          </w:tcPr>
          <w:p w14:paraId="6FF50B0F"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2.8</w:t>
            </w:r>
          </w:p>
        </w:tc>
        <w:tc>
          <w:tcPr>
            <w:tcW w:w="427" w:type="pct"/>
            <w:tcBorders>
              <w:top w:val="nil"/>
              <w:left w:val="nil"/>
              <w:bottom w:val="single" w:sz="4" w:space="0" w:color="auto"/>
              <w:right w:val="single" w:sz="4" w:space="0" w:color="auto"/>
            </w:tcBorders>
            <w:noWrap/>
            <w:vAlign w:val="bottom"/>
            <w:hideMark/>
          </w:tcPr>
          <w:p w14:paraId="26B63177"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-0.4</w:t>
            </w:r>
          </w:p>
        </w:tc>
        <w:tc>
          <w:tcPr>
            <w:tcW w:w="508" w:type="pct"/>
            <w:tcBorders>
              <w:top w:val="nil"/>
              <w:left w:val="nil"/>
              <w:bottom w:val="single" w:sz="4" w:space="0" w:color="auto"/>
              <w:right w:val="single" w:sz="4" w:space="0" w:color="auto"/>
            </w:tcBorders>
            <w:noWrap/>
            <w:vAlign w:val="bottom"/>
            <w:hideMark/>
          </w:tcPr>
          <w:p w14:paraId="3694752D"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3.3</w:t>
            </w:r>
          </w:p>
        </w:tc>
        <w:tc>
          <w:tcPr>
            <w:tcW w:w="468" w:type="pct"/>
            <w:tcBorders>
              <w:top w:val="nil"/>
              <w:left w:val="nil"/>
              <w:bottom w:val="single" w:sz="4" w:space="0" w:color="auto"/>
              <w:right w:val="single" w:sz="4" w:space="0" w:color="auto"/>
            </w:tcBorders>
            <w:noWrap/>
            <w:vAlign w:val="bottom"/>
            <w:hideMark/>
          </w:tcPr>
          <w:p w14:paraId="78601C1B"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2.9</w:t>
            </w:r>
          </w:p>
        </w:tc>
        <w:tc>
          <w:tcPr>
            <w:tcW w:w="468" w:type="pct"/>
            <w:tcBorders>
              <w:top w:val="nil"/>
              <w:left w:val="nil"/>
              <w:bottom w:val="single" w:sz="4" w:space="0" w:color="auto"/>
              <w:right w:val="single" w:sz="4" w:space="0" w:color="auto"/>
            </w:tcBorders>
            <w:noWrap/>
            <w:vAlign w:val="bottom"/>
            <w:hideMark/>
          </w:tcPr>
          <w:p w14:paraId="1A233311"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2.5</w:t>
            </w:r>
          </w:p>
        </w:tc>
        <w:tc>
          <w:tcPr>
            <w:tcW w:w="468" w:type="pct"/>
            <w:tcBorders>
              <w:top w:val="nil"/>
              <w:left w:val="nil"/>
              <w:bottom w:val="single" w:sz="4" w:space="0" w:color="auto"/>
              <w:right w:val="single" w:sz="4" w:space="0" w:color="auto"/>
            </w:tcBorders>
            <w:noWrap/>
            <w:vAlign w:val="bottom"/>
            <w:hideMark/>
          </w:tcPr>
          <w:p w14:paraId="536AE55F"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2.5</w:t>
            </w:r>
          </w:p>
        </w:tc>
      </w:tr>
      <w:tr w:rsidR="00B20A92" w:rsidRPr="00305D32" w14:paraId="72ACB6F3"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3FB2682B"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República Dominicana</w:t>
            </w:r>
          </w:p>
        </w:tc>
        <w:tc>
          <w:tcPr>
            <w:tcW w:w="427" w:type="pct"/>
            <w:tcBorders>
              <w:top w:val="nil"/>
              <w:left w:val="nil"/>
              <w:bottom w:val="single" w:sz="4" w:space="0" w:color="auto"/>
              <w:right w:val="single" w:sz="4" w:space="0" w:color="auto"/>
            </w:tcBorders>
            <w:noWrap/>
            <w:vAlign w:val="bottom"/>
            <w:hideMark/>
          </w:tcPr>
          <w:p w14:paraId="3A5307FF"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5.2</w:t>
            </w:r>
          </w:p>
        </w:tc>
        <w:tc>
          <w:tcPr>
            <w:tcW w:w="427" w:type="pct"/>
            <w:tcBorders>
              <w:top w:val="nil"/>
              <w:left w:val="nil"/>
              <w:bottom w:val="single" w:sz="4" w:space="0" w:color="auto"/>
              <w:right w:val="single" w:sz="4" w:space="0" w:color="auto"/>
            </w:tcBorders>
            <w:noWrap/>
            <w:vAlign w:val="bottom"/>
            <w:hideMark/>
          </w:tcPr>
          <w:p w14:paraId="1E669B54"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2.2</w:t>
            </w:r>
          </w:p>
        </w:tc>
        <w:tc>
          <w:tcPr>
            <w:tcW w:w="508" w:type="pct"/>
            <w:tcBorders>
              <w:top w:val="nil"/>
              <w:left w:val="nil"/>
              <w:bottom w:val="single" w:sz="4" w:space="0" w:color="auto"/>
              <w:right w:val="single" w:sz="4" w:space="0" w:color="auto"/>
            </w:tcBorders>
            <w:noWrap/>
            <w:vAlign w:val="bottom"/>
            <w:hideMark/>
          </w:tcPr>
          <w:p w14:paraId="6161A940"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5</w:t>
            </w:r>
          </w:p>
        </w:tc>
        <w:tc>
          <w:tcPr>
            <w:tcW w:w="468" w:type="pct"/>
            <w:tcBorders>
              <w:top w:val="nil"/>
              <w:left w:val="nil"/>
              <w:bottom w:val="single" w:sz="4" w:space="0" w:color="auto"/>
              <w:right w:val="single" w:sz="4" w:space="0" w:color="auto"/>
            </w:tcBorders>
            <w:noWrap/>
            <w:vAlign w:val="bottom"/>
            <w:hideMark/>
          </w:tcPr>
          <w:p w14:paraId="7AA6DDE1"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4</w:t>
            </w:r>
          </w:p>
        </w:tc>
        <w:tc>
          <w:tcPr>
            <w:tcW w:w="468" w:type="pct"/>
            <w:tcBorders>
              <w:top w:val="nil"/>
              <w:left w:val="nil"/>
              <w:bottom w:val="single" w:sz="4" w:space="0" w:color="auto"/>
              <w:right w:val="single" w:sz="4" w:space="0" w:color="auto"/>
            </w:tcBorders>
            <w:noWrap/>
            <w:vAlign w:val="bottom"/>
            <w:hideMark/>
          </w:tcPr>
          <w:p w14:paraId="6E9AF493"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4.2</w:t>
            </w:r>
          </w:p>
        </w:tc>
        <w:tc>
          <w:tcPr>
            <w:tcW w:w="468" w:type="pct"/>
            <w:tcBorders>
              <w:top w:val="nil"/>
              <w:left w:val="nil"/>
              <w:bottom w:val="single" w:sz="4" w:space="0" w:color="auto"/>
              <w:right w:val="single" w:sz="4" w:space="0" w:color="auto"/>
            </w:tcBorders>
            <w:noWrap/>
            <w:vAlign w:val="bottom"/>
            <w:hideMark/>
          </w:tcPr>
          <w:p w14:paraId="49A5A4B6"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4.4</w:t>
            </w:r>
          </w:p>
        </w:tc>
      </w:tr>
      <w:tr w:rsidR="00B20A92" w:rsidRPr="00305D32" w14:paraId="445911BA"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66F38A80"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San Vicente y las Granadinas</w:t>
            </w:r>
          </w:p>
        </w:tc>
        <w:tc>
          <w:tcPr>
            <w:tcW w:w="427" w:type="pct"/>
            <w:tcBorders>
              <w:top w:val="nil"/>
              <w:left w:val="nil"/>
              <w:bottom w:val="single" w:sz="4" w:space="0" w:color="auto"/>
              <w:right w:val="single" w:sz="4" w:space="0" w:color="auto"/>
            </w:tcBorders>
            <w:noWrap/>
            <w:vAlign w:val="bottom"/>
            <w:hideMark/>
          </w:tcPr>
          <w:p w14:paraId="28154504"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5</w:t>
            </w:r>
          </w:p>
        </w:tc>
        <w:tc>
          <w:tcPr>
            <w:tcW w:w="427" w:type="pct"/>
            <w:tcBorders>
              <w:top w:val="nil"/>
              <w:left w:val="nil"/>
              <w:bottom w:val="single" w:sz="4" w:space="0" w:color="auto"/>
              <w:right w:val="single" w:sz="4" w:space="0" w:color="auto"/>
            </w:tcBorders>
            <w:noWrap/>
            <w:vAlign w:val="bottom"/>
            <w:hideMark/>
          </w:tcPr>
          <w:p w14:paraId="53056F3D"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5.8</w:t>
            </w:r>
          </w:p>
        </w:tc>
        <w:tc>
          <w:tcPr>
            <w:tcW w:w="508" w:type="pct"/>
            <w:tcBorders>
              <w:top w:val="nil"/>
              <w:left w:val="nil"/>
              <w:bottom w:val="single" w:sz="4" w:space="0" w:color="auto"/>
              <w:right w:val="single" w:sz="4" w:space="0" w:color="auto"/>
            </w:tcBorders>
            <w:noWrap/>
            <w:vAlign w:val="bottom"/>
            <w:hideMark/>
          </w:tcPr>
          <w:p w14:paraId="12894743"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4.5</w:t>
            </w:r>
          </w:p>
        </w:tc>
        <w:tc>
          <w:tcPr>
            <w:tcW w:w="468" w:type="pct"/>
            <w:tcBorders>
              <w:top w:val="nil"/>
              <w:left w:val="nil"/>
              <w:bottom w:val="single" w:sz="4" w:space="0" w:color="auto"/>
              <w:right w:val="single" w:sz="4" w:space="0" w:color="auto"/>
            </w:tcBorders>
            <w:noWrap/>
            <w:vAlign w:val="bottom"/>
            <w:hideMark/>
          </w:tcPr>
          <w:p w14:paraId="377F8F7C"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4.9</w:t>
            </w:r>
          </w:p>
        </w:tc>
        <w:tc>
          <w:tcPr>
            <w:tcW w:w="468" w:type="pct"/>
            <w:tcBorders>
              <w:top w:val="nil"/>
              <w:left w:val="nil"/>
              <w:bottom w:val="single" w:sz="4" w:space="0" w:color="auto"/>
              <w:right w:val="single" w:sz="4" w:space="0" w:color="auto"/>
            </w:tcBorders>
            <w:noWrap/>
            <w:vAlign w:val="bottom"/>
            <w:hideMark/>
          </w:tcPr>
          <w:p w14:paraId="33B06017"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2.9</w:t>
            </w:r>
          </w:p>
        </w:tc>
        <w:tc>
          <w:tcPr>
            <w:tcW w:w="468" w:type="pct"/>
            <w:tcBorders>
              <w:top w:val="nil"/>
              <w:left w:val="nil"/>
              <w:bottom w:val="single" w:sz="4" w:space="0" w:color="auto"/>
              <w:right w:val="single" w:sz="4" w:space="0" w:color="auto"/>
            </w:tcBorders>
            <w:noWrap/>
            <w:vAlign w:val="bottom"/>
            <w:hideMark/>
          </w:tcPr>
          <w:p w14:paraId="1063163E"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2.7</w:t>
            </w:r>
          </w:p>
        </w:tc>
      </w:tr>
      <w:tr w:rsidR="00B20A92" w:rsidRPr="00305D32" w14:paraId="33DD91F2"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2809F82B"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Santa Lucía</w:t>
            </w:r>
          </w:p>
        </w:tc>
        <w:tc>
          <w:tcPr>
            <w:tcW w:w="427" w:type="pct"/>
            <w:tcBorders>
              <w:top w:val="nil"/>
              <w:left w:val="nil"/>
              <w:bottom w:val="single" w:sz="4" w:space="0" w:color="auto"/>
              <w:right w:val="single" w:sz="4" w:space="0" w:color="auto"/>
            </w:tcBorders>
            <w:noWrap/>
            <w:vAlign w:val="bottom"/>
            <w:hideMark/>
          </w:tcPr>
          <w:p w14:paraId="21825D2B"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20.4</w:t>
            </w:r>
          </w:p>
        </w:tc>
        <w:tc>
          <w:tcPr>
            <w:tcW w:w="427" w:type="pct"/>
            <w:tcBorders>
              <w:top w:val="nil"/>
              <w:left w:val="nil"/>
              <w:bottom w:val="single" w:sz="4" w:space="0" w:color="auto"/>
              <w:right w:val="single" w:sz="4" w:space="0" w:color="auto"/>
            </w:tcBorders>
            <w:noWrap/>
            <w:vAlign w:val="bottom"/>
            <w:hideMark/>
          </w:tcPr>
          <w:p w14:paraId="213D0268"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2.2</w:t>
            </w:r>
          </w:p>
        </w:tc>
        <w:tc>
          <w:tcPr>
            <w:tcW w:w="508" w:type="pct"/>
            <w:tcBorders>
              <w:top w:val="nil"/>
              <w:left w:val="nil"/>
              <w:bottom w:val="single" w:sz="4" w:space="0" w:color="auto"/>
              <w:right w:val="single" w:sz="4" w:space="0" w:color="auto"/>
            </w:tcBorders>
            <w:noWrap/>
            <w:vAlign w:val="bottom"/>
            <w:hideMark/>
          </w:tcPr>
          <w:p w14:paraId="3C9203B5"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3.7</w:t>
            </w:r>
          </w:p>
        </w:tc>
        <w:tc>
          <w:tcPr>
            <w:tcW w:w="468" w:type="pct"/>
            <w:tcBorders>
              <w:top w:val="nil"/>
              <w:left w:val="nil"/>
              <w:bottom w:val="single" w:sz="4" w:space="0" w:color="auto"/>
              <w:right w:val="single" w:sz="4" w:space="0" w:color="auto"/>
            </w:tcBorders>
            <w:noWrap/>
            <w:vAlign w:val="bottom"/>
            <w:hideMark/>
          </w:tcPr>
          <w:p w14:paraId="48A50BDF"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2.8</w:t>
            </w:r>
          </w:p>
        </w:tc>
        <w:tc>
          <w:tcPr>
            <w:tcW w:w="468" w:type="pct"/>
            <w:tcBorders>
              <w:top w:val="nil"/>
              <w:left w:val="nil"/>
              <w:bottom w:val="single" w:sz="4" w:space="0" w:color="auto"/>
              <w:right w:val="single" w:sz="4" w:space="0" w:color="auto"/>
            </w:tcBorders>
            <w:noWrap/>
            <w:vAlign w:val="bottom"/>
            <w:hideMark/>
          </w:tcPr>
          <w:p w14:paraId="7EC55109"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2.3</w:t>
            </w:r>
          </w:p>
        </w:tc>
        <w:tc>
          <w:tcPr>
            <w:tcW w:w="468" w:type="pct"/>
            <w:tcBorders>
              <w:top w:val="nil"/>
              <w:left w:val="nil"/>
              <w:bottom w:val="single" w:sz="4" w:space="0" w:color="auto"/>
              <w:right w:val="single" w:sz="4" w:space="0" w:color="auto"/>
            </w:tcBorders>
            <w:noWrap/>
            <w:vAlign w:val="bottom"/>
            <w:hideMark/>
          </w:tcPr>
          <w:p w14:paraId="72C2BD1A"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1.9</w:t>
            </w:r>
          </w:p>
        </w:tc>
      </w:tr>
      <w:tr w:rsidR="00B20A92" w:rsidRPr="00305D32" w14:paraId="17C120BE"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5634C25C"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Suriname</w:t>
            </w:r>
          </w:p>
        </w:tc>
        <w:tc>
          <w:tcPr>
            <w:tcW w:w="427" w:type="pct"/>
            <w:tcBorders>
              <w:top w:val="nil"/>
              <w:left w:val="nil"/>
              <w:bottom w:val="single" w:sz="4" w:space="0" w:color="auto"/>
              <w:right w:val="single" w:sz="4" w:space="0" w:color="auto"/>
            </w:tcBorders>
            <w:noWrap/>
            <w:vAlign w:val="bottom"/>
            <w:hideMark/>
          </w:tcPr>
          <w:p w14:paraId="41112E45"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2.4</w:t>
            </w:r>
          </w:p>
        </w:tc>
        <w:tc>
          <w:tcPr>
            <w:tcW w:w="427" w:type="pct"/>
            <w:tcBorders>
              <w:top w:val="nil"/>
              <w:left w:val="nil"/>
              <w:bottom w:val="single" w:sz="4" w:space="0" w:color="auto"/>
              <w:right w:val="single" w:sz="4" w:space="0" w:color="auto"/>
            </w:tcBorders>
            <w:noWrap/>
            <w:vAlign w:val="bottom"/>
            <w:hideMark/>
          </w:tcPr>
          <w:p w14:paraId="4B28E7A8"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2.5</w:t>
            </w:r>
          </w:p>
        </w:tc>
        <w:tc>
          <w:tcPr>
            <w:tcW w:w="508" w:type="pct"/>
            <w:tcBorders>
              <w:top w:val="nil"/>
              <w:left w:val="nil"/>
              <w:bottom w:val="single" w:sz="4" w:space="0" w:color="auto"/>
              <w:right w:val="single" w:sz="4" w:space="0" w:color="auto"/>
            </w:tcBorders>
            <w:noWrap/>
            <w:vAlign w:val="bottom"/>
            <w:hideMark/>
          </w:tcPr>
          <w:p w14:paraId="7B4BE2A8"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2.8</w:t>
            </w:r>
          </w:p>
        </w:tc>
        <w:tc>
          <w:tcPr>
            <w:tcW w:w="468" w:type="pct"/>
            <w:tcBorders>
              <w:top w:val="nil"/>
              <w:left w:val="nil"/>
              <w:bottom w:val="single" w:sz="4" w:space="0" w:color="auto"/>
              <w:right w:val="single" w:sz="4" w:space="0" w:color="auto"/>
            </w:tcBorders>
            <w:noWrap/>
            <w:vAlign w:val="bottom"/>
            <w:hideMark/>
          </w:tcPr>
          <w:p w14:paraId="294343F0"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3.1</w:t>
            </w:r>
          </w:p>
        </w:tc>
        <w:tc>
          <w:tcPr>
            <w:tcW w:w="468" w:type="pct"/>
            <w:tcBorders>
              <w:top w:val="nil"/>
              <w:left w:val="nil"/>
              <w:bottom w:val="single" w:sz="4" w:space="0" w:color="auto"/>
              <w:right w:val="single" w:sz="4" w:space="0" w:color="auto"/>
            </w:tcBorders>
            <w:noWrap/>
            <w:vAlign w:val="bottom"/>
            <w:hideMark/>
          </w:tcPr>
          <w:p w14:paraId="1492203D"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3.3</w:t>
            </w:r>
          </w:p>
        </w:tc>
        <w:tc>
          <w:tcPr>
            <w:tcW w:w="468" w:type="pct"/>
            <w:tcBorders>
              <w:top w:val="nil"/>
              <w:left w:val="nil"/>
              <w:bottom w:val="single" w:sz="4" w:space="0" w:color="auto"/>
              <w:right w:val="single" w:sz="4" w:space="0" w:color="auto"/>
            </w:tcBorders>
            <w:noWrap/>
            <w:vAlign w:val="bottom"/>
            <w:hideMark/>
          </w:tcPr>
          <w:p w14:paraId="44EB73AA"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3.5</w:t>
            </w:r>
          </w:p>
        </w:tc>
      </w:tr>
      <w:tr w:rsidR="00B20A92" w:rsidRPr="00305D32" w14:paraId="60E03211"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6711E6A6"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Trinidad y Tobago</w:t>
            </w:r>
          </w:p>
        </w:tc>
        <w:tc>
          <w:tcPr>
            <w:tcW w:w="427" w:type="pct"/>
            <w:tcBorders>
              <w:top w:val="nil"/>
              <w:left w:val="nil"/>
              <w:bottom w:val="single" w:sz="4" w:space="0" w:color="auto"/>
              <w:right w:val="single" w:sz="4" w:space="0" w:color="auto"/>
            </w:tcBorders>
            <w:noWrap/>
            <w:vAlign w:val="bottom"/>
            <w:hideMark/>
          </w:tcPr>
          <w:p w14:paraId="34CA4F0A"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1.1</w:t>
            </w:r>
          </w:p>
        </w:tc>
        <w:tc>
          <w:tcPr>
            <w:tcW w:w="427" w:type="pct"/>
            <w:tcBorders>
              <w:top w:val="nil"/>
              <w:left w:val="nil"/>
              <w:bottom w:val="single" w:sz="4" w:space="0" w:color="auto"/>
              <w:right w:val="single" w:sz="4" w:space="0" w:color="auto"/>
            </w:tcBorders>
            <w:noWrap/>
            <w:vAlign w:val="bottom"/>
            <w:hideMark/>
          </w:tcPr>
          <w:p w14:paraId="5046F937"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1.4</w:t>
            </w:r>
          </w:p>
        </w:tc>
        <w:tc>
          <w:tcPr>
            <w:tcW w:w="508" w:type="pct"/>
            <w:tcBorders>
              <w:top w:val="nil"/>
              <w:left w:val="nil"/>
              <w:bottom w:val="single" w:sz="4" w:space="0" w:color="auto"/>
              <w:right w:val="single" w:sz="4" w:space="0" w:color="auto"/>
            </w:tcBorders>
            <w:noWrap/>
            <w:vAlign w:val="bottom"/>
            <w:hideMark/>
          </w:tcPr>
          <w:p w14:paraId="4DD390DD"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1.7</w:t>
            </w:r>
          </w:p>
        </w:tc>
        <w:tc>
          <w:tcPr>
            <w:tcW w:w="468" w:type="pct"/>
            <w:tcBorders>
              <w:top w:val="nil"/>
              <w:left w:val="nil"/>
              <w:bottom w:val="single" w:sz="4" w:space="0" w:color="auto"/>
              <w:right w:val="single" w:sz="4" w:space="0" w:color="auto"/>
            </w:tcBorders>
            <w:noWrap/>
            <w:vAlign w:val="bottom"/>
            <w:hideMark/>
          </w:tcPr>
          <w:p w14:paraId="48695EFA"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2.8</w:t>
            </w:r>
          </w:p>
        </w:tc>
        <w:tc>
          <w:tcPr>
            <w:tcW w:w="468" w:type="pct"/>
            <w:tcBorders>
              <w:top w:val="nil"/>
              <w:left w:val="nil"/>
              <w:bottom w:val="single" w:sz="4" w:space="0" w:color="auto"/>
              <w:right w:val="single" w:sz="4" w:space="0" w:color="auto"/>
            </w:tcBorders>
            <w:noWrap/>
            <w:vAlign w:val="bottom"/>
            <w:hideMark/>
          </w:tcPr>
          <w:p w14:paraId="0D6D7DDB"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1.3</w:t>
            </w:r>
          </w:p>
        </w:tc>
        <w:tc>
          <w:tcPr>
            <w:tcW w:w="468" w:type="pct"/>
            <w:tcBorders>
              <w:top w:val="nil"/>
              <w:left w:val="nil"/>
              <w:bottom w:val="single" w:sz="4" w:space="0" w:color="auto"/>
              <w:right w:val="single" w:sz="4" w:space="0" w:color="auto"/>
            </w:tcBorders>
            <w:noWrap/>
            <w:vAlign w:val="bottom"/>
            <w:hideMark/>
          </w:tcPr>
          <w:p w14:paraId="3C81F6A7"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3.2</w:t>
            </w:r>
          </w:p>
        </w:tc>
      </w:tr>
      <w:tr w:rsidR="00B20A92" w:rsidRPr="00305D32" w14:paraId="3CC4C1BE" w14:textId="77777777" w:rsidTr="002D1EA9">
        <w:trPr>
          <w:trHeight w:val="285"/>
        </w:trPr>
        <w:tc>
          <w:tcPr>
            <w:tcW w:w="2235" w:type="pct"/>
            <w:tcBorders>
              <w:top w:val="nil"/>
              <w:left w:val="single" w:sz="4" w:space="0" w:color="auto"/>
              <w:bottom w:val="single" w:sz="4" w:space="0" w:color="auto"/>
              <w:right w:val="single" w:sz="4" w:space="0" w:color="auto"/>
            </w:tcBorders>
            <w:noWrap/>
            <w:vAlign w:val="bottom"/>
            <w:hideMark/>
          </w:tcPr>
          <w:p w14:paraId="13EDA85F" w14:textId="77777777" w:rsidR="00186B19" w:rsidRPr="00305D32" w:rsidRDefault="00186B19" w:rsidP="00186B1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Uruguay</w:t>
            </w:r>
          </w:p>
        </w:tc>
        <w:tc>
          <w:tcPr>
            <w:tcW w:w="427" w:type="pct"/>
            <w:tcBorders>
              <w:top w:val="nil"/>
              <w:left w:val="nil"/>
              <w:bottom w:val="single" w:sz="4" w:space="0" w:color="auto"/>
              <w:right w:val="single" w:sz="4" w:space="0" w:color="auto"/>
            </w:tcBorders>
            <w:noWrap/>
            <w:vAlign w:val="bottom"/>
            <w:hideMark/>
          </w:tcPr>
          <w:p w14:paraId="1F60F119"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4.5</w:t>
            </w:r>
          </w:p>
        </w:tc>
        <w:tc>
          <w:tcPr>
            <w:tcW w:w="427" w:type="pct"/>
            <w:tcBorders>
              <w:top w:val="nil"/>
              <w:left w:val="nil"/>
              <w:bottom w:val="single" w:sz="4" w:space="0" w:color="auto"/>
              <w:right w:val="single" w:sz="4" w:space="0" w:color="auto"/>
            </w:tcBorders>
            <w:noWrap/>
            <w:vAlign w:val="bottom"/>
            <w:hideMark/>
          </w:tcPr>
          <w:p w14:paraId="650E027A"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0.7</w:t>
            </w:r>
          </w:p>
        </w:tc>
        <w:tc>
          <w:tcPr>
            <w:tcW w:w="508" w:type="pct"/>
            <w:tcBorders>
              <w:top w:val="nil"/>
              <w:left w:val="nil"/>
              <w:bottom w:val="single" w:sz="4" w:space="0" w:color="auto"/>
              <w:right w:val="single" w:sz="4" w:space="0" w:color="auto"/>
            </w:tcBorders>
            <w:noWrap/>
            <w:vAlign w:val="bottom"/>
            <w:hideMark/>
          </w:tcPr>
          <w:p w14:paraId="6581FD93"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3.1</w:t>
            </w:r>
          </w:p>
        </w:tc>
        <w:tc>
          <w:tcPr>
            <w:tcW w:w="468" w:type="pct"/>
            <w:tcBorders>
              <w:top w:val="nil"/>
              <w:left w:val="nil"/>
              <w:bottom w:val="single" w:sz="4" w:space="0" w:color="auto"/>
              <w:right w:val="single" w:sz="4" w:space="0" w:color="auto"/>
            </w:tcBorders>
            <w:noWrap/>
            <w:vAlign w:val="bottom"/>
            <w:hideMark/>
          </w:tcPr>
          <w:p w14:paraId="46E9E8E3"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2.3</w:t>
            </w:r>
          </w:p>
        </w:tc>
        <w:tc>
          <w:tcPr>
            <w:tcW w:w="468" w:type="pct"/>
            <w:tcBorders>
              <w:top w:val="nil"/>
              <w:left w:val="nil"/>
              <w:bottom w:val="single" w:sz="4" w:space="0" w:color="auto"/>
              <w:right w:val="single" w:sz="4" w:space="0" w:color="auto"/>
            </w:tcBorders>
            <w:noWrap/>
            <w:vAlign w:val="bottom"/>
            <w:hideMark/>
          </w:tcPr>
          <w:p w14:paraId="1698294E"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2.2</w:t>
            </w:r>
          </w:p>
        </w:tc>
        <w:tc>
          <w:tcPr>
            <w:tcW w:w="468" w:type="pct"/>
            <w:tcBorders>
              <w:top w:val="nil"/>
              <w:left w:val="nil"/>
              <w:bottom w:val="single" w:sz="4" w:space="0" w:color="auto"/>
              <w:right w:val="single" w:sz="4" w:space="0" w:color="auto"/>
            </w:tcBorders>
            <w:noWrap/>
            <w:vAlign w:val="bottom"/>
            <w:hideMark/>
          </w:tcPr>
          <w:p w14:paraId="66754AD5" w14:textId="77777777" w:rsidR="00186B19" w:rsidRPr="00305D32" w:rsidRDefault="00186B19" w:rsidP="002D1EA9">
            <w:pPr>
              <w:spacing w:after="0" w:line="240" w:lineRule="auto"/>
              <w:jc w:val="right"/>
              <w:rPr>
                <w:rFonts w:eastAsia="Times New Roman"/>
                <w:color w:val="000000"/>
                <w:sz w:val="20"/>
                <w:szCs w:val="20"/>
                <w:lang w:val="es-MX" w:eastAsia="es-MX"/>
              </w:rPr>
            </w:pPr>
            <w:r w:rsidRPr="00305D32">
              <w:rPr>
                <w:rFonts w:eastAsia="Times New Roman"/>
                <w:color w:val="000000"/>
                <w:sz w:val="20"/>
                <w:szCs w:val="20"/>
                <w:lang w:val="es-MX" w:eastAsia="es-MX"/>
              </w:rPr>
              <w:t>2.2</w:t>
            </w:r>
          </w:p>
        </w:tc>
      </w:tr>
    </w:tbl>
    <w:p w14:paraId="4D08318B" w14:textId="7CA17C4E" w:rsidR="00AE57F0" w:rsidRPr="00305D32" w:rsidRDefault="00414F7C">
      <w:pPr>
        <w:spacing w:line="240"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base en datos del Banco Mundial (202</w:t>
      </w:r>
      <w:r w:rsidR="00AF6F39" w:rsidRPr="00305D32">
        <w:rPr>
          <w:sz w:val="20"/>
          <w:szCs w:val="20"/>
          <w:lang w:val="es-MX"/>
        </w:rPr>
        <w:t>5</w:t>
      </w:r>
      <w:r w:rsidRPr="00305D32">
        <w:rPr>
          <w:sz w:val="20"/>
          <w:szCs w:val="20"/>
          <w:lang w:val="es-MX"/>
        </w:rPr>
        <w:t xml:space="preserve">). Nota: f: valores pronosticados; e: valores estimados. </w:t>
      </w:r>
      <w:r w:rsidR="006777FA" w:rsidRPr="00305D32">
        <w:rPr>
          <w:sz w:val="20"/>
          <w:szCs w:val="20"/>
          <w:lang w:val="es-MX"/>
        </w:rPr>
        <w:t>Fecha</w:t>
      </w:r>
      <w:r w:rsidRPr="00305D32">
        <w:rPr>
          <w:sz w:val="20"/>
          <w:szCs w:val="20"/>
          <w:lang w:val="es-MX"/>
        </w:rPr>
        <w:t xml:space="preserve"> de corte para los datos es el </w:t>
      </w:r>
      <w:r w:rsidR="004E7CC1" w:rsidRPr="00305D32">
        <w:rPr>
          <w:sz w:val="20"/>
          <w:szCs w:val="20"/>
          <w:lang w:val="es-MX"/>
        </w:rPr>
        <w:t>julio</w:t>
      </w:r>
      <w:r w:rsidRPr="00305D32">
        <w:rPr>
          <w:sz w:val="20"/>
          <w:szCs w:val="20"/>
          <w:lang w:val="es-MX"/>
        </w:rPr>
        <w:t xml:space="preserve"> de 202</w:t>
      </w:r>
      <w:r w:rsidR="00B20A92" w:rsidRPr="00305D32">
        <w:rPr>
          <w:sz w:val="20"/>
          <w:szCs w:val="20"/>
          <w:lang w:val="es-MX"/>
        </w:rPr>
        <w:t>5</w:t>
      </w:r>
      <w:r w:rsidRPr="00305D32">
        <w:rPr>
          <w:sz w:val="20"/>
          <w:szCs w:val="20"/>
          <w:lang w:val="es-MX"/>
        </w:rPr>
        <w:t>.</w:t>
      </w:r>
    </w:p>
    <w:p w14:paraId="10427AF9" w14:textId="5D56F09E" w:rsidR="009C420D" w:rsidRPr="00305D32" w:rsidRDefault="005116B5">
      <w:pPr>
        <w:rPr>
          <w:lang w:val="es-MX"/>
        </w:rPr>
      </w:pPr>
      <w:r w:rsidRPr="00305D32">
        <w:rPr>
          <w:lang w:val="es-MX"/>
        </w:rPr>
        <w:t xml:space="preserve">De acuerdo con el </w:t>
      </w:r>
      <w:r w:rsidR="00506443" w:rsidRPr="00305D32">
        <w:rPr>
          <w:i/>
          <w:iCs/>
          <w:lang w:val="es-MX"/>
        </w:rPr>
        <w:t>Informe sobre el futuro</w:t>
      </w:r>
      <w:r w:rsidR="00C93743" w:rsidRPr="00305D32">
        <w:rPr>
          <w:i/>
          <w:lang w:val="es-MX"/>
        </w:rPr>
        <w:t xml:space="preserve"> del </w:t>
      </w:r>
      <w:r w:rsidR="00506443" w:rsidRPr="00305D32">
        <w:rPr>
          <w:i/>
          <w:iCs/>
          <w:lang w:val="es-MX"/>
        </w:rPr>
        <w:t>empleo</w:t>
      </w:r>
      <w:r w:rsidRPr="00305D32">
        <w:rPr>
          <w:i/>
          <w:iCs/>
          <w:lang w:val="es-MX"/>
        </w:rPr>
        <w:t xml:space="preserve"> 2025</w:t>
      </w:r>
      <w:r w:rsidR="00C93743" w:rsidRPr="00305D32">
        <w:rPr>
          <w:i/>
          <w:iCs/>
          <w:lang w:val="es-MX"/>
        </w:rPr>
        <w:t xml:space="preserve"> (</w:t>
      </w:r>
      <w:r w:rsidR="002F5101" w:rsidRPr="00305D32">
        <w:rPr>
          <w:i/>
          <w:iCs/>
          <w:lang w:val="es-MX"/>
        </w:rPr>
        <w:t>The Future of Jobs Report 2025</w:t>
      </w:r>
      <w:r w:rsidR="00C93743" w:rsidRPr="00305D32">
        <w:rPr>
          <w:i/>
          <w:iCs/>
          <w:lang w:val="es-MX"/>
        </w:rPr>
        <w:t>)</w:t>
      </w:r>
      <w:r w:rsidRPr="00305D32">
        <w:rPr>
          <w:i/>
          <w:lang w:val="es-MX"/>
        </w:rPr>
        <w:t xml:space="preserve"> </w:t>
      </w:r>
      <w:r w:rsidRPr="00305D32">
        <w:rPr>
          <w:lang w:val="es-MX"/>
        </w:rPr>
        <w:t>del Foro Económico Mundial</w:t>
      </w:r>
      <w:r w:rsidR="0040400D">
        <w:rPr>
          <w:lang w:val="es-MX"/>
        </w:rPr>
        <w:t>,</w:t>
      </w:r>
      <w:r w:rsidR="002F5101" w:rsidRPr="00305D32">
        <w:rPr>
          <w:lang w:val="es-MX"/>
        </w:rPr>
        <w:t xml:space="preserve"> </w:t>
      </w:r>
      <w:r w:rsidR="00780D5E" w:rsidRPr="00780D5E">
        <w:rPr>
          <w:lang w:val="es-MX"/>
        </w:rPr>
        <w:t>se prevé un debilitamiento en la creación de empleo y una cierta limitación en el crecimiento salarial, entre las causas de este debilitamiento, el informe señala que en las economías de ingresos más altos el envejecimiento de la población está provocando escasez en la fuerza laboral, mientras que en las regiones de menores ingresos predomina una población más joven. Debido a ello, podrían presentarse marcadas diferencias entre las distintas regiones en los mercados laborales.</w:t>
      </w:r>
    </w:p>
    <w:p w14:paraId="4D083190" w14:textId="77777777" w:rsidR="00AE57F0" w:rsidRPr="00305D32" w:rsidRDefault="00414F7C">
      <w:pPr>
        <w:pStyle w:val="Ttulo1"/>
        <w:numPr>
          <w:ilvl w:val="0"/>
          <w:numId w:val="5"/>
        </w:numPr>
        <w:spacing w:before="0"/>
        <w:rPr>
          <w:lang w:val="es-MX"/>
        </w:rPr>
      </w:pPr>
      <w:r w:rsidRPr="00305D32">
        <w:rPr>
          <w:lang w:val="es-MX"/>
        </w:rPr>
        <w:lastRenderedPageBreak/>
        <w:t>Economía Nacional</w:t>
      </w:r>
    </w:p>
    <w:p w14:paraId="6D710F58" w14:textId="001B6CD0" w:rsidR="001B6019" w:rsidRPr="00305D32" w:rsidRDefault="001B6019" w:rsidP="001B6019">
      <w:pPr>
        <w:rPr>
          <w:lang w:val="es-MX"/>
        </w:rPr>
      </w:pPr>
      <w:r w:rsidRPr="00305D32">
        <w:rPr>
          <w:lang w:val="es-MX"/>
        </w:rPr>
        <w:t>En esta sección se analizan las principales variables de la economía nacional</w:t>
      </w:r>
      <w:r w:rsidR="007D3D91">
        <w:rPr>
          <w:lang w:val="es-MX"/>
        </w:rPr>
        <w:t>, las cuales</w:t>
      </w:r>
      <w:r w:rsidRPr="00305D32">
        <w:rPr>
          <w:lang w:val="es-MX"/>
        </w:rPr>
        <w:t xml:space="preserve"> permiten evaluar su desempeño y, en consecuencia, el impacto que este puede tener sobre la dinámica económica y los ingresos del Estado de Quintana Roo.</w:t>
      </w:r>
    </w:p>
    <w:p w14:paraId="6BDF7421" w14:textId="74527BC1" w:rsidR="001B6019" w:rsidRPr="00305D32" w:rsidRDefault="001B6019" w:rsidP="001B6019">
      <w:pPr>
        <w:rPr>
          <w:lang w:val="es-MX"/>
        </w:rPr>
      </w:pPr>
      <w:r w:rsidRPr="00305D32">
        <w:rPr>
          <w:lang w:val="es-MX"/>
        </w:rPr>
        <w:t xml:space="preserve">Se incluye la evolución del PIB medido a través de su tasa de crecimiento, así como aspectos relacionados con la política fiscal, particularmente la deuda pública, </w:t>
      </w:r>
      <w:r w:rsidR="006866A2">
        <w:rPr>
          <w:lang w:val="es-MX"/>
        </w:rPr>
        <w:t xml:space="preserve">la cual </w:t>
      </w:r>
      <w:r w:rsidRPr="00305D32">
        <w:rPr>
          <w:lang w:val="es-MX"/>
        </w:rPr>
        <w:t>resulta determinante en la distribución de transferencias federales bajo las modalidades de aportaciones, participaciones, convenios y diversos incentivos económicos.</w:t>
      </w:r>
    </w:p>
    <w:p w14:paraId="4D7C36EF" w14:textId="49E93495" w:rsidR="001B6019" w:rsidRPr="00305D32" w:rsidRDefault="001B6019" w:rsidP="001B6019">
      <w:pPr>
        <w:rPr>
          <w:lang w:val="es-MX"/>
        </w:rPr>
      </w:pPr>
      <w:r w:rsidRPr="00305D32">
        <w:rPr>
          <w:lang w:val="es-MX"/>
        </w:rPr>
        <w:t xml:space="preserve">De igual forma, se consideran los elementos vinculados </w:t>
      </w:r>
      <w:r w:rsidR="002F4C89">
        <w:rPr>
          <w:lang w:val="es-MX"/>
        </w:rPr>
        <w:t>con</w:t>
      </w:r>
      <w:r w:rsidRPr="00305D32">
        <w:rPr>
          <w:lang w:val="es-MX"/>
        </w:rPr>
        <w:t xml:space="preserve"> la política monetaria, como la inflación y la tasa de interés, destacando la relevancia de las variaciones en la Tasa de Interés Interbancaria de Equilibrio (TIIE), dado que estas influyen en el costo financiero de la deuda pública de</w:t>
      </w:r>
      <w:r w:rsidR="00C40E31">
        <w:rPr>
          <w:lang w:val="es-MX"/>
        </w:rPr>
        <w:t>l Estado de</w:t>
      </w:r>
      <w:r w:rsidRPr="00305D32">
        <w:rPr>
          <w:lang w:val="es-MX"/>
        </w:rPr>
        <w:t xml:space="preserve"> Quintana Roo.</w:t>
      </w:r>
    </w:p>
    <w:p w14:paraId="4D083194" w14:textId="276F59E2" w:rsidR="00AE57F0" w:rsidRPr="00305D32" w:rsidRDefault="001B6019" w:rsidP="001B6019">
      <w:pPr>
        <w:rPr>
          <w:lang w:val="es-MX"/>
        </w:rPr>
      </w:pPr>
      <w:r w:rsidRPr="00305D32">
        <w:rPr>
          <w:lang w:val="es-MX"/>
        </w:rPr>
        <w:t xml:space="preserve">Asimismo, se </w:t>
      </w:r>
      <w:r w:rsidR="00FF23C5">
        <w:rPr>
          <w:lang w:val="es-MX"/>
        </w:rPr>
        <w:t>incluyen</w:t>
      </w:r>
      <w:r w:rsidRPr="00305D32">
        <w:rPr>
          <w:lang w:val="es-MX"/>
        </w:rPr>
        <w:t xml:space="preserve"> apartados relativos al comportamiento del tipo de cambio, la producción petrolera destinada a la exportación, los precios internacionales del petróleo, el desempeño del sector turístico y la evolución de la tasa de desocupación en el mercado laboral nacional</w:t>
      </w:r>
      <w:r w:rsidR="00721FB7">
        <w:rPr>
          <w:lang w:val="es-MX"/>
        </w:rPr>
        <w:t>;</w:t>
      </w:r>
      <w:r w:rsidRPr="00305D32">
        <w:rPr>
          <w:lang w:val="es-MX"/>
        </w:rPr>
        <w:t xml:space="preserve"> todos ellos factores con la capacidad de </w:t>
      </w:r>
      <w:r w:rsidR="007E2EDF">
        <w:rPr>
          <w:lang w:val="es-MX"/>
        </w:rPr>
        <w:t>influir</w:t>
      </w:r>
      <w:r w:rsidRPr="00305D32">
        <w:rPr>
          <w:lang w:val="es-MX"/>
        </w:rPr>
        <w:t xml:space="preserve"> directamente en el crecimiento económico del país y, en consecuencia, en la economía de</w:t>
      </w:r>
      <w:r w:rsidR="006D2627">
        <w:rPr>
          <w:lang w:val="es-MX"/>
        </w:rPr>
        <w:t>l Estado de</w:t>
      </w:r>
      <w:r w:rsidRPr="00305D32">
        <w:rPr>
          <w:lang w:val="es-MX"/>
        </w:rPr>
        <w:t xml:space="preserve"> Quintana Roo.</w:t>
      </w:r>
    </w:p>
    <w:p w14:paraId="4D083195" w14:textId="77777777" w:rsidR="00AE57F0" w:rsidRPr="00305D32" w:rsidRDefault="00414F7C">
      <w:pPr>
        <w:pStyle w:val="Ttulo2"/>
        <w:numPr>
          <w:ilvl w:val="1"/>
          <w:numId w:val="5"/>
        </w:numPr>
        <w:rPr>
          <w:lang w:val="es-MX"/>
        </w:rPr>
      </w:pPr>
      <w:bookmarkStart w:id="14" w:name="_heading=h.kgcv8k" w:colFirst="0" w:colLast="0"/>
      <w:bookmarkEnd w:id="14"/>
      <w:r w:rsidRPr="00305D32">
        <w:rPr>
          <w:lang w:val="es-MX"/>
        </w:rPr>
        <w:t>Producto Interno Bruto</w:t>
      </w:r>
    </w:p>
    <w:p w14:paraId="4D083196" w14:textId="24636132" w:rsidR="00AE57F0" w:rsidRPr="00305D32" w:rsidRDefault="00A455A9">
      <w:pPr>
        <w:rPr>
          <w:lang w:val="es-MX"/>
        </w:rPr>
      </w:pPr>
      <w:r w:rsidRPr="00305D32">
        <w:rPr>
          <w:lang w:val="es-MX"/>
        </w:rPr>
        <w:t xml:space="preserve">La evolución del </w:t>
      </w:r>
      <w:r w:rsidR="00AB5792">
        <w:rPr>
          <w:lang w:val="es-MX"/>
        </w:rPr>
        <w:t>PIB</w:t>
      </w:r>
      <w:r w:rsidR="001121C8">
        <w:rPr>
          <w:lang w:val="es-MX"/>
        </w:rPr>
        <w:t xml:space="preserve"> </w:t>
      </w:r>
      <w:r w:rsidRPr="00305D32">
        <w:rPr>
          <w:lang w:val="es-MX"/>
        </w:rPr>
        <w:t xml:space="preserve">es uno de los principales indicadores económicos, ya que impacta directamente en el nivel de empleo y </w:t>
      </w:r>
      <w:r w:rsidR="00445031">
        <w:rPr>
          <w:lang w:val="es-MX"/>
        </w:rPr>
        <w:t xml:space="preserve">en </w:t>
      </w:r>
      <w:r w:rsidRPr="00305D32">
        <w:rPr>
          <w:lang w:val="es-MX"/>
        </w:rPr>
        <w:t xml:space="preserve">las finanzas públicas. Los ingresos del Estado dependen del dinamismo de la actividad económica, </w:t>
      </w:r>
      <w:r w:rsidR="00256A42">
        <w:rPr>
          <w:lang w:val="es-MX"/>
        </w:rPr>
        <w:t>dado que esta</w:t>
      </w:r>
      <w:r w:rsidRPr="00305D32">
        <w:rPr>
          <w:lang w:val="es-MX"/>
        </w:rPr>
        <w:t xml:space="preserve"> determina la capacidad de obtención de recursos. Asimismo, las entidades </w:t>
      </w:r>
      <w:r w:rsidRPr="00305D32">
        <w:rPr>
          <w:lang w:val="es-MX"/>
        </w:rPr>
        <w:lastRenderedPageBreak/>
        <w:t>federativas están vinculadas a la recaudación de impuestos federales, por lo que una disminución en la recaudación federal participable afecta directamente los ingresos de los estados y municipios.</w:t>
      </w:r>
    </w:p>
    <w:p w14:paraId="268417BB" w14:textId="080EFD75" w:rsidR="00B62495" w:rsidRDefault="00D624D9">
      <w:pPr>
        <w:rPr>
          <w:lang w:val="es-MX"/>
        </w:rPr>
      </w:pPr>
      <w:r w:rsidRPr="00305D32">
        <w:rPr>
          <w:lang w:val="es-MX"/>
        </w:rPr>
        <w:t xml:space="preserve">En la </w:t>
      </w:r>
      <w:r w:rsidR="00FC6492" w:rsidRPr="00305D32">
        <w:rPr>
          <w:lang w:val="es-MX"/>
        </w:rPr>
        <w:fldChar w:fldCharType="begin"/>
      </w:r>
      <w:r w:rsidR="00FC6492" w:rsidRPr="00305D32">
        <w:rPr>
          <w:lang w:val="es-MX"/>
        </w:rPr>
        <w:instrText xml:space="preserve"> REF _Ref210211534 \h </w:instrText>
      </w:r>
      <w:r w:rsidR="00FC6492" w:rsidRPr="00305D32">
        <w:rPr>
          <w:lang w:val="es-MX"/>
        </w:rPr>
      </w:r>
      <w:r w:rsidR="00FC6492" w:rsidRPr="00305D32">
        <w:rPr>
          <w:lang w:val="es-MX"/>
        </w:rPr>
        <w:fldChar w:fldCharType="separate"/>
      </w:r>
      <w:r w:rsidR="00ED1F2F" w:rsidRPr="00305D32">
        <w:rPr>
          <w:lang w:val="es-MX"/>
        </w:rPr>
        <w:t xml:space="preserve">Figura </w:t>
      </w:r>
      <w:r w:rsidR="00ED1F2F">
        <w:rPr>
          <w:bCs/>
          <w:noProof/>
          <w:lang w:val="es-MX"/>
        </w:rPr>
        <w:t>5</w:t>
      </w:r>
      <w:r w:rsidR="00FC6492" w:rsidRPr="00305D32">
        <w:rPr>
          <w:lang w:val="es-MX"/>
        </w:rPr>
        <w:fldChar w:fldCharType="end"/>
      </w:r>
      <w:r w:rsidRPr="00305D32">
        <w:rPr>
          <w:lang w:val="es-MX"/>
        </w:rPr>
        <w:t xml:space="preserve"> se </w:t>
      </w:r>
      <w:r w:rsidR="00B00DBC" w:rsidRPr="00B00DBC">
        <w:rPr>
          <w:lang w:val="es-MX"/>
        </w:rPr>
        <w:t>presenta la evolución trimestral del PIB de México, la cual refleja una tendencia hacia una desaceleración económica. En el cuarto trimestre de 2022, la economía del país creció 4.66</w:t>
      </w:r>
      <w:r w:rsidR="0019290E">
        <w:rPr>
          <w:lang w:val="es-MX"/>
        </w:rPr>
        <w:t xml:space="preserve"> %</w:t>
      </w:r>
      <w:r w:rsidR="00B00DBC" w:rsidRPr="00B00DBC">
        <w:rPr>
          <w:lang w:val="es-MX"/>
        </w:rPr>
        <w:t xml:space="preserve"> siendo este el mayor incremento en el periodo analizado. A partir de ese punto, la actividad económica comenzó a desacelerarse, registrando tasas de crecimiento cada vez menores.</w:t>
      </w:r>
    </w:p>
    <w:p w14:paraId="4D083197" w14:textId="5F1F0FF6" w:rsidR="00AE57F0" w:rsidRPr="00305D32" w:rsidRDefault="00A838A0">
      <w:pPr>
        <w:rPr>
          <w:b/>
          <w:lang w:val="es-MX"/>
        </w:rPr>
      </w:pPr>
      <w:r w:rsidRPr="00A838A0">
        <w:rPr>
          <w:lang w:val="es-MX"/>
        </w:rPr>
        <w:t>Durante los trimestres del ejercicio 2023 las variaciones se ubicaron alrededor del 3</w:t>
      </w:r>
      <w:r w:rsidR="0019290E">
        <w:rPr>
          <w:lang w:val="es-MX"/>
        </w:rPr>
        <w:t xml:space="preserve"> %</w:t>
      </w:r>
      <w:r w:rsidRPr="00A838A0">
        <w:rPr>
          <w:lang w:val="es-MX"/>
        </w:rPr>
        <w:t>, para posteriormente alcanzar un mínimo de 1.15</w:t>
      </w:r>
      <w:r w:rsidR="0019290E">
        <w:rPr>
          <w:lang w:val="es-MX"/>
        </w:rPr>
        <w:t xml:space="preserve"> %</w:t>
      </w:r>
      <w:r w:rsidRPr="00A838A0">
        <w:rPr>
          <w:lang w:val="es-MX"/>
        </w:rPr>
        <w:t xml:space="preserve"> en el segundo trimestre de 2024. Más adelante, en el tercer trimestre de 2024, se observó un ligero repunte con un crecimiento de 1.46</w:t>
      </w:r>
      <w:r w:rsidR="0019290E">
        <w:rPr>
          <w:lang w:val="es-MX"/>
        </w:rPr>
        <w:t xml:space="preserve"> %</w:t>
      </w:r>
      <w:r w:rsidRPr="00A838A0">
        <w:rPr>
          <w:lang w:val="es-MX"/>
        </w:rPr>
        <w:t>, sin embargo, en el cuarto trimestre cerró con una tasa de 0.44</w:t>
      </w:r>
      <w:r w:rsidR="0019290E">
        <w:rPr>
          <w:lang w:val="es-MX"/>
        </w:rPr>
        <w:t xml:space="preserve"> %</w:t>
      </w:r>
      <w:r w:rsidRPr="00A838A0">
        <w:rPr>
          <w:lang w:val="es-MX"/>
        </w:rPr>
        <w:t xml:space="preserve">. En cuanto a los dos primeros trimestres </w:t>
      </w:r>
      <w:r w:rsidRPr="00E2160D">
        <w:rPr>
          <w:lang w:val="es-MX"/>
        </w:rPr>
        <w:t>de 2025</w:t>
      </w:r>
      <w:r w:rsidRPr="00A838A0">
        <w:rPr>
          <w:lang w:val="es-MX"/>
        </w:rPr>
        <w:t>, se evidencia una leve recuperación con tasas de crecimiento de 0.66</w:t>
      </w:r>
      <w:r w:rsidR="0019290E">
        <w:rPr>
          <w:lang w:val="es-MX"/>
        </w:rPr>
        <w:t xml:space="preserve"> %</w:t>
      </w:r>
      <w:r w:rsidRPr="00A838A0">
        <w:rPr>
          <w:lang w:val="es-MX"/>
        </w:rPr>
        <w:t xml:space="preserve"> y 1.18</w:t>
      </w:r>
      <w:r w:rsidR="0019290E">
        <w:rPr>
          <w:lang w:val="es-MX"/>
        </w:rPr>
        <w:t xml:space="preserve"> %</w:t>
      </w:r>
      <w:r w:rsidRPr="00A838A0">
        <w:rPr>
          <w:lang w:val="es-MX"/>
        </w:rPr>
        <w:t xml:space="preserve"> respectivamente, para el primer y segundo trimestre.</w:t>
      </w:r>
      <w:r w:rsidR="000D6705" w:rsidRPr="00305D32">
        <w:rPr>
          <w:lang w:val="es-MX"/>
        </w:rPr>
        <w:t xml:space="preserve"> </w:t>
      </w:r>
    </w:p>
    <w:p w14:paraId="4D083198" w14:textId="371643CF" w:rsidR="00AE57F0" w:rsidRPr="00305D32" w:rsidRDefault="00FC6492" w:rsidP="00FC6492">
      <w:pPr>
        <w:pStyle w:val="Descripcin"/>
        <w:jc w:val="center"/>
        <w:rPr>
          <w:bCs w:val="0"/>
          <w:lang w:val="es-MX"/>
        </w:rPr>
      </w:pPr>
      <w:bookmarkStart w:id="15" w:name="_Ref210211534"/>
      <w:r w:rsidRPr="00305D32">
        <w:rPr>
          <w:bCs w:val="0"/>
          <w:lang w:val="es-MX"/>
        </w:rPr>
        <w:t xml:space="preserve">Figura </w:t>
      </w:r>
      <w:r w:rsidRPr="00305D32">
        <w:rPr>
          <w:bCs w:val="0"/>
          <w:lang w:val="es-MX"/>
        </w:rPr>
        <w:fldChar w:fldCharType="begin"/>
      </w:r>
      <w:r w:rsidRPr="00305D32">
        <w:rPr>
          <w:bCs w:val="0"/>
          <w:lang w:val="es-MX"/>
        </w:rPr>
        <w:instrText xml:space="preserve"> SEQ Figura \* ARABIC </w:instrText>
      </w:r>
      <w:r w:rsidRPr="00305D32">
        <w:rPr>
          <w:bCs w:val="0"/>
          <w:lang w:val="es-MX"/>
        </w:rPr>
        <w:fldChar w:fldCharType="separate"/>
      </w:r>
      <w:r w:rsidR="00ED1F2F">
        <w:rPr>
          <w:bCs w:val="0"/>
          <w:noProof/>
          <w:lang w:val="es-MX"/>
        </w:rPr>
        <w:t>5</w:t>
      </w:r>
      <w:r w:rsidRPr="00305D32">
        <w:rPr>
          <w:bCs w:val="0"/>
          <w:lang w:val="es-MX"/>
        </w:rPr>
        <w:fldChar w:fldCharType="end"/>
      </w:r>
      <w:bookmarkEnd w:id="15"/>
      <w:r w:rsidR="00414F7C" w:rsidRPr="00305D32">
        <w:rPr>
          <w:bCs w:val="0"/>
          <w:lang w:val="es-MX"/>
        </w:rPr>
        <w:t xml:space="preserve">. </w:t>
      </w:r>
      <w:r w:rsidR="003F694A" w:rsidRPr="00305D32">
        <w:rPr>
          <w:bCs w:val="0"/>
          <w:lang w:val="es-MX"/>
        </w:rPr>
        <w:t>Tasa de crecimiento</w:t>
      </w:r>
      <w:r w:rsidR="007333EF" w:rsidRPr="00305D32">
        <w:rPr>
          <w:bCs w:val="0"/>
          <w:lang w:val="es-MX"/>
        </w:rPr>
        <w:t xml:space="preserve"> </w:t>
      </w:r>
      <w:r w:rsidR="00E35079" w:rsidRPr="00305D32">
        <w:rPr>
          <w:bCs w:val="0"/>
          <w:lang w:val="es-MX"/>
        </w:rPr>
        <w:t>trimestral</w:t>
      </w:r>
      <w:r w:rsidR="00414F7C" w:rsidRPr="00305D32">
        <w:rPr>
          <w:bCs w:val="0"/>
          <w:lang w:val="es-MX"/>
        </w:rPr>
        <w:t xml:space="preserve"> del PIB </w:t>
      </w:r>
      <w:r w:rsidR="009D3854" w:rsidRPr="00305D32">
        <w:rPr>
          <w:bCs w:val="0"/>
          <w:lang w:val="es-MX"/>
        </w:rPr>
        <w:t>en</w:t>
      </w:r>
      <w:r w:rsidR="00414F7C" w:rsidRPr="00305D32">
        <w:rPr>
          <w:bCs w:val="0"/>
          <w:lang w:val="es-MX"/>
        </w:rPr>
        <w:t xml:space="preserve"> México, 2022-202</w:t>
      </w:r>
      <w:r w:rsidR="00D624D9" w:rsidRPr="00305D32">
        <w:rPr>
          <w:bCs w:val="0"/>
          <w:lang w:val="es-MX"/>
        </w:rPr>
        <w:t>5</w:t>
      </w:r>
    </w:p>
    <w:p w14:paraId="08514914" w14:textId="5A2AC059" w:rsidR="00674F92" w:rsidRPr="00305D32" w:rsidRDefault="00674F92" w:rsidP="0026455D">
      <w:pPr>
        <w:spacing w:after="0"/>
        <w:jc w:val="center"/>
        <w:rPr>
          <w:b/>
          <w:lang w:val="es-MX"/>
        </w:rPr>
      </w:pPr>
      <w:r w:rsidRPr="00305D32">
        <w:rPr>
          <w:noProof/>
          <w:lang w:val="es-MX" w:eastAsia="es-MX"/>
        </w:rPr>
        <w:drawing>
          <wp:inline distT="0" distB="0" distL="0" distR="0" wp14:anchorId="3521F9B0" wp14:editId="60E8143A">
            <wp:extent cx="5791835" cy="2183642"/>
            <wp:effectExtent l="0" t="0" r="18415" b="7620"/>
            <wp:docPr id="706728867" name="Gráfico 1">
              <a:extLst xmlns:a="http://schemas.openxmlformats.org/drawingml/2006/main">
                <a:ext uri="{FF2B5EF4-FFF2-40B4-BE49-F238E27FC236}">
                  <a16:creationId xmlns:a16="http://schemas.microsoft.com/office/drawing/2014/main" id="{8C95C14E-D37F-35C4-ED4D-9F452F7336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D08319A" w14:textId="4F97484E" w:rsidR="00AE57F0" w:rsidRPr="00305D32" w:rsidRDefault="00414F7C" w:rsidP="00BD1B77">
      <w:pPr>
        <w:spacing w:after="0" w:line="240" w:lineRule="auto"/>
        <w:jc w:val="center"/>
        <w:rPr>
          <w:sz w:val="20"/>
          <w:szCs w:val="20"/>
          <w:lang w:val="es-MX"/>
        </w:rPr>
      </w:pPr>
      <w:r w:rsidRPr="00305D32">
        <w:rPr>
          <w:sz w:val="20"/>
          <w:szCs w:val="20"/>
          <w:lang w:val="es-MX"/>
        </w:rPr>
        <w:t xml:space="preserve">Fuente: Elaboración de la Subsecretaría de Análisis Económico y Finanzas Públicas de la Secretaría de Finanzas y Planeación, con base en datos del </w:t>
      </w:r>
      <w:r w:rsidRPr="00305D32">
        <w:rPr>
          <w:i/>
          <w:sz w:val="20"/>
          <w:szCs w:val="20"/>
          <w:lang w:val="es-MX"/>
        </w:rPr>
        <w:t>PIB trimestral base 2018</w:t>
      </w:r>
      <w:r w:rsidRPr="00305D32">
        <w:rPr>
          <w:sz w:val="20"/>
          <w:szCs w:val="20"/>
          <w:lang w:val="es-MX"/>
        </w:rPr>
        <w:t xml:space="preserve"> del INEGI (202</w:t>
      </w:r>
      <w:r w:rsidR="0030372F" w:rsidRPr="00305D32">
        <w:rPr>
          <w:sz w:val="20"/>
          <w:szCs w:val="20"/>
          <w:lang w:val="es-MX"/>
        </w:rPr>
        <w:t>5</w:t>
      </w:r>
      <w:r w:rsidRPr="00305D32">
        <w:rPr>
          <w:sz w:val="20"/>
          <w:szCs w:val="20"/>
          <w:lang w:val="es-MX"/>
        </w:rPr>
        <w:t>)</w:t>
      </w:r>
      <w:r w:rsidRPr="00305D32">
        <w:rPr>
          <w:i/>
          <w:sz w:val="20"/>
          <w:szCs w:val="20"/>
          <w:lang w:val="es-MX"/>
        </w:rPr>
        <w:t>.</w:t>
      </w:r>
    </w:p>
    <w:p w14:paraId="7D57FACB" w14:textId="77777777" w:rsidR="00BD1B77" w:rsidRPr="00305D32" w:rsidRDefault="00BD1B77" w:rsidP="00BD1B77">
      <w:pPr>
        <w:spacing w:after="0" w:line="240" w:lineRule="auto"/>
        <w:jc w:val="center"/>
        <w:rPr>
          <w:sz w:val="20"/>
          <w:szCs w:val="20"/>
          <w:lang w:val="es-MX"/>
        </w:rPr>
      </w:pPr>
    </w:p>
    <w:p w14:paraId="5BAA070C" w14:textId="23F9BE53" w:rsidR="00657088" w:rsidRDefault="00BD1B77" w:rsidP="00BD1B77">
      <w:pPr>
        <w:rPr>
          <w:lang w:val="es-MX"/>
        </w:rPr>
      </w:pPr>
      <w:r w:rsidRPr="00305D32">
        <w:rPr>
          <w:lang w:val="es-MX"/>
        </w:rPr>
        <w:t xml:space="preserve">Cabe destacar que las cifras preliminares del cuarto trimestre de 2024 y </w:t>
      </w:r>
      <w:r w:rsidR="00753B7F">
        <w:rPr>
          <w:lang w:val="es-MX"/>
        </w:rPr>
        <w:t>d</w:t>
      </w:r>
      <w:r w:rsidRPr="00305D32">
        <w:rPr>
          <w:lang w:val="es-MX"/>
        </w:rPr>
        <w:t>el primer trimestre de 2025</w:t>
      </w:r>
      <w:r w:rsidR="00197E20">
        <w:rPr>
          <w:lang w:val="es-MX"/>
        </w:rPr>
        <w:t>,</w:t>
      </w:r>
      <w:r w:rsidRPr="00305D32">
        <w:rPr>
          <w:lang w:val="es-MX"/>
        </w:rPr>
        <w:t xml:space="preserve"> publicadas mediante el Indicador Oportuno de la Actividad Económica (IOAE) y el Índice Global de la Actividad Económica (IGAE) generaron una </w:t>
      </w:r>
      <w:r w:rsidR="00556CB8">
        <w:rPr>
          <w:lang w:val="es-MX"/>
        </w:rPr>
        <w:t>amplia</w:t>
      </w:r>
      <w:r w:rsidRPr="00305D32">
        <w:rPr>
          <w:lang w:val="es-MX"/>
        </w:rPr>
        <w:t xml:space="preserve"> discusión en los medios de comunicación, donde se plant</w:t>
      </w:r>
      <w:r w:rsidR="00657088">
        <w:rPr>
          <w:lang w:val="es-MX"/>
        </w:rPr>
        <w:t>eó</w:t>
      </w:r>
      <w:r w:rsidRPr="00305D32">
        <w:rPr>
          <w:lang w:val="es-MX"/>
        </w:rPr>
        <w:t xml:space="preserve"> la posibilidad de que la economía se ubicará en recesión técnica.</w:t>
      </w:r>
    </w:p>
    <w:p w14:paraId="32291FB0" w14:textId="54CFE92B" w:rsidR="00BD1B77" w:rsidRPr="00305D32" w:rsidRDefault="00BD1B77" w:rsidP="00BD1B77">
      <w:pPr>
        <w:rPr>
          <w:lang w:val="es-MX"/>
        </w:rPr>
      </w:pPr>
      <w:r w:rsidRPr="00305D32">
        <w:rPr>
          <w:lang w:val="es-MX"/>
        </w:rPr>
        <w:t>La revisión de estas cifras</w:t>
      </w:r>
      <w:r w:rsidR="00762E4D">
        <w:rPr>
          <w:lang w:val="es-MX"/>
        </w:rPr>
        <w:t>,</w:t>
      </w:r>
      <w:r w:rsidRPr="00305D32">
        <w:rPr>
          <w:lang w:val="es-MX"/>
        </w:rPr>
        <w:t xml:space="preserve"> con</w:t>
      </w:r>
      <w:r w:rsidR="00E43CED">
        <w:rPr>
          <w:lang w:val="es-MX"/>
        </w:rPr>
        <w:t xml:space="preserve"> la</w:t>
      </w:r>
      <w:r w:rsidRPr="00305D32">
        <w:rPr>
          <w:lang w:val="es-MX"/>
        </w:rPr>
        <w:t xml:space="preserve"> incorporación de datos más </w:t>
      </w:r>
      <w:r w:rsidR="00E43CED">
        <w:rPr>
          <w:lang w:val="es-MX"/>
        </w:rPr>
        <w:t>consistentes,</w:t>
      </w:r>
      <w:r w:rsidRPr="00305D32">
        <w:rPr>
          <w:lang w:val="es-MX"/>
        </w:rPr>
        <w:t xml:space="preserve"> permitió observar un panorama más favorable</w:t>
      </w:r>
      <w:r w:rsidR="00200A07">
        <w:rPr>
          <w:lang w:val="es-MX"/>
        </w:rPr>
        <w:t>.</w:t>
      </w:r>
      <w:r w:rsidRPr="00305D32">
        <w:rPr>
          <w:lang w:val="es-MX"/>
        </w:rPr>
        <w:t xml:space="preserve"> </w:t>
      </w:r>
      <w:r w:rsidR="00200A07">
        <w:rPr>
          <w:lang w:val="es-MX"/>
        </w:rPr>
        <w:t>S</w:t>
      </w:r>
      <w:r w:rsidRPr="00305D32">
        <w:rPr>
          <w:lang w:val="es-MX"/>
        </w:rPr>
        <w:t xml:space="preserve">i bien no </w:t>
      </w:r>
      <w:r w:rsidR="00200A07">
        <w:rPr>
          <w:lang w:val="es-MX"/>
        </w:rPr>
        <w:t>se confirma</w:t>
      </w:r>
      <w:r w:rsidRPr="00305D32">
        <w:rPr>
          <w:lang w:val="es-MX"/>
        </w:rPr>
        <w:t xml:space="preserve"> una recesión técnica, lo cierto es que la desaceleración ha sido significativa.</w:t>
      </w:r>
    </w:p>
    <w:p w14:paraId="56EDCA14" w14:textId="48183E08" w:rsidR="007A4EA0" w:rsidRDefault="00F460BE" w:rsidP="00F460BE">
      <w:pPr>
        <w:rPr>
          <w:lang w:val="es-MX"/>
        </w:rPr>
      </w:pPr>
      <w:r w:rsidRPr="00305D32">
        <w:rPr>
          <w:lang w:val="es-MX"/>
        </w:rPr>
        <w:t>De acuerdo con los datos oficiales del Instituto Nacional de Estadística y Geografía</w:t>
      </w:r>
      <w:r w:rsidR="00442C63">
        <w:rPr>
          <w:lang w:val="es-MX"/>
        </w:rPr>
        <w:t xml:space="preserve"> (INEGI)</w:t>
      </w:r>
      <w:r w:rsidRPr="00305D32">
        <w:rPr>
          <w:lang w:val="es-MX"/>
        </w:rPr>
        <w:t xml:space="preserve">, la economía de México </w:t>
      </w:r>
      <w:r w:rsidR="00442C63">
        <w:rPr>
          <w:lang w:val="es-MX"/>
        </w:rPr>
        <w:t>registró</w:t>
      </w:r>
      <w:r w:rsidRPr="00305D32">
        <w:rPr>
          <w:lang w:val="es-MX"/>
        </w:rPr>
        <w:t xml:space="preserve"> un crecimiento </w:t>
      </w:r>
      <w:r w:rsidR="00772BB4">
        <w:rPr>
          <w:lang w:val="es-MX"/>
        </w:rPr>
        <w:t>anual</w:t>
      </w:r>
      <w:r w:rsidRPr="00305D32">
        <w:rPr>
          <w:lang w:val="es-MX"/>
        </w:rPr>
        <w:t xml:space="preserve"> de 1.5</w:t>
      </w:r>
      <w:r w:rsidR="0019290E">
        <w:rPr>
          <w:lang w:val="es-MX"/>
        </w:rPr>
        <w:t xml:space="preserve"> %</w:t>
      </w:r>
      <w:r w:rsidRPr="00305D32">
        <w:rPr>
          <w:lang w:val="es-MX"/>
        </w:rPr>
        <w:t xml:space="preserve"> en 2024</w:t>
      </w:r>
      <w:r w:rsidR="00705A9E">
        <w:rPr>
          <w:lang w:val="es-MX"/>
        </w:rPr>
        <w:t>. E</w:t>
      </w:r>
      <w:r w:rsidR="00E072BD" w:rsidRPr="00305D32">
        <w:rPr>
          <w:lang w:val="es-MX"/>
        </w:rPr>
        <w:t xml:space="preserve">n contraste, en los </w:t>
      </w:r>
      <w:r w:rsidR="00854F6F" w:rsidRPr="00305D32">
        <w:rPr>
          <w:lang w:val="es-MX"/>
        </w:rPr>
        <w:t>CGPE 2024</w:t>
      </w:r>
      <w:r w:rsidR="00E84FF3">
        <w:rPr>
          <w:lang w:val="es-MX"/>
        </w:rPr>
        <w:t xml:space="preserve"> de</w:t>
      </w:r>
      <w:r w:rsidR="00E072BD" w:rsidRPr="00305D32">
        <w:rPr>
          <w:lang w:val="es-MX"/>
        </w:rPr>
        <w:t xml:space="preserve"> la </w:t>
      </w:r>
      <w:r w:rsidR="00CB515C">
        <w:rPr>
          <w:lang w:val="es-MX"/>
        </w:rPr>
        <w:t>SHCP</w:t>
      </w:r>
      <w:r w:rsidR="00E072BD" w:rsidRPr="00305D32">
        <w:rPr>
          <w:lang w:val="es-MX"/>
        </w:rPr>
        <w:t xml:space="preserve"> </w:t>
      </w:r>
      <w:r w:rsidR="00BC069E" w:rsidRPr="00BC069E">
        <w:rPr>
          <w:lang w:val="es-MX"/>
        </w:rPr>
        <w:t>estimaban un rango de crecimiento de entre el 2.5</w:t>
      </w:r>
      <w:r w:rsidR="0019290E">
        <w:rPr>
          <w:lang w:val="es-MX"/>
        </w:rPr>
        <w:t xml:space="preserve"> %</w:t>
      </w:r>
      <w:r w:rsidR="00BC069E" w:rsidRPr="00BC069E">
        <w:rPr>
          <w:lang w:val="es-MX"/>
        </w:rPr>
        <w:t xml:space="preserve"> y 3.5</w:t>
      </w:r>
      <w:r w:rsidR="0019290E">
        <w:rPr>
          <w:lang w:val="es-MX"/>
        </w:rPr>
        <w:t xml:space="preserve"> %</w:t>
      </w:r>
      <w:r w:rsidR="00BC069E" w:rsidRPr="00BC069E">
        <w:rPr>
          <w:lang w:val="es-MX"/>
        </w:rPr>
        <w:t>, pronosticando el crecimiento puntual en un 3</w:t>
      </w:r>
      <w:r w:rsidR="006777FA">
        <w:rPr>
          <w:lang w:val="es-MX"/>
        </w:rPr>
        <w:t>.0</w:t>
      </w:r>
      <w:r w:rsidR="0019290E">
        <w:rPr>
          <w:lang w:val="es-MX"/>
        </w:rPr>
        <w:t xml:space="preserve"> %</w:t>
      </w:r>
      <w:r w:rsidR="00BC069E" w:rsidRPr="00BC069E">
        <w:rPr>
          <w:lang w:val="es-MX"/>
        </w:rPr>
        <w:t xml:space="preserve"> para </w:t>
      </w:r>
      <w:r w:rsidR="00E03DAE">
        <w:rPr>
          <w:lang w:val="es-MX"/>
        </w:rPr>
        <w:t>el mismo ejercicio</w:t>
      </w:r>
      <w:r w:rsidR="00BC069E" w:rsidRPr="00BC069E">
        <w:rPr>
          <w:lang w:val="es-MX"/>
        </w:rPr>
        <w:t>.</w:t>
      </w:r>
    </w:p>
    <w:p w14:paraId="43EDD4BE" w14:textId="039BFC4C" w:rsidR="00F460BE" w:rsidRPr="00305D32" w:rsidRDefault="00AF14EC" w:rsidP="00F460BE">
      <w:pPr>
        <w:rPr>
          <w:lang w:val="es-MX"/>
        </w:rPr>
      </w:pPr>
      <w:r>
        <w:rPr>
          <w:lang w:val="es-MX"/>
        </w:rPr>
        <w:t>Por su parte l</w:t>
      </w:r>
      <w:r w:rsidR="00F460BE" w:rsidRPr="00305D32">
        <w:rPr>
          <w:lang w:val="es-MX"/>
        </w:rPr>
        <w:t xml:space="preserve">as estimaciones de la </w:t>
      </w:r>
      <w:r w:rsidR="00442613">
        <w:rPr>
          <w:lang w:val="es-MX"/>
        </w:rPr>
        <w:t xml:space="preserve">SHCP contenidas en </w:t>
      </w:r>
      <w:r w:rsidR="004D6663">
        <w:rPr>
          <w:lang w:val="es-MX"/>
        </w:rPr>
        <w:t xml:space="preserve">los </w:t>
      </w:r>
      <w:r w:rsidR="004D6663" w:rsidRPr="00305D32">
        <w:rPr>
          <w:lang w:val="es-MX"/>
        </w:rPr>
        <w:t>CGPE</w:t>
      </w:r>
      <w:r w:rsidR="002A62BA" w:rsidRPr="00305D32">
        <w:rPr>
          <w:lang w:val="es-MX"/>
        </w:rPr>
        <w:t xml:space="preserve"> </w:t>
      </w:r>
      <w:r w:rsidR="00F460BE" w:rsidRPr="00305D32">
        <w:rPr>
          <w:lang w:val="es-MX"/>
        </w:rPr>
        <w:t xml:space="preserve">2026 prevén un rango de crecimiento para 2025 </w:t>
      </w:r>
      <w:r w:rsidR="00442613">
        <w:rPr>
          <w:lang w:val="es-MX"/>
        </w:rPr>
        <w:t xml:space="preserve">de </w:t>
      </w:r>
      <w:r w:rsidR="00F460BE" w:rsidRPr="00305D32">
        <w:rPr>
          <w:lang w:val="es-MX"/>
        </w:rPr>
        <w:t xml:space="preserve">entre el </w:t>
      </w:r>
      <w:r w:rsidR="00B43EF2" w:rsidRPr="00305D32">
        <w:rPr>
          <w:lang w:val="es-MX"/>
        </w:rPr>
        <w:t>0</w:t>
      </w:r>
      <w:r w:rsidR="00F460BE" w:rsidRPr="00305D32">
        <w:rPr>
          <w:lang w:val="es-MX"/>
        </w:rPr>
        <w:t>.5</w:t>
      </w:r>
      <w:r w:rsidR="0019290E">
        <w:rPr>
          <w:lang w:val="es-MX"/>
        </w:rPr>
        <w:t xml:space="preserve"> %</w:t>
      </w:r>
      <w:r w:rsidR="00F460BE" w:rsidRPr="00305D32">
        <w:rPr>
          <w:lang w:val="es-MX"/>
        </w:rPr>
        <w:t xml:space="preserve"> y el </w:t>
      </w:r>
      <w:r w:rsidR="00B43EF2" w:rsidRPr="00305D32">
        <w:rPr>
          <w:lang w:val="es-MX"/>
        </w:rPr>
        <w:t>1.5</w:t>
      </w:r>
      <w:r w:rsidR="0019290E">
        <w:rPr>
          <w:lang w:val="es-MX"/>
        </w:rPr>
        <w:t xml:space="preserve"> %</w:t>
      </w:r>
      <w:r w:rsidR="00F460BE" w:rsidRPr="00305D32">
        <w:rPr>
          <w:lang w:val="es-MX"/>
        </w:rPr>
        <w:t>, situando el crecimiento puntual en 1</w:t>
      </w:r>
      <w:r w:rsidR="0019290E">
        <w:rPr>
          <w:lang w:val="es-MX"/>
        </w:rPr>
        <w:t xml:space="preserve"> %</w:t>
      </w:r>
      <w:r w:rsidR="00F460BE" w:rsidRPr="00305D32">
        <w:rPr>
          <w:lang w:val="es-MX"/>
        </w:rPr>
        <w:t xml:space="preserve"> para es</w:t>
      </w:r>
      <w:r w:rsidR="00D835CA" w:rsidRPr="00305D32">
        <w:rPr>
          <w:lang w:val="es-MX"/>
        </w:rPr>
        <w:t>t</w:t>
      </w:r>
      <w:r w:rsidR="00F460BE" w:rsidRPr="00305D32">
        <w:rPr>
          <w:lang w:val="es-MX"/>
        </w:rPr>
        <w:t>e año. Para 2026, se anticipa un crecimiento de alrededor de 2</w:t>
      </w:r>
      <w:r w:rsidR="00A609CF" w:rsidRPr="00305D32">
        <w:rPr>
          <w:lang w:val="es-MX"/>
        </w:rPr>
        <w:t>.3</w:t>
      </w:r>
      <w:r w:rsidR="0019290E">
        <w:rPr>
          <w:lang w:val="es-MX"/>
        </w:rPr>
        <w:t xml:space="preserve"> %</w:t>
      </w:r>
      <w:r w:rsidR="00F460BE" w:rsidRPr="00305D32">
        <w:rPr>
          <w:lang w:val="es-MX"/>
        </w:rPr>
        <w:t xml:space="preserve">, con un rango </w:t>
      </w:r>
      <w:r w:rsidR="001A7379">
        <w:rPr>
          <w:lang w:val="es-MX"/>
        </w:rPr>
        <w:t xml:space="preserve">estimado </w:t>
      </w:r>
      <w:r w:rsidR="00F460BE" w:rsidRPr="00305D32">
        <w:rPr>
          <w:lang w:val="es-MX"/>
        </w:rPr>
        <w:t>de 1.</w:t>
      </w:r>
      <w:r w:rsidR="00A609CF" w:rsidRPr="00305D32">
        <w:rPr>
          <w:lang w:val="es-MX"/>
        </w:rPr>
        <w:t>8</w:t>
      </w:r>
      <w:r w:rsidR="0019290E">
        <w:rPr>
          <w:lang w:val="es-MX"/>
        </w:rPr>
        <w:t xml:space="preserve"> %</w:t>
      </w:r>
      <w:r w:rsidR="00F460BE" w:rsidRPr="00305D32">
        <w:rPr>
          <w:lang w:val="es-MX"/>
        </w:rPr>
        <w:t xml:space="preserve"> y 2.</w:t>
      </w:r>
      <w:r w:rsidR="00A609CF" w:rsidRPr="00305D32">
        <w:rPr>
          <w:lang w:val="es-MX"/>
        </w:rPr>
        <w:t>8</w:t>
      </w:r>
      <w:r w:rsidR="0019290E">
        <w:rPr>
          <w:lang w:val="es-MX"/>
        </w:rPr>
        <w:t xml:space="preserve"> %</w:t>
      </w:r>
      <w:r w:rsidR="00F460BE" w:rsidRPr="00305D32">
        <w:rPr>
          <w:lang w:val="es-MX"/>
        </w:rPr>
        <w:t>.</w:t>
      </w:r>
    </w:p>
    <w:p w14:paraId="4D08319C" w14:textId="0407A224" w:rsidR="00AE57F0" w:rsidRPr="00305D32" w:rsidRDefault="00F460BE" w:rsidP="00F460BE">
      <w:pPr>
        <w:rPr>
          <w:lang w:val="es-MX"/>
        </w:rPr>
      </w:pPr>
      <w:r w:rsidRPr="00305D32">
        <w:rPr>
          <w:lang w:val="es-MX"/>
        </w:rPr>
        <w:t xml:space="preserve">Por otro lado, los organismos internacionales presentan perspectivas menos optimistas para la economía mexicana. El </w:t>
      </w:r>
      <w:r w:rsidR="004D111A">
        <w:rPr>
          <w:lang w:val="es-MX"/>
        </w:rPr>
        <w:t>FMI</w:t>
      </w:r>
      <w:r w:rsidRPr="00305D32">
        <w:rPr>
          <w:lang w:val="es-MX"/>
        </w:rPr>
        <w:t xml:space="preserve"> estima una tasa de crecimiento del 0.2</w:t>
      </w:r>
      <w:r w:rsidR="0019290E">
        <w:rPr>
          <w:lang w:val="es-MX"/>
        </w:rPr>
        <w:t xml:space="preserve"> %</w:t>
      </w:r>
      <w:r w:rsidRPr="00305D32">
        <w:rPr>
          <w:lang w:val="es-MX"/>
        </w:rPr>
        <w:t xml:space="preserve"> para 2025 y del 1.4</w:t>
      </w:r>
      <w:r w:rsidR="0019290E">
        <w:rPr>
          <w:lang w:val="es-MX"/>
        </w:rPr>
        <w:t xml:space="preserve"> %</w:t>
      </w:r>
      <w:r w:rsidRPr="00305D32">
        <w:rPr>
          <w:lang w:val="es-MX"/>
        </w:rPr>
        <w:t xml:space="preserve"> para 2026. De igual manera, el </w:t>
      </w:r>
      <w:r w:rsidR="008A4C19">
        <w:rPr>
          <w:lang w:val="es-MX"/>
        </w:rPr>
        <w:t>BM</w:t>
      </w:r>
      <w:r w:rsidRPr="00305D32">
        <w:rPr>
          <w:lang w:val="es-MX"/>
        </w:rPr>
        <w:t>, en su informe sobre América Latina, proyecta un crecimiento de 0.2</w:t>
      </w:r>
      <w:r w:rsidR="0019290E">
        <w:rPr>
          <w:lang w:val="es-MX"/>
        </w:rPr>
        <w:t xml:space="preserve"> %</w:t>
      </w:r>
      <w:r w:rsidRPr="00305D32">
        <w:rPr>
          <w:lang w:val="es-MX"/>
        </w:rPr>
        <w:t xml:space="preserve"> para 2025 y de 1.1</w:t>
      </w:r>
      <w:r w:rsidR="0019290E">
        <w:rPr>
          <w:lang w:val="es-MX"/>
        </w:rPr>
        <w:t xml:space="preserve"> %</w:t>
      </w:r>
      <w:r w:rsidRPr="00305D32">
        <w:rPr>
          <w:lang w:val="es-MX"/>
        </w:rPr>
        <w:t xml:space="preserve"> para 2026</w:t>
      </w:r>
      <w:r w:rsidR="003C340C" w:rsidRPr="00305D32">
        <w:rPr>
          <w:lang w:val="es-MX"/>
        </w:rPr>
        <w:t>.</w:t>
      </w:r>
    </w:p>
    <w:p w14:paraId="1175980E" w14:textId="3C80AA49" w:rsidR="00C47636" w:rsidRDefault="008E2D0B" w:rsidP="008E2D0B">
      <w:pPr>
        <w:rPr>
          <w:lang w:val="es-MX"/>
        </w:rPr>
      </w:pPr>
      <w:bookmarkStart w:id="16" w:name="_heading=h.1jlao46" w:colFirst="0" w:colLast="0"/>
      <w:bookmarkEnd w:id="16"/>
      <w:r w:rsidRPr="00305D32">
        <w:rPr>
          <w:lang w:val="es-MX"/>
        </w:rPr>
        <w:t xml:space="preserve">En general, la </w:t>
      </w:r>
      <w:r w:rsidR="002930B7" w:rsidRPr="00305D32">
        <w:rPr>
          <w:lang w:val="es-MX"/>
        </w:rPr>
        <w:fldChar w:fldCharType="begin"/>
      </w:r>
      <w:r w:rsidR="002930B7" w:rsidRPr="00305D32">
        <w:rPr>
          <w:lang w:val="es-MX"/>
        </w:rPr>
        <w:instrText xml:space="preserve"> REF _Ref210211870 \h </w:instrText>
      </w:r>
      <w:r w:rsidR="002930B7" w:rsidRPr="00305D32">
        <w:rPr>
          <w:lang w:val="es-MX"/>
        </w:rPr>
      </w:r>
      <w:r w:rsidR="002930B7" w:rsidRPr="00305D32">
        <w:rPr>
          <w:lang w:val="es-MX"/>
        </w:rPr>
        <w:fldChar w:fldCharType="separate"/>
      </w:r>
      <w:r w:rsidR="00ED1F2F" w:rsidRPr="00305D32">
        <w:rPr>
          <w:lang w:val="es-MX"/>
        </w:rPr>
        <w:t xml:space="preserve">Figura </w:t>
      </w:r>
      <w:r w:rsidR="00ED1F2F">
        <w:rPr>
          <w:noProof/>
          <w:lang w:val="es-MX"/>
        </w:rPr>
        <w:t>6</w:t>
      </w:r>
      <w:r w:rsidR="002930B7" w:rsidRPr="00305D32">
        <w:rPr>
          <w:lang w:val="es-MX"/>
        </w:rPr>
        <w:fldChar w:fldCharType="end"/>
      </w:r>
      <w:r w:rsidRPr="00305D32">
        <w:rPr>
          <w:lang w:val="es-MX"/>
        </w:rPr>
        <w:t xml:space="preserve"> refleja la</w:t>
      </w:r>
      <w:r w:rsidR="003F2E2E">
        <w:rPr>
          <w:lang w:val="es-MX"/>
        </w:rPr>
        <w:t xml:space="preserve"> evolución y</w:t>
      </w:r>
      <w:r w:rsidRPr="00305D32">
        <w:rPr>
          <w:lang w:val="es-MX"/>
        </w:rPr>
        <w:t xml:space="preserve"> perspectivas de crecimiento del </w:t>
      </w:r>
      <w:r w:rsidR="00AB5792">
        <w:rPr>
          <w:lang w:val="es-MX"/>
        </w:rPr>
        <w:t>PIB</w:t>
      </w:r>
      <w:r w:rsidR="001121C8">
        <w:rPr>
          <w:lang w:val="es-MX"/>
        </w:rPr>
        <w:t xml:space="preserve"> </w:t>
      </w:r>
      <w:r w:rsidRPr="00305D32">
        <w:rPr>
          <w:lang w:val="es-MX"/>
        </w:rPr>
        <w:t xml:space="preserve">de México entre 2023 y 2026, con estimaciones provenientes de tres fuentes clave: la </w:t>
      </w:r>
      <w:r w:rsidR="00CB515C">
        <w:rPr>
          <w:lang w:val="es-MX"/>
        </w:rPr>
        <w:t>SHCP</w:t>
      </w:r>
      <w:r w:rsidRPr="00305D32">
        <w:rPr>
          <w:lang w:val="es-MX"/>
        </w:rPr>
        <w:t xml:space="preserve">, el </w:t>
      </w:r>
      <w:r w:rsidR="004D111A">
        <w:rPr>
          <w:lang w:val="es-MX"/>
        </w:rPr>
        <w:t>FMI</w:t>
      </w:r>
      <w:r w:rsidRPr="00305D32">
        <w:rPr>
          <w:lang w:val="es-MX"/>
        </w:rPr>
        <w:t xml:space="preserve"> y el </w:t>
      </w:r>
      <w:r w:rsidR="008A4C19">
        <w:rPr>
          <w:lang w:val="es-MX"/>
        </w:rPr>
        <w:t>BM</w:t>
      </w:r>
      <w:r w:rsidRPr="00305D32">
        <w:rPr>
          <w:lang w:val="es-MX"/>
        </w:rPr>
        <w:t xml:space="preserve">. Los datos muestran una desaceleración gradual de la </w:t>
      </w:r>
      <w:r w:rsidRPr="00305D32">
        <w:rPr>
          <w:lang w:val="es-MX"/>
        </w:rPr>
        <w:lastRenderedPageBreak/>
        <w:t xml:space="preserve">economía mexicana, con un crecimiento destacado en 2023, </w:t>
      </w:r>
      <w:r w:rsidR="00AA20BB">
        <w:rPr>
          <w:lang w:val="es-MX"/>
        </w:rPr>
        <w:t>cuando se registró</w:t>
      </w:r>
      <w:r w:rsidRPr="00305D32">
        <w:rPr>
          <w:lang w:val="es-MX"/>
        </w:rPr>
        <w:t xml:space="preserve"> un rango </w:t>
      </w:r>
      <w:r w:rsidR="008E7143" w:rsidRPr="00305D32">
        <w:rPr>
          <w:lang w:val="es-MX"/>
        </w:rPr>
        <w:t xml:space="preserve">positivo </w:t>
      </w:r>
      <w:r w:rsidRPr="00305D32">
        <w:rPr>
          <w:lang w:val="es-MX"/>
        </w:rPr>
        <w:t>de entre el 3.3</w:t>
      </w:r>
      <w:r w:rsidR="0019290E">
        <w:rPr>
          <w:lang w:val="es-MX"/>
        </w:rPr>
        <w:t xml:space="preserve"> %</w:t>
      </w:r>
      <w:r w:rsidRPr="00305D32">
        <w:rPr>
          <w:lang w:val="es-MX"/>
        </w:rPr>
        <w:t xml:space="preserve"> y 3.4</w:t>
      </w:r>
      <w:r w:rsidR="0019290E">
        <w:rPr>
          <w:lang w:val="es-MX"/>
        </w:rPr>
        <w:t xml:space="preserve"> %</w:t>
      </w:r>
      <w:r w:rsidRPr="00305D32">
        <w:rPr>
          <w:lang w:val="es-MX"/>
        </w:rPr>
        <w:t>, de acuerdo con las tres instituciones.</w:t>
      </w:r>
    </w:p>
    <w:p w14:paraId="3F7D5BCD" w14:textId="0FDBCF4C" w:rsidR="00C47636" w:rsidRPr="00305D32" w:rsidRDefault="00C47636" w:rsidP="00C47636">
      <w:pPr>
        <w:pStyle w:val="Descripcin"/>
        <w:jc w:val="center"/>
        <w:rPr>
          <w:color w:val="000000"/>
          <w:lang w:val="es-MX"/>
        </w:rPr>
      </w:pPr>
      <w:bookmarkStart w:id="17" w:name="_Ref210211870"/>
      <w:r w:rsidRPr="00305D32">
        <w:rPr>
          <w:lang w:val="es-MX"/>
        </w:rPr>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6</w:t>
      </w:r>
      <w:r w:rsidRPr="00305D32">
        <w:rPr>
          <w:lang w:val="es-MX"/>
        </w:rPr>
        <w:fldChar w:fldCharType="end"/>
      </w:r>
      <w:bookmarkEnd w:id="17"/>
      <w:r w:rsidRPr="00305D32">
        <w:rPr>
          <w:color w:val="000000"/>
          <w:lang w:val="es-MX"/>
        </w:rPr>
        <w:t>. Perspectivas del crecimiento anual del PIB en México, 2023-2026*</w:t>
      </w:r>
    </w:p>
    <w:p w14:paraId="473798EB" w14:textId="77777777" w:rsidR="00C47636" w:rsidRPr="00305D32" w:rsidRDefault="00C47636" w:rsidP="0026455D">
      <w:pPr>
        <w:spacing w:after="0"/>
        <w:jc w:val="center"/>
        <w:rPr>
          <w:lang w:val="es-MX"/>
        </w:rPr>
      </w:pPr>
      <w:r w:rsidRPr="00327AD1">
        <w:rPr>
          <w:noProof/>
          <w:lang w:val="es-MX" w:eastAsia="es-MX"/>
        </w:rPr>
        <w:drawing>
          <wp:inline distT="0" distB="0" distL="0" distR="0" wp14:anchorId="7E7BF0EE" wp14:editId="73D6CB73">
            <wp:extent cx="4730606" cy="2624760"/>
            <wp:effectExtent l="0" t="0" r="13335" b="4445"/>
            <wp:docPr id="178586088" name="Gráfico 1">
              <a:extLst xmlns:a="http://schemas.openxmlformats.org/drawingml/2006/main">
                <a:ext uri="{FF2B5EF4-FFF2-40B4-BE49-F238E27FC236}">
                  <a16:creationId xmlns:a16="http://schemas.microsoft.com/office/drawing/2014/main" id="{500DF09B-8963-2A2A-822C-B8DE3BBD81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F25A38" w14:textId="58BA7FE8" w:rsidR="00C47636" w:rsidRPr="00305D32" w:rsidRDefault="00C47636" w:rsidP="00C47636">
      <w:pPr>
        <w:spacing w:line="240"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base en datos del Fondo Monetario Internacional (2025), Banco Mundial (2025) y la Secretaría de Hacienda y Crédito Público (2025). Nota: * Las tasas de 2025 y 2026 son proyecciones.</w:t>
      </w:r>
    </w:p>
    <w:p w14:paraId="0362F554" w14:textId="00D1DD10" w:rsidR="00261860" w:rsidRDefault="008E2D0B" w:rsidP="008E2D0B">
      <w:pPr>
        <w:rPr>
          <w:lang w:val="es-MX"/>
        </w:rPr>
      </w:pPr>
      <w:r w:rsidRPr="00305D32">
        <w:rPr>
          <w:lang w:val="es-MX"/>
        </w:rPr>
        <w:t>No obstante, l</w:t>
      </w:r>
      <w:r w:rsidR="00D72FFF" w:rsidRPr="00305D32">
        <w:rPr>
          <w:lang w:val="es-MX"/>
        </w:rPr>
        <w:t xml:space="preserve">os datos </w:t>
      </w:r>
      <w:r w:rsidR="00822225">
        <w:rPr>
          <w:lang w:val="es-MX"/>
        </w:rPr>
        <w:t>correspondientes a</w:t>
      </w:r>
      <w:r w:rsidRPr="00305D32">
        <w:rPr>
          <w:lang w:val="es-MX"/>
        </w:rPr>
        <w:t xml:space="preserve"> 2024 </w:t>
      </w:r>
      <w:r w:rsidR="009637EE">
        <w:rPr>
          <w:lang w:val="es-MX"/>
        </w:rPr>
        <w:t>mostraron</w:t>
      </w:r>
      <w:r w:rsidRPr="00305D32">
        <w:rPr>
          <w:lang w:val="es-MX"/>
        </w:rPr>
        <w:t xml:space="preserve"> una contracción significativa en el ritmo de crecimiento, con una</w:t>
      </w:r>
      <w:r w:rsidR="00FC12ED" w:rsidRPr="00305D32">
        <w:rPr>
          <w:lang w:val="es-MX"/>
        </w:rPr>
        <w:t xml:space="preserve"> </w:t>
      </w:r>
      <w:r w:rsidR="00CD22FA" w:rsidRPr="00305D32">
        <w:rPr>
          <w:lang w:val="es-MX"/>
        </w:rPr>
        <w:t>tasa</w:t>
      </w:r>
      <w:r w:rsidR="003C3F55" w:rsidRPr="00305D32">
        <w:rPr>
          <w:lang w:val="es-MX"/>
        </w:rPr>
        <w:t xml:space="preserve"> </w:t>
      </w:r>
      <w:r w:rsidRPr="00305D32">
        <w:rPr>
          <w:lang w:val="es-MX"/>
        </w:rPr>
        <w:t>de 1.4</w:t>
      </w:r>
      <w:r w:rsidR="0019290E">
        <w:rPr>
          <w:lang w:val="es-MX"/>
        </w:rPr>
        <w:t xml:space="preserve"> %</w:t>
      </w:r>
      <w:r w:rsidRPr="00305D32">
        <w:rPr>
          <w:lang w:val="es-MX"/>
        </w:rPr>
        <w:t xml:space="preserve"> tanto para el FMI como para </w:t>
      </w:r>
      <w:r w:rsidR="00C8209C" w:rsidRPr="00305D32">
        <w:rPr>
          <w:lang w:val="es-MX"/>
        </w:rPr>
        <w:t>la SHCP</w:t>
      </w:r>
      <w:r w:rsidRPr="00305D32">
        <w:rPr>
          <w:lang w:val="es-MX"/>
        </w:rPr>
        <w:t xml:space="preserve">, mientras que </w:t>
      </w:r>
      <w:r w:rsidR="00C8209C" w:rsidRPr="00305D32">
        <w:rPr>
          <w:lang w:val="es-MX"/>
        </w:rPr>
        <w:t>el BM</w:t>
      </w:r>
      <w:r w:rsidRPr="00305D32">
        <w:rPr>
          <w:lang w:val="es-MX"/>
        </w:rPr>
        <w:t xml:space="preserve"> también </w:t>
      </w:r>
      <w:r w:rsidR="00096001" w:rsidRPr="00305D32">
        <w:rPr>
          <w:lang w:val="es-MX"/>
        </w:rPr>
        <w:t>afianzó una</w:t>
      </w:r>
      <w:r w:rsidRPr="00305D32">
        <w:rPr>
          <w:lang w:val="es-MX"/>
        </w:rPr>
        <w:t xml:space="preserve"> desaceleración similar para ese año.</w:t>
      </w:r>
    </w:p>
    <w:p w14:paraId="15EE7AAB" w14:textId="3C37DD12" w:rsidR="008E2D0B" w:rsidRPr="00305D32" w:rsidRDefault="00E15940" w:rsidP="008E2D0B">
      <w:pPr>
        <w:rPr>
          <w:lang w:val="es-MX"/>
        </w:rPr>
      </w:pPr>
      <w:r w:rsidRPr="00305D32">
        <w:rPr>
          <w:lang w:val="es-MX"/>
        </w:rPr>
        <w:t>Para</w:t>
      </w:r>
      <w:r w:rsidR="008E2D0B" w:rsidRPr="00305D32">
        <w:rPr>
          <w:lang w:val="es-MX"/>
        </w:rPr>
        <w:t xml:space="preserve"> 2025, las expectativas </w:t>
      </w:r>
      <w:r w:rsidR="00CD0642">
        <w:rPr>
          <w:lang w:val="es-MX"/>
        </w:rPr>
        <w:t>resultaron</w:t>
      </w:r>
      <w:r w:rsidR="008E2D0B" w:rsidRPr="00305D32">
        <w:rPr>
          <w:lang w:val="es-MX"/>
        </w:rPr>
        <w:t xml:space="preserve"> aún más pesimistas</w:t>
      </w:r>
      <w:r w:rsidR="00341826" w:rsidRPr="00305D32">
        <w:rPr>
          <w:lang w:val="es-MX"/>
        </w:rPr>
        <w:t>, e</w:t>
      </w:r>
      <w:r w:rsidR="008E2D0B" w:rsidRPr="00305D32">
        <w:rPr>
          <w:lang w:val="es-MX"/>
        </w:rPr>
        <w:t>l FMI y el BM proyectan un crecimiento del 0.2</w:t>
      </w:r>
      <w:r w:rsidR="0019290E">
        <w:rPr>
          <w:lang w:val="es-MX"/>
        </w:rPr>
        <w:t xml:space="preserve"> %</w:t>
      </w:r>
      <w:r w:rsidR="008E2D0B" w:rsidRPr="00305D32">
        <w:rPr>
          <w:lang w:val="es-MX"/>
        </w:rPr>
        <w:t xml:space="preserve">, lo que refleja una desaceleración profunda de la actividad económica, influenciada por factores globales como el enfriamiento de las economías desarrolladas, la contracción en la inversión privada y las políticas monetarias restrictivas. Este escenario plantea serias dificultades para la reactivación económica del país, con efectos visibles </w:t>
      </w:r>
      <w:r w:rsidR="00E027F8">
        <w:rPr>
          <w:lang w:val="es-MX"/>
        </w:rPr>
        <w:t>para</w:t>
      </w:r>
      <w:r w:rsidR="008E2D0B" w:rsidRPr="00305D32">
        <w:rPr>
          <w:lang w:val="es-MX"/>
        </w:rPr>
        <w:t xml:space="preserve"> el empleo, la inversión y el consumo.</w:t>
      </w:r>
    </w:p>
    <w:p w14:paraId="75729E9B" w14:textId="11409C39" w:rsidR="008E2D0B" w:rsidRPr="00305D32" w:rsidRDefault="008E2D0B" w:rsidP="008E2D0B">
      <w:pPr>
        <w:rPr>
          <w:lang w:val="es-MX"/>
        </w:rPr>
      </w:pPr>
      <w:r w:rsidRPr="00305D32">
        <w:rPr>
          <w:lang w:val="es-MX"/>
        </w:rPr>
        <w:lastRenderedPageBreak/>
        <w:t xml:space="preserve">Para 2026, las proyecciones no </w:t>
      </w:r>
      <w:r w:rsidR="00A9026D">
        <w:rPr>
          <w:lang w:val="es-MX"/>
        </w:rPr>
        <w:t>apuntan a</w:t>
      </w:r>
      <w:r w:rsidRPr="00305D32">
        <w:rPr>
          <w:lang w:val="es-MX"/>
        </w:rPr>
        <w:t xml:space="preserve"> una recuperación significativa. La SHCP anticipa un crecimiento de 2</w:t>
      </w:r>
      <w:r w:rsidR="00F44800" w:rsidRPr="00305D32">
        <w:rPr>
          <w:lang w:val="es-MX"/>
        </w:rPr>
        <w:t>.3</w:t>
      </w:r>
      <w:r w:rsidR="0019290E">
        <w:rPr>
          <w:lang w:val="es-MX"/>
        </w:rPr>
        <w:t xml:space="preserve"> %</w:t>
      </w:r>
      <w:r w:rsidRPr="00305D32">
        <w:rPr>
          <w:lang w:val="es-MX"/>
        </w:rPr>
        <w:t>, mientras que tanto el FMI como el BM estiman un crecimiento de entre 1.1</w:t>
      </w:r>
      <w:r w:rsidR="0019290E">
        <w:rPr>
          <w:lang w:val="es-MX"/>
        </w:rPr>
        <w:t xml:space="preserve"> %</w:t>
      </w:r>
      <w:r w:rsidRPr="00305D32">
        <w:rPr>
          <w:lang w:val="es-MX"/>
        </w:rPr>
        <w:t xml:space="preserve"> y 1.4</w:t>
      </w:r>
      <w:r w:rsidR="0019290E">
        <w:rPr>
          <w:lang w:val="es-MX"/>
        </w:rPr>
        <w:t xml:space="preserve"> %</w:t>
      </w:r>
      <w:r w:rsidRPr="00305D32">
        <w:rPr>
          <w:lang w:val="es-MX"/>
        </w:rPr>
        <w:t xml:space="preserve">, lo cual </w:t>
      </w:r>
      <w:r w:rsidR="007750B4">
        <w:rPr>
          <w:lang w:val="es-MX"/>
        </w:rPr>
        <w:t>continúa</w:t>
      </w:r>
      <w:r w:rsidR="00837BD1">
        <w:rPr>
          <w:lang w:val="es-MX"/>
        </w:rPr>
        <w:t xml:space="preserve"> siendo</w:t>
      </w:r>
      <w:r w:rsidRPr="00305D32">
        <w:rPr>
          <w:lang w:val="es-MX"/>
        </w:rPr>
        <w:t xml:space="preserve"> considerablemente bajo en comparación con las tasas de expansión </w:t>
      </w:r>
      <w:r w:rsidR="00837BD1">
        <w:rPr>
          <w:lang w:val="es-MX"/>
        </w:rPr>
        <w:t>obser</w:t>
      </w:r>
      <w:r w:rsidR="00BF1266">
        <w:rPr>
          <w:lang w:val="es-MX"/>
        </w:rPr>
        <w:t>vadas en años previos</w:t>
      </w:r>
      <w:r w:rsidRPr="00305D32">
        <w:rPr>
          <w:lang w:val="es-MX"/>
        </w:rPr>
        <w:t>.</w:t>
      </w:r>
    </w:p>
    <w:p w14:paraId="0850F569" w14:textId="3E26E099" w:rsidR="00F2569F" w:rsidRDefault="003421E0">
      <w:pPr>
        <w:rPr>
          <w:lang w:val="es-MX"/>
        </w:rPr>
      </w:pPr>
      <w:r w:rsidRPr="00305D32">
        <w:rPr>
          <w:lang w:val="es-MX"/>
        </w:rPr>
        <w:t>El Banco de México (BANXICO), en su informe trimestral correspondiente al periodo abril-junio de 2025, estima que el PIB de 2025 experimentará una variación de 0.6</w:t>
      </w:r>
      <w:r w:rsidR="0019290E">
        <w:rPr>
          <w:lang w:val="es-MX"/>
        </w:rPr>
        <w:t xml:space="preserve"> %</w:t>
      </w:r>
      <w:r w:rsidRPr="00305D32">
        <w:rPr>
          <w:lang w:val="es-MX"/>
        </w:rPr>
        <w:t>, mientras que para 2026 prevé un crecimiento de 1.1</w:t>
      </w:r>
      <w:r w:rsidR="0019290E">
        <w:rPr>
          <w:lang w:val="es-MX"/>
        </w:rPr>
        <w:t xml:space="preserve"> %</w:t>
      </w:r>
      <w:r w:rsidR="00F4684A">
        <w:rPr>
          <w:lang w:val="es-MX"/>
        </w:rPr>
        <w:t>. Estas</w:t>
      </w:r>
      <w:r w:rsidRPr="00305D32">
        <w:rPr>
          <w:lang w:val="es-MX"/>
        </w:rPr>
        <w:t xml:space="preserve"> cifras </w:t>
      </w:r>
      <w:r w:rsidR="007C1D95">
        <w:rPr>
          <w:lang w:val="es-MX"/>
        </w:rPr>
        <w:t>representan una ligera mejora respecto</w:t>
      </w:r>
      <w:r w:rsidR="00F2569F">
        <w:rPr>
          <w:lang w:val="es-MX"/>
        </w:rPr>
        <w:t xml:space="preserve"> al </w:t>
      </w:r>
      <w:r w:rsidR="005C2AF5">
        <w:rPr>
          <w:lang w:val="es-MX"/>
        </w:rPr>
        <w:t>trimestre</w:t>
      </w:r>
      <w:r w:rsidR="005C2AF5" w:rsidRPr="00305D32">
        <w:rPr>
          <w:lang w:val="es-MX"/>
        </w:rPr>
        <w:t xml:space="preserve"> </w:t>
      </w:r>
      <w:r w:rsidRPr="00305D32">
        <w:rPr>
          <w:lang w:val="es-MX"/>
        </w:rPr>
        <w:t xml:space="preserve">anterior, </w:t>
      </w:r>
      <w:r w:rsidR="00F2569F">
        <w:rPr>
          <w:lang w:val="es-MX"/>
        </w:rPr>
        <w:t xml:space="preserve">cuando las estimaciones </w:t>
      </w:r>
      <w:r w:rsidRPr="00305D32">
        <w:rPr>
          <w:lang w:val="es-MX"/>
        </w:rPr>
        <w:t>se ubicaban en 0.1</w:t>
      </w:r>
      <w:r w:rsidR="0019290E">
        <w:rPr>
          <w:lang w:val="es-MX"/>
        </w:rPr>
        <w:t xml:space="preserve"> %</w:t>
      </w:r>
      <w:r w:rsidRPr="00305D32">
        <w:rPr>
          <w:lang w:val="es-MX"/>
        </w:rPr>
        <w:t xml:space="preserve"> y 0.9</w:t>
      </w:r>
      <w:r w:rsidR="0019290E">
        <w:rPr>
          <w:lang w:val="es-MX"/>
        </w:rPr>
        <w:t xml:space="preserve"> %</w:t>
      </w:r>
      <w:r w:rsidRPr="00305D32">
        <w:rPr>
          <w:lang w:val="es-MX"/>
        </w:rPr>
        <w:t>, respectivamente.</w:t>
      </w:r>
    </w:p>
    <w:p w14:paraId="4E190494" w14:textId="60602894" w:rsidR="00CE5EA8" w:rsidRPr="00305D32" w:rsidRDefault="003421E0">
      <w:pPr>
        <w:rPr>
          <w:lang w:val="es-MX"/>
        </w:rPr>
      </w:pPr>
      <w:r w:rsidRPr="00305D32">
        <w:rPr>
          <w:lang w:val="es-MX"/>
        </w:rPr>
        <w:t>Por otro lado, la mediana de la encuesta realizada por Citibanamex</w:t>
      </w:r>
      <w:r w:rsidR="005739BD">
        <w:rPr>
          <w:lang w:val="es-MX"/>
        </w:rPr>
        <w:t>, aplicada</w:t>
      </w:r>
      <w:r w:rsidRPr="00305D32">
        <w:rPr>
          <w:lang w:val="es-MX"/>
        </w:rPr>
        <w:t xml:space="preserve"> a instituciones bancarias y casas de bolsa</w:t>
      </w:r>
      <w:r w:rsidR="005739BD">
        <w:rPr>
          <w:lang w:val="es-MX"/>
        </w:rPr>
        <w:t xml:space="preserve"> </w:t>
      </w:r>
      <w:r w:rsidRPr="00305D32">
        <w:rPr>
          <w:lang w:val="es-MX"/>
        </w:rPr>
        <w:t>(</w:t>
      </w:r>
      <w:r w:rsidR="0032134C" w:rsidRPr="00305D32">
        <w:rPr>
          <w:lang w:val="es-MX"/>
        </w:rPr>
        <w:t>22</w:t>
      </w:r>
      <w:r w:rsidRPr="00305D32">
        <w:rPr>
          <w:lang w:val="es-MX"/>
        </w:rPr>
        <w:t xml:space="preserve"> de </w:t>
      </w:r>
      <w:r w:rsidR="005E5149" w:rsidRPr="00305D32">
        <w:rPr>
          <w:lang w:val="es-MX"/>
        </w:rPr>
        <w:t>septiembre</w:t>
      </w:r>
      <w:r w:rsidRPr="00305D32">
        <w:rPr>
          <w:lang w:val="es-MX"/>
        </w:rPr>
        <w:t xml:space="preserve"> de 2025) proyecta un crecimiento de 0.</w:t>
      </w:r>
      <w:r w:rsidR="008F6DE5" w:rsidRPr="00305D32">
        <w:rPr>
          <w:lang w:val="es-MX"/>
        </w:rPr>
        <w:t>5</w:t>
      </w:r>
      <w:r w:rsidR="0019290E">
        <w:rPr>
          <w:lang w:val="es-MX"/>
        </w:rPr>
        <w:t xml:space="preserve"> %</w:t>
      </w:r>
      <w:r w:rsidRPr="00305D32">
        <w:rPr>
          <w:lang w:val="es-MX"/>
        </w:rPr>
        <w:t xml:space="preserve"> para 2025 y de 1.</w:t>
      </w:r>
      <w:r w:rsidR="0024052F" w:rsidRPr="00305D32">
        <w:rPr>
          <w:lang w:val="es-MX"/>
        </w:rPr>
        <w:t>3</w:t>
      </w:r>
      <w:r w:rsidR="0019290E">
        <w:rPr>
          <w:lang w:val="es-MX"/>
        </w:rPr>
        <w:t xml:space="preserve"> %</w:t>
      </w:r>
      <w:r w:rsidRPr="00305D32">
        <w:rPr>
          <w:lang w:val="es-MX"/>
        </w:rPr>
        <w:t xml:space="preserve"> para 2026.</w:t>
      </w:r>
    </w:p>
    <w:p w14:paraId="12A6F1C7" w14:textId="124FB130" w:rsidR="0014129F" w:rsidRDefault="00CE5EA8">
      <w:pPr>
        <w:rPr>
          <w:lang w:val="es-MX"/>
        </w:rPr>
      </w:pPr>
      <w:r w:rsidRPr="00305D32">
        <w:rPr>
          <w:lang w:val="es-MX"/>
        </w:rPr>
        <w:t>De igual manera, la SHCP</w:t>
      </w:r>
      <w:r w:rsidR="0042050A" w:rsidRPr="00305D32">
        <w:rPr>
          <w:lang w:val="es-MX"/>
        </w:rPr>
        <w:t xml:space="preserve"> estima que una aceleración de </w:t>
      </w:r>
      <w:r w:rsidR="00370C60" w:rsidRPr="00305D32">
        <w:rPr>
          <w:lang w:val="es-MX"/>
        </w:rPr>
        <w:t>medio</w:t>
      </w:r>
      <w:r w:rsidR="0042050A" w:rsidRPr="00305D32">
        <w:rPr>
          <w:lang w:val="es-MX"/>
        </w:rPr>
        <w:t xml:space="preserve"> punto </w:t>
      </w:r>
      <w:r w:rsidR="002F62FA">
        <w:rPr>
          <w:lang w:val="es-MX"/>
        </w:rPr>
        <w:t>porcentual en el</w:t>
      </w:r>
      <w:r w:rsidR="0042050A" w:rsidRPr="00305D32">
        <w:rPr>
          <w:lang w:val="es-MX"/>
        </w:rPr>
        <w:t xml:space="preserve"> crecimiento </w:t>
      </w:r>
      <w:r w:rsidR="00DA4C7F" w:rsidRPr="00305D32">
        <w:rPr>
          <w:lang w:val="es-MX"/>
        </w:rPr>
        <w:t>económico</w:t>
      </w:r>
      <w:r w:rsidR="0042050A" w:rsidRPr="00305D32">
        <w:rPr>
          <w:lang w:val="es-MX"/>
        </w:rPr>
        <w:t xml:space="preserve"> se traduciría en un incremento </w:t>
      </w:r>
      <w:r w:rsidR="002F62FA">
        <w:rPr>
          <w:lang w:val="es-MX"/>
        </w:rPr>
        <w:t>aproximado</w:t>
      </w:r>
      <w:r w:rsidR="0042050A" w:rsidRPr="00305D32">
        <w:rPr>
          <w:lang w:val="es-MX"/>
        </w:rPr>
        <w:t xml:space="preserve"> de </w:t>
      </w:r>
      <w:r w:rsidR="00BE2205" w:rsidRPr="00305D32">
        <w:rPr>
          <w:lang w:val="es-MX"/>
        </w:rPr>
        <w:t>29.4</w:t>
      </w:r>
      <w:r w:rsidR="0042050A" w:rsidRPr="00305D32">
        <w:rPr>
          <w:lang w:val="es-MX"/>
        </w:rPr>
        <w:t xml:space="preserve"> mil millones de pesos en los ingresos tributarios</w:t>
      </w:r>
      <w:r w:rsidR="00762F43">
        <w:rPr>
          <w:lang w:val="es-MX"/>
        </w:rPr>
        <w:t xml:space="preserve">, </w:t>
      </w:r>
      <w:r w:rsidR="0014129F" w:rsidRPr="0014129F">
        <w:rPr>
          <w:lang w:val="es-MX"/>
        </w:rPr>
        <w:t xml:space="preserve">debido a que un mayor crecimiento económico eleva la recaudación pública, principalmente de impuestos como el IVA, el ISR y otros gravámenes federales.  </w:t>
      </w:r>
    </w:p>
    <w:p w14:paraId="0491CE90" w14:textId="44D99840" w:rsidR="00146AED" w:rsidRDefault="00146AED">
      <w:pPr>
        <w:rPr>
          <w:lang w:val="es-MX"/>
        </w:rPr>
      </w:pPr>
      <w:r w:rsidRPr="00305D32">
        <w:rPr>
          <w:lang w:val="es-MX"/>
        </w:rPr>
        <w:t>Este contexto sugiere que, si bien México podr</w:t>
      </w:r>
      <w:r w:rsidR="001877F5">
        <w:rPr>
          <w:lang w:val="es-MX"/>
        </w:rPr>
        <w:t>ía</w:t>
      </w:r>
      <w:r w:rsidRPr="00305D32">
        <w:rPr>
          <w:lang w:val="es-MX"/>
        </w:rPr>
        <w:t xml:space="preserve"> registrar un leve repunte en los próximos años, el crecimiento económico ser</w:t>
      </w:r>
      <w:r w:rsidR="001877F5">
        <w:rPr>
          <w:lang w:val="es-MX"/>
        </w:rPr>
        <w:t>ía</w:t>
      </w:r>
      <w:r w:rsidRPr="00305D32">
        <w:rPr>
          <w:lang w:val="es-MX"/>
        </w:rPr>
        <w:t xml:space="preserve"> insuficiente para recuperar la vitalidad económica esperada, lo que podría </w:t>
      </w:r>
      <w:r w:rsidR="001877F5">
        <w:rPr>
          <w:lang w:val="es-MX"/>
        </w:rPr>
        <w:t>registrar</w:t>
      </w:r>
      <w:r w:rsidRPr="00305D32">
        <w:rPr>
          <w:lang w:val="es-MX"/>
        </w:rPr>
        <w:t xml:space="preserve"> tensiones tanto en el mercado laboral como en las finanzas públicas. Las proyecciones apuntan a una recaudación fiscal más débil y una mayor presión sobre las políticas de gasto público, lo que afectaría las posibilidades de inversión en infraestructura y desarrollo social.</w:t>
      </w:r>
    </w:p>
    <w:p w14:paraId="3D405FBB" w14:textId="77777777" w:rsidR="00160199" w:rsidRPr="00305D32" w:rsidRDefault="00160199">
      <w:pPr>
        <w:rPr>
          <w:lang w:val="es-MX"/>
        </w:rPr>
      </w:pPr>
    </w:p>
    <w:p w14:paraId="4D0831A9" w14:textId="77777777" w:rsidR="00AE57F0" w:rsidRPr="00305D32" w:rsidRDefault="00414F7C">
      <w:pPr>
        <w:pStyle w:val="Ttulo2"/>
        <w:numPr>
          <w:ilvl w:val="1"/>
          <w:numId w:val="5"/>
        </w:numPr>
        <w:rPr>
          <w:lang w:val="es-MX"/>
        </w:rPr>
      </w:pPr>
      <w:bookmarkStart w:id="18" w:name="_heading=h.43ky6rz" w:colFirst="0" w:colLast="0"/>
      <w:bookmarkEnd w:id="18"/>
      <w:r w:rsidRPr="00305D32">
        <w:rPr>
          <w:lang w:val="es-MX"/>
        </w:rPr>
        <w:lastRenderedPageBreak/>
        <w:t>Sector turístico</w:t>
      </w:r>
    </w:p>
    <w:p w14:paraId="4D0831AA" w14:textId="54DC728D" w:rsidR="00AE57F0" w:rsidRPr="00305D32" w:rsidRDefault="0084028F">
      <w:pPr>
        <w:rPr>
          <w:lang w:val="es-MX"/>
        </w:rPr>
      </w:pPr>
      <w:r w:rsidRPr="00305D32">
        <w:rPr>
          <w:lang w:val="es-MX"/>
        </w:rPr>
        <w:t xml:space="preserve">Se </w:t>
      </w:r>
      <w:r w:rsidR="00CE5153">
        <w:rPr>
          <w:lang w:val="es-MX"/>
        </w:rPr>
        <w:t>realizó</w:t>
      </w:r>
      <w:r w:rsidRPr="00305D32">
        <w:rPr>
          <w:lang w:val="es-MX"/>
        </w:rPr>
        <w:t xml:space="preserve"> un análisis del sector turístico correspondiente al periodo enero-junio, dado que este </w:t>
      </w:r>
      <w:r w:rsidR="00B92F71">
        <w:rPr>
          <w:lang w:val="es-MX"/>
        </w:rPr>
        <w:t>representa</w:t>
      </w:r>
      <w:r w:rsidRPr="00305D32">
        <w:rPr>
          <w:lang w:val="es-MX"/>
        </w:rPr>
        <w:t xml:space="preserve"> el dato más reciente </w:t>
      </w:r>
      <w:r w:rsidRPr="003A0F22">
        <w:rPr>
          <w:lang w:val="es-MX"/>
        </w:rPr>
        <w:t xml:space="preserve">disponible para 2025, con el objetivo de </w:t>
      </w:r>
      <w:r w:rsidR="00FD5225" w:rsidRPr="003A0F22">
        <w:rPr>
          <w:lang w:val="es-MX"/>
        </w:rPr>
        <w:t>establecer</w:t>
      </w:r>
      <w:r w:rsidRPr="003A0F22">
        <w:rPr>
          <w:lang w:val="es-MX"/>
        </w:rPr>
        <w:t xml:space="preserve"> una comparación entre </w:t>
      </w:r>
      <w:r w:rsidR="00FD5225" w:rsidRPr="003A0F22">
        <w:rPr>
          <w:lang w:val="es-MX"/>
        </w:rPr>
        <w:t xml:space="preserve">los años </w:t>
      </w:r>
      <w:r w:rsidRPr="003A0F22">
        <w:rPr>
          <w:lang w:val="es-MX"/>
        </w:rPr>
        <w:t xml:space="preserve">2024 y 2025. En la </w:t>
      </w:r>
      <w:r w:rsidR="000B159C" w:rsidRPr="003A0F22">
        <w:rPr>
          <w:lang w:val="es-MX"/>
        </w:rPr>
        <w:fldChar w:fldCharType="begin"/>
      </w:r>
      <w:r w:rsidR="000B159C" w:rsidRPr="003A0F22">
        <w:rPr>
          <w:lang w:val="es-MX"/>
        </w:rPr>
        <w:instrText xml:space="preserve"> REF _Ref210211909 \h </w:instrText>
      </w:r>
      <w:r w:rsidR="00234570">
        <w:rPr>
          <w:highlight w:val="yellow"/>
          <w:lang w:val="es-MX"/>
        </w:rPr>
        <w:instrText xml:space="preserve"> \* MERGEFORMAT </w:instrText>
      </w:r>
      <w:r w:rsidR="000B159C" w:rsidRPr="003A0F22">
        <w:rPr>
          <w:lang w:val="es-MX"/>
        </w:rPr>
      </w:r>
      <w:r w:rsidR="000B159C" w:rsidRPr="003A0F22">
        <w:rPr>
          <w:lang w:val="es-MX"/>
        </w:rPr>
        <w:fldChar w:fldCharType="separate"/>
      </w:r>
      <w:r w:rsidR="00ED1F2F" w:rsidRPr="00305D32">
        <w:rPr>
          <w:lang w:val="es-MX"/>
        </w:rPr>
        <w:t xml:space="preserve">Figura </w:t>
      </w:r>
      <w:r w:rsidR="00ED1F2F">
        <w:rPr>
          <w:noProof/>
          <w:lang w:val="es-MX"/>
        </w:rPr>
        <w:t>7</w:t>
      </w:r>
      <w:r w:rsidR="000B159C" w:rsidRPr="003A0F22">
        <w:rPr>
          <w:lang w:val="es-MX"/>
        </w:rPr>
        <w:fldChar w:fldCharType="end"/>
      </w:r>
      <w:r w:rsidRPr="003A0F22">
        <w:rPr>
          <w:lang w:val="es-MX"/>
        </w:rPr>
        <w:t xml:space="preserve"> se observa que el número total de visitantes internacionales en 2025</w:t>
      </w:r>
      <w:r w:rsidRPr="00305D32">
        <w:rPr>
          <w:lang w:val="es-MX"/>
        </w:rPr>
        <w:t xml:space="preserve"> </w:t>
      </w:r>
      <w:r w:rsidR="00FD5225">
        <w:rPr>
          <w:lang w:val="es-MX"/>
        </w:rPr>
        <w:t>aumentó</w:t>
      </w:r>
      <w:r w:rsidRPr="00305D32">
        <w:rPr>
          <w:lang w:val="es-MX"/>
        </w:rPr>
        <w:t xml:space="preserve"> en </w:t>
      </w:r>
      <w:r w:rsidR="007B6FC9" w:rsidRPr="00305D32">
        <w:rPr>
          <w:lang w:val="es-MX"/>
        </w:rPr>
        <w:t>6</w:t>
      </w:r>
      <w:r w:rsidRPr="00305D32">
        <w:rPr>
          <w:lang w:val="es-MX"/>
        </w:rPr>
        <w:t xml:space="preserve"> millones </w:t>
      </w:r>
      <w:r w:rsidR="00D00D0D" w:rsidRPr="00305D32">
        <w:rPr>
          <w:lang w:val="es-MX"/>
        </w:rPr>
        <w:t>657</w:t>
      </w:r>
      <w:r w:rsidRPr="00305D32">
        <w:rPr>
          <w:lang w:val="es-MX"/>
        </w:rPr>
        <w:t xml:space="preserve"> mil </w:t>
      </w:r>
      <w:r w:rsidR="00D00D0D" w:rsidRPr="00305D32">
        <w:rPr>
          <w:lang w:val="es-MX"/>
        </w:rPr>
        <w:t>046</w:t>
      </w:r>
      <w:r w:rsidRPr="00305D32">
        <w:rPr>
          <w:lang w:val="es-MX"/>
        </w:rPr>
        <w:t xml:space="preserve"> personas. </w:t>
      </w:r>
    </w:p>
    <w:p w14:paraId="4D0831AB" w14:textId="7C59CFAB" w:rsidR="00AE57F0" w:rsidRPr="00305D32" w:rsidRDefault="002930B7" w:rsidP="002930B7">
      <w:pPr>
        <w:pStyle w:val="Descripcin"/>
        <w:jc w:val="center"/>
        <w:rPr>
          <w:color w:val="000000"/>
          <w:lang w:val="es-MX"/>
        </w:rPr>
      </w:pPr>
      <w:bookmarkStart w:id="19" w:name="_Ref210211909"/>
      <w:r w:rsidRPr="00305D32">
        <w:rPr>
          <w:lang w:val="es-MX"/>
        </w:rPr>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7</w:t>
      </w:r>
      <w:r w:rsidRPr="00305D32">
        <w:rPr>
          <w:lang w:val="es-MX"/>
        </w:rPr>
        <w:fldChar w:fldCharType="end"/>
      </w:r>
      <w:bookmarkEnd w:id="19"/>
      <w:r w:rsidR="00414F7C" w:rsidRPr="00305D32">
        <w:rPr>
          <w:color w:val="000000"/>
          <w:lang w:val="es-MX"/>
        </w:rPr>
        <w:t>. Número de visitantes internacionales que visitaron México, enero-ju</w:t>
      </w:r>
      <w:r w:rsidR="00B563F6" w:rsidRPr="00305D32">
        <w:rPr>
          <w:color w:val="000000"/>
          <w:lang w:val="es-MX"/>
        </w:rPr>
        <w:t>l</w:t>
      </w:r>
      <w:r w:rsidR="00414F7C" w:rsidRPr="00305D32">
        <w:rPr>
          <w:color w:val="000000"/>
          <w:lang w:val="es-MX"/>
        </w:rPr>
        <w:t>io, 202</w:t>
      </w:r>
      <w:r w:rsidR="00416478" w:rsidRPr="00305D32">
        <w:rPr>
          <w:color w:val="000000"/>
          <w:lang w:val="es-MX"/>
        </w:rPr>
        <w:t>4</w:t>
      </w:r>
      <w:r w:rsidR="00414F7C" w:rsidRPr="00305D32">
        <w:rPr>
          <w:color w:val="000000"/>
          <w:lang w:val="es-MX"/>
        </w:rPr>
        <w:t xml:space="preserve"> vs 202</w:t>
      </w:r>
      <w:r w:rsidR="00416478" w:rsidRPr="00305D32">
        <w:rPr>
          <w:color w:val="000000"/>
          <w:lang w:val="es-MX"/>
        </w:rPr>
        <w:t>5</w:t>
      </w:r>
    </w:p>
    <w:p w14:paraId="4D0831AC" w14:textId="0BD5F7AC" w:rsidR="00AE57F0" w:rsidRPr="00305D32" w:rsidRDefault="00A56073" w:rsidP="00413EEB">
      <w:pPr>
        <w:spacing w:after="0"/>
        <w:jc w:val="center"/>
        <w:rPr>
          <w:lang w:val="es-MX"/>
        </w:rPr>
      </w:pPr>
      <w:r w:rsidRPr="00305D32">
        <w:rPr>
          <w:noProof/>
          <w:lang w:val="es-MX" w:eastAsia="es-MX"/>
        </w:rPr>
        <w:drawing>
          <wp:inline distT="0" distB="0" distL="0" distR="0" wp14:anchorId="2A8B314A" wp14:editId="1D8D02B1">
            <wp:extent cx="5747657" cy="2612571"/>
            <wp:effectExtent l="0" t="0" r="5715" b="16510"/>
            <wp:docPr id="2019028068" name="Gráfico 1">
              <a:extLst xmlns:a="http://schemas.openxmlformats.org/drawingml/2006/main">
                <a:ext uri="{FF2B5EF4-FFF2-40B4-BE49-F238E27FC236}">
                  <a16:creationId xmlns:a16="http://schemas.microsoft.com/office/drawing/2014/main" id="{63869F5E-CD10-A017-8119-C1A829591F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0831AD" w14:textId="6E24831A" w:rsidR="00AE57F0" w:rsidRPr="00305D32" w:rsidRDefault="00414F7C">
      <w:pPr>
        <w:spacing w:line="240" w:lineRule="auto"/>
        <w:jc w:val="center"/>
        <w:rPr>
          <w:sz w:val="20"/>
          <w:szCs w:val="20"/>
          <w:lang w:val="es-MX"/>
        </w:rPr>
      </w:pPr>
      <w:r w:rsidRPr="00305D32">
        <w:rPr>
          <w:sz w:val="20"/>
          <w:szCs w:val="20"/>
          <w:lang w:val="es-MX"/>
        </w:rPr>
        <w:t xml:space="preserve">Fuente: Elaboración de la Subsecretaría de Análisis Económico y Finanzas Públicas de la Secretaría de Finanzas y Planeación con información de </w:t>
      </w:r>
      <w:r w:rsidRPr="00305D32">
        <w:rPr>
          <w:i/>
          <w:sz w:val="20"/>
          <w:szCs w:val="20"/>
          <w:lang w:val="es-MX"/>
        </w:rPr>
        <w:t>Turismo</w:t>
      </w:r>
      <w:r w:rsidRPr="00305D32">
        <w:rPr>
          <w:sz w:val="20"/>
          <w:szCs w:val="20"/>
          <w:lang w:val="es-MX"/>
        </w:rPr>
        <w:t xml:space="preserve"> del Instituto Nacional de Estadística y Geografía (202</w:t>
      </w:r>
      <w:r w:rsidR="00D44E80" w:rsidRPr="00305D32">
        <w:rPr>
          <w:sz w:val="20"/>
          <w:szCs w:val="20"/>
          <w:lang w:val="es-MX"/>
        </w:rPr>
        <w:t>5</w:t>
      </w:r>
      <w:r w:rsidRPr="00305D32">
        <w:rPr>
          <w:sz w:val="20"/>
          <w:szCs w:val="20"/>
          <w:lang w:val="es-MX"/>
        </w:rPr>
        <w:t>).</w:t>
      </w:r>
    </w:p>
    <w:p w14:paraId="699AA98D" w14:textId="385E02EF" w:rsidR="007002C2" w:rsidRPr="00305D32" w:rsidRDefault="007002C2">
      <w:pPr>
        <w:rPr>
          <w:lang w:val="es-MX"/>
        </w:rPr>
      </w:pPr>
      <w:r w:rsidRPr="00305D32">
        <w:rPr>
          <w:lang w:val="es-MX"/>
        </w:rPr>
        <w:t xml:space="preserve">Este crecimiento se atribuye principalmente al aumento de 4 millones </w:t>
      </w:r>
      <w:r w:rsidR="00CF6FD1" w:rsidRPr="00305D32">
        <w:rPr>
          <w:lang w:val="es-MX"/>
        </w:rPr>
        <w:t>809</w:t>
      </w:r>
      <w:r w:rsidRPr="00305D32">
        <w:rPr>
          <w:lang w:val="es-MX"/>
        </w:rPr>
        <w:t xml:space="preserve"> mil 6</w:t>
      </w:r>
      <w:r w:rsidR="00B564B1" w:rsidRPr="00305D32">
        <w:rPr>
          <w:lang w:val="es-MX"/>
        </w:rPr>
        <w:t>77</w:t>
      </w:r>
      <w:r w:rsidRPr="00305D32">
        <w:rPr>
          <w:lang w:val="es-MX"/>
        </w:rPr>
        <w:t xml:space="preserve"> excursionistas (personas que visitan el país sin pernoctar en él), mientras que el número de turistas internacionales (aquellos que permanecen en el país por una o más noches) se incrementó en 1 millón </w:t>
      </w:r>
      <w:r w:rsidR="00663B8B" w:rsidRPr="00305D32">
        <w:rPr>
          <w:lang w:val="es-MX"/>
        </w:rPr>
        <w:t>847</w:t>
      </w:r>
      <w:r w:rsidRPr="00305D32">
        <w:rPr>
          <w:lang w:val="es-MX"/>
        </w:rPr>
        <w:t xml:space="preserve"> mil </w:t>
      </w:r>
      <w:r w:rsidR="00663B8B" w:rsidRPr="00305D32">
        <w:rPr>
          <w:lang w:val="es-MX"/>
        </w:rPr>
        <w:t>369</w:t>
      </w:r>
      <w:r w:rsidRPr="00305D32">
        <w:rPr>
          <w:lang w:val="es-MX"/>
        </w:rPr>
        <w:t xml:space="preserve"> visitantes durante el mismo periodo.</w:t>
      </w:r>
    </w:p>
    <w:p w14:paraId="4D0831AE" w14:textId="5C3EB27B" w:rsidR="00AE57F0" w:rsidRPr="00305D32" w:rsidRDefault="00E54FCE">
      <w:pPr>
        <w:rPr>
          <w:lang w:val="es-MX"/>
        </w:rPr>
      </w:pPr>
      <w:r w:rsidRPr="00305D32">
        <w:rPr>
          <w:lang w:val="es-MX"/>
        </w:rPr>
        <w:lastRenderedPageBreak/>
        <w:t xml:space="preserve">En la </w:t>
      </w:r>
      <w:r w:rsidR="00BA020B" w:rsidRPr="00305D32">
        <w:rPr>
          <w:lang w:val="es-MX"/>
        </w:rPr>
        <w:fldChar w:fldCharType="begin"/>
      </w:r>
      <w:r w:rsidR="00BA020B" w:rsidRPr="00305D32">
        <w:rPr>
          <w:lang w:val="es-MX"/>
        </w:rPr>
        <w:instrText xml:space="preserve"> REF _Ref210211993 \h </w:instrText>
      </w:r>
      <w:r w:rsidR="00BA020B" w:rsidRPr="00305D32">
        <w:rPr>
          <w:lang w:val="es-MX"/>
        </w:rPr>
      </w:r>
      <w:r w:rsidR="00BA020B" w:rsidRPr="00305D32">
        <w:rPr>
          <w:lang w:val="es-MX"/>
        </w:rPr>
        <w:fldChar w:fldCharType="separate"/>
      </w:r>
      <w:r w:rsidR="00ED1F2F" w:rsidRPr="00305D32">
        <w:rPr>
          <w:lang w:val="es-MX"/>
        </w:rPr>
        <w:t xml:space="preserve">Tabla </w:t>
      </w:r>
      <w:r w:rsidR="00ED1F2F">
        <w:rPr>
          <w:noProof/>
          <w:lang w:val="es-MX"/>
        </w:rPr>
        <w:t>2</w:t>
      </w:r>
      <w:r w:rsidR="00BA020B" w:rsidRPr="00305D32">
        <w:rPr>
          <w:lang w:val="es-MX"/>
        </w:rPr>
        <w:fldChar w:fldCharType="end"/>
      </w:r>
      <w:r w:rsidR="00BA020B" w:rsidRPr="00305D32">
        <w:rPr>
          <w:lang w:val="es-MX"/>
        </w:rPr>
        <w:t xml:space="preserve"> </w:t>
      </w:r>
      <w:r w:rsidRPr="00305D32">
        <w:rPr>
          <w:lang w:val="es-MX"/>
        </w:rPr>
        <w:t xml:space="preserve">se </w:t>
      </w:r>
      <w:r w:rsidR="00BA0139">
        <w:rPr>
          <w:lang w:val="es-MX"/>
        </w:rPr>
        <w:t>presenta la comparación</w:t>
      </w:r>
      <w:r w:rsidRPr="00305D32">
        <w:rPr>
          <w:lang w:val="es-MX"/>
        </w:rPr>
        <w:t xml:space="preserve"> de la cantidad de visitantes a México según el medio de transporte utilizado, así como las variaciones</w:t>
      </w:r>
      <w:r w:rsidR="00FC385E">
        <w:rPr>
          <w:lang w:val="es-MX"/>
        </w:rPr>
        <w:t xml:space="preserve"> observadas</w:t>
      </w:r>
      <w:r w:rsidRPr="00305D32">
        <w:rPr>
          <w:lang w:val="es-MX"/>
        </w:rPr>
        <w:t xml:space="preserve"> entre los periodos de enero-ju</w:t>
      </w:r>
      <w:r w:rsidR="00505B0D" w:rsidRPr="00305D32">
        <w:rPr>
          <w:lang w:val="es-MX"/>
        </w:rPr>
        <w:t>l</w:t>
      </w:r>
      <w:r w:rsidRPr="00305D32">
        <w:rPr>
          <w:lang w:val="es-MX"/>
        </w:rPr>
        <w:t xml:space="preserve">io de 2024 y 2025. La llegada </w:t>
      </w:r>
      <w:r w:rsidR="00EF23E5">
        <w:rPr>
          <w:lang w:val="es-MX"/>
        </w:rPr>
        <w:t xml:space="preserve">total </w:t>
      </w:r>
      <w:r w:rsidRPr="00305D32">
        <w:rPr>
          <w:lang w:val="es-MX"/>
        </w:rPr>
        <w:t>de visitantes al país experimentó un aumento del 13.</w:t>
      </w:r>
      <w:r w:rsidR="00E728A8" w:rsidRPr="00305D32">
        <w:rPr>
          <w:lang w:val="es-MX"/>
        </w:rPr>
        <w:t>54</w:t>
      </w:r>
      <w:r w:rsidR="0019290E">
        <w:rPr>
          <w:lang w:val="es-MX"/>
        </w:rPr>
        <w:t xml:space="preserve"> %</w:t>
      </w:r>
      <w:r w:rsidRPr="00305D32">
        <w:rPr>
          <w:lang w:val="es-MX"/>
        </w:rPr>
        <w:t xml:space="preserve"> en 2025 en comparación con el mismo periodo del año anterior. Durante este </w:t>
      </w:r>
      <w:r w:rsidR="00EF23E5">
        <w:rPr>
          <w:lang w:val="es-MX"/>
        </w:rPr>
        <w:t>lapso</w:t>
      </w:r>
      <w:r w:rsidRPr="00305D32">
        <w:rPr>
          <w:lang w:val="es-MX"/>
        </w:rPr>
        <w:t xml:space="preserve">, los turistas internacionales </w:t>
      </w:r>
      <w:r w:rsidR="00BB7BB6">
        <w:rPr>
          <w:lang w:val="es-MX"/>
        </w:rPr>
        <w:t>aumentaron</w:t>
      </w:r>
      <w:r w:rsidRPr="00305D32">
        <w:rPr>
          <w:lang w:val="es-MX"/>
        </w:rPr>
        <w:t xml:space="preserve"> un 7.</w:t>
      </w:r>
      <w:r w:rsidR="005D7A5E" w:rsidRPr="00305D32">
        <w:rPr>
          <w:lang w:val="es-MX"/>
        </w:rPr>
        <w:t>15</w:t>
      </w:r>
      <w:r w:rsidR="0019290E">
        <w:rPr>
          <w:lang w:val="es-MX"/>
        </w:rPr>
        <w:t xml:space="preserve"> %</w:t>
      </w:r>
      <w:r w:rsidRPr="00305D32">
        <w:rPr>
          <w:lang w:val="es-MX"/>
        </w:rPr>
        <w:t xml:space="preserve">, mientras que los excursionistas internacionales </w:t>
      </w:r>
      <w:r w:rsidR="00BB7BB6">
        <w:rPr>
          <w:lang w:val="es-MX"/>
        </w:rPr>
        <w:t>se incrementaron</w:t>
      </w:r>
      <w:r w:rsidRPr="00305D32">
        <w:rPr>
          <w:lang w:val="es-MX"/>
        </w:rPr>
        <w:t xml:space="preserve"> 20.</w:t>
      </w:r>
      <w:r w:rsidR="005D7A5E" w:rsidRPr="00305D32">
        <w:rPr>
          <w:lang w:val="es-MX"/>
        </w:rPr>
        <w:t>6</w:t>
      </w:r>
      <w:r w:rsidRPr="00305D32">
        <w:rPr>
          <w:lang w:val="es-MX"/>
        </w:rPr>
        <w:t>1</w:t>
      </w:r>
      <w:r w:rsidR="0019290E">
        <w:rPr>
          <w:lang w:val="es-MX"/>
        </w:rPr>
        <w:t xml:space="preserve"> %</w:t>
      </w:r>
      <w:r w:rsidRPr="00305D32">
        <w:rPr>
          <w:lang w:val="es-MX"/>
        </w:rPr>
        <w:t>.</w:t>
      </w:r>
    </w:p>
    <w:p w14:paraId="4D0831AF" w14:textId="5FAFF229" w:rsidR="00AE57F0" w:rsidRPr="00305D32" w:rsidRDefault="00BA020B" w:rsidP="00BA020B">
      <w:pPr>
        <w:pStyle w:val="Descripcin"/>
        <w:jc w:val="center"/>
        <w:rPr>
          <w:color w:val="000000"/>
          <w:lang w:val="es-MX"/>
        </w:rPr>
      </w:pPr>
      <w:bookmarkStart w:id="20" w:name="_heading=h.xvir7l" w:colFirst="0" w:colLast="0"/>
      <w:bookmarkStart w:id="21" w:name="_Ref210211993"/>
      <w:bookmarkEnd w:id="20"/>
      <w:r w:rsidRPr="00305D32">
        <w:rPr>
          <w:lang w:val="es-MX"/>
        </w:rPr>
        <w:t xml:space="preserve">Tabla </w:t>
      </w:r>
      <w:r w:rsidRPr="00305D32">
        <w:rPr>
          <w:lang w:val="es-MX"/>
        </w:rPr>
        <w:fldChar w:fldCharType="begin"/>
      </w:r>
      <w:r w:rsidRPr="00305D32">
        <w:rPr>
          <w:lang w:val="es-MX"/>
        </w:rPr>
        <w:instrText xml:space="preserve"> SEQ Tabla \* ARABIC </w:instrText>
      </w:r>
      <w:r w:rsidRPr="00305D32">
        <w:rPr>
          <w:lang w:val="es-MX"/>
        </w:rPr>
        <w:fldChar w:fldCharType="separate"/>
      </w:r>
      <w:r w:rsidR="00ED1F2F">
        <w:rPr>
          <w:noProof/>
          <w:lang w:val="es-MX"/>
        </w:rPr>
        <w:t>2</w:t>
      </w:r>
      <w:r w:rsidRPr="00305D32">
        <w:rPr>
          <w:lang w:val="es-MX"/>
        </w:rPr>
        <w:fldChar w:fldCharType="end"/>
      </w:r>
      <w:bookmarkEnd w:id="21"/>
      <w:r w:rsidR="00414F7C" w:rsidRPr="00305D32">
        <w:rPr>
          <w:color w:val="000000"/>
          <w:lang w:val="es-MX"/>
        </w:rPr>
        <w:t>. Número de visitantes internacionales por medio de transporte que ingresaron a México en el periodo enero-ju</w:t>
      </w:r>
      <w:r w:rsidR="008C480D" w:rsidRPr="00305D32">
        <w:rPr>
          <w:color w:val="000000"/>
          <w:lang w:val="es-MX"/>
        </w:rPr>
        <w:t>li</w:t>
      </w:r>
      <w:r w:rsidR="00414F7C" w:rsidRPr="00305D32">
        <w:rPr>
          <w:color w:val="000000"/>
          <w:lang w:val="es-MX"/>
        </w:rPr>
        <w:t>o, 202</w:t>
      </w:r>
      <w:r w:rsidR="00BC2C7C" w:rsidRPr="00305D32">
        <w:rPr>
          <w:color w:val="000000"/>
          <w:lang w:val="es-MX"/>
        </w:rPr>
        <w:t>4</w:t>
      </w:r>
      <w:r w:rsidR="00414F7C" w:rsidRPr="00305D32">
        <w:rPr>
          <w:color w:val="000000"/>
          <w:lang w:val="es-MX"/>
        </w:rPr>
        <w:t xml:space="preserve"> vs 202</w:t>
      </w:r>
      <w:r w:rsidR="00BC2C7C" w:rsidRPr="00305D32">
        <w:rPr>
          <w:color w:val="000000"/>
          <w:lang w:val="es-MX"/>
        </w:rPr>
        <w:t>5</w:t>
      </w:r>
    </w:p>
    <w:tbl>
      <w:tblPr>
        <w:tblW w:w="8838" w:type="dxa"/>
        <w:tblCellMar>
          <w:left w:w="70" w:type="dxa"/>
          <w:right w:w="70" w:type="dxa"/>
        </w:tblCellMar>
        <w:tblLook w:val="04A0" w:firstRow="1" w:lastRow="0" w:firstColumn="1" w:lastColumn="0" w:noHBand="0" w:noVBand="1"/>
      </w:tblPr>
      <w:tblGrid>
        <w:gridCol w:w="3142"/>
        <w:gridCol w:w="2298"/>
        <w:gridCol w:w="2150"/>
        <w:gridCol w:w="1248"/>
      </w:tblGrid>
      <w:tr w:rsidR="00E409B9" w:rsidRPr="00305D32" w14:paraId="61D531E5" w14:textId="77777777" w:rsidTr="00E40424">
        <w:trPr>
          <w:trHeight w:val="477"/>
        </w:trPr>
        <w:tc>
          <w:tcPr>
            <w:tcW w:w="3142" w:type="dxa"/>
            <w:tcBorders>
              <w:top w:val="single" w:sz="4" w:space="0" w:color="auto"/>
              <w:left w:val="nil"/>
              <w:bottom w:val="single" w:sz="4" w:space="0" w:color="auto"/>
              <w:right w:val="nil"/>
            </w:tcBorders>
            <w:noWrap/>
            <w:vAlign w:val="center"/>
            <w:hideMark/>
          </w:tcPr>
          <w:p w14:paraId="36708E99" w14:textId="77777777" w:rsidR="00E409B9" w:rsidRPr="00305D32" w:rsidRDefault="00E409B9" w:rsidP="00E409B9">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Visitantes por tipo y medio de transporte</w:t>
            </w:r>
          </w:p>
        </w:tc>
        <w:tc>
          <w:tcPr>
            <w:tcW w:w="2298" w:type="dxa"/>
            <w:tcBorders>
              <w:top w:val="single" w:sz="4" w:space="0" w:color="auto"/>
              <w:left w:val="nil"/>
              <w:bottom w:val="single" w:sz="4" w:space="0" w:color="auto"/>
              <w:right w:val="nil"/>
            </w:tcBorders>
            <w:noWrap/>
            <w:vAlign w:val="center"/>
            <w:hideMark/>
          </w:tcPr>
          <w:p w14:paraId="171B4CDD" w14:textId="77777777" w:rsidR="00E409B9" w:rsidRPr="00305D32" w:rsidRDefault="00E409B9" w:rsidP="00E409B9">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2024</w:t>
            </w:r>
          </w:p>
        </w:tc>
        <w:tc>
          <w:tcPr>
            <w:tcW w:w="2150" w:type="dxa"/>
            <w:tcBorders>
              <w:top w:val="single" w:sz="4" w:space="0" w:color="auto"/>
              <w:left w:val="nil"/>
              <w:bottom w:val="single" w:sz="4" w:space="0" w:color="auto"/>
              <w:right w:val="nil"/>
            </w:tcBorders>
            <w:noWrap/>
            <w:vAlign w:val="center"/>
            <w:hideMark/>
          </w:tcPr>
          <w:p w14:paraId="0D60867E" w14:textId="77777777" w:rsidR="00E409B9" w:rsidRPr="00305D32" w:rsidRDefault="00E409B9" w:rsidP="00E409B9">
            <w:pPr>
              <w:spacing w:after="0" w:line="240" w:lineRule="auto"/>
              <w:jc w:val="center"/>
              <w:rPr>
                <w:rFonts w:eastAsia="Times New Roman"/>
                <w:b/>
                <w:color w:val="000000"/>
                <w:sz w:val="20"/>
                <w:szCs w:val="20"/>
                <w:lang w:val="es-MX" w:eastAsia="es-MX"/>
              </w:rPr>
            </w:pPr>
            <w:r w:rsidRPr="00305D32">
              <w:rPr>
                <w:rFonts w:eastAsia="Times New Roman"/>
                <w:b/>
                <w:color w:val="000000"/>
                <w:sz w:val="20"/>
                <w:szCs w:val="20"/>
                <w:lang w:val="es-MX" w:eastAsia="es-MX"/>
              </w:rPr>
              <w:t>2025</w:t>
            </w:r>
          </w:p>
        </w:tc>
        <w:tc>
          <w:tcPr>
            <w:tcW w:w="1248" w:type="dxa"/>
            <w:tcBorders>
              <w:top w:val="single" w:sz="4" w:space="0" w:color="auto"/>
              <w:left w:val="nil"/>
              <w:bottom w:val="single" w:sz="4" w:space="0" w:color="auto"/>
              <w:right w:val="nil"/>
            </w:tcBorders>
            <w:noWrap/>
            <w:vAlign w:val="center"/>
            <w:hideMark/>
          </w:tcPr>
          <w:p w14:paraId="4B1438D5" w14:textId="77777777" w:rsidR="00E409B9" w:rsidRPr="00305D32" w:rsidRDefault="00E409B9" w:rsidP="00E409B9">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Variación</w:t>
            </w:r>
          </w:p>
        </w:tc>
      </w:tr>
      <w:tr w:rsidR="00E409B9" w:rsidRPr="00305D32" w14:paraId="136D4408" w14:textId="77777777" w:rsidTr="00D0144A">
        <w:trPr>
          <w:trHeight w:val="77"/>
        </w:trPr>
        <w:tc>
          <w:tcPr>
            <w:tcW w:w="3142" w:type="dxa"/>
            <w:tcBorders>
              <w:top w:val="nil"/>
              <w:left w:val="nil"/>
              <w:bottom w:val="nil"/>
              <w:right w:val="nil"/>
            </w:tcBorders>
            <w:noWrap/>
            <w:vAlign w:val="bottom"/>
            <w:hideMark/>
          </w:tcPr>
          <w:p w14:paraId="4AE81B52" w14:textId="77777777" w:rsidR="00E409B9" w:rsidRPr="00305D32" w:rsidRDefault="00E409B9" w:rsidP="00E409B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Total, entradas</w:t>
            </w:r>
          </w:p>
        </w:tc>
        <w:tc>
          <w:tcPr>
            <w:tcW w:w="2298" w:type="dxa"/>
            <w:tcBorders>
              <w:top w:val="nil"/>
              <w:left w:val="nil"/>
              <w:bottom w:val="nil"/>
              <w:right w:val="nil"/>
            </w:tcBorders>
            <w:noWrap/>
            <w:vAlign w:val="bottom"/>
            <w:hideMark/>
          </w:tcPr>
          <w:p w14:paraId="456CFFAA"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49,162,669.00</w:t>
            </w:r>
          </w:p>
        </w:tc>
        <w:tc>
          <w:tcPr>
            <w:tcW w:w="2150" w:type="dxa"/>
            <w:tcBorders>
              <w:top w:val="nil"/>
              <w:left w:val="nil"/>
              <w:bottom w:val="nil"/>
              <w:right w:val="nil"/>
            </w:tcBorders>
            <w:noWrap/>
            <w:vAlign w:val="bottom"/>
            <w:hideMark/>
          </w:tcPr>
          <w:p w14:paraId="019905A9"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55,819,715.00</w:t>
            </w:r>
          </w:p>
        </w:tc>
        <w:tc>
          <w:tcPr>
            <w:tcW w:w="1248" w:type="dxa"/>
            <w:tcBorders>
              <w:top w:val="nil"/>
              <w:left w:val="nil"/>
              <w:bottom w:val="nil"/>
              <w:right w:val="nil"/>
            </w:tcBorders>
            <w:noWrap/>
            <w:vAlign w:val="bottom"/>
            <w:hideMark/>
          </w:tcPr>
          <w:p w14:paraId="667AE342" w14:textId="5CE58B60"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13.54</w:t>
            </w:r>
            <w:r w:rsidR="0019290E">
              <w:rPr>
                <w:rFonts w:eastAsia="Times New Roman"/>
                <w:color w:val="000000"/>
                <w:sz w:val="20"/>
                <w:szCs w:val="20"/>
                <w:lang w:val="es-MX" w:eastAsia="es-MX"/>
              </w:rPr>
              <w:t xml:space="preserve"> %</w:t>
            </w:r>
          </w:p>
        </w:tc>
      </w:tr>
      <w:tr w:rsidR="00E409B9" w:rsidRPr="00305D32" w14:paraId="62851BF4" w14:textId="77777777" w:rsidTr="00E40424">
        <w:trPr>
          <w:trHeight w:val="285"/>
        </w:trPr>
        <w:tc>
          <w:tcPr>
            <w:tcW w:w="3142" w:type="dxa"/>
            <w:tcBorders>
              <w:top w:val="nil"/>
              <w:left w:val="nil"/>
              <w:bottom w:val="nil"/>
              <w:right w:val="nil"/>
            </w:tcBorders>
            <w:noWrap/>
            <w:vAlign w:val="bottom"/>
            <w:hideMark/>
          </w:tcPr>
          <w:p w14:paraId="61D798CF" w14:textId="77777777" w:rsidR="00E409B9" w:rsidRPr="00305D32" w:rsidRDefault="00E409B9" w:rsidP="00E409B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 xml:space="preserve">   Total, Turistas internacionales</w:t>
            </w:r>
          </w:p>
        </w:tc>
        <w:tc>
          <w:tcPr>
            <w:tcW w:w="2298" w:type="dxa"/>
            <w:tcBorders>
              <w:top w:val="nil"/>
              <w:left w:val="nil"/>
              <w:bottom w:val="nil"/>
              <w:right w:val="nil"/>
            </w:tcBorders>
            <w:noWrap/>
            <w:vAlign w:val="bottom"/>
            <w:hideMark/>
          </w:tcPr>
          <w:p w14:paraId="270E15FE"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25,825,180.00</w:t>
            </w:r>
          </w:p>
        </w:tc>
        <w:tc>
          <w:tcPr>
            <w:tcW w:w="2150" w:type="dxa"/>
            <w:tcBorders>
              <w:top w:val="nil"/>
              <w:left w:val="nil"/>
              <w:bottom w:val="nil"/>
              <w:right w:val="nil"/>
            </w:tcBorders>
            <w:noWrap/>
            <w:vAlign w:val="bottom"/>
            <w:hideMark/>
          </w:tcPr>
          <w:p w14:paraId="626E6E1D"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27,672,549.00</w:t>
            </w:r>
          </w:p>
        </w:tc>
        <w:tc>
          <w:tcPr>
            <w:tcW w:w="1248" w:type="dxa"/>
            <w:tcBorders>
              <w:top w:val="nil"/>
              <w:left w:val="nil"/>
              <w:bottom w:val="nil"/>
              <w:right w:val="nil"/>
            </w:tcBorders>
            <w:noWrap/>
            <w:vAlign w:val="bottom"/>
            <w:hideMark/>
          </w:tcPr>
          <w:p w14:paraId="41833B42" w14:textId="1F746320"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7.15</w:t>
            </w:r>
            <w:r w:rsidR="0019290E">
              <w:rPr>
                <w:rFonts w:eastAsia="Times New Roman"/>
                <w:color w:val="000000"/>
                <w:sz w:val="20"/>
                <w:szCs w:val="20"/>
                <w:lang w:val="es-MX" w:eastAsia="es-MX"/>
              </w:rPr>
              <w:t xml:space="preserve"> %</w:t>
            </w:r>
          </w:p>
        </w:tc>
      </w:tr>
      <w:tr w:rsidR="00E409B9" w:rsidRPr="00305D32" w14:paraId="44BD208B" w14:textId="77777777" w:rsidTr="00E40424">
        <w:trPr>
          <w:trHeight w:val="285"/>
        </w:trPr>
        <w:tc>
          <w:tcPr>
            <w:tcW w:w="3142" w:type="dxa"/>
            <w:tcBorders>
              <w:top w:val="nil"/>
              <w:left w:val="nil"/>
              <w:bottom w:val="nil"/>
              <w:right w:val="nil"/>
            </w:tcBorders>
            <w:noWrap/>
            <w:vAlign w:val="bottom"/>
            <w:hideMark/>
          </w:tcPr>
          <w:p w14:paraId="278E5CB3" w14:textId="77777777" w:rsidR="00E409B9" w:rsidRPr="00305D32" w:rsidRDefault="00E409B9" w:rsidP="00E409B9">
            <w:pPr>
              <w:spacing w:after="0" w:line="240" w:lineRule="auto"/>
              <w:jc w:val="left"/>
              <w:rPr>
                <w:rFonts w:eastAsia="Times New Roman"/>
                <w:i/>
                <w:iCs/>
                <w:color w:val="000000"/>
                <w:sz w:val="20"/>
                <w:szCs w:val="20"/>
                <w:lang w:val="es-MX" w:eastAsia="es-MX"/>
              </w:rPr>
            </w:pPr>
            <w:r w:rsidRPr="00305D32">
              <w:rPr>
                <w:rFonts w:eastAsia="Times New Roman"/>
                <w:i/>
                <w:iCs/>
                <w:color w:val="000000"/>
                <w:sz w:val="20"/>
                <w:szCs w:val="20"/>
                <w:lang w:val="es-MX" w:eastAsia="es-MX"/>
              </w:rPr>
              <w:t xml:space="preserve">      Total, Turistas de internación</w:t>
            </w:r>
          </w:p>
        </w:tc>
        <w:tc>
          <w:tcPr>
            <w:tcW w:w="2298" w:type="dxa"/>
            <w:tcBorders>
              <w:top w:val="nil"/>
              <w:left w:val="nil"/>
              <w:bottom w:val="nil"/>
              <w:right w:val="nil"/>
            </w:tcBorders>
            <w:noWrap/>
            <w:vAlign w:val="bottom"/>
            <w:hideMark/>
          </w:tcPr>
          <w:p w14:paraId="1B86F893"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16,413,801.00</w:t>
            </w:r>
          </w:p>
        </w:tc>
        <w:tc>
          <w:tcPr>
            <w:tcW w:w="2150" w:type="dxa"/>
            <w:tcBorders>
              <w:top w:val="nil"/>
              <w:left w:val="nil"/>
              <w:bottom w:val="nil"/>
              <w:right w:val="nil"/>
            </w:tcBorders>
            <w:noWrap/>
            <w:vAlign w:val="bottom"/>
            <w:hideMark/>
          </w:tcPr>
          <w:p w14:paraId="23FAE610"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16,427,088.00</w:t>
            </w:r>
          </w:p>
        </w:tc>
        <w:tc>
          <w:tcPr>
            <w:tcW w:w="1248" w:type="dxa"/>
            <w:tcBorders>
              <w:top w:val="nil"/>
              <w:left w:val="nil"/>
              <w:bottom w:val="nil"/>
              <w:right w:val="nil"/>
            </w:tcBorders>
            <w:noWrap/>
            <w:vAlign w:val="bottom"/>
            <w:hideMark/>
          </w:tcPr>
          <w:p w14:paraId="6B58B24D" w14:textId="06318FF3"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0.08</w:t>
            </w:r>
            <w:r w:rsidR="0019290E">
              <w:rPr>
                <w:rFonts w:eastAsia="Times New Roman"/>
                <w:color w:val="000000"/>
                <w:sz w:val="20"/>
                <w:szCs w:val="20"/>
                <w:lang w:val="es-MX" w:eastAsia="es-MX"/>
              </w:rPr>
              <w:t xml:space="preserve"> %</w:t>
            </w:r>
          </w:p>
        </w:tc>
      </w:tr>
      <w:tr w:rsidR="00E409B9" w:rsidRPr="00305D32" w14:paraId="44678C6B" w14:textId="77777777" w:rsidTr="00E40424">
        <w:trPr>
          <w:trHeight w:val="285"/>
        </w:trPr>
        <w:tc>
          <w:tcPr>
            <w:tcW w:w="3142" w:type="dxa"/>
            <w:tcBorders>
              <w:top w:val="nil"/>
              <w:left w:val="nil"/>
              <w:bottom w:val="nil"/>
              <w:right w:val="nil"/>
            </w:tcBorders>
            <w:noWrap/>
            <w:vAlign w:val="bottom"/>
            <w:hideMark/>
          </w:tcPr>
          <w:p w14:paraId="269655FB" w14:textId="77777777" w:rsidR="00E409B9" w:rsidRPr="00305D32" w:rsidRDefault="00E409B9" w:rsidP="00E409B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 xml:space="preserve">         Vía aérea</w:t>
            </w:r>
          </w:p>
        </w:tc>
        <w:tc>
          <w:tcPr>
            <w:tcW w:w="2298" w:type="dxa"/>
            <w:tcBorders>
              <w:top w:val="nil"/>
              <w:left w:val="nil"/>
              <w:bottom w:val="nil"/>
              <w:right w:val="nil"/>
            </w:tcBorders>
            <w:noWrap/>
            <w:vAlign w:val="bottom"/>
            <w:hideMark/>
          </w:tcPr>
          <w:p w14:paraId="706D3DB8"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14,376,463.00</w:t>
            </w:r>
          </w:p>
        </w:tc>
        <w:tc>
          <w:tcPr>
            <w:tcW w:w="2150" w:type="dxa"/>
            <w:tcBorders>
              <w:top w:val="nil"/>
              <w:left w:val="nil"/>
              <w:bottom w:val="nil"/>
              <w:right w:val="nil"/>
            </w:tcBorders>
            <w:noWrap/>
            <w:vAlign w:val="bottom"/>
            <w:hideMark/>
          </w:tcPr>
          <w:p w14:paraId="29E5BD3F"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14,023,626.00</w:t>
            </w:r>
          </w:p>
        </w:tc>
        <w:tc>
          <w:tcPr>
            <w:tcW w:w="1248" w:type="dxa"/>
            <w:tcBorders>
              <w:top w:val="nil"/>
              <w:left w:val="nil"/>
              <w:bottom w:val="nil"/>
              <w:right w:val="nil"/>
            </w:tcBorders>
            <w:noWrap/>
            <w:vAlign w:val="bottom"/>
            <w:hideMark/>
          </w:tcPr>
          <w:p w14:paraId="6D99E809" w14:textId="6905623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-2.45</w:t>
            </w:r>
            <w:r w:rsidR="0019290E">
              <w:rPr>
                <w:rFonts w:eastAsia="Times New Roman"/>
                <w:color w:val="000000"/>
                <w:sz w:val="20"/>
                <w:szCs w:val="20"/>
                <w:lang w:val="es-MX" w:eastAsia="es-MX"/>
              </w:rPr>
              <w:t xml:space="preserve"> %</w:t>
            </w:r>
          </w:p>
        </w:tc>
      </w:tr>
      <w:tr w:rsidR="00E409B9" w:rsidRPr="00305D32" w14:paraId="5A218C0D" w14:textId="77777777" w:rsidTr="00E40424">
        <w:trPr>
          <w:trHeight w:val="285"/>
        </w:trPr>
        <w:tc>
          <w:tcPr>
            <w:tcW w:w="3142" w:type="dxa"/>
            <w:tcBorders>
              <w:top w:val="nil"/>
              <w:left w:val="nil"/>
              <w:bottom w:val="nil"/>
              <w:right w:val="nil"/>
            </w:tcBorders>
            <w:noWrap/>
            <w:vAlign w:val="bottom"/>
            <w:hideMark/>
          </w:tcPr>
          <w:p w14:paraId="5382B51E" w14:textId="77777777" w:rsidR="00E409B9" w:rsidRPr="00305D32" w:rsidRDefault="00E409B9" w:rsidP="00E409B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 xml:space="preserve">         Vía terrestre</w:t>
            </w:r>
          </w:p>
        </w:tc>
        <w:tc>
          <w:tcPr>
            <w:tcW w:w="2298" w:type="dxa"/>
            <w:tcBorders>
              <w:top w:val="nil"/>
              <w:left w:val="nil"/>
              <w:bottom w:val="nil"/>
              <w:right w:val="nil"/>
            </w:tcBorders>
            <w:noWrap/>
            <w:vAlign w:val="bottom"/>
            <w:hideMark/>
          </w:tcPr>
          <w:p w14:paraId="586B2E57"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2,037,338.00</w:t>
            </w:r>
          </w:p>
        </w:tc>
        <w:tc>
          <w:tcPr>
            <w:tcW w:w="2150" w:type="dxa"/>
            <w:tcBorders>
              <w:top w:val="nil"/>
              <w:left w:val="nil"/>
              <w:bottom w:val="nil"/>
              <w:right w:val="nil"/>
            </w:tcBorders>
            <w:noWrap/>
            <w:vAlign w:val="bottom"/>
            <w:hideMark/>
          </w:tcPr>
          <w:p w14:paraId="22DDB5C5"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2,403,462.00</w:t>
            </w:r>
          </w:p>
        </w:tc>
        <w:tc>
          <w:tcPr>
            <w:tcW w:w="1248" w:type="dxa"/>
            <w:tcBorders>
              <w:top w:val="nil"/>
              <w:left w:val="nil"/>
              <w:bottom w:val="nil"/>
              <w:right w:val="nil"/>
            </w:tcBorders>
            <w:noWrap/>
            <w:vAlign w:val="bottom"/>
            <w:hideMark/>
          </w:tcPr>
          <w:p w14:paraId="2E930B34" w14:textId="2559D756"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17.97</w:t>
            </w:r>
            <w:r w:rsidR="0019290E">
              <w:rPr>
                <w:rFonts w:eastAsia="Times New Roman"/>
                <w:color w:val="000000"/>
                <w:sz w:val="20"/>
                <w:szCs w:val="20"/>
                <w:lang w:val="es-MX" w:eastAsia="es-MX"/>
              </w:rPr>
              <w:t xml:space="preserve"> %</w:t>
            </w:r>
          </w:p>
        </w:tc>
      </w:tr>
      <w:tr w:rsidR="00E409B9" w:rsidRPr="00305D32" w14:paraId="689D46B0" w14:textId="77777777" w:rsidTr="00E40424">
        <w:trPr>
          <w:trHeight w:val="285"/>
        </w:trPr>
        <w:tc>
          <w:tcPr>
            <w:tcW w:w="3142" w:type="dxa"/>
            <w:tcBorders>
              <w:top w:val="nil"/>
              <w:left w:val="nil"/>
              <w:bottom w:val="nil"/>
              <w:right w:val="nil"/>
            </w:tcBorders>
            <w:noWrap/>
            <w:vAlign w:val="bottom"/>
            <w:hideMark/>
          </w:tcPr>
          <w:p w14:paraId="5406B779" w14:textId="77777777" w:rsidR="00E409B9" w:rsidRPr="00305D32" w:rsidRDefault="00E409B9" w:rsidP="00E409B9">
            <w:pPr>
              <w:spacing w:after="0" w:line="240" w:lineRule="auto"/>
              <w:jc w:val="left"/>
              <w:rPr>
                <w:rFonts w:eastAsia="Times New Roman"/>
                <w:i/>
                <w:iCs/>
                <w:color w:val="000000"/>
                <w:sz w:val="20"/>
                <w:szCs w:val="20"/>
                <w:lang w:val="es-MX" w:eastAsia="es-MX"/>
              </w:rPr>
            </w:pPr>
            <w:r w:rsidRPr="00305D32">
              <w:rPr>
                <w:rFonts w:eastAsia="Times New Roman"/>
                <w:i/>
                <w:iCs/>
                <w:color w:val="000000"/>
                <w:sz w:val="20"/>
                <w:szCs w:val="20"/>
                <w:lang w:val="es-MX" w:eastAsia="es-MX"/>
              </w:rPr>
              <w:t xml:space="preserve">      Total, Turistas fronterizos</w:t>
            </w:r>
          </w:p>
        </w:tc>
        <w:tc>
          <w:tcPr>
            <w:tcW w:w="2298" w:type="dxa"/>
            <w:tcBorders>
              <w:top w:val="nil"/>
              <w:left w:val="nil"/>
              <w:bottom w:val="nil"/>
              <w:right w:val="nil"/>
            </w:tcBorders>
            <w:noWrap/>
            <w:vAlign w:val="bottom"/>
            <w:hideMark/>
          </w:tcPr>
          <w:p w14:paraId="20B97440"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9,411,379.00</w:t>
            </w:r>
          </w:p>
        </w:tc>
        <w:tc>
          <w:tcPr>
            <w:tcW w:w="2150" w:type="dxa"/>
            <w:tcBorders>
              <w:top w:val="nil"/>
              <w:left w:val="nil"/>
              <w:bottom w:val="nil"/>
              <w:right w:val="nil"/>
            </w:tcBorders>
            <w:noWrap/>
            <w:vAlign w:val="bottom"/>
            <w:hideMark/>
          </w:tcPr>
          <w:p w14:paraId="05AD862F"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11,245,461.00</w:t>
            </w:r>
          </w:p>
        </w:tc>
        <w:tc>
          <w:tcPr>
            <w:tcW w:w="1248" w:type="dxa"/>
            <w:tcBorders>
              <w:top w:val="nil"/>
              <w:left w:val="nil"/>
              <w:bottom w:val="nil"/>
              <w:right w:val="nil"/>
            </w:tcBorders>
            <w:noWrap/>
            <w:vAlign w:val="bottom"/>
            <w:hideMark/>
          </w:tcPr>
          <w:p w14:paraId="6D015EC3" w14:textId="50C5E876"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19.49</w:t>
            </w:r>
            <w:r w:rsidR="0019290E">
              <w:rPr>
                <w:rFonts w:eastAsia="Times New Roman"/>
                <w:color w:val="000000"/>
                <w:sz w:val="20"/>
                <w:szCs w:val="20"/>
                <w:lang w:val="es-MX" w:eastAsia="es-MX"/>
              </w:rPr>
              <w:t xml:space="preserve"> %</w:t>
            </w:r>
          </w:p>
        </w:tc>
      </w:tr>
      <w:tr w:rsidR="00E409B9" w:rsidRPr="00305D32" w14:paraId="2D4E981E" w14:textId="77777777" w:rsidTr="00E40424">
        <w:trPr>
          <w:trHeight w:val="285"/>
        </w:trPr>
        <w:tc>
          <w:tcPr>
            <w:tcW w:w="3142" w:type="dxa"/>
            <w:tcBorders>
              <w:top w:val="nil"/>
              <w:left w:val="nil"/>
              <w:bottom w:val="nil"/>
              <w:right w:val="nil"/>
            </w:tcBorders>
            <w:noWrap/>
            <w:vAlign w:val="bottom"/>
            <w:hideMark/>
          </w:tcPr>
          <w:p w14:paraId="74ADC4D9" w14:textId="77777777" w:rsidR="00E409B9" w:rsidRPr="00305D32" w:rsidRDefault="00E409B9" w:rsidP="00E409B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 xml:space="preserve">         Peatones</w:t>
            </w:r>
          </w:p>
        </w:tc>
        <w:tc>
          <w:tcPr>
            <w:tcW w:w="2298" w:type="dxa"/>
            <w:tcBorders>
              <w:top w:val="nil"/>
              <w:left w:val="nil"/>
              <w:bottom w:val="nil"/>
              <w:right w:val="nil"/>
            </w:tcBorders>
            <w:noWrap/>
            <w:vAlign w:val="bottom"/>
            <w:hideMark/>
          </w:tcPr>
          <w:p w14:paraId="49659CC9"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1,548,098.00</w:t>
            </w:r>
          </w:p>
        </w:tc>
        <w:tc>
          <w:tcPr>
            <w:tcW w:w="2150" w:type="dxa"/>
            <w:tcBorders>
              <w:top w:val="nil"/>
              <w:left w:val="nil"/>
              <w:bottom w:val="nil"/>
              <w:right w:val="nil"/>
            </w:tcBorders>
            <w:noWrap/>
            <w:vAlign w:val="bottom"/>
            <w:hideMark/>
          </w:tcPr>
          <w:p w14:paraId="5A3CB0D9"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1,741,434.00</w:t>
            </w:r>
          </w:p>
        </w:tc>
        <w:tc>
          <w:tcPr>
            <w:tcW w:w="1248" w:type="dxa"/>
            <w:tcBorders>
              <w:top w:val="nil"/>
              <w:left w:val="nil"/>
              <w:bottom w:val="nil"/>
              <w:right w:val="nil"/>
            </w:tcBorders>
            <w:noWrap/>
            <w:vAlign w:val="bottom"/>
            <w:hideMark/>
          </w:tcPr>
          <w:p w14:paraId="655948E6" w14:textId="1FCC7965"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12.49</w:t>
            </w:r>
            <w:r w:rsidR="0019290E">
              <w:rPr>
                <w:rFonts w:eastAsia="Times New Roman"/>
                <w:color w:val="000000"/>
                <w:sz w:val="20"/>
                <w:szCs w:val="20"/>
                <w:lang w:val="es-MX" w:eastAsia="es-MX"/>
              </w:rPr>
              <w:t xml:space="preserve"> %</w:t>
            </w:r>
          </w:p>
        </w:tc>
      </w:tr>
      <w:tr w:rsidR="00E409B9" w:rsidRPr="00305D32" w14:paraId="0B95B985" w14:textId="77777777" w:rsidTr="00E40424">
        <w:trPr>
          <w:trHeight w:val="285"/>
        </w:trPr>
        <w:tc>
          <w:tcPr>
            <w:tcW w:w="3142" w:type="dxa"/>
            <w:tcBorders>
              <w:top w:val="nil"/>
              <w:left w:val="nil"/>
              <w:bottom w:val="nil"/>
              <w:right w:val="nil"/>
            </w:tcBorders>
            <w:noWrap/>
            <w:vAlign w:val="bottom"/>
            <w:hideMark/>
          </w:tcPr>
          <w:p w14:paraId="3B2E7457" w14:textId="77777777" w:rsidR="00E409B9" w:rsidRPr="00305D32" w:rsidRDefault="00E409B9" w:rsidP="00E409B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 xml:space="preserve">         En automóviles</w:t>
            </w:r>
          </w:p>
        </w:tc>
        <w:tc>
          <w:tcPr>
            <w:tcW w:w="2298" w:type="dxa"/>
            <w:tcBorders>
              <w:top w:val="nil"/>
              <w:left w:val="nil"/>
              <w:bottom w:val="nil"/>
              <w:right w:val="nil"/>
            </w:tcBorders>
            <w:noWrap/>
            <w:vAlign w:val="bottom"/>
            <w:hideMark/>
          </w:tcPr>
          <w:p w14:paraId="0032055A"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7,863,281.00</w:t>
            </w:r>
          </w:p>
        </w:tc>
        <w:tc>
          <w:tcPr>
            <w:tcW w:w="2150" w:type="dxa"/>
            <w:tcBorders>
              <w:top w:val="nil"/>
              <w:left w:val="nil"/>
              <w:bottom w:val="nil"/>
              <w:right w:val="nil"/>
            </w:tcBorders>
            <w:noWrap/>
            <w:vAlign w:val="bottom"/>
            <w:hideMark/>
          </w:tcPr>
          <w:p w14:paraId="1A03F5B6"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9,504,027.00</w:t>
            </w:r>
          </w:p>
        </w:tc>
        <w:tc>
          <w:tcPr>
            <w:tcW w:w="1248" w:type="dxa"/>
            <w:tcBorders>
              <w:top w:val="nil"/>
              <w:left w:val="nil"/>
              <w:bottom w:val="nil"/>
              <w:right w:val="nil"/>
            </w:tcBorders>
            <w:noWrap/>
            <w:vAlign w:val="bottom"/>
            <w:hideMark/>
          </w:tcPr>
          <w:p w14:paraId="24F5FA72" w14:textId="49A8E43C"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20.87</w:t>
            </w:r>
            <w:r w:rsidR="0019290E">
              <w:rPr>
                <w:rFonts w:eastAsia="Times New Roman"/>
                <w:color w:val="000000"/>
                <w:sz w:val="20"/>
                <w:szCs w:val="20"/>
                <w:lang w:val="es-MX" w:eastAsia="es-MX"/>
              </w:rPr>
              <w:t xml:space="preserve"> %</w:t>
            </w:r>
          </w:p>
        </w:tc>
      </w:tr>
      <w:tr w:rsidR="00E409B9" w:rsidRPr="00305D32" w14:paraId="3A8913AD" w14:textId="77777777" w:rsidTr="00E40424">
        <w:trPr>
          <w:trHeight w:val="285"/>
        </w:trPr>
        <w:tc>
          <w:tcPr>
            <w:tcW w:w="3142" w:type="dxa"/>
            <w:tcBorders>
              <w:top w:val="nil"/>
              <w:left w:val="nil"/>
              <w:bottom w:val="nil"/>
              <w:right w:val="nil"/>
            </w:tcBorders>
            <w:noWrap/>
            <w:vAlign w:val="bottom"/>
            <w:hideMark/>
          </w:tcPr>
          <w:p w14:paraId="09FAE1A9" w14:textId="77777777" w:rsidR="00E409B9" w:rsidRPr="00305D32" w:rsidRDefault="00E409B9" w:rsidP="00E409B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 xml:space="preserve">   Total, Excursionistas internacionales</w:t>
            </w:r>
          </w:p>
        </w:tc>
        <w:tc>
          <w:tcPr>
            <w:tcW w:w="2298" w:type="dxa"/>
            <w:tcBorders>
              <w:top w:val="nil"/>
              <w:left w:val="nil"/>
              <w:bottom w:val="nil"/>
              <w:right w:val="nil"/>
            </w:tcBorders>
            <w:noWrap/>
            <w:vAlign w:val="bottom"/>
            <w:hideMark/>
          </w:tcPr>
          <w:p w14:paraId="78AFC8AA"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23,337,489.00</w:t>
            </w:r>
          </w:p>
        </w:tc>
        <w:tc>
          <w:tcPr>
            <w:tcW w:w="2150" w:type="dxa"/>
            <w:tcBorders>
              <w:top w:val="nil"/>
              <w:left w:val="nil"/>
              <w:bottom w:val="nil"/>
              <w:right w:val="nil"/>
            </w:tcBorders>
            <w:noWrap/>
            <w:vAlign w:val="bottom"/>
            <w:hideMark/>
          </w:tcPr>
          <w:p w14:paraId="0AB20B69"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28,147,166.00</w:t>
            </w:r>
          </w:p>
        </w:tc>
        <w:tc>
          <w:tcPr>
            <w:tcW w:w="1248" w:type="dxa"/>
            <w:tcBorders>
              <w:top w:val="nil"/>
              <w:left w:val="nil"/>
              <w:bottom w:val="nil"/>
              <w:right w:val="nil"/>
            </w:tcBorders>
            <w:noWrap/>
            <w:vAlign w:val="bottom"/>
            <w:hideMark/>
          </w:tcPr>
          <w:p w14:paraId="6B6C731D" w14:textId="4FA02F6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20.61</w:t>
            </w:r>
            <w:r w:rsidR="0019290E">
              <w:rPr>
                <w:rFonts w:eastAsia="Times New Roman"/>
                <w:color w:val="000000"/>
                <w:sz w:val="20"/>
                <w:szCs w:val="20"/>
                <w:lang w:val="es-MX" w:eastAsia="es-MX"/>
              </w:rPr>
              <w:t xml:space="preserve"> %</w:t>
            </w:r>
          </w:p>
        </w:tc>
      </w:tr>
      <w:tr w:rsidR="00E409B9" w:rsidRPr="00305D32" w14:paraId="5604BDC7" w14:textId="77777777" w:rsidTr="00E40424">
        <w:trPr>
          <w:trHeight w:val="285"/>
        </w:trPr>
        <w:tc>
          <w:tcPr>
            <w:tcW w:w="3142" w:type="dxa"/>
            <w:tcBorders>
              <w:top w:val="nil"/>
              <w:left w:val="nil"/>
              <w:bottom w:val="nil"/>
              <w:right w:val="nil"/>
            </w:tcBorders>
            <w:noWrap/>
            <w:vAlign w:val="bottom"/>
            <w:hideMark/>
          </w:tcPr>
          <w:p w14:paraId="37C49C4E" w14:textId="77777777" w:rsidR="00E409B9" w:rsidRPr="00305D32" w:rsidRDefault="00E409B9" w:rsidP="00E409B9">
            <w:pPr>
              <w:spacing w:after="0" w:line="240" w:lineRule="auto"/>
              <w:jc w:val="left"/>
              <w:rPr>
                <w:rFonts w:eastAsia="Times New Roman"/>
                <w:i/>
                <w:iCs/>
                <w:color w:val="000000"/>
                <w:sz w:val="20"/>
                <w:szCs w:val="20"/>
                <w:lang w:val="es-MX" w:eastAsia="es-MX"/>
              </w:rPr>
            </w:pPr>
            <w:r w:rsidRPr="00305D32">
              <w:rPr>
                <w:rFonts w:eastAsia="Times New Roman"/>
                <w:i/>
                <w:iCs/>
                <w:color w:val="000000"/>
                <w:sz w:val="20"/>
                <w:szCs w:val="20"/>
                <w:lang w:val="es-MX" w:eastAsia="es-MX"/>
              </w:rPr>
              <w:t xml:space="preserve">      Total, Excursionistas fronterizos </w:t>
            </w:r>
          </w:p>
        </w:tc>
        <w:tc>
          <w:tcPr>
            <w:tcW w:w="2298" w:type="dxa"/>
            <w:tcBorders>
              <w:top w:val="nil"/>
              <w:left w:val="nil"/>
              <w:bottom w:val="nil"/>
              <w:right w:val="nil"/>
            </w:tcBorders>
            <w:noWrap/>
            <w:vAlign w:val="bottom"/>
            <w:hideMark/>
          </w:tcPr>
          <w:p w14:paraId="0CAD289E"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17,350,617.00</w:t>
            </w:r>
          </w:p>
        </w:tc>
        <w:tc>
          <w:tcPr>
            <w:tcW w:w="2150" w:type="dxa"/>
            <w:tcBorders>
              <w:top w:val="nil"/>
              <w:left w:val="nil"/>
              <w:bottom w:val="nil"/>
              <w:right w:val="nil"/>
            </w:tcBorders>
            <w:noWrap/>
            <w:vAlign w:val="bottom"/>
            <w:hideMark/>
          </w:tcPr>
          <w:p w14:paraId="69FBE56D"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21,593,807.00</w:t>
            </w:r>
          </w:p>
        </w:tc>
        <w:tc>
          <w:tcPr>
            <w:tcW w:w="1248" w:type="dxa"/>
            <w:tcBorders>
              <w:top w:val="nil"/>
              <w:left w:val="nil"/>
              <w:bottom w:val="nil"/>
              <w:right w:val="nil"/>
            </w:tcBorders>
            <w:noWrap/>
            <w:vAlign w:val="bottom"/>
            <w:hideMark/>
          </w:tcPr>
          <w:p w14:paraId="7F9D70FE" w14:textId="7E5DB0A6"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24.46</w:t>
            </w:r>
            <w:r w:rsidR="0019290E">
              <w:rPr>
                <w:rFonts w:eastAsia="Times New Roman"/>
                <w:color w:val="000000"/>
                <w:sz w:val="20"/>
                <w:szCs w:val="20"/>
                <w:lang w:val="es-MX" w:eastAsia="es-MX"/>
              </w:rPr>
              <w:t xml:space="preserve"> %</w:t>
            </w:r>
          </w:p>
        </w:tc>
      </w:tr>
      <w:tr w:rsidR="00E409B9" w:rsidRPr="00305D32" w14:paraId="22472CB0" w14:textId="77777777" w:rsidTr="00E40424">
        <w:trPr>
          <w:trHeight w:val="285"/>
        </w:trPr>
        <w:tc>
          <w:tcPr>
            <w:tcW w:w="3142" w:type="dxa"/>
            <w:tcBorders>
              <w:top w:val="nil"/>
              <w:left w:val="nil"/>
              <w:bottom w:val="nil"/>
              <w:right w:val="nil"/>
            </w:tcBorders>
            <w:noWrap/>
            <w:vAlign w:val="bottom"/>
            <w:hideMark/>
          </w:tcPr>
          <w:p w14:paraId="0EF15EBA" w14:textId="77777777" w:rsidR="00E409B9" w:rsidRPr="00305D32" w:rsidRDefault="00E409B9" w:rsidP="00E409B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 xml:space="preserve">         Peatones</w:t>
            </w:r>
          </w:p>
        </w:tc>
        <w:tc>
          <w:tcPr>
            <w:tcW w:w="2298" w:type="dxa"/>
            <w:tcBorders>
              <w:top w:val="nil"/>
              <w:left w:val="nil"/>
              <w:bottom w:val="nil"/>
              <w:right w:val="nil"/>
            </w:tcBorders>
            <w:noWrap/>
            <w:vAlign w:val="bottom"/>
            <w:hideMark/>
          </w:tcPr>
          <w:p w14:paraId="5CCBBA78"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4,090,546.00</w:t>
            </w:r>
          </w:p>
        </w:tc>
        <w:tc>
          <w:tcPr>
            <w:tcW w:w="2150" w:type="dxa"/>
            <w:tcBorders>
              <w:top w:val="nil"/>
              <w:left w:val="nil"/>
              <w:bottom w:val="nil"/>
              <w:right w:val="nil"/>
            </w:tcBorders>
            <w:noWrap/>
            <w:vAlign w:val="bottom"/>
            <w:hideMark/>
          </w:tcPr>
          <w:p w14:paraId="0EBD7094"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4,787,370.00</w:t>
            </w:r>
          </w:p>
        </w:tc>
        <w:tc>
          <w:tcPr>
            <w:tcW w:w="1248" w:type="dxa"/>
            <w:tcBorders>
              <w:top w:val="nil"/>
              <w:left w:val="nil"/>
              <w:bottom w:val="nil"/>
              <w:right w:val="nil"/>
            </w:tcBorders>
            <w:noWrap/>
            <w:vAlign w:val="bottom"/>
            <w:hideMark/>
          </w:tcPr>
          <w:p w14:paraId="14948F39" w14:textId="46774171"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17.03</w:t>
            </w:r>
            <w:r w:rsidR="0019290E">
              <w:rPr>
                <w:rFonts w:eastAsia="Times New Roman"/>
                <w:color w:val="000000"/>
                <w:sz w:val="20"/>
                <w:szCs w:val="20"/>
                <w:lang w:val="es-MX" w:eastAsia="es-MX"/>
              </w:rPr>
              <w:t xml:space="preserve"> %</w:t>
            </w:r>
          </w:p>
        </w:tc>
      </w:tr>
      <w:tr w:rsidR="00E409B9" w:rsidRPr="00305D32" w14:paraId="465D5321" w14:textId="77777777" w:rsidTr="00E40424">
        <w:trPr>
          <w:trHeight w:val="285"/>
        </w:trPr>
        <w:tc>
          <w:tcPr>
            <w:tcW w:w="3142" w:type="dxa"/>
            <w:tcBorders>
              <w:top w:val="nil"/>
              <w:left w:val="nil"/>
              <w:bottom w:val="nil"/>
              <w:right w:val="nil"/>
            </w:tcBorders>
            <w:noWrap/>
            <w:vAlign w:val="bottom"/>
            <w:hideMark/>
          </w:tcPr>
          <w:p w14:paraId="1F8A3182" w14:textId="77777777" w:rsidR="00E409B9" w:rsidRPr="00305D32" w:rsidRDefault="00E409B9" w:rsidP="00E409B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 xml:space="preserve">         En automóviles</w:t>
            </w:r>
          </w:p>
        </w:tc>
        <w:tc>
          <w:tcPr>
            <w:tcW w:w="2298" w:type="dxa"/>
            <w:tcBorders>
              <w:top w:val="nil"/>
              <w:left w:val="nil"/>
              <w:bottom w:val="nil"/>
              <w:right w:val="nil"/>
            </w:tcBorders>
            <w:noWrap/>
            <w:vAlign w:val="bottom"/>
            <w:hideMark/>
          </w:tcPr>
          <w:p w14:paraId="139A0C57"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13,260,071.00</w:t>
            </w:r>
          </w:p>
        </w:tc>
        <w:tc>
          <w:tcPr>
            <w:tcW w:w="2150" w:type="dxa"/>
            <w:tcBorders>
              <w:top w:val="nil"/>
              <w:left w:val="nil"/>
              <w:bottom w:val="nil"/>
              <w:right w:val="nil"/>
            </w:tcBorders>
            <w:noWrap/>
            <w:vAlign w:val="bottom"/>
            <w:hideMark/>
          </w:tcPr>
          <w:p w14:paraId="17D81D5B"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16,806,437.00</w:t>
            </w:r>
          </w:p>
        </w:tc>
        <w:tc>
          <w:tcPr>
            <w:tcW w:w="1248" w:type="dxa"/>
            <w:tcBorders>
              <w:top w:val="nil"/>
              <w:left w:val="nil"/>
              <w:bottom w:val="nil"/>
              <w:right w:val="nil"/>
            </w:tcBorders>
            <w:noWrap/>
            <w:vAlign w:val="bottom"/>
            <w:hideMark/>
          </w:tcPr>
          <w:p w14:paraId="58EAE4EE" w14:textId="40FBCEB8"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26.74</w:t>
            </w:r>
            <w:r w:rsidR="0019290E">
              <w:rPr>
                <w:rFonts w:eastAsia="Times New Roman"/>
                <w:color w:val="000000"/>
                <w:sz w:val="20"/>
                <w:szCs w:val="20"/>
                <w:lang w:val="es-MX" w:eastAsia="es-MX"/>
              </w:rPr>
              <w:t xml:space="preserve"> %</w:t>
            </w:r>
          </w:p>
        </w:tc>
      </w:tr>
      <w:tr w:rsidR="00E409B9" w:rsidRPr="00305D32" w14:paraId="1C6537BF" w14:textId="77777777" w:rsidTr="00E40424">
        <w:trPr>
          <w:trHeight w:val="285"/>
        </w:trPr>
        <w:tc>
          <w:tcPr>
            <w:tcW w:w="3142" w:type="dxa"/>
            <w:tcBorders>
              <w:top w:val="nil"/>
              <w:left w:val="nil"/>
              <w:bottom w:val="single" w:sz="4" w:space="0" w:color="auto"/>
              <w:right w:val="nil"/>
            </w:tcBorders>
            <w:noWrap/>
            <w:vAlign w:val="bottom"/>
            <w:hideMark/>
          </w:tcPr>
          <w:p w14:paraId="054AFC92" w14:textId="77777777" w:rsidR="00E409B9" w:rsidRPr="00305D32" w:rsidRDefault="00E409B9" w:rsidP="00E409B9">
            <w:pPr>
              <w:spacing w:after="0" w:line="240" w:lineRule="auto"/>
              <w:jc w:val="left"/>
              <w:rPr>
                <w:rFonts w:eastAsia="Times New Roman"/>
                <w:i/>
                <w:iCs/>
                <w:color w:val="000000"/>
                <w:sz w:val="20"/>
                <w:szCs w:val="20"/>
                <w:lang w:val="es-MX" w:eastAsia="es-MX"/>
              </w:rPr>
            </w:pPr>
            <w:r w:rsidRPr="00305D32">
              <w:rPr>
                <w:rFonts w:eastAsia="Times New Roman"/>
                <w:i/>
                <w:iCs/>
                <w:color w:val="000000"/>
                <w:sz w:val="20"/>
                <w:szCs w:val="20"/>
                <w:lang w:val="es-MX" w:eastAsia="es-MX"/>
              </w:rPr>
              <w:t xml:space="preserve">      Total, Excursionistas en cruceros</w:t>
            </w:r>
          </w:p>
        </w:tc>
        <w:tc>
          <w:tcPr>
            <w:tcW w:w="2298" w:type="dxa"/>
            <w:tcBorders>
              <w:top w:val="nil"/>
              <w:left w:val="nil"/>
              <w:bottom w:val="single" w:sz="4" w:space="0" w:color="auto"/>
              <w:right w:val="nil"/>
            </w:tcBorders>
            <w:noWrap/>
            <w:vAlign w:val="bottom"/>
            <w:hideMark/>
          </w:tcPr>
          <w:p w14:paraId="28C82FE0"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5,986,872.00</w:t>
            </w:r>
          </w:p>
        </w:tc>
        <w:tc>
          <w:tcPr>
            <w:tcW w:w="2150" w:type="dxa"/>
            <w:tcBorders>
              <w:top w:val="nil"/>
              <w:left w:val="nil"/>
              <w:bottom w:val="single" w:sz="4" w:space="0" w:color="auto"/>
              <w:right w:val="nil"/>
            </w:tcBorders>
            <w:noWrap/>
            <w:vAlign w:val="bottom"/>
            <w:hideMark/>
          </w:tcPr>
          <w:p w14:paraId="22E17F1E" w14:textId="77777777"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6,553,359.00</w:t>
            </w:r>
          </w:p>
        </w:tc>
        <w:tc>
          <w:tcPr>
            <w:tcW w:w="1248" w:type="dxa"/>
            <w:tcBorders>
              <w:top w:val="nil"/>
              <w:left w:val="nil"/>
              <w:bottom w:val="single" w:sz="4" w:space="0" w:color="auto"/>
              <w:right w:val="nil"/>
            </w:tcBorders>
            <w:noWrap/>
            <w:vAlign w:val="bottom"/>
            <w:hideMark/>
          </w:tcPr>
          <w:p w14:paraId="3FD6541A" w14:textId="1A15E950" w:rsidR="00E409B9" w:rsidRPr="00305D32" w:rsidRDefault="00E409B9" w:rsidP="00E409B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9.46</w:t>
            </w:r>
            <w:r w:rsidR="0019290E">
              <w:rPr>
                <w:rFonts w:eastAsia="Times New Roman"/>
                <w:color w:val="000000"/>
                <w:sz w:val="20"/>
                <w:szCs w:val="20"/>
                <w:lang w:val="es-MX" w:eastAsia="es-MX"/>
              </w:rPr>
              <w:t xml:space="preserve"> %</w:t>
            </w:r>
          </w:p>
        </w:tc>
      </w:tr>
    </w:tbl>
    <w:p w14:paraId="4D0831F6" w14:textId="19C37671" w:rsidR="00AE57F0" w:rsidRPr="00305D32" w:rsidRDefault="00414F7C" w:rsidP="005C1675">
      <w:pPr>
        <w:spacing w:line="240" w:lineRule="auto"/>
        <w:jc w:val="center"/>
        <w:rPr>
          <w:sz w:val="20"/>
          <w:szCs w:val="20"/>
          <w:lang w:val="es-MX"/>
        </w:rPr>
      </w:pPr>
      <w:r w:rsidRPr="00305D32">
        <w:rPr>
          <w:sz w:val="20"/>
          <w:szCs w:val="20"/>
          <w:lang w:val="es-MX"/>
        </w:rPr>
        <w:t xml:space="preserve">Fuente: Elaboración de la Subsecretaría de Análisis Económico y Finanzas Públicas de la Secretaría de Finanzas y Planeación con información de </w:t>
      </w:r>
      <w:r w:rsidRPr="00305D32">
        <w:rPr>
          <w:i/>
          <w:sz w:val="20"/>
          <w:szCs w:val="20"/>
          <w:lang w:val="es-MX"/>
        </w:rPr>
        <w:t>Turismo</w:t>
      </w:r>
      <w:r w:rsidRPr="00305D32">
        <w:rPr>
          <w:sz w:val="20"/>
          <w:szCs w:val="20"/>
          <w:lang w:val="es-MX"/>
        </w:rPr>
        <w:t xml:space="preserve"> del Instituto Nacional de Estadística y Geografía (202</w:t>
      </w:r>
      <w:r w:rsidR="00D44E80" w:rsidRPr="00305D32">
        <w:rPr>
          <w:sz w:val="20"/>
          <w:szCs w:val="20"/>
          <w:lang w:val="es-MX"/>
        </w:rPr>
        <w:t>5</w:t>
      </w:r>
      <w:r w:rsidRPr="00305D32">
        <w:rPr>
          <w:sz w:val="20"/>
          <w:szCs w:val="20"/>
          <w:lang w:val="es-MX"/>
        </w:rPr>
        <w:t>).</w:t>
      </w:r>
    </w:p>
    <w:p w14:paraId="4D0831F7" w14:textId="392EF7EC" w:rsidR="00AE57F0" w:rsidRDefault="00087F4D">
      <w:pPr>
        <w:rPr>
          <w:lang w:val="es-MX"/>
        </w:rPr>
      </w:pPr>
      <w:r w:rsidRPr="00305D32">
        <w:rPr>
          <w:lang w:val="es-MX"/>
        </w:rPr>
        <w:t xml:space="preserve">En la </w:t>
      </w:r>
      <w:r w:rsidR="00BA020B" w:rsidRPr="00305D32">
        <w:rPr>
          <w:lang w:val="es-MX"/>
        </w:rPr>
        <w:fldChar w:fldCharType="begin"/>
      </w:r>
      <w:r w:rsidR="00BA020B" w:rsidRPr="00305D32">
        <w:rPr>
          <w:lang w:val="es-MX"/>
        </w:rPr>
        <w:instrText xml:space="preserve"> REF _Ref210212025 \h </w:instrText>
      </w:r>
      <w:r w:rsidR="00BA020B" w:rsidRPr="00305D32">
        <w:rPr>
          <w:lang w:val="es-MX"/>
        </w:rPr>
      </w:r>
      <w:r w:rsidR="00BA020B" w:rsidRPr="00305D32">
        <w:rPr>
          <w:lang w:val="es-MX"/>
        </w:rPr>
        <w:fldChar w:fldCharType="separate"/>
      </w:r>
      <w:r w:rsidR="00ED1F2F" w:rsidRPr="00305D32">
        <w:rPr>
          <w:lang w:val="es-MX"/>
        </w:rPr>
        <w:t xml:space="preserve">Figura </w:t>
      </w:r>
      <w:r w:rsidR="00ED1F2F">
        <w:rPr>
          <w:noProof/>
          <w:lang w:val="es-MX"/>
        </w:rPr>
        <w:t>8</w:t>
      </w:r>
      <w:r w:rsidR="00BA020B" w:rsidRPr="00305D32">
        <w:rPr>
          <w:lang w:val="es-MX"/>
        </w:rPr>
        <w:fldChar w:fldCharType="end"/>
      </w:r>
      <w:r w:rsidR="00BA020B" w:rsidRPr="00305D32">
        <w:rPr>
          <w:lang w:val="es-MX"/>
        </w:rPr>
        <w:t xml:space="preserve"> </w:t>
      </w:r>
      <w:r w:rsidRPr="00305D32">
        <w:rPr>
          <w:lang w:val="es-MX"/>
        </w:rPr>
        <w:t>se presenta el comportamiento de los ingresos generados por el gasto de los visitantes internacionales. Durante el periodo de enero</w:t>
      </w:r>
      <w:r w:rsidR="00070E04">
        <w:rPr>
          <w:lang w:val="es-MX"/>
        </w:rPr>
        <w:t xml:space="preserve"> a </w:t>
      </w:r>
      <w:r w:rsidRPr="00305D32">
        <w:rPr>
          <w:lang w:val="es-MX"/>
        </w:rPr>
        <w:t>ju</w:t>
      </w:r>
      <w:r w:rsidR="005D7A5E" w:rsidRPr="00305D32">
        <w:rPr>
          <w:lang w:val="es-MX"/>
        </w:rPr>
        <w:t>l</w:t>
      </w:r>
      <w:r w:rsidRPr="00305D32">
        <w:rPr>
          <w:lang w:val="es-MX"/>
        </w:rPr>
        <w:t xml:space="preserve">io de 2025, el gasto total de los visitantes internacionales que </w:t>
      </w:r>
      <w:r w:rsidR="00133688">
        <w:rPr>
          <w:lang w:val="es-MX"/>
        </w:rPr>
        <w:t>arribaron</w:t>
      </w:r>
      <w:r w:rsidRPr="00305D32">
        <w:rPr>
          <w:lang w:val="es-MX"/>
        </w:rPr>
        <w:t xml:space="preserve"> a México </w:t>
      </w:r>
      <w:r w:rsidR="00133688">
        <w:rPr>
          <w:lang w:val="es-MX"/>
        </w:rPr>
        <w:t xml:space="preserve">ascendió a </w:t>
      </w:r>
      <w:r w:rsidRPr="00305D32">
        <w:rPr>
          <w:lang w:val="es-MX"/>
        </w:rPr>
        <w:t xml:space="preserve">e aproximadamente </w:t>
      </w:r>
      <w:r w:rsidR="007C3153" w:rsidRPr="00305D32">
        <w:rPr>
          <w:lang w:val="es-MX"/>
        </w:rPr>
        <w:t>21,681</w:t>
      </w:r>
      <w:r w:rsidRPr="00305D32">
        <w:rPr>
          <w:lang w:val="es-MX"/>
        </w:rPr>
        <w:t>.</w:t>
      </w:r>
      <w:r w:rsidR="0090393A" w:rsidRPr="00305D32">
        <w:rPr>
          <w:lang w:val="es-MX"/>
        </w:rPr>
        <w:t>5</w:t>
      </w:r>
      <w:r w:rsidRPr="00305D32">
        <w:rPr>
          <w:lang w:val="es-MX"/>
        </w:rPr>
        <w:t xml:space="preserve"> millones de dólares, mientras que en el mismo periodo de 2024 </w:t>
      </w:r>
      <w:r w:rsidR="00BF54ED">
        <w:rPr>
          <w:lang w:val="es-MX"/>
        </w:rPr>
        <w:t>se registraron</w:t>
      </w:r>
      <w:r w:rsidRPr="00305D32">
        <w:rPr>
          <w:lang w:val="es-MX"/>
        </w:rPr>
        <w:t xml:space="preserve"> </w:t>
      </w:r>
      <w:r w:rsidR="00773FE3" w:rsidRPr="00305D32">
        <w:rPr>
          <w:lang w:val="es-MX"/>
        </w:rPr>
        <w:t>20,300.5</w:t>
      </w:r>
      <w:r w:rsidRPr="00305D32">
        <w:rPr>
          <w:lang w:val="es-MX"/>
        </w:rPr>
        <w:t xml:space="preserve"> millones de dólares, lo que representa un incremento del </w:t>
      </w:r>
      <w:r w:rsidR="009B63C1" w:rsidRPr="00305D32">
        <w:rPr>
          <w:lang w:val="es-MX"/>
        </w:rPr>
        <w:t>6</w:t>
      </w:r>
      <w:r w:rsidR="001541AB" w:rsidRPr="00305D32">
        <w:rPr>
          <w:lang w:val="es-MX"/>
        </w:rPr>
        <w:t>.8</w:t>
      </w:r>
      <w:r w:rsidR="0019290E">
        <w:rPr>
          <w:lang w:val="es-MX"/>
        </w:rPr>
        <w:t xml:space="preserve"> %</w:t>
      </w:r>
      <w:r w:rsidRPr="00305D32">
        <w:rPr>
          <w:lang w:val="es-MX"/>
        </w:rPr>
        <w:t xml:space="preserve">. Este aumento se explica por un crecimiento del </w:t>
      </w:r>
      <w:r w:rsidR="00A115A6" w:rsidRPr="00305D32">
        <w:rPr>
          <w:lang w:val="es-MX"/>
        </w:rPr>
        <w:t>5</w:t>
      </w:r>
      <w:r w:rsidR="00B17D65" w:rsidRPr="00305D32">
        <w:rPr>
          <w:lang w:val="es-MX"/>
        </w:rPr>
        <w:t>.8</w:t>
      </w:r>
      <w:r w:rsidR="0019290E">
        <w:rPr>
          <w:lang w:val="es-MX"/>
        </w:rPr>
        <w:t xml:space="preserve"> %</w:t>
      </w:r>
      <w:r w:rsidRPr="00305D32">
        <w:rPr>
          <w:lang w:val="es-MX"/>
        </w:rPr>
        <w:t xml:space="preserve"> en el </w:t>
      </w:r>
      <w:r w:rsidRPr="00305D32">
        <w:rPr>
          <w:lang w:val="es-MX"/>
        </w:rPr>
        <w:lastRenderedPageBreak/>
        <w:t xml:space="preserve">gasto total de los turistas internacionales, así como un </w:t>
      </w:r>
      <w:r w:rsidR="00183A63">
        <w:rPr>
          <w:lang w:val="es-MX"/>
        </w:rPr>
        <w:t>incremento</w:t>
      </w:r>
      <w:r w:rsidRPr="00305D32">
        <w:rPr>
          <w:lang w:val="es-MX"/>
        </w:rPr>
        <w:t xml:space="preserve"> del 19</w:t>
      </w:r>
      <w:r w:rsidR="0043267C" w:rsidRPr="00305D32">
        <w:rPr>
          <w:lang w:val="es-MX"/>
        </w:rPr>
        <w:t>.3</w:t>
      </w:r>
      <w:r w:rsidR="0019290E">
        <w:rPr>
          <w:lang w:val="es-MX"/>
        </w:rPr>
        <w:t xml:space="preserve"> %</w:t>
      </w:r>
      <w:r w:rsidRPr="00305D32">
        <w:rPr>
          <w:lang w:val="es-MX"/>
        </w:rPr>
        <w:t xml:space="preserve"> en el gasto realizado por los excursionistas internacionales.</w:t>
      </w:r>
    </w:p>
    <w:p w14:paraId="4D0831F8" w14:textId="7635E4E5" w:rsidR="00AE57F0" w:rsidRPr="00305D32" w:rsidRDefault="00BA020B" w:rsidP="00BA020B">
      <w:pPr>
        <w:pStyle w:val="Descripcin"/>
        <w:jc w:val="center"/>
        <w:rPr>
          <w:color w:val="000000"/>
          <w:lang w:val="es-MX"/>
        </w:rPr>
      </w:pPr>
      <w:bookmarkStart w:id="22" w:name="_heading=h.3hv69ve" w:colFirst="0" w:colLast="0"/>
      <w:bookmarkStart w:id="23" w:name="_Ref210212025"/>
      <w:bookmarkEnd w:id="22"/>
      <w:r w:rsidRPr="00305D32">
        <w:rPr>
          <w:lang w:val="es-MX"/>
        </w:rPr>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8</w:t>
      </w:r>
      <w:r w:rsidRPr="00305D32">
        <w:rPr>
          <w:lang w:val="es-MX"/>
        </w:rPr>
        <w:fldChar w:fldCharType="end"/>
      </w:r>
      <w:bookmarkEnd w:id="23"/>
      <w:r w:rsidR="00414F7C" w:rsidRPr="00305D32">
        <w:rPr>
          <w:color w:val="000000"/>
          <w:lang w:val="es-MX"/>
        </w:rPr>
        <w:t>. Gasto total de los visitantes internacionales que ingresaron a México en el periodo enero-ju</w:t>
      </w:r>
      <w:r w:rsidR="005D7A5E" w:rsidRPr="00305D32">
        <w:rPr>
          <w:color w:val="000000"/>
          <w:lang w:val="es-MX"/>
        </w:rPr>
        <w:t>li</w:t>
      </w:r>
      <w:r w:rsidR="00414F7C" w:rsidRPr="00305D32">
        <w:rPr>
          <w:color w:val="000000"/>
          <w:lang w:val="es-MX"/>
        </w:rPr>
        <w:t>o, 202</w:t>
      </w:r>
      <w:r w:rsidR="009F1145" w:rsidRPr="00305D32">
        <w:rPr>
          <w:color w:val="000000"/>
          <w:lang w:val="es-MX"/>
        </w:rPr>
        <w:t>4</w:t>
      </w:r>
      <w:r w:rsidR="00414F7C" w:rsidRPr="00305D32">
        <w:rPr>
          <w:color w:val="000000"/>
          <w:lang w:val="es-MX"/>
        </w:rPr>
        <w:t xml:space="preserve"> vs 202</w:t>
      </w:r>
      <w:r w:rsidR="009F1145" w:rsidRPr="00305D32">
        <w:rPr>
          <w:color w:val="000000"/>
          <w:lang w:val="es-MX"/>
        </w:rPr>
        <w:t>5</w:t>
      </w:r>
      <w:r w:rsidR="00414F7C" w:rsidRPr="00305D32">
        <w:rPr>
          <w:color w:val="000000"/>
          <w:lang w:val="es-MX"/>
        </w:rPr>
        <w:t>, cifras en millones de dólares</w:t>
      </w:r>
    </w:p>
    <w:p w14:paraId="4D0831F9" w14:textId="1C29490B" w:rsidR="00AE57F0" w:rsidRPr="00305D32" w:rsidRDefault="00B40943" w:rsidP="00413EEB">
      <w:pPr>
        <w:spacing w:after="0"/>
        <w:jc w:val="center"/>
        <w:rPr>
          <w:lang w:val="es-MX"/>
        </w:rPr>
      </w:pPr>
      <w:r w:rsidRPr="00305D32">
        <w:rPr>
          <w:noProof/>
          <w:lang w:val="es-MX" w:eastAsia="es-MX"/>
        </w:rPr>
        <w:drawing>
          <wp:inline distT="0" distB="0" distL="0" distR="0" wp14:anchorId="76E3EA75" wp14:editId="364E74E7">
            <wp:extent cx="5805377" cy="3019646"/>
            <wp:effectExtent l="0" t="0" r="5080" b="9525"/>
            <wp:docPr id="1649531056" name="Gráfico 1">
              <a:extLst xmlns:a="http://schemas.openxmlformats.org/drawingml/2006/main">
                <a:ext uri="{FF2B5EF4-FFF2-40B4-BE49-F238E27FC236}">
                  <a16:creationId xmlns:a16="http://schemas.microsoft.com/office/drawing/2014/main" id="{B8363149-E480-92DE-9A39-A76F618730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D0831FA" w14:textId="6E05C44B" w:rsidR="00AE57F0" w:rsidRPr="00305D32" w:rsidRDefault="00414F7C">
      <w:pPr>
        <w:spacing w:line="240" w:lineRule="auto"/>
        <w:jc w:val="center"/>
        <w:rPr>
          <w:sz w:val="20"/>
          <w:szCs w:val="20"/>
          <w:lang w:val="es-MX"/>
        </w:rPr>
      </w:pPr>
      <w:r w:rsidRPr="00305D32">
        <w:rPr>
          <w:sz w:val="20"/>
          <w:szCs w:val="20"/>
          <w:lang w:val="es-MX"/>
        </w:rPr>
        <w:t xml:space="preserve">Fuente: Elaboración de la Subsecretaría de Análisis Económico y Finanzas Públicas de la Secretaría de Finanzas y Planeación con información de </w:t>
      </w:r>
      <w:r w:rsidRPr="00305D32">
        <w:rPr>
          <w:i/>
          <w:sz w:val="20"/>
          <w:szCs w:val="20"/>
          <w:lang w:val="es-MX"/>
        </w:rPr>
        <w:t>Turismo</w:t>
      </w:r>
      <w:r w:rsidRPr="00305D32">
        <w:rPr>
          <w:sz w:val="20"/>
          <w:szCs w:val="20"/>
          <w:lang w:val="es-MX"/>
        </w:rPr>
        <w:t xml:space="preserve"> del Instituto Nacional de Estadística y Geografía (202</w:t>
      </w:r>
      <w:r w:rsidR="009F1145" w:rsidRPr="00305D32">
        <w:rPr>
          <w:sz w:val="20"/>
          <w:szCs w:val="20"/>
          <w:lang w:val="es-MX"/>
        </w:rPr>
        <w:t>5</w:t>
      </w:r>
      <w:r w:rsidRPr="00305D32">
        <w:rPr>
          <w:sz w:val="20"/>
          <w:szCs w:val="20"/>
          <w:lang w:val="es-MX"/>
        </w:rPr>
        <w:t>).</w:t>
      </w:r>
    </w:p>
    <w:p w14:paraId="66C90D87" w14:textId="46906246" w:rsidR="00E024B9" w:rsidRDefault="00A76993" w:rsidP="00A76993">
      <w:pPr>
        <w:rPr>
          <w:lang w:val="es-MX"/>
        </w:rPr>
      </w:pPr>
      <w:r w:rsidRPr="00305D32">
        <w:rPr>
          <w:lang w:val="es-MX"/>
        </w:rPr>
        <w:t xml:space="preserve">En la </w:t>
      </w:r>
      <w:r w:rsidR="00620A11" w:rsidRPr="00305D32">
        <w:rPr>
          <w:lang w:val="es-MX"/>
        </w:rPr>
        <w:fldChar w:fldCharType="begin"/>
      </w:r>
      <w:r w:rsidR="00620A11" w:rsidRPr="00305D32">
        <w:rPr>
          <w:lang w:val="es-MX"/>
        </w:rPr>
        <w:instrText xml:space="preserve"> REF _Ref210212211 \h </w:instrText>
      </w:r>
      <w:r w:rsidR="00620A11" w:rsidRPr="00305D32">
        <w:rPr>
          <w:lang w:val="es-MX"/>
        </w:rPr>
      </w:r>
      <w:r w:rsidR="00620A11" w:rsidRPr="00305D32">
        <w:rPr>
          <w:lang w:val="es-MX"/>
        </w:rPr>
        <w:fldChar w:fldCharType="separate"/>
      </w:r>
      <w:r w:rsidR="00ED1F2F" w:rsidRPr="00305D32">
        <w:rPr>
          <w:lang w:val="es-MX"/>
        </w:rPr>
        <w:t xml:space="preserve">Tabla </w:t>
      </w:r>
      <w:r w:rsidR="00ED1F2F">
        <w:rPr>
          <w:noProof/>
          <w:lang w:val="es-MX"/>
        </w:rPr>
        <w:t>3</w:t>
      </w:r>
      <w:r w:rsidR="00620A11" w:rsidRPr="00305D32">
        <w:rPr>
          <w:lang w:val="es-MX"/>
        </w:rPr>
        <w:fldChar w:fldCharType="end"/>
      </w:r>
      <w:r w:rsidR="00620A11" w:rsidRPr="00305D32">
        <w:rPr>
          <w:lang w:val="es-MX"/>
        </w:rPr>
        <w:t xml:space="preserve"> </w:t>
      </w:r>
      <w:r w:rsidRPr="00305D32">
        <w:rPr>
          <w:lang w:val="es-MX"/>
        </w:rPr>
        <w:t xml:space="preserve">se presenta el gasto medio de los visitantes internacionales que ingresaron al país, </w:t>
      </w:r>
      <w:r w:rsidR="005B2F55">
        <w:rPr>
          <w:lang w:val="es-MX"/>
        </w:rPr>
        <w:t>tanto</w:t>
      </w:r>
      <w:r w:rsidRPr="00305D32">
        <w:rPr>
          <w:lang w:val="es-MX"/>
        </w:rPr>
        <w:t xml:space="preserve"> turistas </w:t>
      </w:r>
      <w:r w:rsidR="005B2F55">
        <w:rPr>
          <w:lang w:val="es-MX"/>
        </w:rPr>
        <w:t>com</w:t>
      </w:r>
      <w:r w:rsidRPr="00305D32">
        <w:rPr>
          <w:lang w:val="es-MX"/>
        </w:rPr>
        <w:t xml:space="preserve">o excursionistas, desglosado por medio de transporte. Cabe destacar que este comparativo abarca </w:t>
      </w:r>
      <w:r w:rsidR="00E024B9">
        <w:rPr>
          <w:lang w:val="es-MX"/>
        </w:rPr>
        <w:t>el periodo</w:t>
      </w:r>
      <w:r w:rsidRPr="00305D32">
        <w:rPr>
          <w:lang w:val="es-MX"/>
        </w:rPr>
        <w:t xml:space="preserve"> de enero</w:t>
      </w:r>
      <w:r w:rsidR="00E024B9">
        <w:rPr>
          <w:lang w:val="es-MX"/>
        </w:rPr>
        <w:t xml:space="preserve"> a </w:t>
      </w:r>
      <w:r w:rsidRPr="00305D32">
        <w:rPr>
          <w:lang w:val="es-MX"/>
        </w:rPr>
        <w:t>ju</w:t>
      </w:r>
      <w:r w:rsidR="00EE2A5B" w:rsidRPr="00305D32">
        <w:rPr>
          <w:lang w:val="es-MX"/>
        </w:rPr>
        <w:t>l</w:t>
      </w:r>
      <w:r w:rsidRPr="00305D32">
        <w:rPr>
          <w:lang w:val="es-MX"/>
        </w:rPr>
        <w:t xml:space="preserve">io de 2025 en relación con el mismo </w:t>
      </w:r>
      <w:r w:rsidR="007A09D8">
        <w:rPr>
          <w:lang w:val="es-MX"/>
        </w:rPr>
        <w:t>periodo</w:t>
      </w:r>
      <w:r w:rsidRPr="00305D32">
        <w:rPr>
          <w:lang w:val="es-MX"/>
        </w:rPr>
        <w:t xml:space="preserve"> de 2024. </w:t>
      </w:r>
    </w:p>
    <w:p w14:paraId="0A22581B" w14:textId="546E52D0" w:rsidR="00A76993" w:rsidRPr="00305D32" w:rsidRDefault="00A76993" w:rsidP="00A76993">
      <w:pPr>
        <w:rPr>
          <w:lang w:val="es-MX"/>
        </w:rPr>
      </w:pPr>
      <w:r w:rsidRPr="00305D32">
        <w:rPr>
          <w:lang w:val="es-MX"/>
        </w:rPr>
        <w:t xml:space="preserve">En 2025, el gasto medio general de todos los visitantes internacionales </w:t>
      </w:r>
      <w:r w:rsidR="003C51D0">
        <w:rPr>
          <w:lang w:val="es-MX"/>
        </w:rPr>
        <w:t>registró</w:t>
      </w:r>
      <w:r w:rsidRPr="00305D32">
        <w:rPr>
          <w:lang w:val="es-MX"/>
        </w:rPr>
        <w:t xml:space="preserve"> una </w:t>
      </w:r>
      <w:r w:rsidR="00F354D1">
        <w:rPr>
          <w:lang w:val="es-MX"/>
        </w:rPr>
        <w:t>disminución</w:t>
      </w:r>
      <w:r w:rsidRPr="00305D32">
        <w:rPr>
          <w:lang w:val="es-MX"/>
        </w:rPr>
        <w:t xml:space="preserve"> del </w:t>
      </w:r>
      <w:r w:rsidR="0067018C" w:rsidRPr="00305D32">
        <w:rPr>
          <w:lang w:val="es-MX"/>
        </w:rPr>
        <w:t>5.94</w:t>
      </w:r>
      <w:r w:rsidR="0019290E">
        <w:rPr>
          <w:lang w:val="es-MX"/>
        </w:rPr>
        <w:t xml:space="preserve"> %</w:t>
      </w:r>
      <w:r w:rsidRPr="00305D32">
        <w:rPr>
          <w:lang w:val="es-MX"/>
        </w:rPr>
        <w:t xml:space="preserve">, </w:t>
      </w:r>
      <w:r w:rsidR="00635657">
        <w:rPr>
          <w:lang w:val="es-MX"/>
        </w:rPr>
        <w:t>al pasar de</w:t>
      </w:r>
      <w:r w:rsidRPr="00305D32">
        <w:rPr>
          <w:lang w:val="es-MX"/>
        </w:rPr>
        <w:t xml:space="preserve"> 4</w:t>
      </w:r>
      <w:r w:rsidR="0067018C" w:rsidRPr="00305D32">
        <w:rPr>
          <w:lang w:val="es-MX"/>
        </w:rPr>
        <w:t>13.5</w:t>
      </w:r>
      <w:r w:rsidRPr="00305D32">
        <w:rPr>
          <w:lang w:val="es-MX"/>
        </w:rPr>
        <w:t xml:space="preserve"> dólares en 2024 a 3</w:t>
      </w:r>
      <w:r w:rsidR="0067018C" w:rsidRPr="00305D32">
        <w:rPr>
          <w:lang w:val="es-MX"/>
        </w:rPr>
        <w:t>88.9</w:t>
      </w:r>
      <w:r w:rsidRPr="00305D32">
        <w:rPr>
          <w:lang w:val="es-MX"/>
        </w:rPr>
        <w:t xml:space="preserve"> dólares en 2025. Esto indica que los visitantes que han ingresado al país en este último año han </w:t>
      </w:r>
      <w:r w:rsidRPr="00305D32">
        <w:rPr>
          <w:lang w:val="es-MX"/>
        </w:rPr>
        <w:lastRenderedPageBreak/>
        <w:t xml:space="preserve">reducido </w:t>
      </w:r>
      <w:r w:rsidRPr="00D06745">
        <w:rPr>
          <w:lang w:val="es-MX"/>
        </w:rPr>
        <w:t xml:space="preserve">considerablemente su gasto en territorio nacional, una tendencia que </w:t>
      </w:r>
      <w:r w:rsidR="003B4D2E" w:rsidRPr="00D06745">
        <w:rPr>
          <w:lang w:val="es-MX"/>
        </w:rPr>
        <w:t xml:space="preserve">se </w:t>
      </w:r>
      <w:r w:rsidRPr="00D06745">
        <w:rPr>
          <w:lang w:val="es-MX"/>
        </w:rPr>
        <w:t xml:space="preserve">ha </w:t>
      </w:r>
      <w:r w:rsidR="003B4D2E" w:rsidRPr="00D06745">
        <w:rPr>
          <w:lang w:val="es-MX"/>
        </w:rPr>
        <w:t>mantenido</w:t>
      </w:r>
      <w:r w:rsidRPr="00D06745">
        <w:rPr>
          <w:lang w:val="es-MX"/>
        </w:rPr>
        <w:t xml:space="preserve"> en los últimos años.</w:t>
      </w:r>
    </w:p>
    <w:p w14:paraId="628213B1" w14:textId="42BE9C40" w:rsidR="00A76993" w:rsidRPr="00305D32" w:rsidRDefault="00A76993" w:rsidP="00A76993">
      <w:pPr>
        <w:rPr>
          <w:lang w:val="es-MX"/>
        </w:rPr>
      </w:pPr>
      <w:r w:rsidRPr="00305D32">
        <w:rPr>
          <w:lang w:val="es-MX"/>
        </w:rPr>
        <w:t xml:space="preserve">La dinámica turística revela que, aunque está aumentando la llegada de visitantes, el crecimiento se concentra principalmente en el sector de excursionistas y turistas fronterizos, el gasto medio de los visitantes </w:t>
      </w:r>
      <w:r w:rsidR="009D26DB">
        <w:rPr>
          <w:lang w:val="es-MX"/>
        </w:rPr>
        <w:t>mostró</w:t>
      </w:r>
      <w:r w:rsidRPr="00305D32">
        <w:rPr>
          <w:lang w:val="es-MX"/>
        </w:rPr>
        <w:t xml:space="preserve"> una contracción cercana al </w:t>
      </w:r>
      <w:r w:rsidR="0067018C" w:rsidRPr="00305D32">
        <w:rPr>
          <w:lang w:val="es-MX"/>
        </w:rPr>
        <w:t>6</w:t>
      </w:r>
      <w:r w:rsidR="0019290E">
        <w:rPr>
          <w:lang w:val="es-MX"/>
        </w:rPr>
        <w:t xml:space="preserve"> %</w:t>
      </w:r>
      <w:r w:rsidRPr="00305D32">
        <w:rPr>
          <w:lang w:val="es-MX"/>
        </w:rPr>
        <w:t>.</w:t>
      </w:r>
    </w:p>
    <w:p w14:paraId="4D0831FE" w14:textId="194BFA0C" w:rsidR="00AE57F0" w:rsidRPr="00305D32" w:rsidRDefault="00620A11" w:rsidP="003D472B">
      <w:pPr>
        <w:pStyle w:val="Descripcin"/>
        <w:jc w:val="center"/>
        <w:rPr>
          <w:b w:val="0"/>
          <w:lang w:val="es-MX"/>
        </w:rPr>
      </w:pPr>
      <w:bookmarkStart w:id="24" w:name="_heading=h.1x0gk37" w:colFirst="0" w:colLast="0"/>
      <w:bookmarkStart w:id="25" w:name="_Ref210212211"/>
      <w:bookmarkEnd w:id="24"/>
      <w:r w:rsidRPr="00305D32">
        <w:rPr>
          <w:lang w:val="es-MX"/>
        </w:rPr>
        <w:t xml:space="preserve">Tabla </w:t>
      </w:r>
      <w:r w:rsidRPr="00305D32">
        <w:rPr>
          <w:lang w:val="es-MX"/>
        </w:rPr>
        <w:fldChar w:fldCharType="begin"/>
      </w:r>
      <w:r w:rsidRPr="00305D32">
        <w:rPr>
          <w:lang w:val="es-MX"/>
        </w:rPr>
        <w:instrText xml:space="preserve"> SEQ Tabla \* ARABIC </w:instrText>
      </w:r>
      <w:r w:rsidRPr="00305D32">
        <w:rPr>
          <w:lang w:val="es-MX"/>
        </w:rPr>
        <w:fldChar w:fldCharType="separate"/>
      </w:r>
      <w:r w:rsidR="00ED1F2F">
        <w:rPr>
          <w:noProof/>
          <w:lang w:val="es-MX"/>
        </w:rPr>
        <w:t>3</w:t>
      </w:r>
      <w:r w:rsidRPr="00305D32">
        <w:rPr>
          <w:lang w:val="es-MX"/>
        </w:rPr>
        <w:fldChar w:fldCharType="end"/>
      </w:r>
      <w:bookmarkEnd w:id="25"/>
      <w:r w:rsidR="00414F7C" w:rsidRPr="00305D32">
        <w:rPr>
          <w:lang w:val="es-MX"/>
        </w:rPr>
        <w:t xml:space="preserve">. Gasto medio en dólares de los visitantes </w:t>
      </w:r>
      <w:r w:rsidR="00414F7C" w:rsidRPr="00933A7E">
        <w:t>internacionales</w:t>
      </w:r>
      <w:r w:rsidR="00414F7C" w:rsidRPr="00305D32">
        <w:rPr>
          <w:lang w:val="es-MX"/>
        </w:rPr>
        <w:t xml:space="preserve"> que ingresaron a México en el periodo enero-ju</w:t>
      </w:r>
      <w:r w:rsidR="00EE2A5B" w:rsidRPr="00933A7E">
        <w:rPr>
          <w:lang w:val="es-MX"/>
        </w:rPr>
        <w:t>l</w:t>
      </w:r>
      <w:r w:rsidR="001D40AD" w:rsidRPr="00933A7E">
        <w:rPr>
          <w:lang w:val="es-MX"/>
        </w:rPr>
        <w:t>i</w:t>
      </w:r>
      <w:r w:rsidR="00414F7C" w:rsidRPr="00933A7E">
        <w:rPr>
          <w:lang w:val="es-MX"/>
        </w:rPr>
        <w:t>o, 202</w:t>
      </w:r>
      <w:r w:rsidR="001D40AD" w:rsidRPr="00933A7E">
        <w:rPr>
          <w:lang w:val="es-MX"/>
        </w:rPr>
        <w:t>4</w:t>
      </w:r>
      <w:r w:rsidR="00414F7C" w:rsidRPr="00933A7E">
        <w:rPr>
          <w:lang w:val="es-MX"/>
        </w:rPr>
        <w:t xml:space="preserve"> vs 202</w:t>
      </w:r>
      <w:r w:rsidR="001D40AD" w:rsidRPr="00933A7E">
        <w:rPr>
          <w:lang w:val="es-MX"/>
        </w:rPr>
        <w:t>5</w:t>
      </w:r>
    </w:p>
    <w:tbl>
      <w:tblPr>
        <w:tblW w:w="8461" w:type="dxa"/>
        <w:jc w:val="center"/>
        <w:tblCellMar>
          <w:left w:w="70" w:type="dxa"/>
          <w:right w:w="70" w:type="dxa"/>
        </w:tblCellMar>
        <w:tblLook w:val="04A0" w:firstRow="1" w:lastRow="0" w:firstColumn="1" w:lastColumn="0" w:noHBand="0" w:noVBand="1"/>
      </w:tblPr>
      <w:tblGrid>
        <w:gridCol w:w="3413"/>
        <w:gridCol w:w="2336"/>
        <w:gridCol w:w="1356"/>
        <w:gridCol w:w="1356"/>
      </w:tblGrid>
      <w:tr w:rsidR="00D0144A" w:rsidRPr="00305D32" w14:paraId="7D1B9801" w14:textId="77777777" w:rsidTr="00FB145C">
        <w:trPr>
          <w:trHeight w:val="285"/>
          <w:jc w:val="center"/>
        </w:trPr>
        <w:tc>
          <w:tcPr>
            <w:tcW w:w="3413" w:type="dxa"/>
            <w:tcBorders>
              <w:top w:val="single" w:sz="4" w:space="0" w:color="auto"/>
              <w:left w:val="nil"/>
              <w:bottom w:val="single" w:sz="4" w:space="0" w:color="auto"/>
              <w:right w:val="nil"/>
            </w:tcBorders>
            <w:noWrap/>
            <w:vAlign w:val="center"/>
            <w:hideMark/>
          </w:tcPr>
          <w:p w14:paraId="1BA4E8FA" w14:textId="77777777" w:rsidR="00D0144A" w:rsidRPr="00305D32" w:rsidRDefault="00D0144A" w:rsidP="00D0144A">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Visitantes por tipo y medio de transporte</w:t>
            </w:r>
          </w:p>
        </w:tc>
        <w:tc>
          <w:tcPr>
            <w:tcW w:w="2336" w:type="dxa"/>
            <w:tcBorders>
              <w:top w:val="single" w:sz="4" w:space="0" w:color="auto"/>
              <w:left w:val="nil"/>
              <w:bottom w:val="single" w:sz="4" w:space="0" w:color="auto"/>
              <w:right w:val="nil"/>
            </w:tcBorders>
            <w:noWrap/>
            <w:vAlign w:val="center"/>
            <w:hideMark/>
          </w:tcPr>
          <w:p w14:paraId="208A7E70" w14:textId="77777777" w:rsidR="00D0144A" w:rsidRPr="00305D32" w:rsidRDefault="00D0144A" w:rsidP="00D0144A">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2024</w:t>
            </w:r>
          </w:p>
        </w:tc>
        <w:tc>
          <w:tcPr>
            <w:tcW w:w="1356" w:type="dxa"/>
            <w:tcBorders>
              <w:top w:val="single" w:sz="4" w:space="0" w:color="auto"/>
              <w:left w:val="nil"/>
              <w:bottom w:val="single" w:sz="4" w:space="0" w:color="auto"/>
              <w:right w:val="nil"/>
            </w:tcBorders>
            <w:noWrap/>
            <w:vAlign w:val="center"/>
            <w:hideMark/>
          </w:tcPr>
          <w:p w14:paraId="7C214A54" w14:textId="77777777" w:rsidR="00D0144A" w:rsidRPr="00305D32" w:rsidRDefault="00D0144A" w:rsidP="00D0144A">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2025</w:t>
            </w:r>
          </w:p>
        </w:tc>
        <w:tc>
          <w:tcPr>
            <w:tcW w:w="1356" w:type="dxa"/>
            <w:tcBorders>
              <w:top w:val="single" w:sz="4" w:space="0" w:color="auto"/>
              <w:left w:val="nil"/>
              <w:bottom w:val="single" w:sz="4" w:space="0" w:color="auto"/>
              <w:right w:val="nil"/>
            </w:tcBorders>
            <w:noWrap/>
            <w:vAlign w:val="center"/>
            <w:hideMark/>
          </w:tcPr>
          <w:p w14:paraId="242D68D6" w14:textId="77777777" w:rsidR="00D0144A" w:rsidRPr="00305D32" w:rsidRDefault="00D0144A" w:rsidP="00D0144A">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Variación</w:t>
            </w:r>
          </w:p>
        </w:tc>
      </w:tr>
      <w:tr w:rsidR="00D0144A" w:rsidRPr="00305D32" w14:paraId="5FC114C8" w14:textId="77777777" w:rsidTr="00FB145C">
        <w:trPr>
          <w:trHeight w:val="77"/>
          <w:jc w:val="center"/>
        </w:trPr>
        <w:tc>
          <w:tcPr>
            <w:tcW w:w="3413" w:type="dxa"/>
            <w:tcBorders>
              <w:top w:val="nil"/>
              <w:left w:val="nil"/>
              <w:bottom w:val="nil"/>
              <w:right w:val="nil"/>
            </w:tcBorders>
            <w:noWrap/>
            <w:vAlign w:val="bottom"/>
            <w:hideMark/>
          </w:tcPr>
          <w:p w14:paraId="26A35C65" w14:textId="77777777" w:rsidR="00D0144A" w:rsidRPr="00305D32" w:rsidRDefault="00D0144A" w:rsidP="00D0144A">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Total, entradas</w:t>
            </w:r>
          </w:p>
        </w:tc>
        <w:tc>
          <w:tcPr>
            <w:tcW w:w="2336" w:type="dxa"/>
            <w:tcBorders>
              <w:top w:val="nil"/>
              <w:left w:val="nil"/>
              <w:bottom w:val="nil"/>
              <w:right w:val="nil"/>
            </w:tcBorders>
            <w:noWrap/>
            <w:vAlign w:val="bottom"/>
            <w:hideMark/>
          </w:tcPr>
          <w:p w14:paraId="641C563F" w14:textId="7C1EA759"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413.5</w:t>
            </w:r>
          </w:p>
        </w:tc>
        <w:tc>
          <w:tcPr>
            <w:tcW w:w="1356" w:type="dxa"/>
            <w:tcBorders>
              <w:top w:val="nil"/>
              <w:left w:val="nil"/>
              <w:bottom w:val="nil"/>
              <w:right w:val="nil"/>
            </w:tcBorders>
            <w:noWrap/>
            <w:vAlign w:val="bottom"/>
            <w:hideMark/>
          </w:tcPr>
          <w:p w14:paraId="2E259AA3" w14:textId="07D338FA"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388.9</w:t>
            </w:r>
          </w:p>
        </w:tc>
        <w:tc>
          <w:tcPr>
            <w:tcW w:w="1356" w:type="dxa"/>
            <w:tcBorders>
              <w:top w:val="nil"/>
              <w:left w:val="nil"/>
              <w:bottom w:val="nil"/>
              <w:right w:val="nil"/>
            </w:tcBorders>
            <w:noWrap/>
            <w:vAlign w:val="bottom"/>
            <w:hideMark/>
          </w:tcPr>
          <w:p w14:paraId="73AA1A55" w14:textId="171DFFEA" w:rsidR="00D0144A" w:rsidRPr="00305D32" w:rsidRDefault="00D0144A" w:rsidP="00D0144A">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-5.94</w:t>
            </w:r>
            <w:r w:rsidR="0019290E">
              <w:rPr>
                <w:rFonts w:eastAsia="Times New Roman"/>
                <w:color w:val="000000"/>
                <w:sz w:val="20"/>
                <w:szCs w:val="20"/>
                <w:lang w:val="es-MX" w:eastAsia="es-MX"/>
              </w:rPr>
              <w:t xml:space="preserve"> %</w:t>
            </w:r>
          </w:p>
        </w:tc>
      </w:tr>
      <w:tr w:rsidR="00D0144A" w:rsidRPr="00305D32" w14:paraId="72DB1B27" w14:textId="77777777" w:rsidTr="00FB145C">
        <w:trPr>
          <w:trHeight w:val="300"/>
          <w:jc w:val="center"/>
        </w:trPr>
        <w:tc>
          <w:tcPr>
            <w:tcW w:w="3413" w:type="dxa"/>
            <w:tcBorders>
              <w:top w:val="nil"/>
              <w:left w:val="nil"/>
              <w:bottom w:val="nil"/>
              <w:right w:val="nil"/>
            </w:tcBorders>
            <w:noWrap/>
            <w:vAlign w:val="bottom"/>
            <w:hideMark/>
          </w:tcPr>
          <w:p w14:paraId="0D4717B3" w14:textId="77777777" w:rsidR="00D0144A" w:rsidRPr="00305D32" w:rsidRDefault="00D0144A" w:rsidP="00D0144A">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 xml:space="preserve">   Total, Turistas internacionales</w:t>
            </w:r>
          </w:p>
        </w:tc>
        <w:tc>
          <w:tcPr>
            <w:tcW w:w="2336" w:type="dxa"/>
            <w:tcBorders>
              <w:top w:val="nil"/>
              <w:left w:val="nil"/>
              <w:bottom w:val="nil"/>
              <w:right w:val="nil"/>
            </w:tcBorders>
            <w:noWrap/>
            <w:vAlign w:val="bottom"/>
            <w:hideMark/>
          </w:tcPr>
          <w:p w14:paraId="7B64D5BC" w14:textId="49D6A523"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727.3</w:t>
            </w:r>
          </w:p>
        </w:tc>
        <w:tc>
          <w:tcPr>
            <w:tcW w:w="1356" w:type="dxa"/>
            <w:tcBorders>
              <w:top w:val="nil"/>
              <w:left w:val="nil"/>
              <w:bottom w:val="nil"/>
              <w:right w:val="nil"/>
            </w:tcBorders>
            <w:noWrap/>
            <w:vAlign w:val="bottom"/>
            <w:hideMark/>
          </w:tcPr>
          <w:p w14:paraId="666897D6" w14:textId="2D6F34D2"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718.0</w:t>
            </w:r>
          </w:p>
        </w:tc>
        <w:tc>
          <w:tcPr>
            <w:tcW w:w="1356" w:type="dxa"/>
            <w:tcBorders>
              <w:top w:val="nil"/>
              <w:left w:val="nil"/>
              <w:bottom w:val="nil"/>
              <w:right w:val="nil"/>
            </w:tcBorders>
            <w:noWrap/>
            <w:vAlign w:val="bottom"/>
            <w:hideMark/>
          </w:tcPr>
          <w:p w14:paraId="5595E766" w14:textId="234A24B7" w:rsidR="00D0144A" w:rsidRPr="00305D32" w:rsidRDefault="00D0144A" w:rsidP="00D0144A">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-1.28</w:t>
            </w:r>
            <w:r w:rsidR="0019290E">
              <w:rPr>
                <w:rFonts w:eastAsia="Times New Roman"/>
                <w:color w:val="000000"/>
                <w:sz w:val="20"/>
                <w:szCs w:val="20"/>
                <w:lang w:val="es-MX" w:eastAsia="es-MX"/>
              </w:rPr>
              <w:t xml:space="preserve"> %</w:t>
            </w:r>
          </w:p>
        </w:tc>
      </w:tr>
      <w:tr w:rsidR="00D0144A" w:rsidRPr="00305D32" w14:paraId="390290A7" w14:textId="77777777" w:rsidTr="00FB145C">
        <w:trPr>
          <w:trHeight w:val="285"/>
          <w:jc w:val="center"/>
        </w:trPr>
        <w:tc>
          <w:tcPr>
            <w:tcW w:w="3413" w:type="dxa"/>
            <w:tcBorders>
              <w:top w:val="nil"/>
              <w:left w:val="nil"/>
              <w:bottom w:val="nil"/>
              <w:right w:val="nil"/>
            </w:tcBorders>
            <w:noWrap/>
            <w:vAlign w:val="bottom"/>
            <w:hideMark/>
          </w:tcPr>
          <w:p w14:paraId="5AADA4F9" w14:textId="77777777" w:rsidR="00D0144A" w:rsidRPr="00305D32" w:rsidRDefault="00D0144A" w:rsidP="00D0144A">
            <w:pPr>
              <w:spacing w:after="0" w:line="240" w:lineRule="auto"/>
              <w:jc w:val="left"/>
              <w:rPr>
                <w:rFonts w:eastAsia="Times New Roman"/>
                <w:i/>
                <w:iCs/>
                <w:color w:val="000000"/>
                <w:sz w:val="20"/>
                <w:szCs w:val="20"/>
                <w:lang w:val="es-MX" w:eastAsia="es-MX"/>
              </w:rPr>
            </w:pPr>
            <w:r w:rsidRPr="00305D32">
              <w:rPr>
                <w:rFonts w:eastAsia="Times New Roman"/>
                <w:i/>
                <w:iCs/>
                <w:color w:val="000000"/>
                <w:sz w:val="20"/>
                <w:szCs w:val="20"/>
                <w:lang w:val="es-MX" w:eastAsia="es-MX"/>
              </w:rPr>
              <w:t xml:space="preserve">      Total, Turistas de internación</w:t>
            </w:r>
          </w:p>
        </w:tc>
        <w:tc>
          <w:tcPr>
            <w:tcW w:w="2336" w:type="dxa"/>
            <w:tcBorders>
              <w:top w:val="nil"/>
              <w:left w:val="nil"/>
              <w:bottom w:val="nil"/>
              <w:right w:val="nil"/>
            </w:tcBorders>
            <w:noWrap/>
            <w:vAlign w:val="bottom"/>
            <w:hideMark/>
          </w:tcPr>
          <w:p w14:paraId="529EBD65" w14:textId="1B233A2E"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1,077.7</w:t>
            </w:r>
          </w:p>
        </w:tc>
        <w:tc>
          <w:tcPr>
            <w:tcW w:w="1356" w:type="dxa"/>
            <w:tcBorders>
              <w:top w:val="nil"/>
              <w:left w:val="nil"/>
              <w:bottom w:val="nil"/>
              <w:right w:val="nil"/>
            </w:tcBorders>
            <w:noWrap/>
            <w:vAlign w:val="bottom"/>
            <w:hideMark/>
          </w:tcPr>
          <w:p w14:paraId="2ED4BCD6" w14:textId="6FD829A2"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1,129.4</w:t>
            </w:r>
          </w:p>
        </w:tc>
        <w:tc>
          <w:tcPr>
            <w:tcW w:w="1356" w:type="dxa"/>
            <w:tcBorders>
              <w:top w:val="nil"/>
              <w:left w:val="nil"/>
              <w:bottom w:val="nil"/>
              <w:right w:val="nil"/>
            </w:tcBorders>
            <w:noWrap/>
            <w:vAlign w:val="bottom"/>
            <w:hideMark/>
          </w:tcPr>
          <w:p w14:paraId="325D1BDC" w14:textId="3EA9E754" w:rsidR="00D0144A" w:rsidRPr="00305D32" w:rsidRDefault="00D0144A" w:rsidP="00D0144A">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4.80</w:t>
            </w:r>
            <w:r w:rsidR="0019290E">
              <w:rPr>
                <w:rFonts w:eastAsia="Times New Roman"/>
                <w:color w:val="000000"/>
                <w:sz w:val="20"/>
                <w:szCs w:val="20"/>
                <w:lang w:val="es-MX" w:eastAsia="es-MX"/>
              </w:rPr>
              <w:t xml:space="preserve"> %</w:t>
            </w:r>
          </w:p>
        </w:tc>
      </w:tr>
      <w:tr w:rsidR="00D0144A" w:rsidRPr="00305D32" w14:paraId="0C81CCA7" w14:textId="77777777" w:rsidTr="00FB145C">
        <w:trPr>
          <w:trHeight w:val="285"/>
          <w:jc w:val="center"/>
        </w:trPr>
        <w:tc>
          <w:tcPr>
            <w:tcW w:w="3413" w:type="dxa"/>
            <w:tcBorders>
              <w:top w:val="nil"/>
              <w:left w:val="nil"/>
              <w:bottom w:val="nil"/>
              <w:right w:val="nil"/>
            </w:tcBorders>
            <w:noWrap/>
            <w:vAlign w:val="bottom"/>
            <w:hideMark/>
          </w:tcPr>
          <w:p w14:paraId="32742651" w14:textId="77777777" w:rsidR="00D0144A" w:rsidRPr="00305D32" w:rsidRDefault="00D0144A" w:rsidP="00D0144A">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 xml:space="preserve">         Vía aérea</w:t>
            </w:r>
          </w:p>
        </w:tc>
        <w:tc>
          <w:tcPr>
            <w:tcW w:w="2336" w:type="dxa"/>
            <w:tcBorders>
              <w:top w:val="nil"/>
              <w:left w:val="nil"/>
              <w:bottom w:val="nil"/>
              <w:right w:val="nil"/>
            </w:tcBorders>
            <w:noWrap/>
            <w:vAlign w:val="bottom"/>
            <w:hideMark/>
          </w:tcPr>
          <w:p w14:paraId="2CEECE7D" w14:textId="7CAE1796"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1,179.7</w:t>
            </w:r>
          </w:p>
        </w:tc>
        <w:tc>
          <w:tcPr>
            <w:tcW w:w="1356" w:type="dxa"/>
            <w:tcBorders>
              <w:top w:val="nil"/>
              <w:left w:val="nil"/>
              <w:bottom w:val="nil"/>
              <w:right w:val="nil"/>
            </w:tcBorders>
            <w:noWrap/>
            <w:vAlign w:val="bottom"/>
            <w:hideMark/>
          </w:tcPr>
          <w:p w14:paraId="60745BD0" w14:textId="510571A6"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1,265.0</w:t>
            </w:r>
          </w:p>
        </w:tc>
        <w:tc>
          <w:tcPr>
            <w:tcW w:w="1356" w:type="dxa"/>
            <w:tcBorders>
              <w:top w:val="nil"/>
              <w:left w:val="nil"/>
              <w:bottom w:val="nil"/>
              <w:right w:val="nil"/>
            </w:tcBorders>
            <w:noWrap/>
            <w:vAlign w:val="bottom"/>
            <w:hideMark/>
          </w:tcPr>
          <w:p w14:paraId="6AF32290" w14:textId="32E72664" w:rsidR="00D0144A" w:rsidRPr="00305D32" w:rsidRDefault="00D0144A" w:rsidP="00D0144A">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7.23</w:t>
            </w:r>
            <w:r w:rsidR="0019290E">
              <w:rPr>
                <w:rFonts w:eastAsia="Times New Roman"/>
                <w:color w:val="000000"/>
                <w:sz w:val="20"/>
                <w:szCs w:val="20"/>
                <w:lang w:val="es-MX" w:eastAsia="es-MX"/>
              </w:rPr>
              <w:t xml:space="preserve"> %</w:t>
            </w:r>
          </w:p>
        </w:tc>
      </w:tr>
      <w:tr w:rsidR="00D0144A" w:rsidRPr="00305D32" w14:paraId="30996ADE" w14:textId="77777777" w:rsidTr="00FB145C">
        <w:trPr>
          <w:trHeight w:val="285"/>
          <w:jc w:val="center"/>
        </w:trPr>
        <w:tc>
          <w:tcPr>
            <w:tcW w:w="3413" w:type="dxa"/>
            <w:tcBorders>
              <w:top w:val="nil"/>
              <w:left w:val="nil"/>
              <w:bottom w:val="nil"/>
              <w:right w:val="nil"/>
            </w:tcBorders>
            <w:noWrap/>
            <w:vAlign w:val="bottom"/>
            <w:hideMark/>
          </w:tcPr>
          <w:p w14:paraId="6A94CA27" w14:textId="77777777" w:rsidR="00D0144A" w:rsidRPr="00305D32" w:rsidRDefault="00D0144A" w:rsidP="00D0144A">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 xml:space="preserve">         Vía terrestre</w:t>
            </w:r>
          </w:p>
        </w:tc>
        <w:tc>
          <w:tcPr>
            <w:tcW w:w="2336" w:type="dxa"/>
            <w:tcBorders>
              <w:top w:val="nil"/>
              <w:left w:val="nil"/>
              <w:bottom w:val="nil"/>
              <w:right w:val="nil"/>
            </w:tcBorders>
            <w:noWrap/>
            <w:vAlign w:val="bottom"/>
            <w:hideMark/>
          </w:tcPr>
          <w:p w14:paraId="691C2FCE" w14:textId="0143D18F"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344.2</w:t>
            </w:r>
          </w:p>
        </w:tc>
        <w:tc>
          <w:tcPr>
            <w:tcW w:w="1356" w:type="dxa"/>
            <w:tcBorders>
              <w:top w:val="nil"/>
              <w:left w:val="nil"/>
              <w:bottom w:val="nil"/>
              <w:right w:val="nil"/>
            </w:tcBorders>
            <w:noWrap/>
            <w:vAlign w:val="bottom"/>
            <w:hideMark/>
          </w:tcPr>
          <w:p w14:paraId="7962D26A" w14:textId="04FB2887"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334.1</w:t>
            </w:r>
          </w:p>
        </w:tc>
        <w:tc>
          <w:tcPr>
            <w:tcW w:w="1356" w:type="dxa"/>
            <w:tcBorders>
              <w:top w:val="nil"/>
              <w:left w:val="nil"/>
              <w:bottom w:val="nil"/>
              <w:right w:val="nil"/>
            </w:tcBorders>
            <w:noWrap/>
            <w:vAlign w:val="bottom"/>
            <w:hideMark/>
          </w:tcPr>
          <w:p w14:paraId="5F2F31E1" w14:textId="0D37260A" w:rsidR="00D0144A" w:rsidRPr="00305D32" w:rsidRDefault="00D0144A" w:rsidP="00D0144A">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-2.93</w:t>
            </w:r>
            <w:r w:rsidR="0019290E">
              <w:rPr>
                <w:rFonts w:eastAsia="Times New Roman"/>
                <w:color w:val="000000"/>
                <w:sz w:val="20"/>
                <w:szCs w:val="20"/>
                <w:lang w:val="es-MX" w:eastAsia="es-MX"/>
              </w:rPr>
              <w:t xml:space="preserve"> %</w:t>
            </w:r>
          </w:p>
        </w:tc>
      </w:tr>
      <w:tr w:rsidR="00D0144A" w:rsidRPr="00305D32" w14:paraId="3AE810AD" w14:textId="77777777" w:rsidTr="00FB145C">
        <w:trPr>
          <w:trHeight w:val="285"/>
          <w:jc w:val="center"/>
        </w:trPr>
        <w:tc>
          <w:tcPr>
            <w:tcW w:w="3413" w:type="dxa"/>
            <w:tcBorders>
              <w:top w:val="nil"/>
              <w:left w:val="nil"/>
              <w:bottom w:val="nil"/>
              <w:right w:val="nil"/>
            </w:tcBorders>
            <w:noWrap/>
            <w:vAlign w:val="bottom"/>
            <w:hideMark/>
          </w:tcPr>
          <w:p w14:paraId="08A5903B" w14:textId="77777777" w:rsidR="00D0144A" w:rsidRPr="00305D32" w:rsidRDefault="00D0144A" w:rsidP="00D0144A">
            <w:pPr>
              <w:spacing w:after="0" w:line="240" w:lineRule="auto"/>
              <w:jc w:val="left"/>
              <w:rPr>
                <w:rFonts w:eastAsia="Times New Roman"/>
                <w:i/>
                <w:iCs/>
                <w:color w:val="000000"/>
                <w:sz w:val="20"/>
                <w:szCs w:val="20"/>
                <w:lang w:val="es-MX" w:eastAsia="es-MX"/>
              </w:rPr>
            </w:pPr>
            <w:r w:rsidRPr="00305D32">
              <w:rPr>
                <w:rFonts w:eastAsia="Times New Roman"/>
                <w:i/>
                <w:iCs/>
                <w:color w:val="000000"/>
                <w:sz w:val="20"/>
                <w:szCs w:val="20"/>
                <w:lang w:val="es-MX" w:eastAsia="es-MX"/>
              </w:rPr>
              <w:t xml:space="preserve">      Total, Turistas fronterizos</w:t>
            </w:r>
          </w:p>
        </w:tc>
        <w:tc>
          <w:tcPr>
            <w:tcW w:w="2336" w:type="dxa"/>
            <w:tcBorders>
              <w:top w:val="nil"/>
              <w:left w:val="nil"/>
              <w:bottom w:val="nil"/>
              <w:right w:val="nil"/>
            </w:tcBorders>
            <w:noWrap/>
            <w:vAlign w:val="bottom"/>
            <w:hideMark/>
          </w:tcPr>
          <w:p w14:paraId="529AE925" w14:textId="050AA63E"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108.5</w:t>
            </w:r>
          </w:p>
        </w:tc>
        <w:tc>
          <w:tcPr>
            <w:tcW w:w="1356" w:type="dxa"/>
            <w:tcBorders>
              <w:top w:val="nil"/>
              <w:left w:val="nil"/>
              <w:bottom w:val="nil"/>
              <w:right w:val="nil"/>
            </w:tcBorders>
            <w:noWrap/>
            <w:vAlign w:val="bottom"/>
            <w:hideMark/>
          </w:tcPr>
          <w:p w14:paraId="1BEF15BF" w14:textId="5F87B62D"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111.7</w:t>
            </w:r>
          </w:p>
        </w:tc>
        <w:tc>
          <w:tcPr>
            <w:tcW w:w="1356" w:type="dxa"/>
            <w:tcBorders>
              <w:top w:val="nil"/>
              <w:left w:val="nil"/>
              <w:bottom w:val="nil"/>
              <w:right w:val="nil"/>
            </w:tcBorders>
            <w:noWrap/>
            <w:vAlign w:val="bottom"/>
            <w:hideMark/>
          </w:tcPr>
          <w:p w14:paraId="3E220A0B" w14:textId="7D7F5152" w:rsidR="00D0144A" w:rsidRPr="00305D32" w:rsidRDefault="00D0144A" w:rsidP="00D0144A">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2.97</w:t>
            </w:r>
            <w:r w:rsidR="0019290E">
              <w:rPr>
                <w:rFonts w:eastAsia="Times New Roman"/>
                <w:color w:val="000000"/>
                <w:sz w:val="20"/>
                <w:szCs w:val="20"/>
                <w:lang w:val="es-MX" w:eastAsia="es-MX"/>
              </w:rPr>
              <w:t xml:space="preserve"> %</w:t>
            </w:r>
          </w:p>
        </w:tc>
      </w:tr>
      <w:tr w:rsidR="00D0144A" w:rsidRPr="00305D32" w14:paraId="7116968B" w14:textId="77777777" w:rsidTr="00FB145C">
        <w:trPr>
          <w:trHeight w:val="285"/>
          <w:jc w:val="center"/>
        </w:trPr>
        <w:tc>
          <w:tcPr>
            <w:tcW w:w="3413" w:type="dxa"/>
            <w:tcBorders>
              <w:top w:val="nil"/>
              <w:left w:val="nil"/>
              <w:bottom w:val="nil"/>
              <w:right w:val="nil"/>
            </w:tcBorders>
            <w:noWrap/>
            <w:vAlign w:val="bottom"/>
            <w:hideMark/>
          </w:tcPr>
          <w:p w14:paraId="73D49E07" w14:textId="77777777" w:rsidR="00D0144A" w:rsidRPr="00305D32" w:rsidRDefault="00D0144A" w:rsidP="00D0144A">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 xml:space="preserve">         Peatones</w:t>
            </w:r>
          </w:p>
        </w:tc>
        <w:tc>
          <w:tcPr>
            <w:tcW w:w="2336" w:type="dxa"/>
            <w:tcBorders>
              <w:top w:val="nil"/>
              <w:left w:val="nil"/>
              <w:bottom w:val="nil"/>
              <w:right w:val="nil"/>
            </w:tcBorders>
            <w:noWrap/>
            <w:vAlign w:val="bottom"/>
            <w:hideMark/>
          </w:tcPr>
          <w:p w14:paraId="3EBF62F0" w14:textId="5B895923"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84.9</w:t>
            </w:r>
          </w:p>
        </w:tc>
        <w:tc>
          <w:tcPr>
            <w:tcW w:w="1356" w:type="dxa"/>
            <w:tcBorders>
              <w:top w:val="nil"/>
              <w:left w:val="nil"/>
              <w:bottom w:val="nil"/>
              <w:right w:val="nil"/>
            </w:tcBorders>
            <w:noWrap/>
            <w:vAlign w:val="bottom"/>
            <w:hideMark/>
          </w:tcPr>
          <w:p w14:paraId="4F435659" w14:textId="4F54954A"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90.3</w:t>
            </w:r>
          </w:p>
        </w:tc>
        <w:tc>
          <w:tcPr>
            <w:tcW w:w="1356" w:type="dxa"/>
            <w:tcBorders>
              <w:top w:val="nil"/>
              <w:left w:val="nil"/>
              <w:bottom w:val="nil"/>
              <w:right w:val="nil"/>
            </w:tcBorders>
            <w:noWrap/>
            <w:vAlign w:val="bottom"/>
            <w:hideMark/>
          </w:tcPr>
          <w:p w14:paraId="655460E8" w14:textId="2B8BB98E" w:rsidR="00D0144A" w:rsidRPr="00305D32" w:rsidRDefault="00D0144A" w:rsidP="00D0144A">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6.31</w:t>
            </w:r>
            <w:r w:rsidR="0019290E">
              <w:rPr>
                <w:rFonts w:eastAsia="Times New Roman"/>
                <w:color w:val="000000"/>
                <w:sz w:val="20"/>
                <w:szCs w:val="20"/>
                <w:lang w:val="es-MX" w:eastAsia="es-MX"/>
              </w:rPr>
              <w:t xml:space="preserve"> %</w:t>
            </w:r>
          </w:p>
        </w:tc>
      </w:tr>
      <w:tr w:rsidR="00D0144A" w:rsidRPr="00305D32" w14:paraId="5E18AF34" w14:textId="77777777" w:rsidTr="00FB145C">
        <w:trPr>
          <w:trHeight w:val="285"/>
          <w:jc w:val="center"/>
        </w:trPr>
        <w:tc>
          <w:tcPr>
            <w:tcW w:w="3413" w:type="dxa"/>
            <w:tcBorders>
              <w:top w:val="nil"/>
              <w:left w:val="nil"/>
              <w:bottom w:val="nil"/>
              <w:right w:val="nil"/>
            </w:tcBorders>
            <w:noWrap/>
            <w:vAlign w:val="bottom"/>
            <w:hideMark/>
          </w:tcPr>
          <w:p w14:paraId="0A9A52C7" w14:textId="77777777" w:rsidR="00D0144A" w:rsidRPr="00305D32" w:rsidRDefault="00D0144A" w:rsidP="00D0144A">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 xml:space="preserve">         En automóviles</w:t>
            </w:r>
          </w:p>
        </w:tc>
        <w:tc>
          <w:tcPr>
            <w:tcW w:w="2336" w:type="dxa"/>
            <w:tcBorders>
              <w:top w:val="nil"/>
              <w:left w:val="nil"/>
              <w:bottom w:val="nil"/>
              <w:right w:val="nil"/>
            </w:tcBorders>
            <w:noWrap/>
            <w:vAlign w:val="bottom"/>
            <w:hideMark/>
          </w:tcPr>
          <w:p w14:paraId="5D664E92" w14:textId="66777CCB"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113.2</w:t>
            </w:r>
          </w:p>
        </w:tc>
        <w:tc>
          <w:tcPr>
            <w:tcW w:w="1356" w:type="dxa"/>
            <w:tcBorders>
              <w:top w:val="nil"/>
              <w:left w:val="nil"/>
              <w:bottom w:val="nil"/>
              <w:right w:val="nil"/>
            </w:tcBorders>
            <w:noWrap/>
            <w:vAlign w:val="bottom"/>
            <w:hideMark/>
          </w:tcPr>
          <w:p w14:paraId="38E10C4F" w14:textId="14DD3483"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115.8</w:t>
            </w:r>
          </w:p>
        </w:tc>
        <w:tc>
          <w:tcPr>
            <w:tcW w:w="1356" w:type="dxa"/>
            <w:tcBorders>
              <w:top w:val="nil"/>
              <w:left w:val="nil"/>
              <w:bottom w:val="nil"/>
              <w:right w:val="nil"/>
            </w:tcBorders>
            <w:noWrap/>
            <w:vAlign w:val="bottom"/>
            <w:hideMark/>
          </w:tcPr>
          <w:p w14:paraId="2CA2014D" w14:textId="658A5297" w:rsidR="00D0144A" w:rsidRPr="00305D32" w:rsidRDefault="00D0144A" w:rsidP="00D0144A">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2.31</w:t>
            </w:r>
            <w:r w:rsidR="0019290E">
              <w:rPr>
                <w:rFonts w:eastAsia="Times New Roman"/>
                <w:color w:val="000000"/>
                <w:sz w:val="20"/>
                <w:szCs w:val="20"/>
                <w:lang w:val="es-MX" w:eastAsia="es-MX"/>
              </w:rPr>
              <w:t xml:space="preserve"> %</w:t>
            </w:r>
          </w:p>
        </w:tc>
      </w:tr>
      <w:tr w:rsidR="00D0144A" w:rsidRPr="00305D32" w14:paraId="6BEC9E55" w14:textId="77777777" w:rsidTr="00FB145C">
        <w:trPr>
          <w:trHeight w:val="285"/>
          <w:jc w:val="center"/>
        </w:trPr>
        <w:tc>
          <w:tcPr>
            <w:tcW w:w="3413" w:type="dxa"/>
            <w:tcBorders>
              <w:top w:val="nil"/>
              <w:left w:val="nil"/>
              <w:bottom w:val="nil"/>
              <w:right w:val="nil"/>
            </w:tcBorders>
            <w:noWrap/>
            <w:vAlign w:val="bottom"/>
            <w:hideMark/>
          </w:tcPr>
          <w:p w14:paraId="74063BA0" w14:textId="77777777" w:rsidR="00D0144A" w:rsidRPr="00305D32" w:rsidRDefault="00D0144A" w:rsidP="00D0144A">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 xml:space="preserve">   Total, Excursionistas internacionales</w:t>
            </w:r>
          </w:p>
        </w:tc>
        <w:tc>
          <w:tcPr>
            <w:tcW w:w="2336" w:type="dxa"/>
            <w:tcBorders>
              <w:top w:val="nil"/>
              <w:left w:val="nil"/>
              <w:bottom w:val="nil"/>
              <w:right w:val="nil"/>
            </w:tcBorders>
            <w:noWrap/>
            <w:vAlign w:val="bottom"/>
            <w:hideMark/>
          </w:tcPr>
          <w:p w14:paraId="2E2A4BE2" w14:textId="40304AD4"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65.8</w:t>
            </w:r>
          </w:p>
        </w:tc>
        <w:tc>
          <w:tcPr>
            <w:tcW w:w="1356" w:type="dxa"/>
            <w:tcBorders>
              <w:top w:val="nil"/>
              <w:left w:val="nil"/>
              <w:bottom w:val="nil"/>
              <w:right w:val="nil"/>
            </w:tcBorders>
            <w:noWrap/>
            <w:vAlign w:val="bottom"/>
            <w:hideMark/>
          </w:tcPr>
          <w:p w14:paraId="27ADE02A" w14:textId="5E460D81"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65.2</w:t>
            </w:r>
          </w:p>
        </w:tc>
        <w:tc>
          <w:tcPr>
            <w:tcW w:w="1356" w:type="dxa"/>
            <w:tcBorders>
              <w:top w:val="nil"/>
              <w:left w:val="nil"/>
              <w:bottom w:val="nil"/>
              <w:right w:val="nil"/>
            </w:tcBorders>
            <w:noWrap/>
            <w:vAlign w:val="bottom"/>
            <w:hideMark/>
          </w:tcPr>
          <w:p w14:paraId="547D7489" w14:textId="4198CED8" w:rsidR="00D0144A" w:rsidRPr="00305D32" w:rsidRDefault="00D0144A" w:rsidP="00D0144A">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-0.92</w:t>
            </w:r>
            <w:r w:rsidR="0019290E">
              <w:rPr>
                <w:rFonts w:eastAsia="Times New Roman"/>
                <w:color w:val="000000"/>
                <w:sz w:val="20"/>
                <w:szCs w:val="20"/>
                <w:lang w:val="es-MX" w:eastAsia="es-MX"/>
              </w:rPr>
              <w:t xml:space="preserve"> %</w:t>
            </w:r>
          </w:p>
        </w:tc>
      </w:tr>
      <w:tr w:rsidR="00D0144A" w:rsidRPr="00305D32" w14:paraId="2792DF72" w14:textId="77777777" w:rsidTr="00FB145C">
        <w:trPr>
          <w:trHeight w:val="285"/>
          <w:jc w:val="center"/>
        </w:trPr>
        <w:tc>
          <w:tcPr>
            <w:tcW w:w="3413" w:type="dxa"/>
            <w:tcBorders>
              <w:top w:val="nil"/>
              <w:left w:val="nil"/>
              <w:bottom w:val="nil"/>
              <w:right w:val="nil"/>
            </w:tcBorders>
            <w:noWrap/>
            <w:vAlign w:val="bottom"/>
            <w:hideMark/>
          </w:tcPr>
          <w:p w14:paraId="6F8318AA" w14:textId="77777777" w:rsidR="00D0144A" w:rsidRPr="00305D32" w:rsidRDefault="00D0144A" w:rsidP="00D0144A">
            <w:pPr>
              <w:spacing w:after="0" w:line="240" w:lineRule="auto"/>
              <w:jc w:val="left"/>
              <w:rPr>
                <w:rFonts w:eastAsia="Times New Roman"/>
                <w:i/>
                <w:iCs/>
                <w:color w:val="000000"/>
                <w:sz w:val="20"/>
                <w:szCs w:val="20"/>
                <w:lang w:val="es-MX" w:eastAsia="es-MX"/>
              </w:rPr>
            </w:pPr>
            <w:r w:rsidRPr="00305D32">
              <w:rPr>
                <w:rFonts w:eastAsia="Times New Roman"/>
                <w:i/>
                <w:iCs/>
                <w:color w:val="000000"/>
                <w:sz w:val="20"/>
                <w:szCs w:val="20"/>
                <w:lang w:val="es-MX" w:eastAsia="es-MX"/>
              </w:rPr>
              <w:t xml:space="preserve">      Total, Excursionistas fronterizos </w:t>
            </w:r>
          </w:p>
        </w:tc>
        <w:tc>
          <w:tcPr>
            <w:tcW w:w="2336" w:type="dxa"/>
            <w:tcBorders>
              <w:top w:val="nil"/>
              <w:left w:val="nil"/>
              <w:bottom w:val="nil"/>
              <w:right w:val="nil"/>
            </w:tcBorders>
            <w:noWrap/>
            <w:vAlign w:val="bottom"/>
            <w:hideMark/>
          </w:tcPr>
          <w:p w14:paraId="13562048" w14:textId="2BEF79F2"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59.5</w:t>
            </w:r>
          </w:p>
        </w:tc>
        <w:tc>
          <w:tcPr>
            <w:tcW w:w="1356" w:type="dxa"/>
            <w:tcBorders>
              <w:top w:val="nil"/>
              <w:left w:val="nil"/>
              <w:bottom w:val="nil"/>
              <w:right w:val="nil"/>
            </w:tcBorders>
            <w:noWrap/>
            <w:vAlign w:val="bottom"/>
            <w:hideMark/>
          </w:tcPr>
          <w:p w14:paraId="6A211AA2" w14:textId="5420FC08"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59.2</w:t>
            </w:r>
          </w:p>
        </w:tc>
        <w:tc>
          <w:tcPr>
            <w:tcW w:w="1356" w:type="dxa"/>
            <w:tcBorders>
              <w:top w:val="nil"/>
              <w:left w:val="nil"/>
              <w:bottom w:val="nil"/>
              <w:right w:val="nil"/>
            </w:tcBorders>
            <w:noWrap/>
            <w:vAlign w:val="bottom"/>
            <w:hideMark/>
          </w:tcPr>
          <w:p w14:paraId="1307A6B3" w14:textId="3467188D" w:rsidR="00D0144A" w:rsidRPr="00305D32" w:rsidRDefault="00D0144A" w:rsidP="00D0144A">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-0.37</w:t>
            </w:r>
            <w:r w:rsidR="0019290E">
              <w:rPr>
                <w:rFonts w:eastAsia="Times New Roman"/>
                <w:color w:val="000000"/>
                <w:sz w:val="20"/>
                <w:szCs w:val="20"/>
                <w:lang w:val="es-MX" w:eastAsia="es-MX"/>
              </w:rPr>
              <w:t xml:space="preserve"> %</w:t>
            </w:r>
          </w:p>
        </w:tc>
      </w:tr>
      <w:tr w:rsidR="00D0144A" w:rsidRPr="00305D32" w14:paraId="4F5994C5" w14:textId="77777777" w:rsidTr="00FB145C">
        <w:trPr>
          <w:trHeight w:val="285"/>
          <w:jc w:val="center"/>
        </w:trPr>
        <w:tc>
          <w:tcPr>
            <w:tcW w:w="3413" w:type="dxa"/>
            <w:tcBorders>
              <w:top w:val="nil"/>
              <w:left w:val="nil"/>
              <w:bottom w:val="nil"/>
              <w:right w:val="nil"/>
            </w:tcBorders>
            <w:noWrap/>
            <w:vAlign w:val="bottom"/>
            <w:hideMark/>
          </w:tcPr>
          <w:p w14:paraId="4892D7A7" w14:textId="77777777" w:rsidR="00D0144A" w:rsidRPr="00305D32" w:rsidRDefault="00D0144A" w:rsidP="00D0144A">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 xml:space="preserve">         Peatones</w:t>
            </w:r>
          </w:p>
        </w:tc>
        <w:tc>
          <w:tcPr>
            <w:tcW w:w="2336" w:type="dxa"/>
            <w:tcBorders>
              <w:top w:val="nil"/>
              <w:left w:val="nil"/>
              <w:bottom w:val="nil"/>
              <w:right w:val="nil"/>
            </w:tcBorders>
            <w:noWrap/>
            <w:vAlign w:val="bottom"/>
            <w:hideMark/>
          </w:tcPr>
          <w:p w14:paraId="44680732" w14:textId="7336CF73"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45.9</w:t>
            </w:r>
          </w:p>
        </w:tc>
        <w:tc>
          <w:tcPr>
            <w:tcW w:w="1356" w:type="dxa"/>
            <w:tcBorders>
              <w:top w:val="nil"/>
              <w:left w:val="nil"/>
              <w:bottom w:val="nil"/>
              <w:right w:val="nil"/>
            </w:tcBorders>
            <w:noWrap/>
            <w:vAlign w:val="bottom"/>
            <w:hideMark/>
          </w:tcPr>
          <w:p w14:paraId="65E8E7B9" w14:textId="4E2D778E"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46.7</w:t>
            </w:r>
          </w:p>
        </w:tc>
        <w:tc>
          <w:tcPr>
            <w:tcW w:w="1356" w:type="dxa"/>
            <w:tcBorders>
              <w:top w:val="nil"/>
              <w:left w:val="nil"/>
              <w:bottom w:val="nil"/>
              <w:right w:val="nil"/>
            </w:tcBorders>
            <w:noWrap/>
            <w:vAlign w:val="bottom"/>
            <w:hideMark/>
          </w:tcPr>
          <w:p w14:paraId="330E86E4" w14:textId="2C365445" w:rsidR="00D0144A" w:rsidRPr="00305D32" w:rsidRDefault="00D0144A" w:rsidP="00D0144A">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1.73</w:t>
            </w:r>
            <w:r w:rsidR="0019290E">
              <w:rPr>
                <w:rFonts w:eastAsia="Times New Roman"/>
                <w:color w:val="000000"/>
                <w:sz w:val="20"/>
                <w:szCs w:val="20"/>
                <w:lang w:val="es-MX" w:eastAsia="es-MX"/>
              </w:rPr>
              <w:t xml:space="preserve"> %</w:t>
            </w:r>
          </w:p>
        </w:tc>
      </w:tr>
      <w:tr w:rsidR="00D0144A" w:rsidRPr="00305D32" w14:paraId="3673A9A5" w14:textId="77777777" w:rsidTr="00FB145C">
        <w:trPr>
          <w:trHeight w:val="285"/>
          <w:jc w:val="center"/>
        </w:trPr>
        <w:tc>
          <w:tcPr>
            <w:tcW w:w="3413" w:type="dxa"/>
            <w:tcBorders>
              <w:top w:val="nil"/>
              <w:left w:val="nil"/>
              <w:bottom w:val="nil"/>
              <w:right w:val="nil"/>
            </w:tcBorders>
            <w:noWrap/>
            <w:vAlign w:val="bottom"/>
            <w:hideMark/>
          </w:tcPr>
          <w:p w14:paraId="3AAD2F65" w14:textId="77777777" w:rsidR="00D0144A" w:rsidRPr="00305D32" w:rsidRDefault="00D0144A" w:rsidP="00D0144A">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 xml:space="preserve">         En automóviles</w:t>
            </w:r>
          </w:p>
        </w:tc>
        <w:tc>
          <w:tcPr>
            <w:tcW w:w="2336" w:type="dxa"/>
            <w:tcBorders>
              <w:top w:val="nil"/>
              <w:left w:val="nil"/>
              <w:bottom w:val="nil"/>
              <w:right w:val="nil"/>
            </w:tcBorders>
            <w:noWrap/>
            <w:vAlign w:val="bottom"/>
            <w:hideMark/>
          </w:tcPr>
          <w:p w14:paraId="210009C3" w14:textId="40E2CB32"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63.7</w:t>
            </w:r>
          </w:p>
        </w:tc>
        <w:tc>
          <w:tcPr>
            <w:tcW w:w="1356" w:type="dxa"/>
            <w:tcBorders>
              <w:top w:val="nil"/>
              <w:left w:val="nil"/>
              <w:bottom w:val="nil"/>
              <w:right w:val="nil"/>
            </w:tcBorders>
            <w:noWrap/>
            <w:vAlign w:val="bottom"/>
            <w:hideMark/>
          </w:tcPr>
          <w:p w14:paraId="1983500A" w14:textId="4CA53C38"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62.8</w:t>
            </w:r>
          </w:p>
        </w:tc>
        <w:tc>
          <w:tcPr>
            <w:tcW w:w="1356" w:type="dxa"/>
            <w:tcBorders>
              <w:top w:val="nil"/>
              <w:left w:val="nil"/>
              <w:bottom w:val="nil"/>
              <w:right w:val="nil"/>
            </w:tcBorders>
            <w:noWrap/>
            <w:vAlign w:val="bottom"/>
            <w:hideMark/>
          </w:tcPr>
          <w:p w14:paraId="5DA24D13" w14:textId="5F8DDACD" w:rsidR="00D0144A" w:rsidRPr="00305D32" w:rsidRDefault="00D0144A" w:rsidP="00D0144A">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-1.35</w:t>
            </w:r>
            <w:r w:rsidR="0019290E">
              <w:rPr>
                <w:rFonts w:eastAsia="Times New Roman"/>
                <w:color w:val="000000"/>
                <w:sz w:val="20"/>
                <w:szCs w:val="20"/>
                <w:lang w:val="es-MX" w:eastAsia="es-MX"/>
              </w:rPr>
              <w:t xml:space="preserve"> %</w:t>
            </w:r>
          </w:p>
        </w:tc>
      </w:tr>
      <w:tr w:rsidR="00D0144A" w:rsidRPr="00305D32" w14:paraId="46862A86" w14:textId="77777777" w:rsidTr="00FB145C">
        <w:trPr>
          <w:trHeight w:val="285"/>
          <w:jc w:val="center"/>
        </w:trPr>
        <w:tc>
          <w:tcPr>
            <w:tcW w:w="3413" w:type="dxa"/>
            <w:tcBorders>
              <w:top w:val="nil"/>
              <w:left w:val="nil"/>
              <w:bottom w:val="single" w:sz="4" w:space="0" w:color="auto"/>
              <w:right w:val="nil"/>
            </w:tcBorders>
            <w:noWrap/>
            <w:vAlign w:val="bottom"/>
            <w:hideMark/>
          </w:tcPr>
          <w:p w14:paraId="0E3FED52" w14:textId="77777777" w:rsidR="00D0144A" w:rsidRPr="00305D32" w:rsidRDefault="00D0144A" w:rsidP="00D0144A">
            <w:pPr>
              <w:spacing w:after="0" w:line="240" w:lineRule="auto"/>
              <w:jc w:val="left"/>
              <w:rPr>
                <w:rFonts w:eastAsia="Times New Roman"/>
                <w:i/>
                <w:iCs/>
                <w:color w:val="000000"/>
                <w:sz w:val="20"/>
                <w:szCs w:val="20"/>
                <w:lang w:val="es-MX" w:eastAsia="es-MX"/>
              </w:rPr>
            </w:pPr>
            <w:r w:rsidRPr="00305D32">
              <w:rPr>
                <w:rFonts w:eastAsia="Times New Roman"/>
                <w:i/>
                <w:iCs/>
                <w:color w:val="000000"/>
                <w:sz w:val="20"/>
                <w:szCs w:val="20"/>
                <w:lang w:val="es-MX" w:eastAsia="es-MX"/>
              </w:rPr>
              <w:t xml:space="preserve">      Total, Excursionistas en cruceros</w:t>
            </w:r>
          </w:p>
        </w:tc>
        <w:tc>
          <w:tcPr>
            <w:tcW w:w="2336" w:type="dxa"/>
            <w:tcBorders>
              <w:top w:val="nil"/>
              <w:left w:val="nil"/>
              <w:bottom w:val="single" w:sz="4" w:space="0" w:color="auto"/>
              <w:right w:val="nil"/>
            </w:tcBorders>
            <w:noWrap/>
            <w:vAlign w:val="bottom"/>
            <w:hideMark/>
          </w:tcPr>
          <w:p w14:paraId="4580161D" w14:textId="05D1383A"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83.1</w:t>
            </w:r>
          </w:p>
        </w:tc>
        <w:tc>
          <w:tcPr>
            <w:tcW w:w="1356" w:type="dxa"/>
            <w:tcBorders>
              <w:top w:val="nil"/>
              <w:left w:val="nil"/>
              <w:bottom w:val="single" w:sz="4" w:space="0" w:color="auto"/>
              <w:right w:val="nil"/>
            </w:tcBorders>
            <w:noWrap/>
            <w:vAlign w:val="bottom"/>
            <w:hideMark/>
          </w:tcPr>
          <w:p w14:paraId="5DDD40A2" w14:textId="6F3C4E71" w:rsidR="00D0144A" w:rsidRPr="00305D32" w:rsidRDefault="00D0144A" w:rsidP="00D0144A">
            <w:pPr>
              <w:spacing w:after="0" w:line="240" w:lineRule="auto"/>
              <w:jc w:val="center"/>
              <w:rPr>
                <w:rFonts w:eastAsia="Times New Roman"/>
                <w:color w:val="000000"/>
                <w:sz w:val="22"/>
                <w:szCs w:val="22"/>
                <w:lang w:val="es-MX" w:eastAsia="es-MX"/>
              </w:rPr>
            </w:pPr>
            <w:r w:rsidRPr="00305D32">
              <w:rPr>
                <w:rFonts w:eastAsia="Times New Roman"/>
                <w:color w:val="000000"/>
                <w:sz w:val="22"/>
                <w:szCs w:val="22"/>
                <w:lang w:val="es-MX" w:eastAsia="es-MX"/>
              </w:rPr>
              <w:t>84.2</w:t>
            </w:r>
          </w:p>
        </w:tc>
        <w:tc>
          <w:tcPr>
            <w:tcW w:w="1356" w:type="dxa"/>
            <w:tcBorders>
              <w:top w:val="nil"/>
              <w:left w:val="nil"/>
              <w:bottom w:val="single" w:sz="4" w:space="0" w:color="auto"/>
              <w:right w:val="nil"/>
            </w:tcBorders>
            <w:noWrap/>
            <w:vAlign w:val="bottom"/>
            <w:hideMark/>
          </w:tcPr>
          <w:p w14:paraId="0C05687D" w14:textId="597D70A1" w:rsidR="00D0144A" w:rsidRPr="00305D32" w:rsidRDefault="00D0144A" w:rsidP="00D0144A">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1.31</w:t>
            </w:r>
            <w:r w:rsidR="0019290E">
              <w:rPr>
                <w:rFonts w:eastAsia="Times New Roman"/>
                <w:color w:val="000000"/>
                <w:sz w:val="20"/>
                <w:szCs w:val="20"/>
                <w:lang w:val="es-MX" w:eastAsia="es-MX"/>
              </w:rPr>
              <w:t xml:space="preserve"> %</w:t>
            </w:r>
          </w:p>
        </w:tc>
      </w:tr>
    </w:tbl>
    <w:p w14:paraId="3CE1A486" w14:textId="28DD0498" w:rsidR="003D26E4" w:rsidRPr="00305D32" w:rsidRDefault="00414F7C" w:rsidP="00902B63">
      <w:pPr>
        <w:spacing w:line="240" w:lineRule="auto"/>
        <w:jc w:val="center"/>
        <w:rPr>
          <w:i/>
          <w:sz w:val="20"/>
          <w:szCs w:val="20"/>
          <w:lang w:val="es-MX"/>
        </w:rPr>
      </w:pPr>
      <w:r w:rsidRPr="00305D32">
        <w:rPr>
          <w:sz w:val="20"/>
          <w:szCs w:val="20"/>
          <w:lang w:val="es-MX"/>
        </w:rPr>
        <w:t>Fuente: Elaboración de la Subsecretaría de Análisis Económico y Finanzas Públicas de la Secretaría de Finanzas y Planeación con información del Instituto Nacional de Estadística y Geografía (202</w:t>
      </w:r>
      <w:r w:rsidR="001D40AD" w:rsidRPr="00305D32">
        <w:rPr>
          <w:sz w:val="20"/>
          <w:szCs w:val="20"/>
          <w:lang w:val="es-MX"/>
        </w:rPr>
        <w:t>5</w:t>
      </w:r>
      <w:r w:rsidRPr="00305D32">
        <w:rPr>
          <w:sz w:val="20"/>
          <w:szCs w:val="20"/>
          <w:lang w:val="es-MX"/>
        </w:rPr>
        <w:t xml:space="preserve">), </w:t>
      </w:r>
      <w:r w:rsidRPr="00305D32">
        <w:rPr>
          <w:i/>
          <w:sz w:val="20"/>
          <w:szCs w:val="20"/>
          <w:lang w:val="es-MX"/>
        </w:rPr>
        <w:t>Turismo.</w:t>
      </w:r>
    </w:p>
    <w:p w14:paraId="638F5D56" w14:textId="45EE0782" w:rsidR="00DE7971" w:rsidRPr="00305D32" w:rsidRDefault="00DE7971" w:rsidP="00DE7971">
      <w:pPr>
        <w:rPr>
          <w:lang w:val="es-MX"/>
        </w:rPr>
      </w:pPr>
      <w:r w:rsidRPr="00305D32">
        <w:rPr>
          <w:lang w:val="es-MX"/>
        </w:rPr>
        <w:t xml:space="preserve">En concordancia con lo mencionado anteriormente, en la </w:t>
      </w:r>
      <w:r w:rsidR="00620A11" w:rsidRPr="00305D32">
        <w:rPr>
          <w:lang w:val="es-MX"/>
        </w:rPr>
        <w:fldChar w:fldCharType="begin"/>
      </w:r>
      <w:r w:rsidR="00620A11" w:rsidRPr="00305D32">
        <w:rPr>
          <w:lang w:val="es-MX"/>
        </w:rPr>
        <w:instrText xml:space="preserve"> REF _Ref210212254 \h </w:instrText>
      </w:r>
      <w:r w:rsidR="00620A11" w:rsidRPr="00305D32">
        <w:rPr>
          <w:lang w:val="es-MX"/>
        </w:rPr>
      </w:r>
      <w:r w:rsidR="00620A11" w:rsidRPr="00305D32">
        <w:rPr>
          <w:lang w:val="es-MX"/>
        </w:rPr>
        <w:fldChar w:fldCharType="separate"/>
      </w:r>
      <w:r w:rsidR="00ED1F2F" w:rsidRPr="00305D32">
        <w:rPr>
          <w:lang w:val="es-MX"/>
        </w:rPr>
        <w:t xml:space="preserve">Figura </w:t>
      </w:r>
      <w:r w:rsidR="00ED1F2F">
        <w:rPr>
          <w:noProof/>
          <w:lang w:val="es-MX"/>
        </w:rPr>
        <w:t>9</w:t>
      </w:r>
      <w:r w:rsidR="00620A11" w:rsidRPr="00305D32">
        <w:rPr>
          <w:lang w:val="es-MX"/>
        </w:rPr>
        <w:fldChar w:fldCharType="end"/>
      </w:r>
      <w:r w:rsidR="00620A11" w:rsidRPr="00305D32">
        <w:rPr>
          <w:lang w:val="es-MX"/>
        </w:rPr>
        <w:t xml:space="preserve"> </w:t>
      </w:r>
      <w:r w:rsidRPr="00305D32">
        <w:rPr>
          <w:lang w:val="es-MX"/>
        </w:rPr>
        <w:t xml:space="preserve">se aprecia con claridad la trayectoria descendente del gasto medio en dólares de los visitantes internacionales que ingresaron a México entre 2022 y 2025. Los datos </w:t>
      </w:r>
      <w:r w:rsidR="00355C66">
        <w:rPr>
          <w:lang w:val="es-MX"/>
        </w:rPr>
        <w:t>presentados</w:t>
      </w:r>
      <w:r w:rsidRPr="00305D32">
        <w:rPr>
          <w:lang w:val="es-MX"/>
        </w:rPr>
        <w:t xml:space="preserve"> en la tabla</w:t>
      </w:r>
      <w:r w:rsidR="0089722E">
        <w:rPr>
          <w:lang w:val="es-MX"/>
        </w:rPr>
        <w:t xml:space="preserve"> 3</w:t>
      </w:r>
      <w:r w:rsidRPr="00305D32">
        <w:rPr>
          <w:lang w:val="es-MX"/>
        </w:rPr>
        <w:t xml:space="preserve"> permiten constatar que, aunque existen meses con ligeros repuntes estacionales, la tendencia general es de contracción sostenida.</w:t>
      </w:r>
    </w:p>
    <w:p w14:paraId="0DFC852F" w14:textId="248DCC15" w:rsidR="00DE7971" w:rsidRPr="00305D32" w:rsidRDefault="00DE7971" w:rsidP="00DE7971">
      <w:pPr>
        <w:rPr>
          <w:lang w:val="es-MX"/>
        </w:rPr>
      </w:pPr>
      <w:r w:rsidRPr="00305D32">
        <w:rPr>
          <w:lang w:val="es-MX"/>
        </w:rPr>
        <w:lastRenderedPageBreak/>
        <w:t xml:space="preserve">En 2022, el gasto medio mensual </w:t>
      </w:r>
      <w:r w:rsidR="00EC18BB">
        <w:rPr>
          <w:lang w:val="es-MX"/>
        </w:rPr>
        <w:t>registró</w:t>
      </w:r>
      <w:r w:rsidRPr="00305D32">
        <w:rPr>
          <w:lang w:val="es-MX"/>
        </w:rPr>
        <w:t xml:space="preserve"> valores relativamente altos: </w:t>
      </w:r>
      <w:r w:rsidR="00B01BB6">
        <w:rPr>
          <w:lang w:val="es-MX"/>
        </w:rPr>
        <w:t xml:space="preserve">en </w:t>
      </w:r>
      <w:r w:rsidRPr="00305D32">
        <w:rPr>
          <w:lang w:val="es-MX"/>
        </w:rPr>
        <w:t>marzo alcanzó los</w:t>
      </w:r>
      <w:r w:rsidR="00DC447B" w:rsidRPr="00305D32">
        <w:rPr>
          <w:lang w:val="es-MX"/>
        </w:rPr>
        <w:t xml:space="preserve"> </w:t>
      </w:r>
      <w:r w:rsidRPr="00305D32">
        <w:rPr>
          <w:lang w:val="es-MX"/>
        </w:rPr>
        <w:t xml:space="preserve">470.50 dólares, mientras que febrero y julio reportaron 457.01 y 455.22 dólares, respectivamente. Incluso hacia finales del año, en diciembre, el </w:t>
      </w:r>
      <w:r w:rsidR="00DC447B" w:rsidRPr="00305D32">
        <w:rPr>
          <w:lang w:val="es-MX"/>
        </w:rPr>
        <w:t>gasto</w:t>
      </w:r>
      <w:r w:rsidR="007B23E1" w:rsidRPr="00305D32">
        <w:rPr>
          <w:lang w:val="es-MX"/>
        </w:rPr>
        <w:t xml:space="preserve"> medio</w:t>
      </w:r>
      <w:r w:rsidRPr="00305D32">
        <w:rPr>
          <w:lang w:val="es-MX"/>
        </w:rPr>
        <w:t xml:space="preserve"> se mantuvo en 422.36 dólares, lo cual reflejaba un nivel de gasto robusto.</w:t>
      </w:r>
    </w:p>
    <w:p w14:paraId="3C977F94" w14:textId="018EDE32" w:rsidR="00DE7971" w:rsidRPr="00305D32" w:rsidRDefault="00DE7971" w:rsidP="00DE7971">
      <w:pPr>
        <w:rPr>
          <w:lang w:val="es-MX"/>
        </w:rPr>
      </w:pPr>
      <w:r w:rsidRPr="00305D32">
        <w:rPr>
          <w:lang w:val="es-MX"/>
        </w:rPr>
        <w:t xml:space="preserve">Durante 2023, aunque algunos meses como </w:t>
      </w:r>
      <w:r w:rsidR="00271C3F" w:rsidRPr="00305D32">
        <w:rPr>
          <w:lang w:val="es-MX"/>
        </w:rPr>
        <w:t>enero</w:t>
      </w:r>
      <w:r w:rsidRPr="00305D32">
        <w:rPr>
          <w:lang w:val="es-MX"/>
        </w:rPr>
        <w:t xml:space="preserve"> (</w:t>
      </w:r>
      <w:r w:rsidR="00271C3F" w:rsidRPr="00305D32">
        <w:rPr>
          <w:lang w:val="es-MX"/>
        </w:rPr>
        <w:t xml:space="preserve">463.28 </w:t>
      </w:r>
      <w:r w:rsidRPr="00305D32">
        <w:rPr>
          <w:lang w:val="es-MX"/>
        </w:rPr>
        <w:t xml:space="preserve">dólares) y </w:t>
      </w:r>
      <w:r w:rsidR="00271C3F" w:rsidRPr="00305D32">
        <w:rPr>
          <w:lang w:val="es-MX"/>
        </w:rPr>
        <w:t>febrero</w:t>
      </w:r>
      <w:r w:rsidRPr="00305D32">
        <w:rPr>
          <w:lang w:val="es-MX"/>
        </w:rPr>
        <w:t xml:space="preserve"> (</w:t>
      </w:r>
      <w:r w:rsidR="00271C3F" w:rsidRPr="00305D32">
        <w:rPr>
          <w:lang w:val="es-MX"/>
        </w:rPr>
        <w:t xml:space="preserve">475.89 </w:t>
      </w:r>
      <w:r w:rsidRPr="00305D32">
        <w:rPr>
          <w:lang w:val="es-MX"/>
        </w:rPr>
        <w:t>dólares) superaron los niveles del año previo, a partir de mayo se observa un quiebre: los montos cayeron a 388.29 dólares en mayo, 327.53 dólares en septiembre y</w:t>
      </w:r>
      <w:r w:rsidR="00A00FF2" w:rsidRPr="00305D32">
        <w:rPr>
          <w:lang w:val="es-MX"/>
        </w:rPr>
        <w:t xml:space="preserve"> </w:t>
      </w:r>
      <w:r w:rsidRPr="00305D32">
        <w:rPr>
          <w:lang w:val="es-MX"/>
        </w:rPr>
        <w:t>342.42 dólares en octubre. Este descenso refleja la pérdida progresiva de dinamismo en el gasto promedio, a pesar de la relativa estabilidad en la llegada de visitantes.</w:t>
      </w:r>
    </w:p>
    <w:p w14:paraId="55165F91" w14:textId="63866D8C" w:rsidR="00DE7971" w:rsidRPr="00305D32" w:rsidRDefault="00DE7971" w:rsidP="00DE7971">
      <w:pPr>
        <w:rPr>
          <w:lang w:val="es-MX"/>
        </w:rPr>
      </w:pPr>
      <w:r w:rsidRPr="00305D32">
        <w:rPr>
          <w:lang w:val="es-MX"/>
        </w:rPr>
        <w:t>La contracción se intensific</w:t>
      </w:r>
      <w:r w:rsidR="00FC7B0C">
        <w:rPr>
          <w:lang w:val="es-MX"/>
        </w:rPr>
        <w:t>ó</w:t>
      </w:r>
      <w:r w:rsidRPr="00305D32">
        <w:rPr>
          <w:lang w:val="es-MX"/>
        </w:rPr>
        <w:t xml:space="preserve"> en 2024, cuando los niveles alcanza</w:t>
      </w:r>
      <w:r w:rsidR="00FC7B0C">
        <w:rPr>
          <w:lang w:val="es-MX"/>
        </w:rPr>
        <w:t>ro</w:t>
      </w:r>
      <w:r w:rsidRPr="00305D32">
        <w:rPr>
          <w:lang w:val="es-MX"/>
        </w:rPr>
        <w:t xml:space="preserve">n mínimos históricos </w:t>
      </w:r>
      <w:r w:rsidR="006148B1">
        <w:rPr>
          <w:lang w:val="es-MX"/>
        </w:rPr>
        <w:t>dentro</w:t>
      </w:r>
      <w:r w:rsidRPr="00305D32">
        <w:rPr>
          <w:lang w:val="es-MX"/>
        </w:rPr>
        <w:t xml:space="preserve"> </w:t>
      </w:r>
      <w:r w:rsidR="006148B1">
        <w:rPr>
          <w:lang w:val="es-MX"/>
        </w:rPr>
        <w:t>d</w:t>
      </w:r>
      <w:r w:rsidRPr="00305D32">
        <w:rPr>
          <w:lang w:val="es-MX"/>
        </w:rPr>
        <w:t xml:space="preserve">el periodo analizado. Mientras </w:t>
      </w:r>
      <w:r w:rsidR="006148B1">
        <w:rPr>
          <w:lang w:val="es-MX"/>
        </w:rPr>
        <w:t xml:space="preserve">que </w:t>
      </w:r>
      <w:r w:rsidRPr="00305D32">
        <w:rPr>
          <w:lang w:val="es-MX"/>
        </w:rPr>
        <w:t xml:space="preserve">en el primer trimestre los registros aún se mantenían en torno a los 458–479 dólares (enero-marzo), a partir de mayo el gasto medio </w:t>
      </w:r>
      <w:r w:rsidR="006148B1">
        <w:rPr>
          <w:lang w:val="es-MX"/>
        </w:rPr>
        <w:t>descendi</w:t>
      </w:r>
      <w:r w:rsidR="003001D7">
        <w:rPr>
          <w:lang w:val="es-MX"/>
        </w:rPr>
        <w:t>ó</w:t>
      </w:r>
      <w:r w:rsidRPr="00305D32">
        <w:rPr>
          <w:lang w:val="es-MX"/>
        </w:rPr>
        <w:t xml:space="preserve"> abruptamente a 366.27 dólares, cayendo en junio a</w:t>
      </w:r>
      <w:r w:rsidR="0005715D" w:rsidRPr="00305D32">
        <w:rPr>
          <w:lang w:val="es-MX"/>
        </w:rPr>
        <w:t xml:space="preserve"> </w:t>
      </w:r>
      <w:r w:rsidRPr="00305D32">
        <w:rPr>
          <w:lang w:val="es-MX"/>
        </w:rPr>
        <w:t>362.00 dólares y alcanzando un mínimo de</w:t>
      </w:r>
      <w:r w:rsidR="007D21DE" w:rsidRPr="00305D32">
        <w:rPr>
          <w:lang w:val="es-MX"/>
        </w:rPr>
        <w:t xml:space="preserve"> </w:t>
      </w:r>
      <w:r w:rsidRPr="00305D32">
        <w:rPr>
          <w:lang w:val="es-MX"/>
        </w:rPr>
        <w:t xml:space="preserve">285.00 dólares en septiembre. Este último valor es más de 180 dólares </w:t>
      </w:r>
      <w:r w:rsidR="003001D7">
        <w:rPr>
          <w:lang w:val="es-MX"/>
        </w:rPr>
        <w:t>inferior al registrado</w:t>
      </w:r>
      <w:r w:rsidR="00222B32">
        <w:rPr>
          <w:lang w:val="es-MX"/>
        </w:rPr>
        <w:t xml:space="preserve"> en el</w:t>
      </w:r>
      <w:r w:rsidRPr="00305D32">
        <w:rPr>
          <w:lang w:val="es-MX"/>
        </w:rPr>
        <w:t xml:space="preserve"> mismo mes de 2022, </w:t>
      </w:r>
      <w:r w:rsidR="004A70F8">
        <w:rPr>
          <w:lang w:val="es-MX"/>
        </w:rPr>
        <w:t>observando</w:t>
      </w:r>
      <w:r w:rsidRPr="00305D32">
        <w:rPr>
          <w:lang w:val="es-MX"/>
        </w:rPr>
        <w:t xml:space="preserve"> una caída acumulada superior al 22</w:t>
      </w:r>
      <w:r w:rsidR="0019290E">
        <w:rPr>
          <w:lang w:val="es-MX"/>
        </w:rPr>
        <w:t xml:space="preserve"> %</w:t>
      </w:r>
      <w:r w:rsidRPr="00305D32">
        <w:rPr>
          <w:lang w:val="es-MX"/>
        </w:rPr>
        <w:t xml:space="preserve"> en apenas dos años.</w:t>
      </w:r>
    </w:p>
    <w:p w14:paraId="4FCB8D0D" w14:textId="6A99870C" w:rsidR="00DE7971" w:rsidRPr="00305D32" w:rsidRDefault="00DE7971" w:rsidP="00DE7971">
      <w:pPr>
        <w:rPr>
          <w:lang w:val="es-MX"/>
        </w:rPr>
      </w:pPr>
      <w:r w:rsidRPr="00305D32">
        <w:rPr>
          <w:lang w:val="es-MX"/>
        </w:rPr>
        <w:t xml:space="preserve">Para 2025, los primeros </w:t>
      </w:r>
      <w:r w:rsidR="00F22CCF" w:rsidRPr="00305D32">
        <w:rPr>
          <w:lang w:val="es-MX"/>
        </w:rPr>
        <w:t>siete</w:t>
      </w:r>
      <w:r w:rsidRPr="00305D32">
        <w:rPr>
          <w:lang w:val="es-MX"/>
        </w:rPr>
        <w:t xml:space="preserve"> meses </w:t>
      </w:r>
      <w:r w:rsidR="00545B37">
        <w:rPr>
          <w:lang w:val="es-MX"/>
        </w:rPr>
        <w:t>confirman</w:t>
      </w:r>
      <w:r w:rsidRPr="00305D32">
        <w:rPr>
          <w:lang w:val="es-MX"/>
        </w:rPr>
        <w:t xml:space="preserve"> la tendencia descendente. En enero el gasto medio se situó en 416.41 dólares, mientras que en marzo alcanzó los 438.20 dólares. No obstante, a partir de mayo vuelve a registrarse un retroceso marcado, con 329.88 dólares y</w:t>
      </w:r>
      <w:r w:rsidR="003A1AE3" w:rsidRPr="00305D32">
        <w:rPr>
          <w:lang w:val="es-MX"/>
        </w:rPr>
        <w:t xml:space="preserve"> </w:t>
      </w:r>
      <w:r w:rsidR="004803C5" w:rsidRPr="00305D32">
        <w:rPr>
          <w:lang w:val="es-MX"/>
        </w:rPr>
        <w:t>357</w:t>
      </w:r>
      <w:r w:rsidRPr="00305D32">
        <w:rPr>
          <w:lang w:val="es-MX"/>
        </w:rPr>
        <w:t xml:space="preserve"> dólares en ju</w:t>
      </w:r>
      <w:r w:rsidR="004803C5" w:rsidRPr="00305D32">
        <w:rPr>
          <w:lang w:val="es-MX"/>
        </w:rPr>
        <w:t>l</w:t>
      </w:r>
      <w:r w:rsidRPr="00305D32">
        <w:rPr>
          <w:lang w:val="es-MX"/>
        </w:rPr>
        <w:t xml:space="preserve">io. En términos comparativos, el </w:t>
      </w:r>
      <w:r w:rsidR="00462DC1">
        <w:rPr>
          <w:lang w:val="es-MX"/>
        </w:rPr>
        <w:t>gasto</w:t>
      </w:r>
      <w:r w:rsidRPr="00305D32">
        <w:rPr>
          <w:lang w:val="es-MX"/>
        </w:rPr>
        <w:t xml:space="preserve"> promedio de enero</w:t>
      </w:r>
      <w:r w:rsidR="00545B37">
        <w:rPr>
          <w:lang w:val="es-MX"/>
        </w:rPr>
        <w:t xml:space="preserve"> a </w:t>
      </w:r>
      <w:r w:rsidRPr="00305D32">
        <w:rPr>
          <w:lang w:val="es-MX"/>
        </w:rPr>
        <w:t>ju</w:t>
      </w:r>
      <w:r w:rsidR="00B10B38" w:rsidRPr="00305D32">
        <w:rPr>
          <w:lang w:val="es-MX"/>
        </w:rPr>
        <w:t>li</w:t>
      </w:r>
      <w:r w:rsidRPr="00305D32">
        <w:rPr>
          <w:lang w:val="es-MX"/>
        </w:rPr>
        <w:t>o de 2025 (</w:t>
      </w:r>
      <w:r w:rsidR="004803C5" w:rsidRPr="00305D32">
        <w:rPr>
          <w:rFonts w:eastAsia="Times New Roman"/>
          <w:color w:val="000000"/>
          <w:sz w:val="22"/>
          <w:szCs w:val="22"/>
          <w:lang w:val="es-MX" w:eastAsia="es-MX"/>
        </w:rPr>
        <w:t>388.9</w:t>
      </w:r>
      <w:r w:rsidRPr="00305D32">
        <w:rPr>
          <w:lang w:val="es-MX"/>
        </w:rPr>
        <w:t xml:space="preserve"> dólares) </w:t>
      </w:r>
      <w:r w:rsidR="00F43A27">
        <w:rPr>
          <w:lang w:val="es-MX"/>
        </w:rPr>
        <w:t>fue</w:t>
      </w:r>
      <w:r w:rsidRPr="00305D32">
        <w:rPr>
          <w:lang w:val="es-MX"/>
        </w:rPr>
        <w:t xml:space="preserve"> </w:t>
      </w:r>
      <w:r w:rsidR="001F5762" w:rsidRPr="00305D32">
        <w:rPr>
          <w:lang w:val="es-MX"/>
        </w:rPr>
        <w:t>5.94</w:t>
      </w:r>
      <w:r w:rsidR="0019290E">
        <w:rPr>
          <w:lang w:val="es-MX"/>
        </w:rPr>
        <w:t xml:space="preserve"> %</w:t>
      </w:r>
      <w:r w:rsidRPr="00305D32">
        <w:rPr>
          <w:lang w:val="es-MX"/>
        </w:rPr>
        <w:t xml:space="preserve"> menor </w:t>
      </w:r>
      <w:r w:rsidR="00F43A27">
        <w:rPr>
          <w:lang w:val="es-MX"/>
        </w:rPr>
        <w:t>que en el</w:t>
      </w:r>
      <w:r w:rsidRPr="00305D32">
        <w:rPr>
          <w:lang w:val="es-MX"/>
        </w:rPr>
        <w:t xml:space="preserve"> mismo periodo de 2024 (</w:t>
      </w:r>
      <w:r w:rsidR="004803C5" w:rsidRPr="00305D32">
        <w:rPr>
          <w:rFonts w:eastAsia="Times New Roman"/>
          <w:color w:val="000000"/>
          <w:sz w:val="22"/>
          <w:szCs w:val="22"/>
          <w:lang w:val="es-MX" w:eastAsia="es-MX"/>
        </w:rPr>
        <w:t>413.5</w:t>
      </w:r>
      <w:r w:rsidRPr="00305D32">
        <w:rPr>
          <w:lang w:val="es-MX"/>
        </w:rPr>
        <w:t xml:space="preserve"> dólares), según lo confirma la Tabla 3.</w:t>
      </w:r>
    </w:p>
    <w:p w14:paraId="1097840B" w14:textId="1762B7B5" w:rsidR="00EB1452" w:rsidRPr="00305D32" w:rsidRDefault="00CC0B1D" w:rsidP="00DE7971">
      <w:pPr>
        <w:rPr>
          <w:lang w:val="es-MX"/>
        </w:rPr>
      </w:pPr>
      <w:r w:rsidRPr="00305D32">
        <w:rPr>
          <w:lang w:val="es-MX"/>
        </w:rPr>
        <w:t>T</w:t>
      </w:r>
      <w:r w:rsidR="00DE7971" w:rsidRPr="00305D32">
        <w:rPr>
          <w:lang w:val="es-MX"/>
        </w:rPr>
        <w:t xml:space="preserve">anto la </w:t>
      </w:r>
      <w:r w:rsidR="00F556EE">
        <w:rPr>
          <w:lang w:val="es-MX"/>
        </w:rPr>
        <w:fldChar w:fldCharType="begin"/>
      </w:r>
      <w:r w:rsidR="00F556EE">
        <w:rPr>
          <w:lang w:val="es-MX"/>
        </w:rPr>
        <w:instrText xml:space="preserve"> REF _Ref210212254 \h </w:instrText>
      </w:r>
      <w:r w:rsidR="00F556EE">
        <w:rPr>
          <w:lang w:val="es-MX"/>
        </w:rPr>
      </w:r>
      <w:r w:rsidR="00F556EE">
        <w:rPr>
          <w:lang w:val="es-MX"/>
        </w:rPr>
        <w:fldChar w:fldCharType="separate"/>
      </w:r>
      <w:r w:rsidR="00ED1F2F" w:rsidRPr="00305D32">
        <w:rPr>
          <w:lang w:val="es-MX"/>
        </w:rPr>
        <w:t xml:space="preserve">Figura </w:t>
      </w:r>
      <w:r w:rsidR="00ED1F2F">
        <w:rPr>
          <w:noProof/>
          <w:lang w:val="es-MX"/>
        </w:rPr>
        <w:t>9</w:t>
      </w:r>
      <w:r w:rsidR="00F556EE">
        <w:rPr>
          <w:lang w:val="es-MX"/>
        </w:rPr>
        <w:fldChar w:fldCharType="end"/>
      </w:r>
      <w:r w:rsidR="00DE7971" w:rsidRPr="00305D32">
        <w:rPr>
          <w:lang w:val="es-MX"/>
        </w:rPr>
        <w:t xml:space="preserve"> como los datos de la </w:t>
      </w:r>
      <w:r w:rsidR="00D82CFA">
        <w:rPr>
          <w:lang w:val="es-MX"/>
        </w:rPr>
        <w:t>T</w:t>
      </w:r>
      <w:r w:rsidR="00DE7971" w:rsidRPr="00305D32">
        <w:rPr>
          <w:lang w:val="es-MX"/>
        </w:rPr>
        <w:t>abla</w:t>
      </w:r>
      <w:r w:rsidR="00AD415C">
        <w:rPr>
          <w:lang w:val="es-MX"/>
        </w:rPr>
        <w:t xml:space="preserve"> 3</w:t>
      </w:r>
      <w:r w:rsidR="00DE7971" w:rsidRPr="00305D32">
        <w:rPr>
          <w:lang w:val="es-MX"/>
        </w:rPr>
        <w:t xml:space="preserve"> </w:t>
      </w:r>
      <w:r w:rsidR="00F43A27">
        <w:rPr>
          <w:lang w:val="es-MX"/>
        </w:rPr>
        <w:t>evidencian</w:t>
      </w:r>
      <w:r w:rsidR="00DE7971" w:rsidRPr="00305D32">
        <w:rPr>
          <w:lang w:val="es-MX"/>
        </w:rPr>
        <w:t xml:space="preserve"> que, desde 2022 en adelante, el gasto medio de los visitantes internacionales en México ha seguido una trayectoria descendente, con caídas pronunciadas en los meses de temporada baja y </w:t>
      </w:r>
      <w:r w:rsidR="00DE7971" w:rsidRPr="00305D32">
        <w:rPr>
          <w:lang w:val="es-MX"/>
        </w:rPr>
        <w:lastRenderedPageBreak/>
        <w:t>una incapacidad de recuperar los niveles observados al inicio del periodo. Este comportamiento refleja una contracción estructural del gasto turístico, aun cuando la llegada de visitantes se mantiene al alza, lo que apunta a un cambio en la composición del turismo —cada vez más orientado a excursionistas y turistas fronterizos, con menor capacidad de gasto— y a un reto creciente para la captación de divisas en el sector.</w:t>
      </w:r>
    </w:p>
    <w:p w14:paraId="14C08578" w14:textId="6D499880" w:rsidR="001D744D" w:rsidRPr="00305D32" w:rsidRDefault="00620A11" w:rsidP="00620A11">
      <w:pPr>
        <w:pStyle w:val="Descripcin"/>
        <w:jc w:val="center"/>
        <w:rPr>
          <w:b w:val="0"/>
          <w:color w:val="000000"/>
          <w:lang w:val="es-MX"/>
        </w:rPr>
      </w:pPr>
      <w:bookmarkStart w:id="26" w:name="_Ref210212254"/>
      <w:r w:rsidRPr="00305D32">
        <w:rPr>
          <w:lang w:val="es-MX"/>
        </w:rPr>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9</w:t>
      </w:r>
      <w:r w:rsidRPr="00305D32">
        <w:rPr>
          <w:lang w:val="es-MX"/>
        </w:rPr>
        <w:fldChar w:fldCharType="end"/>
      </w:r>
      <w:bookmarkEnd w:id="26"/>
      <w:r w:rsidR="001D744D" w:rsidRPr="00305D32">
        <w:rPr>
          <w:color w:val="000000"/>
          <w:lang w:val="es-MX"/>
        </w:rPr>
        <w:t xml:space="preserve">. </w:t>
      </w:r>
      <w:r w:rsidR="001D744D" w:rsidRPr="00933A7E">
        <w:rPr>
          <w:color w:val="000000"/>
          <w:lang w:val="es-MX"/>
        </w:rPr>
        <w:t>Gasto</w:t>
      </w:r>
      <w:r w:rsidR="001D744D" w:rsidRPr="00234570">
        <w:rPr>
          <w:color w:val="000000"/>
          <w:lang w:val="es-MX"/>
        </w:rPr>
        <w:t xml:space="preserve"> </w:t>
      </w:r>
      <w:r w:rsidR="002A6B3A" w:rsidRPr="00933A7E">
        <w:rPr>
          <w:color w:val="000000"/>
          <w:lang w:val="es-MX"/>
        </w:rPr>
        <w:t>medio en dólares</w:t>
      </w:r>
      <w:r w:rsidR="001D744D" w:rsidRPr="00933A7E">
        <w:rPr>
          <w:color w:val="000000"/>
          <w:lang w:val="es-MX"/>
        </w:rPr>
        <w:t xml:space="preserve"> de los visitantes internacionales que ingresaron a México</w:t>
      </w:r>
      <w:r w:rsidR="002A6B3A" w:rsidRPr="00933A7E">
        <w:rPr>
          <w:color w:val="000000"/>
          <w:lang w:val="es-MX"/>
        </w:rPr>
        <w:t>, 2022-2025</w:t>
      </w:r>
    </w:p>
    <w:p w14:paraId="2C86841D" w14:textId="4B5073F0" w:rsidR="00B2265B" w:rsidRPr="00305D32" w:rsidRDefault="005F5AB9" w:rsidP="0063336E">
      <w:pPr>
        <w:keepNext/>
        <w:pBdr>
          <w:top w:val="nil"/>
          <w:left w:val="nil"/>
          <w:bottom w:val="nil"/>
          <w:right w:val="nil"/>
          <w:between w:val="nil"/>
        </w:pBdr>
        <w:spacing w:after="0"/>
        <w:jc w:val="center"/>
        <w:rPr>
          <w:b/>
          <w:color w:val="000000"/>
          <w:lang w:val="es-MX"/>
        </w:rPr>
      </w:pPr>
      <w:r w:rsidRPr="00305D32">
        <w:rPr>
          <w:noProof/>
          <w:lang w:val="es-MX" w:eastAsia="es-MX"/>
        </w:rPr>
        <w:drawing>
          <wp:inline distT="0" distB="0" distL="0" distR="0" wp14:anchorId="687C9254" wp14:editId="07400A78">
            <wp:extent cx="5720080" cy="2924175"/>
            <wp:effectExtent l="0" t="0" r="13970" b="9525"/>
            <wp:docPr id="940609544" name="Gráfico 1">
              <a:extLst xmlns:a="http://schemas.openxmlformats.org/drawingml/2006/main">
                <a:ext uri="{FF2B5EF4-FFF2-40B4-BE49-F238E27FC236}">
                  <a16:creationId xmlns:a16="http://schemas.microsoft.com/office/drawing/2014/main" id="{DC69B61E-30CA-A1DB-F94F-C349B118F6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1740DD" w14:textId="7E20261D" w:rsidR="001D744D" w:rsidRPr="00305D32" w:rsidRDefault="00B2265B" w:rsidP="00DB2891">
      <w:pPr>
        <w:spacing w:line="240" w:lineRule="auto"/>
        <w:jc w:val="center"/>
        <w:rPr>
          <w:i/>
          <w:sz w:val="20"/>
          <w:szCs w:val="20"/>
          <w:lang w:val="es-MX"/>
        </w:rPr>
      </w:pPr>
      <w:r w:rsidRPr="00305D32">
        <w:rPr>
          <w:sz w:val="20"/>
          <w:szCs w:val="20"/>
          <w:lang w:val="es-MX"/>
        </w:rPr>
        <w:t xml:space="preserve">Fuente: Elaboración de la Subsecretaría de Análisis Económico y Finanzas Públicas de la Secretaría de Finanzas y Planeación con información del Instituto Nacional de Estadística y Geografía (2025), </w:t>
      </w:r>
      <w:r w:rsidRPr="00305D32">
        <w:rPr>
          <w:i/>
          <w:sz w:val="20"/>
          <w:szCs w:val="20"/>
          <w:lang w:val="es-MX"/>
        </w:rPr>
        <w:t>Turismo.</w:t>
      </w:r>
    </w:p>
    <w:p w14:paraId="0BCA371A" w14:textId="5CE8CB63" w:rsidR="003A6D46" w:rsidRDefault="00C46595" w:rsidP="004604AF">
      <w:pPr>
        <w:rPr>
          <w:lang w:val="es-MX"/>
        </w:rPr>
      </w:pPr>
      <w:r w:rsidRPr="00305D32">
        <w:rPr>
          <w:lang w:val="es-MX"/>
        </w:rPr>
        <w:t>En general, l</w:t>
      </w:r>
      <w:r w:rsidR="004604AF" w:rsidRPr="00305D32">
        <w:rPr>
          <w:lang w:val="es-MX"/>
        </w:rPr>
        <w:t xml:space="preserve">a razón detrás de </w:t>
      </w:r>
      <w:r w:rsidR="00286B69">
        <w:rPr>
          <w:lang w:val="es-MX"/>
        </w:rPr>
        <w:t>la</w:t>
      </w:r>
      <w:r w:rsidR="004604AF" w:rsidRPr="00305D32">
        <w:rPr>
          <w:lang w:val="es-MX"/>
        </w:rPr>
        <w:t xml:space="preserve"> disminución en el gasto medio total se debe a que México está atrayendo a </w:t>
      </w:r>
      <w:r w:rsidR="003778F4" w:rsidRPr="00305D32">
        <w:rPr>
          <w:lang w:val="es-MX"/>
        </w:rPr>
        <w:t xml:space="preserve">un tipo </w:t>
      </w:r>
      <w:r w:rsidR="00675A06" w:rsidRPr="00305D32">
        <w:rPr>
          <w:lang w:val="es-MX"/>
        </w:rPr>
        <w:t>de</w:t>
      </w:r>
      <w:r w:rsidR="003778F4" w:rsidRPr="00305D32">
        <w:rPr>
          <w:lang w:val="es-MX"/>
        </w:rPr>
        <w:t xml:space="preserve"> </w:t>
      </w:r>
      <w:r w:rsidR="004604AF" w:rsidRPr="00305D32">
        <w:rPr>
          <w:lang w:val="es-MX"/>
        </w:rPr>
        <w:t>visitantes que, en su mayoría, gastan menos</w:t>
      </w:r>
      <w:r w:rsidR="003778F4" w:rsidRPr="00305D32">
        <w:rPr>
          <w:lang w:val="es-MX"/>
        </w:rPr>
        <w:t xml:space="preserve"> que otros</w:t>
      </w:r>
      <w:r w:rsidR="004604AF" w:rsidRPr="00305D32">
        <w:rPr>
          <w:lang w:val="es-MX"/>
        </w:rPr>
        <w:t xml:space="preserve">. Este sector está experimentando un crecimiento más </w:t>
      </w:r>
      <w:r w:rsidR="008462D5">
        <w:rPr>
          <w:lang w:val="es-MX"/>
        </w:rPr>
        <w:t>acelerado</w:t>
      </w:r>
      <w:r w:rsidR="004604AF" w:rsidRPr="00305D32">
        <w:rPr>
          <w:lang w:val="es-MX"/>
        </w:rPr>
        <w:t xml:space="preserve"> que el gasto generado por los </w:t>
      </w:r>
      <w:r w:rsidR="00A2792F" w:rsidRPr="00305D32">
        <w:rPr>
          <w:lang w:val="es-MX"/>
        </w:rPr>
        <w:t>mismos</w:t>
      </w:r>
      <w:r w:rsidR="00A2792F">
        <w:rPr>
          <w:lang w:val="es-MX"/>
        </w:rPr>
        <w:t xml:space="preserve">, </w:t>
      </w:r>
      <w:r w:rsidR="00A2792F" w:rsidRPr="00305D32">
        <w:rPr>
          <w:lang w:val="es-MX"/>
        </w:rPr>
        <w:t>lo</w:t>
      </w:r>
      <w:r w:rsidR="003A6D46">
        <w:t xml:space="preserve"> que explica la divergencia entre el aumento del número de visitantes y la reducción del gasto promedio</w:t>
      </w:r>
      <w:r w:rsidR="008462D5">
        <w:t>.</w:t>
      </w:r>
    </w:p>
    <w:p w14:paraId="53F33F10" w14:textId="19AE5D8D" w:rsidR="00764DC1" w:rsidRDefault="004604AF" w:rsidP="004604AF">
      <w:pPr>
        <w:rPr>
          <w:lang w:val="es-MX"/>
        </w:rPr>
      </w:pPr>
      <w:r w:rsidRPr="00305D32">
        <w:rPr>
          <w:lang w:val="es-MX"/>
        </w:rPr>
        <w:lastRenderedPageBreak/>
        <w:t xml:space="preserve">Si bien el número total de visitantes y el gasto </w:t>
      </w:r>
      <w:r w:rsidR="008462D5">
        <w:rPr>
          <w:lang w:val="es-MX"/>
        </w:rPr>
        <w:t>agregado</w:t>
      </w:r>
      <w:r w:rsidR="00A2792F">
        <w:rPr>
          <w:lang w:val="es-MX"/>
        </w:rPr>
        <w:t xml:space="preserve"> muestran una tendencia al alza</w:t>
      </w:r>
      <w:r w:rsidRPr="00305D32">
        <w:rPr>
          <w:lang w:val="es-MX"/>
        </w:rPr>
        <w:t xml:space="preserve">, </w:t>
      </w:r>
      <w:r w:rsidR="00602203" w:rsidRPr="00602203">
        <w:rPr>
          <w:lang w:val="es-MX"/>
        </w:rPr>
        <w:t>los turistas con mayor capacidad de gasto crecen a un ritmo moderado, mientras que aquellos con menor poder adquisitivo incrementan su presencia de manera más acelerada.</w:t>
      </w:r>
    </w:p>
    <w:p w14:paraId="3D92939C" w14:textId="5B5B9D98" w:rsidR="00042F63" w:rsidRPr="00305D32" w:rsidRDefault="004604AF" w:rsidP="004604AF">
      <w:pPr>
        <w:rPr>
          <w:lang w:val="es-MX"/>
        </w:rPr>
      </w:pPr>
      <w:r w:rsidRPr="00305D32">
        <w:rPr>
          <w:lang w:val="es-MX"/>
        </w:rPr>
        <w:t xml:space="preserve">Esta tendencia de </w:t>
      </w:r>
      <w:r w:rsidR="00147A9E">
        <w:rPr>
          <w:lang w:val="es-MX"/>
        </w:rPr>
        <w:t>atracción creciente de</w:t>
      </w:r>
      <w:r w:rsidRPr="00305D32">
        <w:rPr>
          <w:lang w:val="es-MX"/>
        </w:rPr>
        <w:t xml:space="preserve"> excursionistas y turistas fronterizos no es </w:t>
      </w:r>
      <w:r w:rsidR="00147A9E">
        <w:rPr>
          <w:lang w:val="es-MX"/>
        </w:rPr>
        <w:t>reciente</w:t>
      </w:r>
      <w:r w:rsidRPr="00305D32">
        <w:rPr>
          <w:lang w:val="es-MX"/>
        </w:rPr>
        <w:t>, ya que desde 202</w:t>
      </w:r>
      <w:r w:rsidR="00BD1B77" w:rsidRPr="00305D32">
        <w:rPr>
          <w:lang w:val="es-MX"/>
        </w:rPr>
        <w:t>3</w:t>
      </w:r>
      <w:r w:rsidRPr="00305D32">
        <w:rPr>
          <w:lang w:val="es-MX"/>
        </w:rPr>
        <w:t xml:space="preserve"> la cifra de visitantes en estos segmentos ha </w:t>
      </w:r>
      <w:r w:rsidR="006956D1">
        <w:rPr>
          <w:lang w:val="es-MX"/>
        </w:rPr>
        <w:t>mostrado un aumento sostenido y significativo</w:t>
      </w:r>
      <w:r w:rsidR="009914A9">
        <w:rPr>
          <w:lang w:val="es-MX"/>
        </w:rPr>
        <w:t>.</w:t>
      </w:r>
    </w:p>
    <w:p w14:paraId="4D083247" w14:textId="77777777" w:rsidR="00AE57F0" w:rsidRPr="00F10E77" w:rsidRDefault="00414F7C" w:rsidP="00F10E77">
      <w:pPr>
        <w:pStyle w:val="Ttulo2"/>
        <w:numPr>
          <w:ilvl w:val="1"/>
          <w:numId w:val="5"/>
        </w:numPr>
        <w:rPr>
          <w:lang w:val="es-MX"/>
        </w:rPr>
      </w:pPr>
      <w:bookmarkStart w:id="27" w:name="_heading=h.4h042r0" w:colFirst="0" w:colLast="0"/>
      <w:bookmarkEnd w:id="27"/>
      <w:r w:rsidRPr="00F10E77">
        <w:rPr>
          <w:lang w:val="es-MX"/>
        </w:rPr>
        <w:t>Producción y precios del petróleo</w:t>
      </w:r>
    </w:p>
    <w:p w14:paraId="4EC57C2E" w14:textId="77777777" w:rsidR="00F10E77" w:rsidRPr="00F10E77" w:rsidRDefault="00F10E77" w:rsidP="00F10E77">
      <w:pPr>
        <w:rPr>
          <w:rFonts w:ascii="Times New Roman" w:eastAsia="Times New Roman" w:hAnsi="Times New Roman" w:cs="Times New Roman"/>
          <w:lang w:val="es-MX" w:eastAsia="es-MX"/>
        </w:rPr>
      </w:pPr>
      <w:r w:rsidRPr="00F10E77">
        <w:rPr>
          <w:rFonts w:ascii="Times New Roman" w:eastAsia="Times New Roman" w:hAnsi="Times New Roman" w:cs="Times New Roman"/>
          <w:lang w:val="es-MX" w:eastAsia="es-MX"/>
        </w:rPr>
        <w:t>En esta sección se analiza la producción de petróleo crudo medida en miles de barriles diarios (mbd) y el precio promedio de exportación de este recurso. La evolución de ambos indicadores tiene una relevancia fundamental, dado su impacto directo en las finanzas públicas del país. A pesar de los esfuerzos por diversificar la economía, los ingresos derivados de la exportación de petróleo continúan siendo una de las principales fuentes de recursos del Gobierno Federal, influyendo de manera decisiva en su capacidad para financiar inversiones y ejecutar políticas públicas.</w:t>
      </w:r>
    </w:p>
    <w:p w14:paraId="0939CF6D" w14:textId="77777777" w:rsidR="00F10E77" w:rsidRPr="00F10E77" w:rsidRDefault="00F10E77" w:rsidP="00F10E77">
      <w:pPr>
        <w:rPr>
          <w:rFonts w:ascii="Times New Roman" w:eastAsia="Times New Roman" w:hAnsi="Times New Roman" w:cs="Times New Roman"/>
          <w:lang w:val="es-MX" w:eastAsia="es-MX"/>
        </w:rPr>
      </w:pPr>
      <w:r w:rsidRPr="00F10E77">
        <w:rPr>
          <w:rFonts w:ascii="Times New Roman" w:eastAsia="Times New Roman" w:hAnsi="Times New Roman" w:cs="Times New Roman"/>
          <w:lang w:val="es-MX" w:eastAsia="es-MX"/>
        </w:rPr>
        <w:t>Durante el periodo 2023-2025, la plataforma nacional de producción ha mostrado una tendencia a la baja, explicada por el agotamiento natural de campos maduros, la disminución en la productividad de yacimientos tradicionales y la limitada incorporación de nuevos proyectos de extracción. Paralelamente, el precio promedio de exportación del crudo ha presentado una notable volatilidad asociada a factores geopolíticos —incluyendo conflictos regionales y ajustes en la política de producción de la OPEP+—, así como a expectativas de desaceleración económica global. Este comportamiento conjunto introduce incertidumbre en la recaudación petrolera y exige un monitoreo permanente del entorno energético internacional para ajustar oportunamente las proyecciones fiscales.</w:t>
      </w:r>
    </w:p>
    <w:p w14:paraId="09D72C7E" w14:textId="1E855243" w:rsidR="00F10E77" w:rsidRPr="00F10E77" w:rsidRDefault="00F10E77" w:rsidP="00F10E77">
      <w:pPr>
        <w:rPr>
          <w:rFonts w:ascii="Times New Roman" w:eastAsia="Times New Roman" w:hAnsi="Times New Roman" w:cs="Times New Roman"/>
          <w:lang w:val="es-MX" w:eastAsia="es-MX"/>
        </w:rPr>
      </w:pPr>
      <w:r w:rsidRPr="00F10E77">
        <w:rPr>
          <w:rFonts w:ascii="Times New Roman" w:eastAsia="Times New Roman" w:hAnsi="Times New Roman" w:cs="Times New Roman"/>
          <w:lang w:val="es-MX" w:eastAsia="es-MX"/>
        </w:rPr>
        <w:lastRenderedPageBreak/>
        <w:t>La dependencia parcial del país respecto a los ingresos petroleros implica que variaciones en la plataforma de producción o en el precio del crudo tienen efectos inmediatos sobre la recaudación, el balance fiscal y la capacidad financiera del Gobierno Federal. En escenarios de caídas simultáneas en producción y precio, se incrementan las necesidades de financiamiento público, el costo de la deuda y las presiones sobre el espacio fiscal. Por ello, la gestión integral del riesgo petrolero —incluyendo el uso de coberturas y estrategias de estabilización— continúa siendo esencial para preservar la sostenibilidad de las finanzas públicas y mitigar la exposición a choques externos.</w:t>
      </w:r>
    </w:p>
    <w:p w14:paraId="44361F0B" w14:textId="6699F611" w:rsidR="005F3C2C" w:rsidRPr="00107B13" w:rsidRDefault="006A24D3" w:rsidP="00107B13">
      <w:pPr>
        <w:pStyle w:val="Descripcin"/>
        <w:spacing w:after="0"/>
        <w:jc w:val="center"/>
        <w:rPr>
          <w:lang w:val="es-MX"/>
        </w:rPr>
      </w:pPr>
      <w:r w:rsidRPr="00305D32">
        <w:rPr>
          <w:lang w:val="es-MX"/>
        </w:rPr>
        <w:t>.</w:t>
      </w:r>
      <w:bookmarkStart w:id="28" w:name="_Ref210212453"/>
      <w:r w:rsidR="006A6823" w:rsidRPr="00305D32">
        <w:rPr>
          <w:lang w:val="es-MX"/>
        </w:rPr>
        <w:t xml:space="preserve">Figura </w:t>
      </w:r>
      <w:r w:rsidR="006A6823" w:rsidRPr="00305D32">
        <w:rPr>
          <w:lang w:val="es-MX"/>
        </w:rPr>
        <w:fldChar w:fldCharType="begin"/>
      </w:r>
      <w:r w:rsidR="006A6823" w:rsidRPr="00305D32">
        <w:rPr>
          <w:lang w:val="es-MX"/>
        </w:rPr>
        <w:instrText xml:space="preserve"> SEQ Figura \* ARABIC </w:instrText>
      </w:r>
      <w:r w:rsidR="006A6823" w:rsidRPr="00305D32">
        <w:rPr>
          <w:lang w:val="es-MX"/>
        </w:rPr>
        <w:fldChar w:fldCharType="separate"/>
      </w:r>
      <w:r w:rsidR="00ED1F2F">
        <w:rPr>
          <w:noProof/>
          <w:lang w:val="es-MX"/>
        </w:rPr>
        <w:t>10</w:t>
      </w:r>
      <w:r w:rsidR="006A6823" w:rsidRPr="00305D32">
        <w:rPr>
          <w:lang w:val="es-MX"/>
        </w:rPr>
        <w:fldChar w:fldCharType="end"/>
      </w:r>
      <w:bookmarkEnd w:id="28"/>
      <w:r w:rsidR="00414F7C" w:rsidRPr="00107B13">
        <w:rPr>
          <w:lang w:val="es-MX"/>
        </w:rPr>
        <w:t>. Producción de petróleo crudo de Petróleos Mexicanos, mil</w:t>
      </w:r>
      <w:r w:rsidR="00DD17C3" w:rsidRPr="00107B13">
        <w:rPr>
          <w:lang w:val="es-MX"/>
        </w:rPr>
        <w:t>es</w:t>
      </w:r>
      <w:r w:rsidR="00414F7C" w:rsidRPr="00107B13">
        <w:rPr>
          <w:lang w:val="es-MX"/>
        </w:rPr>
        <w:t xml:space="preserve"> de barriles diarios, 202</w:t>
      </w:r>
      <w:r w:rsidR="00B34D58" w:rsidRPr="00107B13">
        <w:rPr>
          <w:lang w:val="es-MX"/>
        </w:rPr>
        <w:t>4</w:t>
      </w:r>
      <w:r w:rsidR="00414F7C" w:rsidRPr="00107B13">
        <w:rPr>
          <w:lang w:val="es-MX"/>
        </w:rPr>
        <w:t>-202</w:t>
      </w:r>
      <w:r w:rsidR="00B34D58" w:rsidRPr="00107B13">
        <w:rPr>
          <w:lang w:val="es-MX"/>
        </w:rPr>
        <w:t>5</w:t>
      </w:r>
    </w:p>
    <w:p w14:paraId="0DCD1F5D" w14:textId="55575B93" w:rsidR="0070245C" w:rsidRPr="00305D32" w:rsidRDefault="00B56DBA" w:rsidP="00FE09F8">
      <w:pPr>
        <w:keepNext/>
        <w:pBdr>
          <w:top w:val="nil"/>
          <w:left w:val="nil"/>
          <w:bottom w:val="nil"/>
          <w:right w:val="nil"/>
          <w:between w:val="nil"/>
        </w:pBdr>
        <w:spacing w:after="0"/>
        <w:jc w:val="center"/>
        <w:rPr>
          <w:b/>
          <w:color w:val="000000"/>
          <w:lang w:val="es-MX"/>
        </w:rPr>
      </w:pPr>
      <w:r>
        <w:rPr>
          <w:noProof/>
          <w:lang w:val="es-MX" w:eastAsia="es-MX"/>
        </w:rPr>
        <w:drawing>
          <wp:inline distT="0" distB="0" distL="0" distR="0" wp14:anchorId="05584545" wp14:editId="26817471">
            <wp:extent cx="5753100" cy="2640558"/>
            <wp:effectExtent l="0" t="0" r="0" b="7620"/>
            <wp:docPr id="10835270" name="Gráfico 1">
              <a:extLst xmlns:a="http://schemas.openxmlformats.org/drawingml/2006/main">
                <a:ext uri="{FF2B5EF4-FFF2-40B4-BE49-F238E27FC236}">
                  <a16:creationId xmlns:a16="http://schemas.microsoft.com/office/drawing/2014/main" id="{28CE86BE-2390-65B3-47EF-F0B74F6DF2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D08324C" w14:textId="2EECBE3A" w:rsidR="00AE57F0" w:rsidRPr="00305D32" w:rsidRDefault="00414F7C">
      <w:pPr>
        <w:spacing w:line="240" w:lineRule="auto"/>
        <w:jc w:val="center"/>
        <w:rPr>
          <w:sz w:val="20"/>
          <w:szCs w:val="20"/>
          <w:lang w:val="es-MX"/>
        </w:rPr>
      </w:pPr>
      <w:r w:rsidRPr="00305D32">
        <w:rPr>
          <w:sz w:val="20"/>
          <w:szCs w:val="20"/>
          <w:lang w:val="es-MX"/>
        </w:rPr>
        <w:t xml:space="preserve"> Fuente: Elaboración de la Subsecretaría de Análisis Económico y Finanzas Públicas de la Secretaría de Finanzas y Planeación con datos de la Base de Datos Institucional de Petróleos Mexicanos (202</w:t>
      </w:r>
      <w:r w:rsidR="009516A3" w:rsidRPr="00305D32">
        <w:rPr>
          <w:sz w:val="20"/>
          <w:szCs w:val="20"/>
          <w:lang w:val="es-MX"/>
        </w:rPr>
        <w:t>5</w:t>
      </w:r>
      <w:r w:rsidRPr="00305D32">
        <w:rPr>
          <w:sz w:val="20"/>
          <w:szCs w:val="20"/>
          <w:lang w:val="es-MX"/>
        </w:rPr>
        <w:t>).</w:t>
      </w:r>
    </w:p>
    <w:p w14:paraId="0D694D07" w14:textId="380D2BD1" w:rsidR="004604AF" w:rsidRPr="00305D32" w:rsidRDefault="004604AF">
      <w:pPr>
        <w:rPr>
          <w:lang w:val="es-MX"/>
        </w:rPr>
      </w:pPr>
      <w:r w:rsidRPr="00305D32">
        <w:rPr>
          <w:lang w:val="es-MX"/>
        </w:rPr>
        <w:t xml:space="preserve">En la </w:t>
      </w:r>
      <w:r w:rsidR="006A6823" w:rsidRPr="00305D32">
        <w:rPr>
          <w:lang w:val="es-MX"/>
        </w:rPr>
        <w:fldChar w:fldCharType="begin"/>
      </w:r>
      <w:r w:rsidR="006A6823" w:rsidRPr="00305D32">
        <w:rPr>
          <w:lang w:val="es-MX"/>
        </w:rPr>
        <w:instrText xml:space="preserve"> REF _Ref210212453 \h </w:instrText>
      </w:r>
      <w:r w:rsidR="006A6823" w:rsidRPr="00305D32">
        <w:rPr>
          <w:lang w:val="es-MX"/>
        </w:rPr>
      </w:r>
      <w:r w:rsidR="006A6823" w:rsidRPr="00305D32">
        <w:rPr>
          <w:lang w:val="es-MX"/>
        </w:rPr>
        <w:fldChar w:fldCharType="separate"/>
      </w:r>
      <w:r w:rsidR="00ED1F2F" w:rsidRPr="00305D32">
        <w:rPr>
          <w:lang w:val="es-MX"/>
        </w:rPr>
        <w:t xml:space="preserve">Figura </w:t>
      </w:r>
      <w:r w:rsidR="00ED1F2F">
        <w:rPr>
          <w:noProof/>
          <w:lang w:val="es-MX"/>
        </w:rPr>
        <w:t>10</w:t>
      </w:r>
      <w:r w:rsidR="006A6823" w:rsidRPr="00305D32">
        <w:rPr>
          <w:lang w:val="es-MX"/>
        </w:rPr>
        <w:fldChar w:fldCharType="end"/>
      </w:r>
      <w:r w:rsidRPr="00305D32">
        <w:rPr>
          <w:lang w:val="es-MX"/>
        </w:rPr>
        <w:t xml:space="preserve"> se ilustra la producción de petróleo crudo en México, destacando que </w:t>
      </w:r>
      <w:r w:rsidR="003F3B06">
        <w:rPr>
          <w:lang w:val="es-MX"/>
        </w:rPr>
        <w:t>durante</w:t>
      </w:r>
      <w:r w:rsidRPr="00305D32">
        <w:rPr>
          <w:lang w:val="es-MX"/>
        </w:rPr>
        <w:t xml:space="preserve"> 2024 se </w:t>
      </w:r>
      <w:r w:rsidR="00534E9A">
        <w:rPr>
          <w:lang w:val="es-MX"/>
        </w:rPr>
        <w:t>observó</w:t>
      </w:r>
      <w:r w:rsidRPr="00305D32">
        <w:rPr>
          <w:lang w:val="es-MX"/>
        </w:rPr>
        <w:t xml:space="preserve"> una clara tendencia a la baja en la extracción de Petróleos Mexicanos (P</w:t>
      </w:r>
      <w:r w:rsidR="004E1D7C" w:rsidRPr="00305D32">
        <w:rPr>
          <w:lang w:val="es-MX"/>
        </w:rPr>
        <w:t>emex</w:t>
      </w:r>
      <w:r w:rsidRPr="00305D32">
        <w:rPr>
          <w:lang w:val="es-MX"/>
        </w:rPr>
        <w:t xml:space="preserve">). En enero de ese año, la producción alcanzó 1 millón 829 mil barriles diarios, pero para diciembre descendió a 1 millón 618 mil barriles diarios. Sin embargo, en 2025, la disminución parece haberse estabilizado, </w:t>
      </w:r>
      <w:r w:rsidR="00486247">
        <w:rPr>
          <w:lang w:val="es-MX"/>
        </w:rPr>
        <w:t>registrándose</w:t>
      </w:r>
      <w:r w:rsidR="001432A3">
        <w:rPr>
          <w:lang w:val="es-MX"/>
        </w:rPr>
        <w:t xml:space="preserve"> </w:t>
      </w:r>
      <w:r w:rsidR="000C5197">
        <w:rPr>
          <w:lang w:val="es-MX"/>
        </w:rPr>
        <w:t xml:space="preserve">en </w:t>
      </w:r>
      <w:r w:rsidR="00B111A8" w:rsidRPr="00305D32">
        <w:rPr>
          <w:lang w:val="es-MX"/>
        </w:rPr>
        <w:lastRenderedPageBreak/>
        <w:t>agosto</w:t>
      </w:r>
      <w:r w:rsidRPr="00305D32">
        <w:rPr>
          <w:lang w:val="es-MX"/>
        </w:rPr>
        <w:t xml:space="preserve"> una producción de 1 millón 64</w:t>
      </w:r>
      <w:r w:rsidR="00B111A8" w:rsidRPr="00305D32">
        <w:rPr>
          <w:lang w:val="es-MX"/>
        </w:rPr>
        <w:t>4</w:t>
      </w:r>
      <w:r w:rsidRPr="00305D32">
        <w:rPr>
          <w:lang w:val="es-MX"/>
        </w:rPr>
        <w:t xml:space="preserve"> mil barriles diarios, lo que </w:t>
      </w:r>
      <w:r w:rsidR="00486247">
        <w:rPr>
          <w:lang w:val="es-MX"/>
        </w:rPr>
        <w:t>representa</w:t>
      </w:r>
      <w:r w:rsidRPr="00305D32">
        <w:rPr>
          <w:lang w:val="es-MX"/>
        </w:rPr>
        <w:t xml:space="preserve"> una ligera recuperación.</w:t>
      </w:r>
    </w:p>
    <w:p w14:paraId="43E78274" w14:textId="6A9854CF" w:rsidR="005F3C2C" w:rsidRPr="00305D32" w:rsidRDefault="005F3C2C">
      <w:pPr>
        <w:rPr>
          <w:lang w:val="es-MX"/>
        </w:rPr>
      </w:pPr>
      <w:r w:rsidRPr="00305D32">
        <w:rPr>
          <w:lang w:val="es-MX"/>
        </w:rPr>
        <w:t xml:space="preserve">Este comportamiento </w:t>
      </w:r>
      <w:r w:rsidR="00486247">
        <w:rPr>
          <w:lang w:val="es-MX"/>
        </w:rPr>
        <w:t>impacta directamente</w:t>
      </w:r>
      <w:r w:rsidRPr="00305D32">
        <w:rPr>
          <w:lang w:val="es-MX"/>
        </w:rPr>
        <w:t xml:space="preserve"> en los ingresos federales y, por ende, en los recursos destinados a las entidades federativas, ya que una menor producción implica una </w:t>
      </w:r>
      <w:r w:rsidR="00FB6AFC">
        <w:rPr>
          <w:lang w:val="es-MX"/>
        </w:rPr>
        <w:t>reducción</w:t>
      </w:r>
      <w:r w:rsidRPr="00305D32">
        <w:rPr>
          <w:lang w:val="es-MX"/>
        </w:rPr>
        <w:t xml:space="preserve"> en los ingresos provenientes de esta fuente, </w:t>
      </w:r>
      <w:r w:rsidR="000C5197">
        <w:rPr>
          <w:lang w:val="es-MX"/>
        </w:rPr>
        <w:t>afectando</w:t>
      </w:r>
      <w:r w:rsidRPr="00305D32">
        <w:rPr>
          <w:lang w:val="es-MX"/>
        </w:rPr>
        <w:t xml:space="preserve"> la capacidad de financiar programas y proyectos a nivel nacional y local.</w:t>
      </w:r>
    </w:p>
    <w:p w14:paraId="520E140E" w14:textId="294566F6" w:rsidR="00FC5C20" w:rsidRPr="00305D32" w:rsidRDefault="00FC5C20" w:rsidP="00FC5C20">
      <w:pPr>
        <w:rPr>
          <w:lang w:val="es-MX"/>
        </w:rPr>
      </w:pPr>
      <w:r w:rsidRPr="00305D32">
        <w:rPr>
          <w:lang w:val="es-MX"/>
        </w:rPr>
        <w:t xml:space="preserve">En la </w:t>
      </w:r>
      <w:r w:rsidR="006A6823" w:rsidRPr="00305D32">
        <w:rPr>
          <w:lang w:val="es-MX"/>
        </w:rPr>
        <w:fldChar w:fldCharType="begin"/>
      </w:r>
      <w:r w:rsidR="006A6823" w:rsidRPr="00305D32">
        <w:rPr>
          <w:lang w:val="es-MX"/>
        </w:rPr>
        <w:instrText xml:space="preserve"> REF _Ref210212473 \h </w:instrText>
      </w:r>
      <w:r w:rsidR="006A6823" w:rsidRPr="00305D32">
        <w:rPr>
          <w:lang w:val="es-MX"/>
        </w:rPr>
      </w:r>
      <w:r w:rsidR="006A6823" w:rsidRPr="00305D32">
        <w:rPr>
          <w:lang w:val="es-MX"/>
        </w:rPr>
        <w:fldChar w:fldCharType="separate"/>
      </w:r>
      <w:r w:rsidR="00ED1F2F" w:rsidRPr="00305D32">
        <w:rPr>
          <w:lang w:val="es-MX"/>
        </w:rPr>
        <w:t xml:space="preserve">Figura </w:t>
      </w:r>
      <w:r w:rsidR="00ED1F2F">
        <w:rPr>
          <w:noProof/>
          <w:lang w:val="es-MX"/>
        </w:rPr>
        <w:t>11</w:t>
      </w:r>
      <w:r w:rsidR="006A6823" w:rsidRPr="00305D32">
        <w:rPr>
          <w:lang w:val="es-MX"/>
        </w:rPr>
        <w:fldChar w:fldCharType="end"/>
      </w:r>
      <w:r w:rsidRPr="00305D32">
        <w:rPr>
          <w:lang w:val="es-MX"/>
        </w:rPr>
        <w:t xml:space="preserve"> se presentan los precios promedio de exportación del petróleo mexicano</w:t>
      </w:r>
      <w:r w:rsidR="00AC72FD">
        <w:rPr>
          <w:lang w:val="es-MX"/>
        </w:rPr>
        <w:t xml:space="preserve">, expresado </w:t>
      </w:r>
      <w:r w:rsidRPr="00305D32">
        <w:rPr>
          <w:lang w:val="es-MX"/>
        </w:rPr>
        <w:t xml:space="preserve">en dólares por barril. Durante 2024, el precio del barril mostró una tendencia </w:t>
      </w:r>
      <w:r w:rsidR="00AC72FD">
        <w:rPr>
          <w:lang w:val="es-MX"/>
        </w:rPr>
        <w:t>al</w:t>
      </w:r>
      <w:r w:rsidR="00A30D2C">
        <w:rPr>
          <w:lang w:val="es-MX"/>
        </w:rPr>
        <w:t xml:space="preserve"> alza</w:t>
      </w:r>
      <w:r w:rsidRPr="00305D32">
        <w:rPr>
          <w:lang w:val="es-MX"/>
        </w:rPr>
        <w:t xml:space="preserve"> hasta </w:t>
      </w:r>
      <w:r w:rsidR="00AC72FD">
        <w:rPr>
          <w:lang w:val="es-MX"/>
        </w:rPr>
        <w:t>inicios</w:t>
      </w:r>
      <w:r w:rsidRPr="00305D32">
        <w:rPr>
          <w:lang w:val="es-MX"/>
        </w:rPr>
        <w:t xml:space="preserve"> del segundo trimestre; sin embargo, a partir de mayo, esta tendencia se </w:t>
      </w:r>
      <w:r w:rsidR="006875BD">
        <w:rPr>
          <w:lang w:val="es-MX"/>
        </w:rPr>
        <w:t>revirtió</w:t>
      </w:r>
      <w:r w:rsidRPr="00305D32">
        <w:rPr>
          <w:lang w:val="es-MX"/>
        </w:rPr>
        <w:t xml:space="preserve"> y comenzó a descender. El precio promedio pasó de 75.9 dólares por barril en abril a 64.8 dólares por barril en diciembre.</w:t>
      </w:r>
    </w:p>
    <w:p w14:paraId="47F8BC47" w14:textId="64763F08" w:rsidR="00B3497B" w:rsidRDefault="006A6823" w:rsidP="00FE09F8">
      <w:pPr>
        <w:pStyle w:val="Descripcin"/>
        <w:spacing w:after="0"/>
        <w:jc w:val="center"/>
        <w:rPr>
          <w:color w:val="000000"/>
          <w:lang w:val="es-MX"/>
        </w:rPr>
      </w:pPr>
      <w:bookmarkStart w:id="29" w:name="_heading=h.1baon6m" w:colFirst="0" w:colLast="0"/>
      <w:bookmarkStart w:id="30" w:name="_Ref210212473"/>
      <w:bookmarkEnd w:id="29"/>
      <w:r w:rsidRPr="00305D32">
        <w:rPr>
          <w:lang w:val="es-MX"/>
        </w:rPr>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11</w:t>
      </w:r>
      <w:r w:rsidRPr="00305D32">
        <w:rPr>
          <w:lang w:val="es-MX"/>
        </w:rPr>
        <w:fldChar w:fldCharType="end"/>
      </w:r>
      <w:bookmarkEnd w:id="30"/>
      <w:r w:rsidR="00414F7C" w:rsidRPr="00305D32">
        <w:rPr>
          <w:color w:val="000000"/>
          <w:lang w:val="es-MX"/>
        </w:rPr>
        <w:t>. Precio promedio de exportación de petróleo crudo de Petróleos Mexicanos, dólares por barril, 202</w:t>
      </w:r>
      <w:r w:rsidR="00D8055F" w:rsidRPr="00305D32">
        <w:rPr>
          <w:color w:val="000000"/>
          <w:lang w:val="es-MX"/>
        </w:rPr>
        <w:t>4</w:t>
      </w:r>
      <w:r w:rsidR="00414F7C" w:rsidRPr="00305D32">
        <w:rPr>
          <w:color w:val="000000"/>
          <w:lang w:val="es-MX"/>
        </w:rPr>
        <w:t xml:space="preserve"> y 202</w:t>
      </w:r>
      <w:r w:rsidR="00D8055F" w:rsidRPr="00305D32">
        <w:rPr>
          <w:color w:val="000000"/>
          <w:lang w:val="es-MX"/>
        </w:rPr>
        <w:t>5</w:t>
      </w:r>
    </w:p>
    <w:p w14:paraId="4D083252" w14:textId="4495AB00" w:rsidR="00AE57F0" w:rsidRPr="00884EA7" w:rsidRDefault="00B3497B" w:rsidP="00884EA7">
      <w:pPr>
        <w:spacing w:after="0"/>
        <w:rPr>
          <w:lang w:val="es-MX"/>
        </w:rPr>
      </w:pPr>
      <w:r>
        <w:rPr>
          <w:noProof/>
          <w:lang w:val="es-MX" w:eastAsia="es-MX"/>
        </w:rPr>
        <w:drawing>
          <wp:inline distT="0" distB="0" distL="0" distR="0" wp14:anchorId="62FFDB68" wp14:editId="00EDA473">
            <wp:extent cx="5791835" cy="1838325"/>
            <wp:effectExtent l="0" t="0" r="18415" b="9525"/>
            <wp:docPr id="1998937749" name="Gráfico 1">
              <a:extLst xmlns:a="http://schemas.openxmlformats.org/drawingml/2006/main">
                <a:ext uri="{FF2B5EF4-FFF2-40B4-BE49-F238E27FC236}">
                  <a16:creationId xmlns:a16="http://schemas.microsoft.com/office/drawing/2014/main" id="{D22CE6BE-288C-802B-500B-377BCEA040A0}"/>
                </a:ext>
                <a:ext uri="{147F2762-F138-4A5C-976F-8EAC2B608ADB}">
                  <a16:predDERef xmlns:a16="http://schemas.microsoft.com/office/drawing/2014/main" pred="{28CE86BE-2390-65B3-47EF-F0B74F6DF2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083253" w14:textId="2BE80268" w:rsidR="00AE57F0" w:rsidRPr="00305D32" w:rsidRDefault="00414F7C" w:rsidP="00A31A5B">
      <w:pPr>
        <w:spacing w:line="240" w:lineRule="auto"/>
        <w:rPr>
          <w:sz w:val="20"/>
          <w:szCs w:val="20"/>
          <w:lang w:val="es-MX"/>
        </w:rPr>
      </w:pPr>
      <w:r w:rsidRPr="00305D32">
        <w:rPr>
          <w:sz w:val="20"/>
          <w:szCs w:val="20"/>
          <w:lang w:val="es-MX"/>
        </w:rPr>
        <w:t>Fuente: Elaboración de la Subsecretaría de Análisis Económico y Finanzas Públicas de la Secretaría de Finanzas y Planeación con datos de la Base de Datos Institucional de Petróleos Mexicanos (202</w:t>
      </w:r>
      <w:r w:rsidR="00D8055F" w:rsidRPr="00305D32">
        <w:rPr>
          <w:sz w:val="20"/>
          <w:szCs w:val="20"/>
          <w:lang w:val="es-MX"/>
        </w:rPr>
        <w:t>5</w:t>
      </w:r>
      <w:r w:rsidRPr="00305D32">
        <w:rPr>
          <w:sz w:val="20"/>
          <w:szCs w:val="20"/>
          <w:lang w:val="es-MX"/>
        </w:rPr>
        <w:t>).</w:t>
      </w:r>
    </w:p>
    <w:p w14:paraId="10462575" w14:textId="6E54C7D5" w:rsidR="004604AF" w:rsidRPr="00305D32" w:rsidRDefault="004604AF">
      <w:pPr>
        <w:rPr>
          <w:lang w:val="es-MX"/>
        </w:rPr>
      </w:pPr>
      <w:r w:rsidRPr="00305D32">
        <w:rPr>
          <w:lang w:val="es-MX"/>
        </w:rPr>
        <w:t xml:space="preserve">En 2025, la caída continuó, alcanzando </w:t>
      </w:r>
      <w:r w:rsidR="00E62983">
        <w:rPr>
          <w:lang w:val="es-MX"/>
        </w:rPr>
        <w:t>su</w:t>
      </w:r>
      <w:r w:rsidRPr="00305D32">
        <w:rPr>
          <w:lang w:val="es-MX"/>
        </w:rPr>
        <w:t xml:space="preserve"> precio más bajo en mayo, con </w:t>
      </w:r>
      <w:r w:rsidR="00044E21">
        <w:rPr>
          <w:lang w:val="es-MX"/>
        </w:rPr>
        <w:t xml:space="preserve">un precio promedio de </w:t>
      </w:r>
      <w:r w:rsidRPr="00305D32">
        <w:rPr>
          <w:lang w:val="es-MX"/>
        </w:rPr>
        <w:t>5</w:t>
      </w:r>
      <w:r w:rsidR="009704BF" w:rsidRPr="00305D32">
        <w:rPr>
          <w:lang w:val="es-MX"/>
        </w:rPr>
        <w:t>9.07</w:t>
      </w:r>
      <w:r w:rsidRPr="00305D32">
        <w:rPr>
          <w:lang w:val="es-MX"/>
        </w:rPr>
        <w:t xml:space="preserve"> </w:t>
      </w:r>
      <w:r w:rsidRPr="00044E21">
        <w:rPr>
          <w:lang w:val="es-MX"/>
        </w:rPr>
        <w:t>dólares por barril. No</w:t>
      </w:r>
      <w:r w:rsidRPr="00305D32">
        <w:rPr>
          <w:lang w:val="es-MX"/>
        </w:rPr>
        <w:t xml:space="preserve"> obstante, a partir de ese momento, se observó una leve recuperación, con el precio ascendiendo a 62</w:t>
      </w:r>
      <w:r w:rsidR="009704BF" w:rsidRPr="00305D32">
        <w:rPr>
          <w:lang w:val="es-MX"/>
        </w:rPr>
        <w:t>.23</w:t>
      </w:r>
      <w:r w:rsidRPr="00305D32">
        <w:rPr>
          <w:lang w:val="es-MX"/>
        </w:rPr>
        <w:t xml:space="preserve"> dólares por barril </w:t>
      </w:r>
      <w:r w:rsidRPr="00305D32">
        <w:rPr>
          <w:lang w:val="es-MX"/>
        </w:rPr>
        <w:lastRenderedPageBreak/>
        <w:t xml:space="preserve">en </w:t>
      </w:r>
      <w:r w:rsidR="009704BF" w:rsidRPr="00305D32">
        <w:rPr>
          <w:lang w:val="es-MX"/>
        </w:rPr>
        <w:t>agosto</w:t>
      </w:r>
      <w:r w:rsidRPr="00305D32">
        <w:rPr>
          <w:lang w:val="es-MX"/>
        </w:rPr>
        <w:t>. Este comportamiento de los precios refleja las fluctuaciones del mercado global y su impacto directo en los ingresos por exportación del país.</w:t>
      </w:r>
    </w:p>
    <w:p w14:paraId="3724B307" w14:textId="572BCDA5" w:rsidR="00D067D6" w:rsidRPr="00305D32" w:rsidRDefault="00414F7C">
      <w:pPr>
        <w:rPr>
          <w:lang w:val="es-MX"/>
        </w:rPr>
      </w:pPr>
      <w:r w:rsidRPr="00305D32">
        <w:rPr>
          <w:lang w:val="es-MX"/>
        </w:rPr>
        <w:t>Para 202</w:t>
      </w:r>
      <w:r w:rsidR="000706A9" w:rsidRPr="00305D32">
        <w:rPr>
          <w:lang w:val="es-MX"/>
        </w:rPr>
        <w:t>5</w:t>
      </w:r>
      <w:r w:rsidRPr="00305D32">
        <w:rPr>
          <w:lang w:val="es-MX"/>
        </w:rPr>
        <w:t xml:space="preserve"> la SHCP estima que el precio </w:t>
      </w:r>
      <w:r w:rsidR="001423E9">
        <w:rPr>
          <w:lang w:val="es-MX"/>
        </w:rPr>
        <w:t xml:space="preserve">promedio </w:t>
      </w:r>
      <w:r w:rsidRPr="00305D32">
        <w:rPr>
          <w:lang w:val="es-MX"/>
        </w:rPr>
        <w:t>por barril de petróleo acabe el ejercicio fiscal en</w:t>
      </w:r>
      <w:r w:rsidR="00F11328" w:rsidRPr="00305D32">
        <w:rPr>
          <w:lang w:val="es-MX"/>
        </w:rPr>
        <w:t xml:space="preserve"> 62</w:t>
      </w:r>
      <w:r w:rsidRPr="00305D32">
        <w:rPr>
          <w:lang w:val="es-MX"/>
        </w:rPr>
        <w:t xml:space="preserve"> dólares por barril</w:t>
      </w:r>
      <w:r w:rsidR="001423E9">
        <w:rPr>
          <w:lang w:val="es-MX"/>
        </w:rPr>
        <w:t xml:space="preserve">, mientras que para </w:t>
      </w:r>
      <w:r w:rsidRPr="00305D32">
        <w:rPr>
          <w:lang w:val="es-MX"/>
        </w:rPr>
        <w:t>202</w:t>
      </w:r>
      <w:r w:rsidR="000706A9" w:rsidRPr="00305D32">
        <w:rPr>
          <w:lang w:val="es-MX"/>
        </w:rPr>
        <w:t>6</w:t>
      </w:r>
      <w:r w:rsidR="00C76335" w:rsidRPr="00305D32">
        <w:rPr>
          <w:lang w:val="es-MX"/>
        </w:rPr>
        <w:t>,</w:t>
      </w:r>
      <w:r w:rsidRPr="00305D32">
        <w:rPr>
          <w:lang w:val="es-MX"/>
        </w:rPr>
        <w:t xml:space="preserve"> en los CGPE </w:t>
      </w:r>
      <w:r w:rsidR="00D21A8E" w:rsidRPr="00305D32">
        <w:rPr>
          <w:lang w:val="es-MX"/>
        </w:rPr>
        <w:t xml:space="preserve">de </w:t>
      </w:r>
      <w:r w:rsidR="00CC0460">
        <w:rPr>
          <w:lang w:val="es-MX"/>
        </w:rPr>
        <w:t>ese</w:t>
      </w:r>
      <w:r w:rsidR="00D21A8E" w:rsidRPr="00305D32">
        <w:rPr>
          <w:lang w:val="es-MX"/>
        </w:rPr>
        <w:t xml:space="preserve"> año</w:t>
      </w:r>
      <w:r w:rsidR="006D7ED3" w:rsidRPr="00305D32">
        <w:rPr>
          <w:lang w:val="es-MX"/>
        </w:rPr>
        <w:t>, se</w:t>
      </w:r>
      <w:r w:rsidRPr="00305D32">
        <w:rPr>
          <w:lang w:val="es-MX"/>
        </w:rPr>
        <w:t xml:space="preserve"> </w:t>
      </w:r>
      <w:r w:rsidR="00CC0460">
        <w:rPr>
          <w:lang w:val="es-MX"/>
        </w:rPr>
        <w:t>proyecta</w:t>
      </w:r>
      <w:r w:rsidRPr="00305D32">
        <w:rPr>
          <w:lang w:val="es-MX"/>
        </w:rPr>
        <w:t xml:space="preserve"> que el precio promedio del barril de petróleo sea de</w:t>
      </w:r>
      <w:r w:rsidR="00C76335" w:rsidRPr="00305D32">
        <w:rPr>
          <w:lang w:val="es-MX"/>
        </w:rPr>
        <w:t xml:space="preserve"> </w:t>
      </w:r>
      <w:r w:rsidRPr="00305D32">
        <w:rPr>
          <w:lang w:val="es-MX"/>
        </w:rPr>
        <w:t>5</w:t>
      </w:r>
      <w:r w:rsidR="0058402F" w:rsidRPr="00305D32">
        <w:rPr>
          <w:lang w:val="es-MX"/>
        </w:rPr>
        <w:t>4.9</w:t>
      </w:r>
      <w:r w:rsidRPr="00305D32">
        <w:rPr>
          <w:lang w:val="es-MX"/>
        </w:rPr>
        <w:t xml:space="preserve"> dólares. </w:t>
      </w:r>
      <w:r w:rsidR="00CC0460">
        <w:rPr>
          <w:lang w:val="es-MX"/>
        </w:rPr>
        <w:t>Mirando hacia e</w:t>
      </w:r>
      <w:r w:rsidR="00364B76">
        <w:rPr>
          <w:lang w:val="es-MX"/>
        </w:rPr>
        <w:t>l</w:t>
      </w:r>
      <w:r w:rsidR="00C44FA0" w:rsidRPr="00305D32">
        <w:rPr>
          <w:lang w:val="es-MX"/>
        </w:rPr>
        <w:t xml:space="preserve"> futuro,</w:t>
      </w:r>
      <w:r w:rsidR="00364B76">
        <w:rPr>
          <w:lang w:val="es-MX"/>
        </w:rPr>
        <w:t xml:space="preserve"> </w:t>
      </w:r>
      <w:r w:rsidR="00C44FA0" w:rsidRPr="00305D32">
        <w:rPr>
          <w:lang w:val="es-MX"/>
        </w:rPr>
        <w:t xml:space="preserve">las fluctuaciones en los precios del petróleo </w:t>
      </w:r>
      <w:r w:rsidR="00364B76">
        <w:rPr>
          <w:lang w:val="es-MX"/>
        </w:rPr>
        <w:t xml:space="preserve">durante 2026 </w:t>
      </w:r>
      <w:r w:rsidR="00C44FA0" w:rsidRPr="00305D32">
        <w:rPr>
          <w:lang w:val="es-MX"/>
        </w:rPr>
        <w:t>estarán determinadas principalmente por la dinámica del mercado global, influenciada por el ritmo de la transición energética y las políticas internacionales orientadas hacia la sostenibilidad.</w:t>
      </w:r>
    </w:p>
    <w:p w14:paraId="4A58C134" w14:textId="4925DDED" w:rsidR="00D067D6" w:rsidRPr="00305D32" w:rsidRDefault="00D067D6" w:rsidP="00145ED7">
      <w:pPr>
        <w:rPr>
          <w:lang w:val="es-MX"/>
        </w:rPr>
      </w:pPr>
      <w:r w:rsidRPr="00305D32">
        <w:rPr>
          <w:lang w:val="es-MX"/>
        </w:rPr>
        <w:t xml:space="preserve">Asimismo, la SHCP prevé </w:t>
      </w:r>
      <w:r w:rsidR="00666BB1" w:rsidRPr="00305D32">
        <w:rPr>
          <w:lang w:val="es-MX"/>
        </w:rPr>
        <w:t>que un</w:t>
      </w:r>
      <w:r w:rsidR="00207A97" w:rsidRPr="00305D32">
        <w:rPr>
          <w:lang w:val="es-MX"/>
        </w:rPr>
        <w:t xml:space="preserve"> </w:t>
      </w:r>
      <w:r w:rsidR="00C406BF">
        <w:rPr>
          <w:lang w:val="es-MX"/>
        </w:rPr>
        <w:t>incremento</w:t>
      </w:r>
      <w:r w:rsidR="00666BB1" w:rsidRPr="00305D32">
        <w:rPr>
          <w:lang w:val="es-MX"/>
        </w:rPr>
        <w:t xml:space="preserve"> </w:t>
      </w:r>
      <w:r w:rsidR="00106AD9" w:rsidRPr="00305D32">
        <w:rPr>
          <w:lang w:val="es-MX"/>
        </w:rPr>
        <w:t xml:space="preserve">de </w:t>
      </w:r>
      <w:r w:rsidR="00285F7C" w:rsidRPr="00305D32">
        <w:rPr>
          <w:lang w:val="es-MX"/>
        </w:rPr>
        <w:t>50</w:t>
      </w:r>
      <w:r w:rsidR="00666BB1" w:rsidRPr="00305D32">
        <w:rPr>
          <w:lang w:val="es-MX"/>
        </w:rPr>
        <w:t xml:space="preserve"> mbd en la plataforma de producción </w:t>
      </w:r>
      <w:r w:rsidR="00C406BF">
        <w:rPr>
          <w:lang w:val="es-MX"/>
        </w:rPr>
        <w:t>petrolera implicaría</w:t>
      </w:r>
      <w:r w:rsidR="00666BB1" w:rsidRPr="00305D32">
        <w:rPr>
          <w:lang w:val="es-MX"/>
        </w:rPr>
        <w:t xml:space="preserve"> un </w:t>
      </w:r>
      <w:r w:rsidR="00B738F3" w:rsidRPr="00305D32">
        <w:rPr>
          <w:lang w:val="es-MX"/>
        </w:rPr>
        <w:t>aumento</w:t>
      </w:r>
      <w:r w:rsidR="00666BB1" w:rsidRPr="00305D32">
        <w:rPr>
          <w:lang w:val="es-MX"/>
        </w:rPr>
        <w:t xml:space="preserve"> en los ingresos petroleros de </w:t>
      </w:r>
      <w:r w:rsidR="00E72CB2" w:rsidRPr="00305D32">
        <w:rPr>
          <w:lang w:val="es-MX"/>
        </w:rPr>
        <w:t>23</w:t>
      </w:r>
      <w:r w:rsidR="00666BB1" w:rsidRPr="00305D32">
        <w:rPr>
          <w:lang w:val="es-MX"/>
        </w:rPr>
        <w:t>.</w:t>
      </w:r>
      <w:r w:rsidR="00E72CB2" w:rsidRPr="00305D32">
        <w:rPr>
          <w:lang w:val="es-MX"/>
        </w:rPr>
        <w:t>7</w:t>
      </w:r>
      <w:r w:rsidR="00666BB1" w:rsidRPr="00305D32">
        <w:rPr>
          <w:lang w:val="es-MX"/>
        </w:rPr>
        <w:t xml:space="preserve"> mil millones de pesos</w:t>
      </w:r>
      <w:r w:rsidR="00404436">
        <w:rPr>
          <w:lang w:val="es-MX"/>
        </w:rPr>
        <w:t>,</w:t>
      </w:r>
      <w:r w:rsidR="00666BB1" w:rsidRPr="00305D32">
        <w:rPr>
          <w:lang w:val="es-MX"/>
        </w:rPr>
        <w:t xml:space="preserve"> y que </w:t>
      </w:r>
      <w:r w:rsidR="00145ED7" w:rsidRPr="00305D32">
        <w:rPr>
          <w:lang w:val="es-MX"/>
        </w:rPr>
        <w:t xml:space="preserve">un </w:t>
      </w:r>
      <w:r w:rsidR="00404436">
        <w:rPr>
          <w:lang w:val="es-MX"/>
        </w:rPr>
        <w:t>incremento</w:t>
      </w:r>
      <w:r w:rsidR="00145ED7" w:rsidRPr="00305D32">
        <w:rPr>
          <w:lang w:val="es-MX"/>
        </w:rPr>
        <w:t xml:space="preserve"> de un dólar en el precio promedio anual del petróleo tendría un efecto neto positivo sobre los ingresos del sector público por </w:t>
      </w:r>
      <w:r w:rsidR="00866AB7">
        <w:rPr>
          <w:lang w:val="es-MX"/>
        </w:rPr>
        <w:t>alrededor</w:t>
      </w:r>
      <w:r w:rsidR="00145ED7" w:rsidRPr="00305D32">
        <w:rPr>
          <w:lang w:val="es-MX"/>
        </w:rPr>
        <w:t xml:space="preserve"> 1</w:t>
      </w:r>
      <w:r w:rsidR="00040448" w:rsidRPr="00305D32">
        <w:rPr>
          <w:lang w:val="es-MX"/>
        </w:rPr>
        <w:t>1.6</w:t>
      </w:r>
      <w:r w:rsidR="00145ED7" w:rsidRPr="00305D32">
        <w:rPr>
          <w:lang w:val="es-MX"/>
        </w:rPr>
        <w:t xml:space="preserve"> mil millones de pesos.</w:t>
      </w:r>
    </w:p>
    <w:p w14:paraId="56E80EDA" w14:textId="28D7BE04" w:rsidR="00CD4CB5" w:rsidRPr="00305D32" w:rsidRDefault="00CD4CB5">
      <w:pPr>
        <w:rPr>
          <w:lang w:val="es-MX"/>
        </w:rPr>
      </w:pPr>
      <w:r w:rsidRPr="00305D32">
        <w:rPr>
          <w:lang w:val="es-MX"/>
        </w:rPr>
        <w:t>Lo anterior obedece a que, en primera instancia, una mayor capacidad de producción petrolera se traduce en un incremento de los ingresos derivados de la venta de crudo; y, en segunda instancia, un aumento en el precio del petróleo genera un crecimiento de los ingresos por exportaciones superior al incremento de los costos de importación de hidrocarburos que enfrenta Pemex.</w:t>
      </w:r>
    </w:p>
    <w:p w14:paraId="545E8FB4" w14:textId="21A2420D" w:rsidR="00127FDF" w:rsidRPr="00305D32" w:rsidRDefault="00C44FA0">
      <w:pPr>
        <w:rPr>
          <w:lang w:val="es-MX"/>
        </w:rPr>
      </w:pPr>
      <w:r w:rsidRPr="00305D32">
        <w:rPr>
          <w:lang w:val="es-MX"/>
        </w:rPr>
        <w:t>A medida que el mundo avanza hacia una mayor adopción de fuentes de energía renovables y la electrificación de sectores clave, la demanda de combustibles fósiles, como el petróleo, podría estabilizarse o incluso experimentar una desaceleración en el largo plazo. Sin embargo, los precios del crudo también estarán sujetos a las políticas de los países productores, que, en su afán de mantener ingresos elevados, podrían implementar recortes en la producción, lo cual generaría tensiones en la oferta</w:t>
      </w:r>
      <w:r w:rsidR="00E230BF">
        <w:rPr>
          <w:lang w:val="es-MX"/>
        </w:rPr>
        <w:t xml:space="preserve"> global</w:t>
      </w:r>
      <w:r w:rsidRPr="00305D32">
        <w:rPr>
          <w:lang w:val="es-MX"/>
        </w:rPr>
        <w:t>.</w:t>
      </w:r>
      <w:bookmarkStart w:id="31" w:name="_heading=h.3vac5uf" w:colFirst="0" w:colLast="0"/>
      <w:bookmarkEnd w:id="31"/>
    </w:p>
    <w:p w14:paraId="4D083259" w14:textId="77777777" w:rsidR="00AE57F0" w:rsidRPr="00305D32" w:rsidRDefault="00414F7C">
      <w:pPr>
        <w:pStyle w:val="Ttulo2"/>
        <w:numPr>
          <w:ilvl w:val="1"/>
          <w:numId w:val="5"/>
        </w:numPr>
        <w:rPr>
          <w:lang w:val="es-MX"/>
        </w:rPr>
      </w:pPr>
      <w:r w:rsidRPr="00305D32">
        <w:rPr>
          <w:lang w:val="es-MX"/>
        </w:rPr>
        <w:lastRenderedPageBreak/>
        <w:t>Inflación y tasa de interés</w:t>
      </w:r>
    </w:p>
    <w:p w14:paraId="4D08325A" w14:textId="585AFEB9" w:rsidR="00AE57F0" w:rsidRPr="00305D32" w:rsidRDefault="009E5579">
      <w:pPr>
        <w:rPr>
          <w:lang w:val="es-MX"/>
        </w:rPr>
      </w:pPr>
      <w:r w:rsidRPr="00305D32">
        <w:rPr>
          <w:lang w:val="es-MX"/>
        </w:rPr>
        <w:t xml:space="preserve">El Banco de México tiene como principal objetivo </w:t>
      </w:r>
      <w:r w:rsidR="007508A2">
        <w:rPr>
          <w:lang w:val="es-MX"/>
        </w:rPr>
        <w:t>preservar</w:t>
      </w:r>
      <w:r w:rsidRPr="00305D32">
        <w:rPr>
          <w:lang w:val="es-MX"/>
        </w:rPr>
        <w:t xml:space="preserve"> la estabilidad del valor de la moneda nacional a lo largo del tiempo, contribuyendo así al bienestar económico de los ciudadanos mexicanos. En este contexto, la política monetaria abarca el conjunto de </w:t>
      </w:r>
      <w:r w:rsidR="007508A2">
        <w:rPr>
          <w:lang w:val="es-MX"/>
        </w:rPr>
        <w:t>instru</w:t>
      </w:r>
      <w:r w:rsidR="00A71EFC">
        <w:rPr>
          <w:lang w:val="es-MX"/>
        </w:rPr>
        <w:t xml:space="preserve">mentos y </w:t>
      </w:r>
      <w:r w:rsidRPr="00305D32">
        <w:rPr>
          <w:lang w:val="es-MX"/>
        </w:rPr>
        <w:t xml:space="preserve">medidas que </w:t>
      </w:r>
      <w:r w:rsidR="00A71EFC">
        <w:rPr>
          <w:lang w:val="es-MX"/>
        </w:rPr>
        <w:t xml:space="preserve">la institución </w:t>
      </w:r>
      <w:r w:rsidRPr="00305D32">
        <w:rPr>
          <w:lang w:val="es-MX"/>
        </w:rPr>
        <w:t>implementa para influir en las tasas de interés y las expectativas de inflación de la población.</w:t>
      </w:r>
    </w:p>
    <w:p w14:paraId="4D08325C" w14:textId="08CA8DD2" w:rsidR="00AE57F0" w:rsidRPr="00305D32" w:rsidRDefault="00C00E1C" w:rsidP="00C00E1C">
      <w:pPr>
        <w:pStyle w:val="Descripcin"/>
        <w:jc w:val="center"/>
        <w:rPr>
          <w:color w:val="000000"/>
          <w:lang w:val="es-MX"/>
        </w:rPr>
      </w:pPr>
      <w:bookmarkStart w:id="32" w:name="_heading=h.2afmg28" w:colFirst="0" w:colLast="0"/>
      <w:bookmarkStart w:id="33" w:name="_Ref210212519"/>
      <w:bookmarkEnd w:id="32"/>
      <w:r w:rsidRPr="00305D32">
        <w:rPr>
          <w:lang w:val="es-MX"/>
        </w:rPr>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12</w:t>
      </w:r>
      <w:r w:rsidRPr="00305D32">
        <w:rPr>
          <w:lang w:val="es-MX"/>
        </w:rPr>
        <w:fldChar w:fldCharType="end"/>
      </w:r>
      <w:bookmarkEnd w:id="33"/>
      <w:r w:rsidR="00414F7C" w:rsidRPr="00305D32">
        <w:rPr>
          <w:color w:val="000000"/>
          <w:lang w:val="es-MX"/>
        </w:rPr>
        <w:t xml:space="preserve">. </w:t>
      </w:r>
      <w:r w:rsidR="00414F7C" w:rsidRPr="009C7772">
        <w:rPr>
          <w:color w:val="000000"/>
          <w:lang w:val="es-MX"/>
        </w:rPr>
        <w:t xml:space="preserve">Inflación </w:t>
      </w:r>
      <w:r w:rsidR="004E1D7C" w:rsidRPr="009C7772">
        <w:rPr>
          <w:color w:val="000000"/>
          <w:lang w:val="es-MX"/>
        </w:rPr>
        <w:t>i</w:t>
      </w:r>
      <w:r w:rsidR="00414F7C" w:rsidRPr="009C7772">
        <w:rPr>
          <w:color w:val="000000"/>
          <w:lang w:val="es-MX"/>
        </w:rPr>
        <w:t>nteranual, porcentaje, 2015-202</w:t>
      </w:r>
      <w:r w:rsidR="00F3737B" w:rsidRPr="009C7772">
        <w:rPr>
          <w:color w:val="000000"/>
          <w:lang w:val="es-MX"/>
        </w:rPr>
        <w:t>5</w:t>
      </w:r>
      <w:r w:rsidR="00414F7C" w:rsidRPr="009C7772">
        <w:rPr>
          <w:color w:val="000000"/>
          <w:lang w:val="es-MX"/>
        </w:rPr>
        <w:t>*</w:t>
      </w:r>
    </w:p>
    <w:p w14:paraId="4D08325D" w14:textId="1EA87EDF" w:rsidR="00AE57F0" w:rsidRPr="00305D32" w:rsidRDefault="00542290" w:rsidP="00884EA7">
      <w:pPr>
        <w:spacing w:after="0"/>
        <w:jc w:val="center"/>
        <w:rPr>
          <w:lang w:val="es-MX"/>
        </w:rPr>
      </w:pPr>
      <w:r w:rsidRPr="00305D32">
        <w:rPr>
          <w:noProof/>
          <w:lang w:val="es-MX" w:eastAsia="es-MX"/>
        </w:rPr>
        <w:drawing>
          <wp:inline distT="0" distB="0" distL="0" distR="0" wp14:anchorId="4117FB6A" wp14:editId="35F34B5C">
            <wp:extent cx="5715000" cy="2766695"/>
            <wp:effectExtent l="0" t="0" r="0" b="14605"/>
            <wp:docPr id="203197042" name="Gráfico 1">
              <a:extLst xmlns:a="http://schemas.openxmlformats.org/drawingml/2006/main">
                <a:ext uri="{FF2B5EF4-FFF2-40B4-BE49-F238E27FC236}">
                  <a16:creationId xmlns:a16="http://schemas.microsoft.com/office/drawing/2014/main" id="{09E2C1A6-BB9E-AD2C-40DB-526C864790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08325E" w14:textId="2B725B32" w:rsidR="00AE57F0" w:rsidRPr="00305D32" w:rsidRDefault="00414F7C">
      <w:pPr>
        <w:spacing w:line="240" w:lineRule="auto"/>
        <w:jc w:val="center"/>
        <w:rPr>
          <w:sz w:val="20"/>
          <w:szCs w:val="20"/>
          <w:lang w:val="es-MX"/>
        </w:rPr>
      </w:pPr>
      <w:r w:rsidRPr="00305D32">
        <w:rPr>
          <w:sz w:val="20"/>
          <w:szCs w:val="20"/>
          <w:lang w:val="es-MX"/>
        </w:rPr>
        <w:t xml:space="preserve">Fuente: Elaboración de la Subsecretaría de Análisis Económico y Finanzas Públicas de la Secretaría de Finanzas y Planeación con base en información del </w:t>
      </w:r>
      <w:r w:rsidRPr="00305D32">
        <w:rPr>
          <w:i/>
          <w:sz w:val="20"/>
          <w:szCs w:val="20"/>
          <w:lang w:val="es-MX"/>
        </w:rPr>
        <w:t>Índice de Precios al Consumidor</w:t>
      </w:r>
      <w:r w:rsidRPr="00305D32">
        <w:rPr>
          <w:sz w:val="20"/>
          <w:szCs w:val="20"/>
          <w:lang w:val="es-MX"/>
        </w:rPr>
        <w:t xml:space="preserve"> del Instituto Nacional de Estadística y Geografía (202</w:t>
      </w:r>
      <w:r w:rsidR="00F3737B" w:rsidRPr="00305D32">
        <w:rPr>
          <w:sz w:val="20"/>
          <w:szCs w:val="20"/>
          <w:lang w:val="es-MX"/>
        </w:rPr>
        <w:t>5</w:t>
      </w:r>
      <w:r w:rsidRPr="00305D32">
        <w:rPr>
          <w:sz w:val="20"/>
          <w:szCs w:val="20"/>
          <w:lang w:val="es-MX"/>
        </w:rPr>
        <w:t>). Nota: * La cifra de 202</w:t>
      </w:r>
      <w:r w:rsidR="00F3737B" w:rsidRPr="00305D32">
        <w:rPr>
          <w:sz w:val="20"/>
          <w:szCs w:val="20"/>
          <w:lang w:val="es-MX"/>
        </w:rPr>
        <w:t>5</w:t>
      </w:r>
      <w:r w:rsidRPr="00305D32">
        <w:rPr>
          <w:sz w:val="20"/>
          <w:szCs w:val="20"/>
          <w:lang w:val="es-MX"/>
        </w:rPr>
        <w:t xml:space="preserve"> corresponde a la inflación interanual </w:t>
      </w:r>
      <w:r w:rsidR="00542290" w:rsidRPr="00305D32">
        <w:rPr>
          <w:sz w:val="20"/>
          <w:szCs w:val="20"/>
          <w:lang w:val="es-MX"/>
        </w:rPr>
        <w:t>d</w:t>
      </w:r>
      <w:r w:rsidRPr="00305D32">
        <w:rPr>
          <w:sz w:val="20"/>
          <w:szCs w:val="20"/>
          <w:lang w:val="es-MX"/>
        </w:rPr>
        <w:t xml:space="preserve">el mes de </w:t>
      </w:r>
      <w:r w:rsidR="00542290" w:rsidRPr="00305D32">
        <w:rPr>
          <w:sz w:val="20"/>
          <w:szCs w:val="20"/>
          <w:lang w:val="es-MX"/>
        </w:rPr>
        <w:t>agosto</w:t>
      </w:r>
      <w:r w:rsidRPr="00305D32">
        <w:rPr>
          <w:sz w:val="20"/>
          <w:szCs w:val="20"/>
          <w:lang w:val="es-MX"/>
        </w:rPr>
        <w:t>.</w:t>
      </w:r>
    </w:p>
    <w:p w14:paraId="55C9E9A4" w14:textId="66A28798" w:rsidR="003C7255" w:rsidRPr="00305D32" w:rsidRDefault="003C7255" w:rsidP="00F0753F">
      <w:pPr>
        <w:rPr>
          <w:lang w:val="es-MX"/>
        </w:rPr>
      </w:pPr>
      <w:r w:rsidRPr="00305D32">
        <w:rPr>
          <w:lang w:val="es-MX"/>
        </w:rPr>
        <w:t xml:space="preserve">En la </w:t>
      </w:r>
      <w:r w:rsidR="00C00E1C" w:rsidRPr="00305D32">
        <w:rPr>
          <w:lang w:val="es-MX"/>
        </w:rPr>
        <w:fldChar w:fldCharType="begin"/>
      </w:r>
      <w:r w:rsidR="00C00E1C" w:rsidRPr="00305D32">
        <w:rPr>
          <w:lang w:val="es-MX"/>
        </w:rPr>
        <w:instrText xml:space="preserve"> REF _Ref210212519 \h </w:instrText>
      </w:r>
      <w:r w:rsidR="00C00E1C" w:rsidRPr="00305D32">
        <w:rPr>
          <w:lang w:val="es-MX"/>
        </w:rPr>
      </w:r>
      <w:r w:rsidR="00C00E1C" w:rsidRPr="00305D32">
        <w:rPr>
          <w:lang w:val="es-MX"/>
        </w:rPr>
        <w:fldChar w:fldCharType="separate"/>
      </w:r>
      <w:r w:rsidR="00ED1F2F" w:rsidRPr="00305D32">
        <w:rPr>
          <w:lang w:val="es-MX"/>
        </w:rPr>
        <w:t xml:space="preserve">Figura </w:t>
      </w:r>
      <w:r w:rsidR="00ED1F2F">
        <w:rPr>
          <w:noProof/>
          <w:lang w:val="es-MX"/>
        </w:rPr>
        <w:t>12</w:t>
      </w:r>
      <w:r w:rsidR="00C00E1C" w:rsidRPr="00305D32">
        <w:rPr>
          <w:lang w:val="es-MX"/>
        </w:rPr>
        <w:fldChar w:fldCharType="end"/>
      </w:r>
      <w:r w:rsidR="00C00E1C" w:rsidRPr="00305D32">
        <w:rPr>
          <w:lang w:val="es-MX"/>
        </w:rPr>
        <w:t xml:space="preserve"> </w:t>
      </w:r>
      <w:r w:rsidRPr="00305D32">
        <w:rPr>
          <w:lang w:val="es-MX"/>
        </w:rPr>
        <w:t xml:space="preserve">se muestra la inflación interanual y sus componentes en México durante el periodo </w:t>
      </w:r>
      <w:r w:rsidR="00B22E90">
        <w:rPr>
          <w:lang w:val="es-MX"/>
        </w:rPr>
        <w:t xml:space="preserve">comprendido entre </w:t>
      </w:r>
      <w:r w:rsidRPr="00305D32">
        <w:rPr>
          <w:lang w:val="es-MX"/>
        </w:rPr>
        <w:t xml:space="preserve">2015 </w:t>
      </w:r>
      <w:r w:rsidR="00A560F2">
        <w:rPr>
          <w:lang w:val="es-MX"/>
        </w:rPr>
        <w:t>y</w:t>
      </w:r>
      <w:r w:rsidRPr="00305D32">
        <w:rPr>
          <w:lang w:val="es-MX"/>
        </w:rPr>
        <w:t xml:space="preserve"> 2025. En el caso de 2025, la inflación </w:t>
      </w:r>
      <w:r w:rsidR="00A560F2">
        <w:rPr>
          <w:lang w:val="es-MX"/>
        </w:rPr>
        <w:t>corresponde a</w:t>
      </w:r>
      <w:r w:rsidRPr="00305D32">
        <w:rPr>
          <w:lang w:val="es-MX"/>
        </w:rPr>
        <w:t xml:space="preserve"> la variación interanual hasta el mes de agosto. Cabe resaltar que la inflación está compuesta por dos </w:t>
      </w:r>
      <w:r w:rsidR="00D06752">
        <w:rPr>
          <w:lang w:val="es-MX"/>
        </w:rPr>
        <w:t>componentes</w:t>
      </w:r>
      <w:r w:rsidRPr="00305D32">
        <w:rPr>
          <w:lang w:val="es-MX"/>
        </w:rPr>
        <w:t xml:space="preserve"> principales: el ítem subyacente, que incluye productos con precios relativamente estables, y el ítem no subyacente, que </w:t>
      </w:r>
      <w:r w:rsidRPr="00305D32">
        <w:rPr>
          <w:lang w:val="es-MX"/>
        </w:rPr>
        <w:lastRenderedPageBreak/>
        <w:t xml:space="preserve">abarca productos cuyos precios son más volátiles, como los </w:t>
      </w:r>
      <w:r w:rsidR="00D06752">
        <w:rPr>
          <w:lang w:val="es-MX"/>
        </w:rPr>
        <w:t xml:space="preserve">productos </w:t>
      </w:r>
      <w:r w:rsidRPr="00305D32">
        <w:rPr>
          <w:lang w:val="es-MX"/>
        </w:rPr>
        <w:t xml:space="preserve">agrícolas y </w:t>
      </w:r>
      <w:r w:rsidR="00D06752">
        <w:rPr>
          <w:lang w:val="es-MX"/>
        </w:rPr>
        <w:t xml:space="preserve">los </w:t>
      </w:r>
      <w:r w:rsidR="00C32F75">
        <w:rPr>
          <w:lang w:val="es-MX"/>
        </w:rPr>
        <w:t>energéticos.</w:t>
      </w:r>
    </w:p>
    <w:p w14:paraId="3265BD26" w14:textId="7885DD43" w:rsidR="00F0753F" w:rsidRPr="00305D32" w:rsidRDefault="00F0753F" w:rsidP="00F0753F">
      <w:pPr>
        <w:rPr>
          <w:lang w:val="es-MX"/>
        </w:rPr>
      </w:pPr>
      <w:r w:rsidRPr="00305D32">
        <w:rPr>
          <w:lang w:val="es-MX"/>
        </w:rPr>
        <w:t xml:space="preserve">Como resultado de los efectos económicos derivados de la pandemia, las presiones inflacionarias </w:t>
      </w:r>
      <w:r w:rsidR="00C32F75">
        <w:rPr>
          <w:lang w:val="es-MX"/>
        </w:rPr>
        <w:t>se incrementaron</w:t>
      </w:r>
      <w:r w:rsidRPr="00305D32">
        <w:rPr>
          <w:lang w:val="es-MX"/>
        </w:rPr>
        <w:t xml:space="preserve"> de manera considerable en 2021 y 2022. En 2022, la inflación general alcanzó el 7.82</w:t>
      </w:r>
      <w:r w:rsidR="0019290E">
        <w:rPr>
          <w:lang w:val="es-MX"/>
        </w:rPr>
        <w:t xml:space="preserve"> %</w:t>
      </w:r>
      <w:r w:rsidRPr="00305D32">
        <w:rPr>
          <w:lang w:val="es-MX"/>
        </w:rPr>
        <w:t xml:space="preserve">, el nivel más alto de los últimos años. Sin embargo, en 2023, los efectos del endurecimiento de la política monetaria comenzaron a </w:t>
      </w:r>
      <w:r w:rsidR="005B7596">
        <w:rPr>
          <w:lang w:val="es-MX"/>
        </w:rPr>
        <w:t>reflejarse</w:t>
      </w:r>
      <w:r w:rsidRPr="00305D32">
        <w:rPr>
          <w:lang w:val="es-MX"/>
        </w:rPr>
        <w:t xml:space="preserve"> en el nivel de precios, logrando una disminución en la </w:t>
      </w:r>
      <w:r w:rsidR="005B7596">
        <w:rPr>
          <w:lang w:val="es-MX"/>
        </w:rPr>
        <w:t>tenden</w:t>
      </w:r>
      <w:r w:rsidR="00FA3F0F">
        <w:rPr>
          <w:lang w:val="es-MX"/>
        </w:rPr>
        <w:t>cia</w:t>
      </w:r>
      <w:r w:rsidRPr="00305D32">
        <w:rPr>
          <w:lang w:val="es-MX"/>
        </w:rPr>
        <w:t xml:space="preserve"> inflacionaria, con una tasa de 4.66</w:t>
      </w:r>
      <w:r w:rsidR="0019290E">
        <w:rPr>
          <w:lang w:val="es-MX"/>
        </w:rPr>
        <w:t xml:space="preserve"> %</w:t>
      </w:r>
      <w:r w:rsidRPr="00305D32">
        <w:rPr>
          <w:lang w:val="es-MX"/>
        </w:rPr>
        <w:t xml:space="preserve">. Para 2024, se mantuvo la </w:t>
      </w:r>
      <w:r w:rsidR="00FA3F0F">
        <w:rPr>
          <w:lang w:val="es-MX"/>
        </w:rPr>
        <w:t>trayectoria descendente</w:t>
      </w:r>
      <w:r w:rsidRPr="00305D32">
        <w:rPr>
          <w:lang w:val="es-MX"/>
        </w:rPr>
        <w:t xml:space="preserve">, </w:t>
      </w:r>
      <w:r w:rsidR="00FA3F0F">
        <w:rPr>
          <w:lang w:val="es-MX"/>
        </w:rPr>
        <w:t>registrando</w:t>
      </w:r>
      <w:r w:rsidRPr="00305D32">
        <w:rPr>
          <w:lang w:val="es-MX"/>
        </w:rPr>
        <w:t xml:space="preserve"> una inflación de 4.21</w:t>
      </w:r>
      <w:r w:rsidR="0019290E">
        <w:rPr>
          <w:lang w:val="es-MX"/>
        </w:rPr>
        <w:t xml:space="preserve"> %</w:t>
      </w:r>
      <w:r w:rsidRPr="00305D32">
        <w:rPr>
          <w:lang w:val="es-MX"/>
        </w:rPr>
        <w:t>. El dato más reciente disponible, correspondiente a</w:t>
      </w:r>
      <w:r w:rsidR="003E2B76">
        <w:rPr>
          <w:lang w:val="es-MX"/>
        </w:rPr>
        <w:t>l mes de</w:t>
      </w:r>
      <w:r w:rsidRPr="00305D32">
        <w:rPr>
          <w:lang w:val="es-MX"/>
        </w:rPr>
        <w:t xml:space="preserve"> </w:t>
      </w:r>
      <w:r w:rsidR="007B3749" w:rsidRPr="00305D32">
        <w:rPr>
          <w:lang w:val="es-MX"/>
        </w:rPr>
        <w:t>agosto</w:t>
      </w:r>
      <w:r w:rsidRPr="00305D32">
        <w:rPr>
          <w:lang w:val="es-MX"/>
        </w:rPr>
        <w:t xml:space="preserve"> de 2025, muestra que la inflación interanual se desaceleró hasta 3.5</w:t>
      </w:r>
      <w:r w:rsidR="00F96076" w:rsidRPr="00305D32">
        <w:rPr>
          <w:lang w:val="es-MX"/>
        </w:rPr>
        <w:t>7</w:t>
      </w:r>
      <w:r w:rsidR="0019290E">
        <w:rPr>
          <w:lang w:val="es-MX"/>
        </w:rPr>
        <w:t xml:space="preserve"> %</w:t>
      </w:r>
      <w:r w:rsidRPr="00305D32">
        <w:rPr>
          <w:lang w:val="es-MX"/>
        </w:rPr>
        <w:t>, la cifra más baja de los últimos cinco años. En cuanto a sus componentes, la inflación subyacente se ubicó en 4.23</w:t>
      </w:r>
      <w:r w:rsidR="0019290E">
        <w:rPr>
          <w:lang w:val="es-MX"/>
        </w:rPr>
        <w:t xml:space="preserve"> %</w:t>
      </w:r>
      <w:r w:rsidRPr="00305D32">
        <w:rPr>
          <w:lang w:val="es-MX"/>
        </w:rPr>
        <w:t>, mientras que la inflación no subyacente, que abarca productos con precios más volátiles como los energéticos y los productos agrícolas, se situó en 1.</w:t>
      </w:r>
      <w:r w:rsidR="00F96076" w:rsidRPr="00305D32">
        <w:rPr>
          <w:lang w:val="es-MX"/>
        </w:rPr>
        <w:t>38</w:t>
      </w:r>
      <w:r w:rsidR="0019290E">
        <w:rPr>
          <w:lang w:val="es-MX"/>
        </w:rPr>
        <w:t xml:space="preserve"> %</w:t>
      </w:r>
      <w:r w:rsidRPr="00305D32">
        <w:rPr>
          <w:lang w:val="es-MX"/>
        </w:rPr>
        <w:t>.</w:t>
      </w:r>
    </w:p>
    <w:p w14:paraId="732AFA2A" w14:textId="4229C246" w:rsidR="00F0753F" w:rsidRPr="00305D32" w:rsidRDefault="00F0753F" w:rsidP="00F0753F">
      <w:pPr>
        <w:rPr>
          <w:lang w:val="es-MX"/>
        </w:rPr>
      </w:pPr>
      <w:r w:rsidRPr="00305D32">
        <w:rPr>
          <w:lang w:val="es-MX"/>
        </w:rPr>
        <w:t xml:space="preserve">La </w:t>
      </w:r>
      <w:r w:rsidR="00CB515C">
        <w:rPr>
          <w:lang w:val="es-MX"/>
        </w:rPr>
        <w:t>SHCP</w:t>
      </w:r>
      <w:r w:rsidRPr="00305D32">
        <w:rPr>
          <w:lang w:val="es-MX"/>
        </w:rPr>
        <w:t xml:space="preserve"> prevé que la inflación </w:t>
      </w:r>
      <w:r w:rsidR="00065858">
        <w:rPr>
          <w:lang w:val="es-MX"/>
        </w:rPr>
        <w:t>concluya</w:t>
      </w:r>
      <w:r w:rsidRPr="00305D32">
        <w:rPr>
          <w:lang w:val="es-MX"/>
        </w:rPr>
        <w:t xml:space="preserve"> el ejercicio fiscal de 2025 en 3.</w:t>
      </w:r>
      <w:r w:rsidR="00272027" w:rsidRPr="00305D32">
        <w:rPr>
          <w:lang w:val="es-MX"/>
        </w:rPr>
        <w:t>8</w:t>
      </w:r>
      <w:r w:rsidR="0019290E">
        <w:rPr>
          <w:lang w:val="es-MX"/>
        </w:rPr>
        <w:t xml:space="preserve"> %</w:t>
      </w:r>
      <w:r w:rsidRPr="00305D32">
        <w:rPr>
          <w:lang w:val="es-MX"/>
        </w:rPr>
        <w:t xml:space="preserve"> y que en 2026 se reduzca aún más, ubicándose en 3</w:t>
      </w:r>
      <w:r w:rsidR="0019290E">
        <w:rPr>
          <w:lang w:val="es-MX"/>
        </w:rPr>
        <w:t xml:space="preserve"> %</w:t>
      </w:r>
      <w:r w:rsidRPr="00305D32">
        <w:rPr>
          <w:lang w:val="es-MX"/>
        </w:rPr>
        <w:t xml:space="preserve">. Además, de acuerdo con los CGPE 2026, un aumento de 100 puntos base en la inflación </w:t>
      </w:r>
      <w:r w:rsidR="00C62B0E">
        <w:rPr>
          <w:lang w:val="es-MX"/>
        </w:rPr>
        <w:t xml:space="preserve">afectaría </w:t>
      </w:r>
      <w:r w:rsidRPr="00305D32">
        <w:rPr>
          <w:lang w:val="es-MX"/>
        </w:rPr>
        <w:t xml:space="preserve">el costo financiero del sector público </w:t>
      </w:r>
      <w:r w:rsidR="00C62B0E">
        <w:rPr>
          <w:lang w:val="es-MX"/>
        </w:rPr>
        <w:t>implicando</w:t>
      </w:r>
      <w:r w:rsidRPr="00305D32">
        <w:rPr>
          <w:lang w:val="es-MX"/>
        </w:rPr>
        <w:t xml:space="preserve"> un incremento aproximado de 1,</w:t>
      </w:r>
      <w:r w:rsidR="00FD67DF" w:rsidRPr="00305D32">
        <w:rPr>
          <w:lang w:val="es-MX"/>
        </w:rPr>
        <w:t>5</w:t>
      </w:r>
      <w:r w:rsidRPr="00305D32">
        <w:rPr>
          <w:lang w:val="es-MX"/>
        </w:rPr>
        <w:t xml:space="preserve">00 millones de pesos, derivado del encarecimiento de los pasivos </w:t>
      </w:r>
      <w:r w:rsidR="00B142EA">
        <w:rPr>
          <w:lang w:val="es-MX"/>
        </w:rPr>
        <w:t>vinculados</w:t>
      </w:r>
      <w:r w:rsidRPr="00305D32">
        <w:rPr>
          <w:lang w:val="es-MX"/>
        </w:rPr>
        <w:t xml:space="preserve"> a la inflación, tales como los </w:t>
      </w:r>
      <w:r w:rsidR="003C0B27" w:rsidRPr="003C0B27">
        <w:rPr>
          <w:lang w:val="es-MX"/>
        </w:rPr>
        <w:t>Bonos de Desarrollo del Gobierno Federal (Udibonos) y la deuda denominada en Unidades de Inversión (UDIS).</w:t>
      </w:r>
    </w:p>
    <w:p w14:paraId="155BFE8D" w14:textId="5F98526A" w:rsidR="00623EA9" w:rsidRPr="00305D32" w:rsidRDefault="00B46716" w:rsidP="00F0753F">
      <w:pPr>
        <w:rPr>
          <w:lang w:val="es-MX"/>
        </w:rPr>
      </w:pPr>
      <w:r w:rsidRPr="00305D32">
        <w:rPr>
          <w:lang w:val="es-MX"/>
        </w:rPr>
        <w:t>L</w:t>
      </w:r>
      <w:r w:rsidR="008B38C5" w:rsidRPr="00305D32">
        <w:rPr>
          <w:lang w:val="es-MX"/>
        </w:rPr>
        <w:t>os pronósticos están sujetos a los siguientes riesgos</w:t>
      </w:r>
      <w:r w:rsidR="00CA3431">
        <w:rPr>
          <w:lang w:val="es-MX"/>
        </w:rPr>
        <w:t>:</w:t>
      </w:r>
      <w:r w:rsidR="008B38C5" w:rsidRPr="00305D32">
        <w:rPr>
          <w:lang w:val="es-MX"/>
        </w:rPr>
        <w:t xml:space="preserve"> Al alza</w:t>
      </w:r>
      <w:r w:rsidR="0037748E">
        <w:rPr>
          <w:lang w:val="es-MX"/>
        </w:rPr>
        <w:t>;</w:t>
      </w:r>
      <w:r w:rsidR="008B38C5" w:rsidRPr="00305D32">
        <w:rPr>
          <w:lang w:val="es-MX"/>
        </w:rPr>
        <w:t xml:space="preserve"> i) </w:t>
      </w:r>
      <w:r w:rsidR="00E62988">
        <w:rPr>
          <w:lang w:val="es-MX"/>
        </w:rPr>
        <w:t xml:space="preserve">una posible </w:t>
      </w:r>
      <w:r w:rsidR="008B38C5" w:rsidRPr="00305D32">
        <w:rPr>
          <w:lang w:val="es-MX"/>
        </w:rPr>
        <w:t xml:space="preserve">depreciación cambiaria; ii) disrupciones por conflictos geopolíticos o políticas comerciales; iii) persistencia de la inflación subyacente; iv) presiones de costos; y v) afectaciones climáticas. A la baja: i) una actividad económica menor a la anticipada; </w:t>
      </w:r>
      <w:r w:rsidR="008B38C5" w:rsidRPr="00305D32">
        <w:rPr>
          <w:lang w:val="es-MX"/>
        </w:rPr>
        <w:lastRenderedPageBreak/>
        <w:t xml:space="preserve">ii) un menor traspaso de aumentos en los costos; y iii) menores presiones </w:t>
      </w:r>
      <w:r w:rsidR="00E62988">
        <w:rPr>
          <w:lang w:val="es-MX"/>
        </w:rPr>
        <w:t>derivadas de</w:t>
      </w:r>
      <w:r w:rsidR="008B38C5" w:rsidRPr="00305D32">
        <w:rPr>
          <w:lang w:val="es-MX"/>
        </w:rPr>
        <w:t xml:space="preserve"> la apreciación reciente.</w:t>
      </w:r>
    </w:p>
    <w:p w14:paraId="4D083262" w14:textId="0BA22261" w:rsidR="00AE57F0" w:rsidRPr="00305D32" w:rsidRDefault="00857CF3" w:rsidP="00F0753F">
      <w:pPr>
        <w:rPr>
          <w:lang w:val="es-MX"/>
        </w:rPr>
      </w:pPr>
      <w:r w:rsidRPr="00305D32">
        <w:rPr>
          <w:lang w:val="es-MX"/>
        </w:rPr>
        <w:t xml:space="preserve">En la </w:t>
      </w:r>
      <w:r w:rsidR="00481E55" w:rsidRPr="00305D32">
        <w:rPr>
          <w:lang w:val="es-MX"/>
        </w:rPr>
        <w:fldChar w:fldCharType="begin"/>
      </w:r>
      <w:r w:rsidR="00481E55" w:rsidRPr="00305D32">
        <w:rPr>
          <w:lang w:val="es-MX"/>
        </w:rPr>
        <w:instrText xml:space="preserve"> REF _Ref210213185 \h </w:instrText>
      </w:r>
      <w:r w:rsidR="00481E55" w:rsidRPr="00305D32">
        <w:rPr>
          <w:lang w:val="es-MX"/>
        </w:rPr>
      </w:r>
      <w:r w:rsidR="00481E55" w:rsidRPr="00305D32">
        <w:rPr>
          <w:lang w:val="es-MX"/>
        </w:rPr>
        <w:fldChar w:fldCharType="separate"/>
      </w:r>
      <w:r w:rsidR="00ED1F2F" w:rsidRPr="00305D32">
        <w:rPr>
          <w:lang w:val="es-MX"/>
        </w:rPr>
        <w:t xml:space="preserve">Figura </w:t>
      </w:r>
      <w:r w:rsidR="00ED1F2F">
        <w:rPr>
          <w:noProof/>
          <w:lang w:val="es-MX"/>
        </w:rPr>
        <w:t>13</w:t>
      </w:r>
      <w:r w:rsidR="00481E55" w:rsidRPr="00305D32">
        <w:rPr>
          <w:lang w:val="es-MX"/>
        </w:rPr>
        <w:fldChar w:fldCharType="end"/>
      </w:r>
      <w:r w:rsidR="00481E55" w:rsidRPr="00305D32">
        <w:rPr>
          <w:lang w:val="es-MX"/>
        </w:rPr>
        <w:t xml:space="preserve"> </w:t>
      </w:r>
      <w:r w:rsidRPr="00305D32">
        <w:rPr>
          <w:lang w:val="es-MX"/>
        </w:rPr>
        <w:t xml:space="preserve">se muestra la evolución promedio de la tasa de interés interbancaria de equilibrio a 28 días para el periodo 2015-2025, con datos de 2025 hasta el </w:t>
      </w:r>
      <w:r w:rsidR="00051413" w:rsidRPr="00305D32">
        <w:rPr>
          <w:lang w:val="es-MX"/>
        </w:rPr>
        <w:t>9</w:t>
      </w:r>
      <w:r w:rsidRPr="00305D32">
        <w:rPr>
          <w:lang w:val="es-MX"/>
        </w:rPr>
        <w:t xml:space="preserve"> de septiembre</w:t>
      </w:r>
      <w:r w:rsidR="00223F8D">
        <w:rPr>
          <w:lang w:val="es-MX"/>
        </w:rPr>
        <w:t xml:space="preserve"> de ese año</w:t>
      </w:r>
      <w:r w:rsidRPr="00305D32">
        <w:rPr>
          <w:lang w:val="es-MX"/>
        </w:rPr>
        <w:t>. Hasta 2019, se había completado un ciclo de aumento en las tasas de interés como parte de una política monetaria restrictiva. Sin embargo, debido a los efectos de la pandemia de COVID-19 y la necesidad de impulsar la economía con mayor</w:t>
      </w:r>
      <w:r w:rsidR="00223F8D">
        <w:rPr>
          <w:lang w:val="es-MX"/>
        </w:rPr>
        <w:t>es niveles de</w:t>
      </w:r>
      <w:r w:rsidRPr="00305D32">
        <w:rPr>
          <w:lang w:val="es-MX"/>
        </w:rPr>
        <w:t xml:space="preserve"> liquidez, la</w:t>
      </w:r>
      <w:r w:rsidR="0003025E" w:rsidRPr="00305D32">
        <w:rPr>
          <w:lang w:val="es-MX"/>
        </w:rPr>
        <w:t xml:space="preserve"> TIIE </w:t>
      </w:r>
      <w:r w:rsidRPr="00305D32">
        <w:rPr>
          <w:lang w:val="es-MX"/>
        </w:rPr>
        <w:t>experiment</w:t>
      </w:r>
      <w:r w:rsidR="0003025E" w:rsidRPr="00305D32">
        <w:rPr>
          <w:lang w:val="es-MX"/>
        </w:rPr>
        <w:t>ó</w:t>
      </w:r>
      <w:r w:rsidRPr="00305D32">
        <w:rPr>
          <w:lang w:val="es-MX"/>
        </w:rPr>
        <w:t xml:space="preserve"> una </w:t>
      </w:r>
      <w:r w:rsidR="00223F8D">
        <w:rPr>
          <w:lang w:val="es-MX"/>
        </w:rPr>
        <w:t>disminución</w:t>
      </w:r>
      <w:r w:rsidRPr="00305D32">
        <w:rPr>
          <w:lang w:val="es-MX"/>
        </w:rPr>
        <w:t xml:space="preserve"> rápida. </w:t>
      </w:r>
      <w:r w:rsidR="00384A48" w:rsidRPr="00384A48">
        <w:rPr>
          <w:lang w:val="es-MX"/>
        </w:rPr>
        <w:t>Este ajuste ayudó a generar un entorno de presiones inflacionarias más elevadas, ya que se sumaron a las tensiones de precios existentes por el confinamiento y la disrupción de las cadenas de suministro</w:t>
      </w:r>
      <w:r w:rsidRPr="00305D32">
        <w:rPr>
          <w:lang w:val="es-MX"/>
        </w:rPr>
        <w:t>.</w:t>
      </w:r>
    </w:p>
    <w:p w14:paraId="4D083263" w14:textId="6B4B5261" w:rsidR="00AE57F0" w:rsidRPr="00305D32" w:rsidRDefault="00481E55" w:rsidP="00481E55">
      <w:pPr>
        <w:pStyle w:val="Descripcin"/>
        <w:jc w:val="center"/>
        <w:rPr>
          <w:color w:val="000000"/>
          <w:lang w:val="es-MX"/>
        </w:rPr>
      </w:pPr>
      <w:bookmarkStart w:id="34" w:name="_heading=h.pkwqa1" w:colFirst="0" w:colLast="0"/>
      <w:bookmarkStart w:id="35" w:name="_Ref210213185"/>
      <w:bookmarkEnd w:id="34"/>
      <w:r w:rsidRPr="00305D32">
        <w:rPr>
          <w:lang w:val="es-MX"/>
        </w:rPr>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13</w:t>
      </w:r>
      <w:r w:rsidRPr="00305D32">
        <w:rPr>
          <w:lang w:val="es-MX"/>
        </w:rPr>
        <w:fldChar w:fldCharType="end"/>
      </w:r>
      <w:bookmarkEnd w:id="35"/>
      <w:r w:rsidR="00414F7C" w:rsidRPr="00305D32">
        <w:rPr>
          <w:color w:val="000000"/>
          <w:lang w:val="es-MX"/>
        </w:rPr>
        <w:t>. Promedio de la tasa de interés interbancaria (TIIE a 28 días), porcentaje, 2015-202</w:t>
      </w:r>
      <w:r w:rsidR="00B1128B" w:rsidRPr="005F314E">
        <w:rPr>
          <w:bCs w:val="0"/>
          <w:color w:val="000000"/>
          <w:lang w:val="es-MX"/>
        </w:rPr>
        <w:t>5</w:t>
      </w:r>
      <w:r w:rsidR="00414F7C" w:rsidRPr="005F314E">
        <w:rPr>
          <w:bCs w:val="0"/>
          <w:color w:val="000000"/>
          <w:lang w:val="es-MX"/>
        </w:rPr>
        <w:t>*</w:t>
      </w:r>
    </w:p>
    <w:p w14:paraId="4D083264" w14:textId="747595F2" w:rsidR="00AE57F0" w:rsidRPr="00305D32" w:rsidRDefault="00F44FDE" w:rsidP="005F314E">
      <w:pPr>
        <w:spacing w:after="0"/>
        <w:jc w:val="center"/>
        <w:rPr>
          <w:lang w:val="es-MX"/>
        </w:rPr>
      </w:pPr>
      <w:r w:rsidRPr="00305D32">
        <w:rPr>
          <w:noProof/>
          <w:lang w:val="es-MX" w:eastAsia="es-MX"/>
        </w:rPr>
        <w:drawing>
          <wp:inline distT="0" distB="0" distL="0" distR="0" wp14:anchorId="5E064A97" wp14:editId="6D080950">
            <wp:extent cx="5762625" cy="2743200"/>
            <wp:effectExtent l="0" t="0" r="9525" b="0"/>
            <wp:docPr id="1929449807" name="Gráfico 1">
              <a:extLst xmlns:a="http://schemas.openxmlformats.org/drawingml/2006/main">
                <a:ext uri="{FF2B5EF4-FFF2-40B4-BE49-F238E27FC236}">
                  <a16:creationId xmlns:a16="http://schemas.microsoft.com/office/drawing/2014/main" id="{414A3F17-BB49-52E5-D445-F1DC2EF9F5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D083265" w14:textId="20EA5196" w:rsidR="00AE57F0" w:rsidRPr="00305D32" w:rsidRDefault="00414F7C">
      <w:pPr>
        <w:spacing w:line="240" w:lineRule="auto"/>
        <w:jc w:val="center"/>
        <w:rPr>
          <w:sz w:val="20"/>
          <w:szCs w:val="20"/>
          <w:lang w:val="es-MX"/>
        </w:rPr>
      </w:pPr>
      <w:r w:rsidRPr="00305D32">
        <w:rPr>
          <w:sz w:val="20"/>
          <w:szCs w:val="20"/>
          <w:lang w:val="es-MX"/>
        </w:rPr>
        <w:t xml:space="preserve">Fuente: Elaboración de la Subsecretaría de Análisis Económico y Finanzas Públicas de la Secretaría de Finanzas y Planeación, con información del </w:t>
      </w:r>
      <w:r w:rsidRPr="00305D32">
        <w:rPr>
          <w:i/>
          <w:sz w:val="20"/>
          <w:szCs w:val="20"/>
          <w:lang w:val="es-MX"/>
        </w:rPr>
        <w:t>Sistema de Información Económica</w:t>
      </w:r>
      <w:r w:rsidRPr="00305D32">
        <w:rPr>
          <w:sz w:val="20"/>
          <w:szCs w:val="20"/>
          <w:lang w:val="es-MX"/>
        </w:rPr>
        <w:t xml:space="preserve"> del Banco de México (202</w:t>
      </w:r>
      <w:r w:rsidR="00984BAA" w:rsidRPr="00305D32">
        <w:rPr>
          <w:sz w:val="20"/>
          <w:szCs w:val="20"/>
          <w:lang w:val="es-MX"/>
        </w:rPr>
        <w:t>5</w:t>
      </w:r>
      <w:r w:rsidRPr="00305D32">
        <w:rPr>
          <w:sz w:val="20"/>
          <w:szCs w:val="20"/>
          <w:lang w:val="es-MX"/>
        </w:rPr>
        <w:t>). Nota: * El año 202</w:t>
      </w:r>
      <w:r w:rsidR="004E354B" w:rsidRPr="00305D32">
        <w:rPr>
          <w:sz w:val="20"/>
          <w:szCs w:val="20"/>
          <w:lang w:val="es-MX"/>
        </w:rPr>
        <w:t xml:space="preserve">5 </w:t>
      </w:r>
      <w:r w:rsidRPr="00305D32">
        <w:rPr>
          <w:sz w:val="20"/>
          <w:szCs w:val="20"/>
          <w:lang w:val="es-MX"/>
        </w:rPr>
        <w:t xml:space="preserve">incluye solo los datos de enero al </w:t>
      </w:r>
      <w:r w:rsidR="00F44FDE" w:rsidRPr="00305D32">
        <w:rPr>
          <w:sz w:val="20"/>
          <w:szCs w:val="20"/>
          <w:lang w:val="es-MX"/>
        </w:rPr>
        <w:t>22</w:t>
      </w:r>
      <w:r w:rsidRPr="00305D32">
        <w:rPr>
          <w:sz w:val="20"/>
          <w:szCs w:val="20"/>
          <w:lang w:val="es-MX"/>
        </w:rPr>
        <w:t xml:space="preserve"> de septiembre. </w:t>
      </w:r>
    </w:p>
    <w:p w14:paraId="46DFD24F" w14:textId="4FDBCD27" w:rsidR="00A1301D" w:rsidRPr="00305D32" w:rsidRDefault="00A1301D">
      <w:pPr>
        <w:rPr>
          <w:lang w:val="es-MX"/>
        </w:rPr>
      </w:pPr>
      <w:r w:rsidRPr="00305D32">
        <w:rPr>
          <w:lang w:val="es-MX"/>
        </w:rPr>
        <w:lastRenderedPageBreak/>
        <w:t xml:space="preserve">La rápida escalada en los precios llevó a </w:t>
      </w:r>
      <w:r w:rsidR="00526C15">
        <w:rPr>
          <w:lang w:val="es-MX"/>
        </w:rPr>
        <w:t>un endurecimiento de</w:t>
      </w:r>
      <w:r w:rsidRPr="00305D32">
        <w:rPr>
          <w:lang w:val="es-MX"/>
        </w:rPr>
        <w:t xml:space="preserve"> la política monetaria a través de un alza rápida y continua en la tasa de interés objetivo del Banco de México, </w:t>
      </w:r>
      <w:r w:rsidR="00A36655">
        <w:rPr>
          <w:lang w:val="es-MX"/>
        </w:rPr>
        <w:t>de esta forma</w:t>
      </w:r>
      <w:r w:rsidRPr="00305D32">
        <w:rPr>
          <w:lang w:val="es-MX"/>
        </w:rPr>
        <w:t xml:space="preserve"> la TIIE se colocó en 4.63</w:t>
      </w:r>
      <w:r w:rsidR="0019290E">
        <w:rPr>
          <w:lang w:val="es-MX"/>
        </w:rPr>
        <w:t xml:space="preserve"> %</w:t>
      </w:r>
      <w:r w:rsidRPr="00305D32">
        <w:rPr>
          <w:lang w:val="es-MX"/>
        </w:rPr>
        <w:t xml:space="preserve"> en 2021, </w:t>
      </w:r>
      <w:r w:rsidR="00A36655">
        <w:rPr>
          <w:lang w:val="es-MX"/>
        </w:rPr>
        <w:t xml:space="preserve">posteriormente </w:t>
      </w:r>
      <w:r w:rsidRPr="00305D32">
        <w:rPr>
          <w:lang w:val="es-MX"/>
        </w:rPr>
        <w:t>para 2022 se elevó a 7.91</w:t>
      </w:r>
      <w:r w:rsidR="0019290E">
        <w:rPr>
          <w:lang w:val="es-MX"/>
        </w:rPr>
        <w:t xml:space="preserve"> %</w:t>
      </w:r>
      <w:r w:rsidRPr="00305D32">
        <w:rPr>
          <w:lang w:val="es-MX"/>
        </w:rPr>
        <w:t>, en 2023 alcanzó un nivel de 11.40</w:t>
      </w:r>
      <w:r w:rsidR="0019290E">
        <w:rPr>
          <w:lang w:val="es-MX"/>
        </w:rPr>
        <w:t xml:space="preserve"> %</w:t>
      </w:r>
      <w:r w:rsidRPr="00305D32">
        <w:rPr>
          <w:lang w:val="es-MX"/>
        </w:rPr>
        <w:t xml:space="preserve">, </w:t>
      </w:r>
      <w:r w:rsidR="00CD3D53">
        <w:rPr>
          <w:lang w:val="es-MX"/>
        </w:rPr>
        <w:t>para</w:t>
      </w:r>
      <w:r w:rsidR="00BD5D5C">
        <w:rPr>
          <w:lang w:val="es-MX"/>
        </w:rPr>
        <w:t xml:space="preserve"> </w:t>
      </w:r>
      <w:r w:rsidR="00C73964" w:rsidRPr="00305D32">
        <w:rPr>
          <w:lang w:val="es-MX"/>
        </w:rPr>
        <w:t>2024</w:t>
      </w:r>
      <w:r w:rsidRPr="00305D32">
        <w:rPr>
          <w:lang w:val="es-MX"/>
        </w:rPr>
        <w:t xml:space="preserve"> se redujo a 11.</w:t>
      </w:r>
      <w:r w:rsidR="008D3081" w:rsidRPr="00305D32">
        <w:rPr>
          <w:lang w:val="es-MX"/>
        </w:rPr>
        <w:t>1</w:t>
      </w:r>
      <w:r w:rsidR="0019290E">
        <w:rPr>
          <w:lang w:val="es-MX"/>
        </w:rPr>
        <w:t xml:space="preserve"> %</w:t>
      </w:r>
      <w:r w:rsidRPr="00305D32">
        <w:rPr>
          <w:lang w:val="es-MX"/>
        </w:rPr>
        <w:t xml:space="preserve"> </w:t>
      </w:r>
      <w:r w:rsidR="008D3081" w:rsidRPr="00305D32">
        <w:rPr>
          <w:lang w:val="es-MX"/>
        </w:rPr>
        <w:t xml:space="preserve">y </w:t>
      </w:r>
      <w:r w:rsidR="00CD3D53">
        <w:rPr>
          <w:lang w:val="es-MX"/>
        </w:rPr>
        <w:t>en</w:t>
      </w:r>
      <w:r w:rsidR="008D3081" w:rsidRPr="00305D32">
        <w:rPr>
          <w:lang w:val="es-MX"/>
        </w:rPr>
        <w:t xml:space="preserve"> 2025 ha llegado a un nivel </w:t>
      </w:r>
      <w:r w:rsidR="00AD4CA1">
        <w:rPr>
          <w:lang w:val="es-MX"/>
        </w:rPr>
        <w:t xml:space="preserve">máximo </w:t>
      </w:r>
      <w:r w:rsidR="008D3081" w:rsidRPr="00305D32">
        <w:rPr>
          <w:lang w:val="es-MX"/>
        </w:rPr>
        <w:t>de 9.</w:t>
      </w:r>
      <w:r w:rsidR="0051707E" w:rsidRPr="00305D32">
        <w:rPr>
          <w:lang w:val="es-MX"/>
        </w:rPr>
        <w:t>0</w:t>
      </w:r>
      <w:r w:rsidR="00F44FDE" w:rsidRPr="00305D32">
        <w:rPr>
          <w:lang w:val="es-MX"/>
        </w:rPr>
        <w:t>6</w:t>
      </w:r>
      <w:r w:rsidR="0019290E">
        <w:rPr>
          <w:lang w:val="es-MX"/>
        </w:rPr>
        <w:t xml:space="preserve"> %</w:t>
      </w:r>
      <w:r w:rsidR="008D3081" w:rsidRPr="00305D32">
        <w:rPr>
          <w:lang w:val="es-MX"/>
        </w:rPr>
        <w:t>.</w:t>
      </w:r>
    </w:p>
    <w:p w14:paraId="4D08326E" w14:textId="754DE3E0" w:rsidR="00AE57F0" w:rsidRPr="00305D32" w:rsidRDefault="007D3331" w:rsidP="00BD2077">
      <w:pPr>
        <w:rPr>
          <w:lang w:val="es-MX"/>
        </w:rPr>
      </w:pPr>
      <w:r>
        <w:rPr>
          <w:lang w:val="es-MX"/>
        </w:rPr>
        <w:t>Recientemente l</w:t>
      </w:r>
      <w:r w:rsidR="005F0FF7" w:rsidRPr="00305D32">
        <w:rPr>
          <w:lang w:val="es-MX"/>
        </w:rPr>
        <w:t xml:space="preserve">a Junta de Gobierno del Banco de México decidió </w:t>
      </w:r>
      <w:r w:rsidR="00A36655">
        <w:rPr>
          <w:lang w:val="es-MX"/>
        </w:rPr>
        <w:t>reducir</w:t>
      </w:r>
      <w:r w:rsidR="005F0FF7" w:rsidRPr="00305D32">
        <w:rPr>
          <w:lang w:val="es-MX"/>
        </w:rPr>
        <w:t xml:space="preserve"> en 25 puntos base el objetivo </w:t>
      </w:r>
      <w:r w:rsidR="00423EC7">
        <w:rPr>
          <w:lang w:val="es-MX"/>
        </w:rPr>
        <w:t>de la TIIE</w:t>
      </w:r>
      <w:r w:rsidR="005F0FF7" w:rsidRPr="00305D32">
        <w:rPr>
          <w:lang w:val="es-MX"/>
        </w:rPr>
        <w:t xml:space="preserve"> a un nivel de 7.</w:t>
      </w:r>
      <w:r w:rsidR="00CB015F" w:rsidRPr="00305D32">
        <w:rPr>
          <w:lang w:val="es-MX"/>
        </w:rPr>
        <w:t>5</w:t>
      </w:r>
      <w:r w:rsidR="0019290E">
        <w:rPr>
          <w:lang w:val="es-MX"/>
        </w:rPr>
        <w:t xml:space="preserve"> %</w:t>
      </w:r>
      <w:r w:rsidR="005F0FF7" w:rsidRPr="00305D32">
        <w:rPr>
          <w:lang w:val="es-MX"/>
        </w:rPr>
        <w:t xml:space="preserve">, </w:t>
      </w:r>
      <w:r w:rsidR="00423EC7">
        <w:rPr>
          <w:lang w:val="es-MX"/>
        </w:rPr>
        <w:t>(</w:t>
      </w:r>
      <w:r w:rsidR="00423EC7" w:rsidRPr="00305D32">
        <w:rPr>
          <w:lang w:val="es-MX"/>
        </w:rPr>
        <w:t>ante</w:t>
      </w:r>
      <w:r w:rsidR="00423EC7">
        <w:rPr>
          <w:lang w:val="es-MX"/>
        </w:rPr>
        <w:t>riormente</w:t>
      </w:r>
      <w:r w:rsidR="005F0FF7" w:rsidRPr="00305D32">
        <w:rPr>
          <w:lang w:val="es-MX"/>
        </w:rPr>
        <w:t xml:space="preserve"> </w:t>
      </w:r>
      <w:r w:rsidR="00CB015F" w:rsidRPr="00305D32">
        <w:rPr>
          <w:lang w:val="es-MX"/>
        </w:rPr>
        <w:t>7.75</w:t>
      </w:r>
      <w:r w:rsidR="0019290E">
        <w:rPr>
          <w:lang w:val="es-MX"/>
        </w:rPr>
        <w:t xml:space="preserve"> %</w:t>
      </w:r>
      <w:r w:rsidR="00423EC7">
        <w:rPr>
          <w:lang w:val="es-MX"/>
        </w:rPr>
        <w:t>)</w:t>
      </w:r>
      <w:r w:rsidR="005F0FF7" w:rsidRPr="00305D32">
        <w:rPr>
          <w:lang w:val="es-MX"/>
        </w:rPr>
        <w:t xml:space="preserve">, con efectos a partir del </w:t>
      </w:r>
      <w:r w:rsidR="0048037F" w:rsidRPr="00305D32">
        <w:rPr>
          <w:lang w:val="es-MX"/>
        </w:rPr>
        <w:t>26</w:t>
      </w:r>
      <w:r w:rsidR="005F0FF7" w:rsidRPr="00305D32">
        <w:rPr>
          <w:lang w:val="es-MX"/>
        </w:rPr>
        <w:t xml:space="preserve"> de </w:t>
      </w:r>
      <w:r w:rsidR="0048037F" w:rsidRPr="00305D32">
        <w:rPr>
          <w:lang w:val="es-MX"/>
        </w:rPr>
        <w:t>septiembre</w:t>
      </w:r>
      <w:r w:rsidR="005F0FF7" w:rsidRPr="00305D32">
        <w:rPr>
          <w:lang w:val="es-MX"/>
        </w:rPr>
        <w:t xml:space="preserve"> de 2025.</w:t>
      </w:r>
      <w:r w:rsidR="006C0215" w:rsidRPr="00305D32">
        <w:rPr>
          <w:lang w:val="es-MX"/>
        </w:rPr>
        <w:t xml:space="preserve"> Esto debido a </w:t>
      </w:r>
      <w:r w:rsidR="00943915" w:rsidRPr="00305D32">
        <w:rPr>
          <w:lang w:val="es-MX"/>
        </w:rPr>
        <w:t>tres</w:t>
      </w:r>
      <w:r w:rsidR="006C0215" w:rsidRPr="00305D32">
        <w:rPr>
          <w:lang w:val="es-MX"/>
        </w:rPr>
        <w:t xml:space="preserve"> factores fundamentales:</w:t>
      </w:r>
    </w:p>
    <w:p w14:paraId="3C6BFE81" w14:textId="66131A78" w:rsidR="006C0215" w:rsidRPr="00305D32" w:rsidRDefault="00DD56E0" w:rsidP="006C0215">
      <w:pPr>
        <w:pStyle w:val="Prrafodelista"/>
        <w:numPr>
          <w:ilvl w:val="0"/>
          <w:numId w:val="7"/>
        </w:numPr>
        <w:rPr>
          <w:lang w:val="es-MX"/>
        </w:rPr>
      </w:pPr>
      <w:r w:rsidRPr="00305D32">
        <w:rPr>
          <w:lang w:val="es-MX"/>
        </w:rPr>
        <w:t>L</w:t>
      </w:r>
      <w:r w:rsidR="00182AF0" w:rsidRPr="00305D32">
        <w:rPr>
          <w:lang w:val="es-MX"/>
        </w:rPr>
        <w:t>a inflación general</w:t>
      </w:r>
      <w:r w:rsidRPr="00305D32">
        <w:rPr>
          <w:lang w:val="es-MX"/>
        </w:rPr>
        <w:t xml:space="preserve">, entre julio y la primera quincena de </w:t>
      </w:r>
      <w:r w:rsidR="000F24BB" w:rsidRPr="00305D32">
        <w:rPr>
          <w:lang w:val="es-MX"/>
        </w:rPr>
        <w:t>septiembre, presentó</w:t>
      </w:r>
      <w:r w:rsidR="00182AF0" w:rsidRPr="00305D32">
        <w:rPr>
          <w:lang w:val="es-MX"/>
        </w:rPr>
        <w:t xml:space="preserve"> </w:t>
      </w:r>
      <w:r w:rsidR="002455B9">
        <w:rPr>
          <w:lang w:val="es-MX"/>
        </w:rPr>
        <w:t>un ligero</w:t>
      </w:r>
      <w:r w:rsidR="00182AF0" w:rsidRPr="00305D32">
        <w:rPr>
          <w:lang w:val="es-MX"/>
        </w:rPr>
        <w:t xml:space="preserve"> aumento al pasar de 3.51</w:t>
      </w:r>
      <w:r w:rsidR="0019290E">
        <w:rPr>
          <w:lang w:val="es-MX"/>
        </w:rPr>
        <w:t xml:space="preserve"> %</w:t>
      </w:r>
      <w:r w:rsidR="00182AF0" w:rsidRPr="00305D32">
        <w:rPr>
          <w:lang w:val="es-MX"/>
        </w:rPr>
        <w:t xml:space="preserve"> a 3.74</w:t>
      </w:r>
      <w:r w:rsidR="0019290E">
        <w:rPr>
          <w:lang w:val="es-MX"/>
        </w:rPr>
        <w:t xml:space="preserve"> %</w:t>
      </w:r>
      <w:r w:rsidR="00182AF0" w:rsidRPr="00305D32">
        <w:rPr>
          <w:lang w:val="es-MX"/>
        </w:rPr>
        <w:t xml:space="preserve"> y la subyacente un cambio acotado de 4.23</w:t>
      </w:r>
      <w:r w:rsidR="0019290E">
        <w:rPr>
          <w:lang w:val="es-MX"/>
        </w:rPr>
        <w:t xml:space="preserve"> %</w:t>
      </w:r>
      <w:r w:rsidR="00182AF0" w:rsidRPr="00305D32">
        <w:rPr>
          <w:lang w:val="es-MX"/>
        </w:rPr>
        <w:t xml:space="preserve"> a 4.26</w:t>
      </w:r>
      <w:r w:rsidR="0019290E">
        <w:rPr>
          <w:lang w:val="es-MX"/>
        </w:rPr>
        <w:t xml:space="preserve"> %</w:t>
      </w:r>
      <w:r w:rsidR="00182AF0" w:rsidRPr="00305D32">
        <w:rPr>
          <w:lang w:val="es-MX"/>
        </w:rPr>
        <w:t>. Las expectativas de inflación general para el cierre de 2025 disminuyeron. Las de mayor plazo permanecieron relativamente estables en niveles por encima de la meta.</w:t>
      </w:r>
    </w:p>
    <w:p w14:paraId="0D17A1DE" w14:textId="5951C895" w:rsidR="00B02ADB" w:rsidRPr="00305D32" w:rsidRDefault="00E31F69" w:rsidP="00B02ADB">
      <w:pPr>
        <w:pStyle w:val="Prrafodelista"/>
        <w:numPr>
          <w:ilvl w:val="0"/>
          <w:numId w:val="7"/>
        </w:numPr>
        <w:rPr>
          <w:lang w:val="es-MX"/>
        </w:rPr>
      </w:pPr>
      <w:r w:rsidRPr="00305D32">
        <w:rPr>
          <w:lang w:val="es-MX"/>
        </w:rPr>
        <w:t>La </w:t>
      </w:r>
      <w:r w:rsidR="00A77B37">
        <w:rPr>
          <w:lang w:val="es-MX"/>
        </w:rPr>
        <w:t>Reserva Federal de Estados Unidos (</w:t>
      </w:r>
      <w:r w:rsidRPr="00305D32">
        <w:rPr>
          <w:lang w:val="es-MX"/>
        </w:rPr>
        <w:t>Fed</w:t>
      </w:r>
      <w:r w:rsidR="00A77B37">
        <w:rPr>
          <w:lang w:val="es-MX"/>
        </w:rPr>
        <w:t>)</w:t>
      </w:r>
      <w:r w:rsidRPr="00305D32">
        <w:rPr>
          <w:lang w:val="es-MX"/>
        </w:rPr>
        <w:t xml:space="preserve"> decidió </w:t>
      </w:r>
      <w:r w:rsidR="00BB5D97" w:rsidRPr="00305D32">
        <w:rPr>
          <w:lang w:val="es-MX"/>
        </w:rPr>
        <w:t>reducir</w:t>
      </w:r>
      <w:r w:rsidRPr="00305D32">
        <w:rPr>
          <w:lang w:val="es-MX"/>
        </w:rPr>
        <w:t xml:space="preserve"> la </w:t>
      </w:r>
      <w:r w:rsidR="00FD6A0B" w:rsidRPr="00305D32">
        <w:rPr>
          <w:lang w:val="es-MX"/>
        </w:rPr>
        <w:t xml:space="preserve">tasa de fondos federales, por primera vez desde diciembre del año </w:t>
      </w:r>
      <w:r w:rsidR="00F65418">
        <w:rPr>
          <w:lang w:val="es-MX"/>
        </w:rPr>
        <w:t>anterior</w:t>
      </w:r>
      <w:r w:rsidR="00FD6A0B" w:rsidRPr="00305D32">
        <w:rPr>
          <w:lang w:val="es-MX"/>
        </w:rPr>
        <w:t>,</w:t>
      </w:r>
      <w:r w:rsidRPr="00305D32">
        <w:rPr>
          <w:lang w:val="es-MX"/>
        </w:rPr>
        <w:t xml:space="preserve"> después de la reunión del Comité Federal de Mercado Abierto (FOMC) que finalizó el </w:t>
      </w:r>
      <w:r w:rsidR="001B40EA" w:rsidRPr="00305D32">
        <w:rPr>
          <w:lang w:val="es-MX"/>
        </w:rPr>
        <w:t>17 de septiembre</w:t>
      </w:r>
      <w:r w:rsidRPr="00305D32">
        <w:rPr>
          <w:lang w:val="es-MX"/>
        </w:rPr>
        <w:t>, dejando el objetivo para la tasa de fondos federales en un rango de 4</w:t>
      </w:r>
      <w:r w:rsidR="00F65418">
        <w:rPr>
          <w:lang w:val="es-MX"/>
        </w:rPr>
        <w:t>.00</w:t>
      </w:r>
      <w:r w:rsidR="0019290E">
        <w:rPr>
          <w:lang w:val="es-MX"/>
        </w:rPr>
        <w:t xml:space="preserve"> %</w:t>
      </w:r>
      <w:r w:rsidRPr="00305D32">
        <w:rPr>
          <w:lang w:val="es-MX"/>
        </w:rPr>
        <w:t xml:space="preserve"> a 4</w:t>
      </w:r>
      <w:r w:rsidR="00B83486" w:rsidRPr="00305D32">
        <w:rPr>
          <w:lang w:val="es-MX"/>
        </w:rPr>
        <w:t>.</w:t>
      </w:r>
      <w:r w:rsidR="00076EAE" w:rsidRPr="00305D32">
        <w:rPr>
          <w:lang w:val="es-MX"/>
        </w:rPr>
        <w:t>25</w:t>
      </w:r>
      <w:r w:rsidR="0019290E">
        <w:rPr>
          <w:lang w:val="es-MX"/>
        </w:rPr>
        <w:t xml:space="preserve"> %</w:t>
      </w:r>
      <w:r w:rsidR="00D45C38" w:rsidRPr="00305D32">
        <w:rPr>
          <w:lang w:val="es-MX"/>
        </w:rPr>
        <w:t>.</w:t>
      </w:r>
    </w:p>
    <w:p w14:paraId="3A6F4746" w14:textId="4E8EFA96" w:rsidR="00943915" w:rsidRPr="00D6252E" w:rsidRDefault="004E4FE6" w:rsidP="00B02ADB">
      <w:pPr>
        <w:pStyle w:val="Prrafodelista"/>
        <w:numPr>
          <w:ilvl w:val="0"/>
          <w:numId w:val="7"/>
        </w:numPr>
        <w:rPr>
          <w:lang w:val="es-MX"/>
        </w:rPr>
      </w:pPr>
      <w:r w:rsidRPr="00305D32">
        <w:rPr>
          <w:lang w:val="es-MX"/>
        </w:rPr>
        <w:t>El déficit presupuestario proyectado para 2025 es de 3.2</w:t>
      </w:r>
      <w:r w:rsidR="0019290E">
        <w:rPr>
          <w:lang w:val="es-MX"/>
        </w:rPr>
        <w:t xml:space="preserve"> %</w:t>
      </w:r>
      <w:r w:rsidRPr="00D6252E">
        <w:rPr>
          <w:lang w:val="es-MX"/>
        </w:rPr>
        <w:t xml:space="preserve"> en los CGPE 2025 y se estima que cierre en </w:t>
      </w:r>
      <w:r w:rsidR="00B83486" w:rsidRPr="00D6252E">
        <w:rPr>
          <w:lang w:val="es-MX"/>
        </w:rPr>
        <w:t>3.</w:t>
      </w:r>
      <w:r w:rsidR="00285D59" w:rsidRPr="00D6252E">
        <w:rPr>
          <w:lang w:val="es-MX"/>
        </w:rPr>
        <w:t>6</w:t>
      </w:r>
      <w:r w:rsidR="0019290E">
        <w:rPr>
          <w:lang w:val="es-MX"/>
        </w:rPr>
        <w:t xml:space="preserve"> %</w:t>
      </w:r>
      <w:r w:rsidRPr="00D6252E">
        <w:rPr>
          <w:lang w:val="es-MX"/>
        </w:rPr>
        <w:t xml:space="preserve"> en los CGPE 2026.</w:t>
      </w:r>
    </w:p>
    <w:p w14:paraId="5A01F1D1" w14:textId="745DCD21" w:rsidR="00B02ADB" w:rsidRPr="00305D32" w:rsidRDefault="0064406F" w:rsidP="00B02ADB">
      <w:pPr>
        <w:rPr>
          <w:lang w:val="es-MX"/>
        </w:rPr>
      </w:pPr>
      <w:r w:rsidRPr="00305D32">
        <w:rPr>
          <w:lang w:val="es-MX"/>
        </w:rPr>
        <w:t xml:space="preserve">La Junta de Gobierno del Banco de México, </w:t>
      </w:r>
      <w:r w:rsidR="00A61C9D">
        <w:rPr>
          <w:lang w:val="es-MX"/>
        </w:rPr>
        <w:t>señal</w:t>
      </w:r>
      <w:r w:rsidR="00DA2A31">
        <w:rPr>
          <w:lang w:val="es-MX"/>
        </w:rPr>
        <w:t>ó</w:t>
      </w:r>
      <w:r w:rsidRPr="00305D32">
        <w:rPr>
          <w:lang w:val="es-MX"/>
        </w:rPr>
        <w:t xml:space="preserve"> que, en conjunto, la disminución </w:t>
      </w:r>
      <w:r w:rsidR="002D4A39">
        <w:rPr>
          <w:lang w:val="es-MX"/>
        </w:rPr>
        <w:t>realizada</w:t>
      </w:r>
      <w:r w:rsidRPr="00305D32">
        <w:rPr>
          <w:lang w:val="es-MX"/>
        </w:rPr>
        <w:t xml:space="preserve"> en </w:t>
      </w:r>
      <w:r w:rsidR="002D4A39">
        <w:rPr>
          <w:lang w:val="es-MX"/>
        </w:rPr>
        <w:t>coherencia</w:t>
      </w:r>
      <w:r w:rsidRPr="00305D32">
        <w:rPr>
          <w:lang w:val="es-MX"/>
        </w:rPr>
        <w:t xml:space="preserve"> con un entorno internacional de menor expansión económica, tensiones comerciales y riesgos geopolíticos</w:t>
      </w:r>
      <w:r w:rsidR="004E6A68" w:rsidRPr="00305D32">
        <w:rPr>
          <w:lang w:val="es-MX"/>
        </w:rPr>
        <w:t>. Durante el tercer trimestre de 2025</w:t>
      </w:r>
      <w:r w:rsidR="003555E8">
        <w:rPr>
          <w:lang w:val="es-MX"/>
        </w:rPr>
        <w:t>,</w:t>
      </w:r>
      <w:r w:rsidR="004E6A68" w:rsidRPr="00305D32">
        <w:rPr>
          <w:lang w:val="es-MX"/>
        </w:rPr>
        <w:t xml:space="preserve"> se </w:t>
      </w:r>
      <w:r w:rsidR="003555E8">
        <w:rPr>
          <w:lang w:val="es-MX"/>
        </w:rPr>
        <w:t>observó</w:t>
      </w:r>
      <w:r w:rsidR="004E6A68" w:rsidRPr="00305D32">
        <w:rPr>
          <w:lang w:val="es-MX"/>
        </w:rPr>
        <w:t xml:space="preserve"> una desaceleración en la actividad económica global y en Estados Unidos, donde la Reserva Federal también </w:t>
      </w:r>
      <w:r w:rsidR="005C603C">
        <w:rPr>
          <w:lang w:val="es-MX"/>
        </w:rPr>
        <w:t>redujo</w:t>
      </w:r>
      <w:r w:rsidR="004E6A68" w:rsidRPr="00305D32">
        <w:rPr>
          <w:lang w:val="es-MX"/>
        </w:rPr>
        <w:t xml:space="preserve"> su tasa de referencia y </w:t>
      </w:r>
      <w:r w:rsidR="002824C2">
        <w:rPr>
          <w:lang w:val="es-MX"/>
        </w:rPr>
        <w:lastRenderedPageBreak/>
        <w:t>anticipa</w:t>
      </w:r>
      <w:r w:rsidR="004E6A68" w:rsidRPr="00305D32">
        <w:rPr>
          <w:lang w:val="es-MX"/>
        </w:rPr>
        <w:t xml:space="preserve"> nuevas reducciones, lo que provocó bajas en las tasas de interés gubernamentales, especialmente de corto plazo, y una moderada depreciación del dólar. Estos factores, junto con </w:t>
      </w:r>
      <w:r w:rsidR="002824C2">
        <w:rPr>
          <w:lang w:val="es-MX"/>
        </w:rPr>
        <w:t>niveles de inflación heterogéneos</w:t>
      </w:r>
      <w:r w:rsidR="004E6A68" w:rsidRPr="00305D32">
        <w:rPr>
          <w:lang w:val="es-MX"/>
        </w:rPr>
        <w:t xml:space="preserve"> en las principales economías avanzadas, motivaron la decisión del </w:t>
      </w:r>
      <w:r w:rsidR="00D6252E">
        <w:rPr>
          <w:lang w:val="es-MX"/>
        </w:rPr>
        <w:t>B</w:t>
      </w:r>
      <w:r w:rsidR="004E6A68" w:rsidRPr="00305D32">
        <w:rPr>
          <w:lang w:val="es-MX"/>
        </w:rPr>
        <w:t xml:space="preserve">anco </w:t>
      </w:r>
      <w:r w:rsidR="00D6252E">
        <w:rPr>
          <w:lang w:val="es-MX"/>
        </w:rPr>
        <w:t>C</w:t>
      </w:r>
      <w:r w:rsidR="004E6A68" w:rsidRPr="00305D32">
        <w:rPr>
          <w:lang w:val="es-MX"/>
        </w:rPr>
        <w:t>entral para mitigar riesgos sobre la inflación, la actividad económica y la volatilidad financiera.</w:t>
      </w:r>
    </w:p>
    <w:p w14:paraId="02803AE6" w14:textId="6D8E2A4B" w:rsidR="00320E45" w:rsidRPr="00305D32" w:rsidRDefault="00A24B89">
      <w:pPr>
        <w:rPr>
          <w:lang w:val="es-MX"/>
        </w:rPr>
      </w:pPr>
      <w:r w:rsidRPr="00305D32">
        <w:rPr>
          <w:lang w:val="es-MX"/>
        </w:rPr>
        <w:t>A modo de cierre</w:t>
      </w:r>
      <w:r w:rsidR="00014B80" w:rsidRPr="00305D32">
        <w:rPr>
          <w:lang w:val="es-MX"/>
        </w:rPr>
        <w:t xml:space="preserve"> de la sección</w:t>
      </w:r>
      <w:r w:rsidRPr="00305D32">
        <w:rPr>
          <w:lang w:val="es-MX"/>
        </w:rPr>
        <w:t>, los CGPE 202</w:t>
      </w:r>
      <w:r w:rsidR="007D61D5" w:rsidRPr="00305D32">
        <w:rPr>
          <w:lang w:val="es-MX"/>
        </w:rPr>
        <w:t>6</w:t>
      </w:r>
      <w:r w:rsidRPr="00305D32">
        <w:rPr>
          <w:lang w:val="es-MX"/>
        </w:rPr>
        <w:t xml:space="preserve"> </w:t>
      </w:r>
      <w:r w:rsidR="00014B80" w:rsidRPr="00305D32">
        <w:rPr>
          <w:lang w:val="es-MX"/>
        </w:rPr>
        <w:t xml:space="preserve">prevén que </w:t>
      </w:r>
      <w:r w:rsidRPr="00305D32">
        <w:rPr>
          <w:lang w:val="es-MX"/>
        </w:rPr>
        <w:t xml:space="preserve">el resultado de una variación de 100 pb </w:t>
      </w:r>
      <w:r w:rsidR="00EA0819" w:rsidRPr="00305D32">
        <w:rPr>
          <w:lang w:val="es-MX"/>
        </w:rPr>
        <w:t>en</w:t>
      </w:r>
      <w:r w:rsidRPr="00305D32">
        <w:rPr>
          <w:lang w:val="es-MX"/>
        </w:rPr>
        <w:t xml:space="preserve"> la tasa de interés nominal </w:t>
      </w:r>
      <w:r w:rsidR="0078170B" w:rsidRPr="00305D32">
        <w:rPr>
          <w:lang w:val="es-MX"/>
        </w:rPr>
        <w:t>tendría un impacto negativo sobre el costo financiero del sector público equivalente a 34.</w:t>
      </w:r>
      <w:r w:rsidR="00877E63" w:rsidRPr="00305D32">
        <w:rPr>
          <w:lang w:val="es-MX"/>
        </w:rPr>
        <w:t>4</w:t>
      </w:r>
      <w:r w:rsidR="0078170B" w:rsidRPr="00305D32">
        <w:rPr>
          <w:lang w:val="es-MX"/>
        </w:rPr>
        <w:t xml:space="preserve"> mil millones de pesos, considerando tanto la deuda tradicional como la componente real de la deuda del </w:t>
      </w:r>
      <w:r w:rsidR="001C0FB4">
        <w:t>Instituto para la Protección al Ahorro Bancario</w:t>
      </w:r>
      <w:r w:rsidR="001C0FB4" w:rsidRPr="00305D32">
        <w:rPr>
          <w:lang w:val="es-MX"/>
        </w:rPr>
        <w:t xml:space="preserve"> </w:t>
      </w:r>
      <w:r w:rsidR="00F45266">
        <w:rPr>
          <w:lang w:val="es-MX"/>
        </w:rPr>
        <w:t>(</w:t>
      </w:r>
      <w:r w:rsidR="0078170B" w:rsidRPr="00305D32">
        <w:rPr>
          <w:lang w:val="es-MX"/>
        </w:rPr>
        <w:t>IPAB</w:t>
      </w:r>
      <w:r w:rsidR="00F45266">
        <w:rPr>
          <w:lang w:val="es-MX"/>
        </w:rPr>
        <w:t>)</w:t>
      </w:r>
      <w:r w:rsidR="00D209ED" w:rsidRPr="00305D32">
        <w:rPr>
          <w:lang w:val="es-MX"/>
        </w:rPr>
        <w:t xml:space="preserve">, esto ya que </w:t>
      </w:r>
      <w:r w:rsidR="002E1B01" w:rsidRPr="00305D32">
        <w:rPr>
          <w:lang w:val="es-MX"/>
        </w:rPr>
        <w:t>u</w:t>
      </w:r>
      <w:r w:rsidR="00D209ED" w:rsidRPr="00305D32">
        <w:rPr>
          <w:lang w:val="es-MX"/>
        </w:rPr>
        <w:t xml:space="preserve">n aumento en la tasa de interés incrementa el gasto no programable del </w:t>
      </w:r>
      <w:r w:rsidR="00706F30">
        <w:rPr>
          <w:lang w:val="es-MX"/>
        </w:rPr>
        <w:t>s</w:t>
      </w:r>
      <w:r w:rsidR="00D209ED" w:rsidRPr="00305D32">
        <w:rPr>
          <w:lang w:val="es-MX"/>
        </w:rPr>
        <w:t xml:space="preserve">ector </w:t>
      </w:r>
      <w:r w:rsidR="00706F30">
        <w:rPr>
          <w:lang w:val="es-MX"/>
        </w:rPr>
        <w:t>p</w:t>
      </w:r>
      <w:r w:rsidR="00D209ED" w:rsidRPr="00305D32">
        <w:rPr>
          <w:lang w:val="es-MX"/>
        </w:rPr>
        <w:t>úblico al aumentar el pago de intereses de la deuda a tasa variable y los costos de refinanciamiento de la deuda que está por vencer</w:t>
      </w:r>
      <w:r w:rsidR="0078170B" w:rsidRPr="00305D32">
        <w:rPr>
          <w:lang w:val="es-MX"/>
        </w:rPr>
        <w:t>.</w:t>
      </w:r>
    </w:p>
    <w:p w14:paraId="4D083272" w14:textId="77777777" w:rsidR="00AE57F0" w:rsidRPr="00305D32" w:rsidRDefault="00414F7C">
      <w:pPr>
        <w:pStyle w:val="Ttulo2"/>
        <w:numPr>
          <w:ilvl w:val="1"/>
          <w:numId w:val="5"/>
        </w:numPr>
        <w:rPr>
          <w:lang w:val="es-MX"/>
        </w:rPr>
      </w:pPr>
      <w:bookmarkStart w:id="36" w:name="_heading=h.39kk8xu" w:colFirst="0" w:colLast="0"/>
      <w:bookmarkEnd w:id="36"/>
      <w:r w:rsidRPr="00305D32">
        <w:rPr>
          <w:lang w:val="es-MX"/>
        </w:rPr>
        <w:t xml:space="preserve">Tipo de cambio </w:t>
      </w:r>
    </w:p>
    <w:p w14:paraId="248F155F" w14:textId="6F918A4C" w:rsidR="0026328A" w:rsidRPr="00305D32" w:rsidRDefault="0026328A">
      <w:pPr>
        <w:rPr>
          <w:lang w:val="es-MX"/>
        </w:rPr>
      </w:pPr>
      <w:r w:rsidRPr="00305D32">
        <w:rPr>
          <w:lang w:val="es-MX"/>
        </w:rPr>
        <w:t xml:space="preserve">La evolución del tipo de cambio del peso mexicano frente al dólar estadounidense es un indicador clave para comprender la posición externa del país, la competitividad de sus exportaciones y el impacto en la inflación y las finanzas públicas. La variación de esta variable refleja tanto factores internos, como la política económica y las expectativas de los agentes financieros, como </w:t>
      </w:r>
      <w:r w:rsidR="00197EFD">
        <w:rPr>
          <w:lang w:val="es-MX"/>
        </w:rPr>
        <w:t xml:space="preserve">factores </w:t>
      </w:r>
      <w:r w:rsidRPr="00305D32">
        <w:rPr>
          <w:lang w:val="es-MX"/>
        </w:rPr>
        <w:t xml:space="preserve">externos, incluyendo </w:t>
      </w:r>
      <w:r w:rsidR="00197EFD">
        <w:rPr>
          <w:lang w:val="es-MX"/>
        </w:rPr>
        <w:t xml:space="preserve">entre ellos </w:t>
      </w:r>
      <w:r w:rsidRPr="00305D32">
        <w:rPr>
          <w:lang w:val="es-MX"/>
        </w:rPr>
        <w:t>la dinámica de la economía global y las decisiones de política monetaria en Estados Unidos. Evaluar el comportamiento del tipo de cambio permite identificar riesgos y oportunidades para la economía mexicana, así como anticipar sus efectos sobre los costos de importación, la deuda externa y el poder adquisitivo de los consumidores.</w:t>
      </w:r>
    </w:p>
    <w:p w14:paraId="1ACE1605" w14:textId="0ECCC0BD" w:rsidR="00602464" w:rsidRPr="00305D32" w:rsidRDefault="00602464">
      <w:pPr>
        <w:rPr>
          <w:lang w:val="es-MX"/>
        </w:rPr>
      </w:pPr>
      <w:r w:rsidRPr="00305D32">
        <w:rPr>
          <w:lang w:val="es-MX"/>
        </w:rPr>
        <w:t xml:space="preserve">En la </w:t>
      </w:r>
      <w:r w:rsidR="00481E55" w:rsidRPr="00305D32">
        <w:rPr>
          <w:lang w:val="es-MX"/>
        </w:rPr>
        <w:fldChar w:fldCharType="begin"/>
      </w:r>
      <w:r w:rsidR="00481E55" w:rsidRPr="00305D32">
        <w:rPr>
          <w:lang w:val="es-MX"/>
        </w:rPr>
        <w:instrText xml:space="preserve"> REF _Ref210213215 \h </w:instrText>
      </w:r>
      <w:r w:rsidR="00481E55" w:rsidRPr="00305D32">
        <w:rPr>
          <w:lang w:val="es-MX"/>
        </w:rPr>
      </w:r>
      <w:r w:rsidR="00481E55" w:rsidRPr="00305D32">
        <w:rPr>
          <w:lang w:val="es-MX"/>
        </w:rPr>
        <w:fldChar w:fldCharType="separate"/>
      </w:r>
      <w:r w:rsidR="00ED1F2F" w:rsidRPr="00305D32">
        <w:rPr>
          <w:lang w:val="es-MX"/>
        </w:rPr>
        <w:t xml:space="preserve">Figura </w:t>
      </w:r>
      <w:r w:rsidR="00ED1F2F">
        <w:rPr>
          <w:noProof/>
          <w:lang w:val="es-MX"/>
        </w:rPr>
        <w:t>14</w:t>
      </w:r>
      <w:r w:rsidR="00481E55" w:rsidRPr="00305D32">
        <w:rPr>
          <w:lang w:val="es-MX"/>
        </w:rPr>
        <w:fldChar w:fldCharType="end"/>
      </w:r>
      <w:r w:rsidRPr="00305D32">
        <w:rPr>
          <w:lang w:val="es-MX"/>
        </w:rPr>
        <w:t xml:space="preserve"> se ilustra la evolución del tipo de cambio de acuerdo con la información proporcionada por el Banco de México. Durante enero de 2024, el tipo </w:t>
      </w:r>
      <w:r w:rsidRPr="00305D32">
        <w:rPr>
          <w:lang w:val="es-MX"/>
        </w:rPr>
        <w:lastRenderedPageBreak/>
        <w:t xml:space="preserve">de cambio promedio se ubicó en </w:t>
      </w:r>
      <w:r w:rsidR="008D6614">
        <w:rPr>
          <w:lang w:val="es-MX"/>
        </w:rPr>
        <w:t>$</w:t>
      </w:r>
      <w:r w:rsidRPr="00305D32">
        <w:rPr>
          <w:lang w:val="es-MX"/>
        </w:rPr>
        <w:t xml:space="preserve">17.08 pesos por dólar y experimentó una ligera apreciación hasta mayo, alcanzando un nivel de </w:t>
      </w:r>
      <w:r w:rsidR="008D6614">
        <w:rPr>
          <w:lang w:val="es-MX"/>
        </w:rPr>
        <w:t>$</w:t>
      </w:r>
      <w:r w:rsidRPr="00305D32">
        <w:rPr>
          <w:lang w:val="es-MX"/>
        </w:rPr>
        <w:t xml:space="preserve">16.79 pesos por dólar. No obstante, a partir de junio de 2024 se observó una depreciación </w:t>
      </w:r>
      <w:r w:rsidR="008D6614">
        <w:rPr>
          <w:lang w:val="es-MX"/>
        </w:rPr>
        <w:t xml:space="preserve">significativa </w:t>
      </w:r>
      <w:r w:rsidRPr="00305D32">
        <w:rPr>
          <w:lang w:val="es-MX"/>
        </w:rPr>
        <w:t xml:space="preserve">de la moneda nacional, cerrando el año con un promedio de </w:t>
      </w:r>
      <w:r w:rsidR="008D6614">
        <w:rPr>
          <w:lang w:val="es-MX"/>
        </w:rPr>
        <w:t>$</w:t>
      </w:r>
      <w:r w:rsidRPr="00305D32">
        <w:rPr>
          <w:lang w:val="es-MX"/>
        </w:rPr>
        <w:t xml:space="preserve">20.26 pesos por dólar en diciembre. Esta depreciación se explica principalmente por la aceleración </w:t>
      </w:r>
      <w:r w:rsidR="00716C22">
        <w:rPr>
          <w:lang w:val="es-MX"/>
        </w:rPr>
        <w:t>de</w:t>
      </w:r>
      <w:r w:rsidRPr="00305D32">
        <w:rPr>
          <w:lang w:val="es-MX"/>
        </w:rPr>
        <w:t xml:space="preserve"> la inflación interna, el </w:t>
      </w:r>
      <w:r w:rsidR="00716C22">
        <w:rPr>
          <w:lang w:val="es-MX"/>
        </w:rPr>
        <w:t>incremento</w:t>
      </w:r>
      <w:r w:rsidRPr="00305D32">
        <w:rPr>
          <w:lang w:val="es-MX"/>
        </w:rPr>
        <w:t xml:space="preserve"> de las tasas de interés en Estados Unidos y la incertidumbre </w:t>
      </w:r>
      <w:r w:rsidR="002934CC">
        <w:rPr>
          <w:lang w:val="es-MX"/>
        </w:rPr>
        <w:t>en torno</w:t>
      </w:r>
      <w:r w:rsidRPr="00305D32">
        <w:rPr>
          <w:lang w:val="es-MX"/>
        </w:rPr>
        <w:t xml:space="preserve"> a la estabilidad financiera internacional, factores que generaron presiones sobre el peso y un mayor costo relativo frente al dólar.</w:t>
      </w:r>
    </w:p>
    <w:p w14:paraId="4D083276" w14:textId="0C188380" w:rsidR="00AE57F0" w:rsidRPr="00305D32" w:rsidRDefault="00481E55" w:rsidP="00481E55">
      <w:pPr>
        <w:pStyle w:val="Descripcin"/>
        <w:jc w:val="center"/>
        <w:rPr>
          <w:color w:val="000000"/>
          <w:lang w:val="es-MX"/>
        </w:rPr>
      </w:pPr>
      <w:bookmarkStart w:id="37" w:name="_heading=h.1opuj5n" w:colFirst="0" w:colLast="0"/>
      <w:bookmarkStart w:id="38" w:name="_Ref210213215"/>
      <w:bookmarkEnd w:id="37"/>
      <w:r w:rsidRPr="00305D32">
        <w:rPr>
          <w:lang w:val="es-MX"/>
        </w:rPr>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14</w:t>
      </w:r>
      <w:r w:rsidRPr="00305D32">
        <w:rPr>
          <w:lang w:val="es-MX"/>
        </w:rPr>
        <w:fldChar w:fldCharType="end"/>
      </w:r>
      <w:bookmarkEnd w:id="38"/>
      <w:r w:rsidR="00414F7C" w:rsidRPr="00305D32">
        <w:rPr>
          <w:color w:val="000000"/>
          <w:lang w:val="es-MX"/>
        </w:rPr>
        <w:t xml:space="preserve">. Evolución del tipo de cambio promedio mensual, </w:t>
      </w:r>
      <w:r w:rsidR="00414F7C" w:rsidRPr="002934CC">
        <w:rPr>
          <w:color w:val="000000"/>
          <w:lang w:val="es-MX"/>
        </w:rPr>
        <w:t>202</w:t>
      </w:r>
      <w:r w:rsidR="003C030F" w:rsidRPr="002934CC">
        <w:rPr>
          <w:color w:val="000000"/>
          <w:lang w:val="es-MX"/>
        </w:rPr>
        <w:t>4</w:t>
      </w:r>
      <w:r w:rsidR="00414F7C" w:rsidRPr="002934CC">
        <w:rPr>
          <w:color w:val="000000"/>
          <w:lang w:val="es-MX"/>
        </w:rPr>
        <w:t>-202</w:t>
      </w:r>
      <w:r w:rsidR="003C030F" w:rsidRPr="002934CC">
        <w:rPr>
          <w:color w:val="000000"/>
          <w:lang w:val="es-MX"/>
        </w:rPr>
        <w:t>5</w:t>
      </w:r>
      <w:r w:rsidR="00933AA7" w:rsidRPr="002934CC">
        <w:rPr>
          <w:color w:val="000000"/>
          <w:lang w:val="es-MX"/>
        </w:rPr>
        <w:t>*</w:t>
      </w:r>
    </w:p>
    <w:p w14:paraId="4D083277" w14:textId="07F6C28B" w:rsidR="00AE57F0" w:rsidRPr="00305D32" w:rsidRDefault="007447A8" w:rsidP="00C61956">
      <w:pPr>
        <w:spacing w:after="0"/>
        <w:jc w:val="center"/>
        <w:rPr>
          <w:lang w:val="es-MX"/>
        </w:rPr>
      </w:pPr>
      <w:r w:rsidRPr="00305D32">
        <w:rPr>
          <w:noProof/>
          <w:lang w:val="es-MX" w:eastAsia="es-MX"/>
        </w:rPr>
        <w:drawing>
          <wp:inline distT="0" distB="0" distL="0" distR="0" wp14:anchorId="75D17124" wp14:editId="412D5B57">
            <wp:extent cx="5743575" cy="2743200"/>
            <wp:effectExtent l="0" t="0" r="9525" b="0"/>
            <wp:docPr id="99596687" name="Gráfico 1">
              <a:extLst xmlns:a="http://schemas.openxmlformats.org/drawingml/2006/main">
                <a:ext uri="{FF2B5EF4-FFF2-40B4-BE49-F238E27FC236}">
                  <a16:creationId xmlns:a16="http://schemas.microsoft.com/office/drawing/2014/main" id="{E9AF94A0-92F9-35DA-D067-2ABE13CBCD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083278" w14:textId="0C1CA64C" w:rsidR="00AE57F0" w:rsidRPr="00305D32" w:rsidRDefault="00414F7C">
      <w:pPr>
        <w:spacing w:line="240" w:lineRule="auto"/>
        <w:jc w:val="center"/>
        <w:rPr>
          <w:sz w:val="20"/>
          <w:szCs w:val="20"/>
          <w:lang w:val="es-MX"/>
        </w:rPr>
      </w:pPr>
      <w:r w:rsidRPr="00305D32">
        <w:rPr>
          <w:sz w:val="20"/>
          <w:szCs w:val="20"/>
          <w:lang w:val="es-MX"/>
        </w:rPr>
        <w:t xml:space="preserve">Fuente: Elaboración de la Subsecretaría de Análisis Económico y Finanzas Públicas de la Secretaría de Finanzas y Planeación, con información del </w:t>
      </w:r>
      <w:r w:rsidRPr="00305D32">
        <w:rPr>
          <w:i/>
          <w:sz w:val="20"/>
          <w:szCs w:val="20"/>
          <w:lang w:val="es-MX"/>
        </w:rPr>
        <w:t xml:space="preserve">Sistema de Información Económica </w:t>
      </w:r>
      <w:r w:rsidRPr="00305D32">
        <w:rPr>
          <w:sz w:val="20"/>
          <w:szCs w:val="20"/>
          <w:lang w:val="es-MX"/>
        </w:rPr>
        <w:t>del Banco de México (202</w:t>
      </w:r>
      <w:r w:rsidR="003C030F" w:rsidRPr="00305D32">
        <w:rPr>
          <w:sz w:val="20"/>
          <w:szCs w:val="20"/>
          <w:lang w:val="es-MX"/>
        </w:rPr>
        <w:t>5</w:t>
      </w:r>
      <w:r w:rsidRPr="00305D32">
        <w:rPr>
          <w:sz w:val="20"/>
          <w:szCs w:val="20"/>
          <w:lang w:val="es-MX"/>
        </w:rPr>
        <w:t>)</w:t>
      </w:r>
      <w:r w:rsidRPr="00305D32">
        <w:rPr>
          <w:i/>
          <w:sz w:val="20"/>
          <w:szCs w:val="20"/>
          <w:lang w:val="es-MX"/>
        </w:rPr>
        <w:t>.</w:t>
      </w:r>
      <w:r w:rsidRPr="00305D32">
        <w:rPr>
          <w:sz w:val="20"/>
          <w:szCs w:val="20"/>
          <w:lang w:val="es-MX"/>
        </w:rPr>
        <w:t xml:space="preserve"> </w:t>
      </w:r>
      <w:r w:rsidRPr="00305D32">
        <w:rPr>
          <w:lang w:val="es-MX"/>
        </w:rPr>
        <w:t xml:space="preserve"> </w:t>
      </w:r>
      <w:r w:rsidR="002D386E" w:rsidRPr="00305D32">
        <w:rPr>
          <w:sz w:val="20"/>
          <w:szCs w:val="20"/>
          <w:lang w:val="es-MX"/>
        </w:rPr>
        <w:t xml:space="preserve">Nota: * El mes de septiembre de 2025 incluye solo </w:t>
      </w:r>
      <w:r w:rsidR="008C154D" w:rsidRPr="00305D32">
        <w:rPr>
          <w:sz w:val="20"/>
          <w:szCs w:val="20"/>
          <w:lang w:val="es-MX"/>
        </w:rPr>
        <w:t xml:space="preserve">datos hasta el </w:t>
      </w:r>
      <w:r w:rsidR="00522DD4" w:rsidRPr="00305D32">
        <w:rPr>
          <w:sz w:val="20"/>
          <w:szCs w:val="20"/>
          <w:lang w:val="es-MX"/>
        </w:rPr>
        <w:t>1</w:t>
      </w:r>
      <w:r w:rsidR="007447A8" w:rsidRPr="00305D32">
        <w:rPr>
          <w:sz w:val="20"/>
          <w:szCs w:val="20"/>
          <w:lang w:val="es-MX"/>
        </w:rPr>
        <w:t>9</w:t>
      </w:r>
      <w:r w:rsidR="008C154D" w:rsidRPr="00305D32">
        <w:rPr>
          <w:sz w:val="20"/>
          <w:szCs w:val="20"/>
          <w:lang w:val="es-MX"/>
        </w:rPr>
        <w:t xml:space="preserve"> de septiembre.</w:t>
      </w:r>
    </w:p>
    <w:p w14:paraId="028A65B8" w14:textId="15DECEAE" w:rsidR="000D6D2A" w:rsidRPr="00305D32" w:rsidRDefault="000D6D2A">
      <w:pPr>
        <w:rPr>
          <w:lang w:val="es-MX"/>
        </w:rPr>
      </w:pPr>
      <w:r w:rsidRPr="00305D32">
        <w:rPr>
          <w:lang w:val="es-MX"/>
        </w:rPr>
        <w:t xml:space="preserve">El año 2025 comenzó con una ligera depreciación del peso, alcanzando un tipo de cambio promedio de </w:t>
      </w:r>
      <w:r w:rsidR="009107C4">
        <w:rPr>
          <w:lang w:val="es-MX"/>
        </w:rPr>
        <w:t>$</w:t>
      </w:r>
      <w:r w:rsidRPr="00305D32">
        <w:rPr>
          <w:lang w:val="es-MX"/>
        </w:rPr>
        <w:t xml:space="preserve">20.54 pesos por dólar en enero. A partir de febrero, sin embargo, se observó un cambio en la tendencia, registrando </w:t>
      </w:r>
      <w:r w:rsidR="009107C4">
        <w:rPr>
          <w:lang w:val="es-MX"/>
        </w:rPr>
        <w:t>$</w:t>
      </w:r>
      <w:r w:rsidRPr="00305D32">
        <w:rPr>
          <w:lang w:val="es-MX"/>
        </w:rPr>
        <w:t xml:space="preserve">20.45 pesos por dólar, y continuando con una apreciación sostenida hasta alcanzar un promedio de </w:t>
      </w:r>
      <w:r w:rsidR="009107C4">
        <w:rPr>
          <w:lang w:val="es-MX"/>
        </w:rPr>
        <w:t>$</w:t>
      </w:r>
      <w:r w:rsidRPr="00305D32">
        <w:rPr>
          <w:lang w:val="es-MX"/>
        </w:rPr>
        <w:t>18.</w:t>
      </w:r>
      <w:r w:rsidR="001E769D" w:rsidRPr="00305D32">
        <w:rPr>
          <w:lang w:val="es-MX"/>
        </w:rPr>
        <w:t>5</w:t>
      </w:r>
      <w:r w:rsidR="007447A8" w:rsidRPr="00305D32">
        <w:rPr>
          <w:lang w:val="es-MX"/>
        </w:rPr>
        <w:t>6</w:t>
      </w:r>
      <w:r w:rsidRPr="00305D32">
        <w:rPr>
          <w:lang w:val="es-MX"/>
        </w:rPr>
        <w:t xml:space="preserve"> pesos por dólar en </w:t>
      </w:r>
      <w:r w:rsidR="00F749B2" w:rsidRPr="00305D32">
        <w:rPr>
          <w:lang w:val="es-MX"/>
        </w:rPr>
        <w:t>septiembre</w:t>
      </w:r>
      <w:r w:rsidRPr="00305D32">
        <w:rPr>
          <w:lang w:val="es-MX"/>
        </w:rPr>
        <w:t xml:space="preserve">. Esta recuperación del peso se atribuye </w:t>
      </w:r>
      <w:r w:rsidRPr="00305D32">
        <w:rPr>
          <w:lang w:val="es-MX"/>
        </w:rPr>
        <w:lastRenderedPageBreak/>
        <w:t xml:space="preserve">principalmente a la entrada de </w:t>
      </w:r>
      <w:r w:rsidR="008762E7">
        <w:rPr>
          <w:lang w:val="es-MX"/>
        </w:rPr>
        <w:t>mayores</w:t>
      </w:r>
      <w:r w:rsidR="007C55B8">
        <w:rPr>
          <w:lang w:val="es-MX"/>
        </w:rPr>
        <w:t xml:space="preserve"> </w:t>
      </w:r>
      <w:r w:rsidRPr="00305D32">
        <w:rPr>
          <w:lang w:val="es-MX"/>
        </w:rPr>
        <w:t>flujos de capital hacia México, motivada por mejores expectativas de crecimiento económico interno, tasas de interés relativa</w:t>
      </w:r>
      <w:r w:rsidR="008762E7">
        <w:rPr>
          <w:lang w:val="es-MX"/>
        </w:rPr>
        <w:t>mente más altas</w:t>
      </w:r>
      <w:r w:rsidRPr="00305D32">
        <w:rPr>
          <w:lang w:val="es-MX"/>
        </w:rPr>
        <w:t xml:space="preserve"> en el país frente a otras economías, así como la estabilidad en los precios del petróleo y la confianza de los inversionistas en la política fiscal y monetaria </w:t>
      </w:r>
      <w:r w:rsidR="007C55B8">
        <w:rPr>
          <w:lang w:val="es-MX"/>
        </w:rPr>
        <w:t>nacional</w:t>
      </w:r>
      <w:r w:rsidRPr="00305D32">
        <w:rPr>
          <w:lang w:val="es-MX"/>
        </w:rPr>
        <w:t>.</w:t>
      </w:r>
    </w:p>
    <w:p w14:paraId="6EDDCD9D" w14:textId="172826D1" w:rsidR="00C97F88" w:rsidRPr="00305D32" w:rsidRDefault="00C97F88" w:rsidP="00C97F88">
      <w:pPr>
        <w:rPr>
          <w:lang w:val="es-MX"/>
        </w:rPr>
      </w:pPr>
      <w:r w:rsidRPr="00305D32">
        <w:rPr>
          <w:lang w:val="es-MX"/>
        </w:rPr>
        <w:t xml:space="preserve">De acuerdo con los </w:t>
      </w:r>
      <w:r w:rsidR="00E92754" w:rsidRPr="00E92754">
        <w:rPr>
          <w:lang w:val="es-MX"/>
        </w:rPr>
        <w:t>CGPE 2026</w:t>
      </w:r>
      <w:r w:rsidRPr="00305D32">
        <w:rPr>
          <w:lang w:val="es-MX"/>
        </w:rPr>
        <w:t xml:space="preserve">, publicados por la SHCP, se proyecta que el tipo de cambio promedio para 2025 se sitúe en </w:t>
      </w:r>
      <w:r w:rsidR="00A20F92">
        <w:rPr>
          <w:lang w:val="es-MX"/>
        </w:rPr>
        <w:t>$</w:t>
      </w:r>
      <w:r w:rsidR="004336D5" w:rsidRPr="00305D32">
        <w:rPr>
          <w:lang w:val="es-MX"/>
        </w:rPr>
        <w:t>19.6</w:t>
      </w:r>
      <w:r w:rsidRPr="00305D32">
        <w:rPr>
          <w:lang w:val="es-MX"/>
        </w:rPr>
        <w:t xml:space="preserve"> pesos por dólar, mientras que para 2026 se espera una ligera apreciación, con un promedio de </w:t>
      </w:r>
      <w:r w:rsidR="00A20F92">
        <w:rPr>
          <w:lang w:val="es-MX"/>
        </w:rPr>
        <w:t>$</w:t>
      </w:r>
      <w:r w:rsidRPr="00305D32">
        <w:rPr>
          <w:lang w:val="es-MX"/>
        </w:rPr>
        <w:t>19.</w:t>
      </w:r>
      <w:r w:rsidR="00811CF6" w:rsidRPr="00305D32">
        <w:rPr>
          <w:lang w:val="es-MX"/>
        </w:rPr>
        <w:t>3</w:t>
      </w:r>
      <w:r w:rsidRPr="00305D32">
        <w:rPr>
          <w:lang w:val="es-MX"/>
        </w:rPr>
        <w:t xml:space="preserve"> pesos por dólar.</w:t>
      </w:r>
    </w:p>
    <w:p w14:paraId="4D08327B" w14:textId="5ECB906F" w:rsidR="00AE57F0" w:rsidRPr="00305D32" w:rsidRDefault="00C97F88" w:rsidP="00C97F88">
      <w:pPr>
        <w:rPr>
          <w:lang w:val="es-MX"/>
        </w:rPr>
      </w:pPr>
      <w:r w:rsidRPr="00305D32">
        <w:rPr>
          <w:lang w:val="es-MX"/>
        </w:rPr>
        <w:t xml:space="preserve">Es importante destacar que una apreciación de </w:t>
      </w:r>
      <w:r w:rsidR="004B25C3" w:rsidRPr="00305D32">
        <w:rPr>
          <w:lang w:val="es-MX"/>
        </w:rPr>
        <w:t>20 centavos de</w:t>
      </w:r>
      <w:r w:rsidRPr="00305D32">
        <w:rPr>
          <w:lang w:val="es-MX"/>
        </w:rPr>
        <w:t xml:space="preserve"> peso por dólar </w:t>
      </w:r>
      <w:r w:rsidR="00F1430B" w:rsidRPr="00305D32">
        <w:rPr>
          <w:lang w:val="es-MX"/>
        </w:rPr>
        <w:t>en el tipo de cambio promedio</w:t>
      </w:r>
      <w:r w:rsidRPr="00305D32">
        <w:rPr>
          <w:lang w:val="es-MX"/>
        </w:rPr>
        <w:t xml:space="preserve"> tendría </w:t>
      </w:r>
      <w:r w:rsidR="00767CF1" w:rsidRPr="00305D32">
        <w:rPr>
          <w:lang w:val="es-MX"/>
        </w:rPr>
        <w:t>dos impactos relevantes: i)</w:t>
      </w:r>
      <w:r w:rsidRPr="00305D32">
        <w:rPr>
          <w:lang w:val="es-MX"/>
        </w:rPr>
        <w:t xml:space="preserve"> </w:t>
      </w:r>
      <w:r w:rsidR="001C099A" w:rsidRPr="00305D32">
        <w:rPr>
          <w:lang w:val="es-MX"/>
        </w:rPr>
        <w:t>un</w:t>
      </w:r>
      <w:r w:rsidR="00DD5D96" w:rsidRPr="00305D32">
        <w:rPr>
          <w:lang w:val="es-MX"/>
        </w:rPr>
        <w:t>a reducción de aproximadamente 8 mil 300 millones de pesos</w:t>
      </w:r>
      <w:r w:rsidR="001C099A" w:rsidRPr="00305D32">
        <w:rPr>
          <w:lang w:val="es-MX"/>
        </w:rPr>
        <w:t xml:space="preserve"> </w:t>
      </w:r>
      <w:r w:rsidR="00637A50" w:rsidRPr="00305D32">
        <w:rPr>
          <w:lang w:val="es-MX"/>
        </w:rPr>
        <w:t>en los ingresos petroleros</w:t>
      </w:r>
      <w:r w:rsidR="00DD5D96" w:rsidRPr="00305D32">
        <w:rPr>
          <w:lang w:val="es-MX"/>
        </w:rPr>
        <w:t xml:space="preserve"> </w:t>
      </w:r>
      <w:r w:rsidR="00210A85" w:rsidRPr="00305D32">
        <w:rPr>
          <w:lang w:val="es-MX"/>
        </w:rPr>
        <w:t xml:space="preserve">y ii) </w:t>
      </w:r>
      <w:r w:rsidR="00AA7AB8" w:rsidRPr="00305D32">
        <w:rPr>
          <w:lang w:val="es-MX"/>
        </w:rPr>
        <w:t>un</w:t>
      </w:r>
      <w:r w:rsidR="003E69B0" w:rsidRPr="00305D32">
        <w:rPr>
          <w:lang w:val="es-MX"/>
        </w:rPr>
        <w:t>a reducción</w:t>
      </w:r>
      <w:r w:rsidR="00AA7AB8" w:rsidRPr="00305D32">
        <w:rPr>
          <w:lang w:val="es-MX"/>
        </w:rPr>
        <w:t xml:space="preserve"> en el costo financiero </w:t>
      </w:r>
      <w:r w:rsidR="003E69B0" w:rsidRPr="00305D32">
        <w:rPr>
          <w:lang w:val="es-MX"/>
        </w:rPr>
        <w:t>de aproximadamente 3 mil 400 millones de pesos</w:t>
      </w:r>
      <w:r w:rsidR="005971F5" w:rsidRPr="00305D32">
        <w:rPr>
          <w:lang w:val="es-MX"/>
        </w:rPr>
        <w:t xml:space="preserve">; esto debido a </w:t>
      </w:r>
      <w:r w:rsidR="00E97CA2" w:rsidRPr="00305D32">
        <w:rPr>
          <w:lang w:val="es-MX"/>
        </w:rPr>
        <w:t xml:space="preserve">que una proporción elevada de los </w:t>
      </w:r>
      <w:r w:rsidR="00B558D0" w:rsidRPr="00305D32">
        <w:rPr>
          <w:lang w:val="es-MX"/>
        </w:rPr>
        <w:t>ingresos petroleros</w:t>
      </w:r>
      <w:r w:rsidR="00E97CA2" w:rsidRPr="00305D32">
        <w:rPr>
          <w:lang w:val="es-MX"/>
        </w:rPr>
        <w:t xml:space="preserve"> está asociada a las exportaciones de crudo</w:t>
      </w:r>
      <w:r w:rsidR="00914647">
        <w:rPr>
          <w:lang w:val="es-MX"/>
        </w:rPr>
        <w:t>,</w:t>
      </w:r>
      <w:r w:rsidR="00B558D0" w:rsidRPr="00305D32">
        <w:rPr>
          <w:lang w:val="es-MX"/>
        </w:rPr>
        <w:t xml:space="preserve"> y</w:t>
      </w:r>
      <w:r w:rsidR="00E97CA2" w:rsidRPr="00305D32">
        <w:rPr>
          <w:lang w:val="es-MX"/>
        </w:rPr>
        <w:t xml:space="preserve"> </w:t>
      </w:r>
      <w:r w:rsidR="0053134E" w:rsidRPr="00305D32">
        <w:rPr>
          <w:lang w:val="es-MX"/>
        </w:rPr>
        <w:t>a</w:t>
      </w:r>
      <w:r w:rsidR="00E97CA2" w:rsidRPr="00305D32">
        <w:rPr>
          <w:lang w:val="es-MX"/>
        </w:rPr>
        <w:t xml:space="preserve"> la </w:t>
      </w:r>
      <w:r w:rsidR="00914647">
        <w:rPr>
          <w:lang w:val="es-MX"/>
        </w:rPr>
        <w:t xml:space="preserve">reducción </w:t>
      </w:r>
      <w:r w:rsidR="00E97CA2" w:rsidRPr="00305D32">
        <w:rPr>
          <w:lang w:val="es-MX"/>
        </w:rPr>
        <w:t>del valor en pesos de la deuda denominada en moneda extranjera</w:t>
      </w:r>
      <w:r w:rsidR="009908F5" w:rsidRPr="00305D32">
        <w:rPr>
          <w:lang w:val="es-MX"/>
        </w:rPr>
        <w:t>, respectivamente</w:t>
      </w:r>
      <w:r w:rsidR="00E97CA2" w:rsidRPr="00305D32">
        <w:rPr>
          <w:lang w:val="es-MX"/>
        </w:rPr>
        <w:t>.</w:t>
      </w:r>
      <w:r w:rsidR="00210A85" w:rsidRPr="00305D32">
        <w:rPr>
          <w:lang w:val="es-MX"/>
        </w:rPr>
        <w:t xml:space="preserve"> </w:t>
      </w:r>
      <w:r w:rsidRPr="00305D32">
        <w:rPr>
          <w:lang w:val="es-MX"/>
        </w:rPr>
        <w:t xml:space="preserve">En este contexto, el comportamiento del tipo de cambio </w:t>
      </w:r>
      <w:r w:rsidR="004E44E6">
        <w:rPr>
          <w:lang w:val="es-MX"/>
        </w:rPr>
        <w:t>constituye</w:t>
      </w:r>
      <w:r w:rsidRPr="00305D32">
        <w:rPr>
          <w:lang w:val="es-MX"/>
        </w:rPr>
        <w:t xml:space="preserve"> un factor determinante para la estabilidad macroeconómica y las finanzas públicas, por lo que su seguimiento continuo resulta esencial para la planificación y evaluación de la</w:t>
      </w:r>
      <w:r w:rsidR="00362CC6" w:rsidRPr="00305D32">
        <w:rPr>
          <w:lang w:val="es-MX"/>
        </w:rPr>
        <w:t>s</w:t>
      </w:r>
      <w:r w:rsidRPr="00305D32">
        <w:rPr>
          <w:lang w:val="es-MX"/>
        </w:rPr>
        <w:t xml:space="preserve"> política</w:t>
      </w:r>
      <w:r w:rsidR="00362CC6" w:rsidRPr="00305D32">
        <w:rPr>
          <w:lang w:val="es-MX"/>
        </w:rPr>
        <w:t>s</w:t>
      </w:r>
      <w:r w:rsidRPr="00305D32">
        <w:rPr>
          <w:lang w:val="es-MX"/>
        </w:rPr>
        <w:t xml:space="preserve"> económica</w:t>
      </w:r>
      <w:r w:rsidR="00362CC6" w:rsidRPr="00305D32">
        <w:rPr>
          <w:lang w:val="es-MX"/>
        </w:rPr>
        <w:t>s a aplicar</w:t>
      </w:r>
      <w:r w:rsidR="00DB52E9" w:rsidRPr="00305D32">
        <w:rPr>
          <w:lang w:val="es-MX"/>
        </w:rPr>
        <w:t>.</w:t>
      </w:r>
    </w:p>
    <w:p w14:paraId="4D08327C" w14:textId="77777777" w:rsidR="00AE57F0" w:rsidRPr="00EA5115" w:rsidRDefault="00414F7C">
      <w:pPr>
        <w:pStyle w:val="Ttulo2"/>
        <w:numPr>
          <w:ilvl w:val="1"/>
          <w:numId w:val="5"/>
        </w:numPr>
        <w:rPr>
          <w:lang w:val="es-MX"/>
        </w:rPr>
      </w:pPr>
      <w:bookmarkStart w:id="39" w:name="_heading=h.48pi1tg" w:colFirst="0" w:colLast="0"/>
      <w:bookmarkEnd w:id="39"/>
      <w:r w:rsidRPr="00EA5115">
        <w:rPr>
          <w:lang w:val="es-MX"/>
        </w:rPr>
        <w:t>Mercado laboral</w:t>
      </w:r>
    </w:p>
    <w:p w14:paraId="73411ED6" w14:textId="6521DA8D" w:rsidR="00F22B89" w:rsidRPr="00305D32" w:rsidRDefault="00CF5F07">
      <w:pPr>
        <w:rPr>
          <w:lang w:val="es-MX"/>
        </w:rPr>
      </w:pPr>
      <w:r w:rsidRPr="00305D32">
        <w:rPr>
          <w:lang w:val="es-MX"/>
        </w:rPr>
        <w:t xml:space="preserve">El indicador más relevante para evaluar la </w:t>
      </w:r>
      <w:r w:rsidR="008B719C">
        <w:rPr>
          <w:lang w:val="es-MX"/>
        </w:rPr>
        <w:t xml:space="preserve">fortaleza </w:t>
      </w:r>
      <w:r w:rsidRPr="00305D32">
        <w:rPr>
          <w:lang w:val="es-MX"/>
        </w:rPr>
        <w:t xml:space="preserve">del mercado laboral en México es la tasa de desocupación, la cual refleja el porcentaje de personas que, sin contar con empleo, se encuentran en búsqueda activa de trabajo dentro de la </w:t>
      </w:r>
      <w:r w:rsidR="008B719C">
        <w:rPr>
          <w:lang w:val="es-MX"/>
        </w:rPr>
        <w:t>P</w:t>
      </w:r>
      <w:r w:rsidRPr="00305D32">
        <w:rPr>
          <w:lang w:val="es-MX"/>
        </w:rPr>
        <w:t xml:space="preserve">oblación </w:t>
      </w:r>
      <w:r w:rsidR="008B719C">
        <w:rPr>
          <w:lang w:val="es-MX"/>
        </w:rPr>
        <w:t>E</w:t>
      </w:r>
      <w:r w:rsidRPr="00305D32">
        <w:rPr>
          <w:lang w:val="es-MX"/>
        </w:rPr>
        <w:t xml:space="preserve">conómicamente </w:t>
      </w:r>
      <w:r w:rsidR="008B719C">
        <w:rPr>
          <w:lang w:val="es-MX"/>
        </w:rPr>
        <w:t>A</w:t>
      </w:r>
      <w:r w:rsidR="008B719C" w:rsidRPr="00305D32">
        <w:rPr>
          <w:lang w:val="es-MX"/>
        </w:rPr>
        <w:t>ctiva</w:t>
      </w:r>
      <w:r w:rsidR="008B719C">
        <w:rPr>
          <w:lang w:val="es-MX"/>
        </w:rPr>
        <w:t xml:space="preserve"> (PEA)</w:t>
      </w:r>
      <w:r w:rsidRPr="00305D32">
        <w:rPr>
          <w:lang w:val="es-MX"/>
        </w:rPr>
        <w:t xml:space="preserve">. </w:t>
      </w:r>
    </w:p>
    <w:p w14:paraId="2797D96E" w14:textId="4E8DF34B" w:rsidR="00265A9F" w:rsidRPr="00305D32" w:rsidRDefault="009304BF" w:rsidP="00265A9F">
      <w:pPr>
        <w:rPr>
          <w:lang w:val="es-MX"/>
        </w:rPr>
      </w:pPr>
      <w:r w:rsidRPr="00305D32">
        <w:rPr>
          <w:lang w:val="es-MX"/>
        </w:rPr>
        <w:lastRenderedPageBreak/>
        <w:t xml:space="preserve">En la </w:t>
      </w:r>
      <w:r w:rsidR="008E2BAB" w:rsidRPr="00305D32">
        <w:rPr>
          <w:lang w:val="es-MX"/>
        </w:rPr>
        <w:fldChar w:fldCharType="begin"/>
      </w:r>
      <w:r w:rsidR="008E2BAB" w:rsidRPr="00305D32">
        <w:rPr>
          <w:lang w:val="es-MX"/>
        </w:rPr>
        <w:instrText xml:space="preserve"> REF _Ref210213407 \h </w:instrText>
      </w:r>
      <w:r w:rsidR="008E2BAB" w:rsidRPr="00305D32">
        <w:rPr>
          <w:lang w:val="es-MX"/>
        </w:rPr>
      </w:r>
      <w:r w:rsidR="008E2BAB" w:rsidRPr="00305D32">
        <w:rPr>
          <w:lang w:val="es-MX"/>
        </w:rPr>
        <w:fldChar w:fldCharType="separate"/>
      </w:r>
      <w:r w:rsidR="00ED1F2F" w:rsidRPr="00305D32">
        <w:rPr>
          <w:lang w:val="es-MX"/>
        </w:rPr>
        <w:t xml:space="preserve">Figura </w:t>
      </w:r>
      <w:r w:rsidR="00ED1F2F">
        <w:rPr>
          <w:noProof/>
          <w:lang w:val="es-MX"/>
        </w:rPr>
        <w:t>15</w:t>
      </w:r>
      <w:r w:rsidR="008E2BAB" w:rsidRPr="00305D32">
        <w:rPr>
          <w:lang w:val="es-MX"/>
        </w:rPr>
        <w:fldChar w:fldCharType="end"/>
      </w:r>
      <w:r w:rsidR="008E2BAB" w:rsidRPr="00305D32">
        <w:rPr>
          <w:lang w:val="es-MX"/>
        </w:rPr>
        <w:t xml:space="preserve"> </w:t>
      </w:r>
      <w:r w:rsidRPr="00305D32">
        <w:rPr>
          <w:lang w:val="es-MX"/>
        </w:rPr>
        <w:t xml:space="preserve">se presenta la evolución de la tasa de desocupación trimestral en México durante el periodo 2023-2025, mostrando un comportamiento </w:t>
      </w:r>
      <w:r w:rsidR="007A7947">
        <w:rPr>
          <w:lang w:val="es-MX"/>
        </w:rPr>
        <w:t>relativamente</w:t>
      </w:r>
      <w:r w:rsidRPr="00305D32">
        <w:rPr>
          <w:lang w:val="es-MX"/>
        </w:rPr>
        <w:t xml:space="preserve"> estable. En el primer trimestre de 2023, la tasa de desocupación se situó en 2.7</w:t>
      </w:r>
      <w:r w:rsidR="0019290E">
        <w:rPr>
          <w:lang w:val="es-MX"/>
        </w:rPr>
        <w:t xml:space="preserve"> %</w:t>
      </w:r>
      <w:r w:rsidRPr="00305D32">
        <w:rPr>
          <w:lang w:val="es-MX"/>
        </w:rPr>
        <w:t>, nivel que se mantuvo al cierre del año. En el primer trimestre de 2024, la tasa descendió ligeramente a 2.5</w:t>
      </w:r>
      <w:r w:rsidR="0019290E">
        <w:rPr>
          <w:lang w:val="es-MX"/>
        </w:rPr>
        <w:t xml:space="preserve"> %</w:t>
      </w:r>
      <w:r w:rsidRPr="00305D32">
        <w:rPr>
          <w:lang w:val="es-MX"/>
        </w:rPr>
        <w:t>, para finalizar el año en 2.6</w:t>
      </w:r>
      <w:r w:rsidR="0019290E">
        <w:rPr>
          <w:lang w:val="es-MX"/>
        </w:rPr>
        <w:t xml:space="preserve"> %</w:t>
      </w:r>
      <w:r w:rsidRPr="00305D32">
        <w:rPr>
          <w:lang w:val="es-MX"/>
        </w:rPr>
        <w:t>. En 2025, la tendencia se mantuvo constante, con 2.5</w:t>
      </w:r>
      <w:r w:rsidR="0019290E">
        <w:rPr>
          <w:lang w:val="es-MX"/>
        </w:rPr>
        <w:t xml:space="preserve"> %</w:t>
      </w:r>
      <w:r w:rsidRPr="00305D32">
        <w:rPr>
          <w:lang w:val="es-MX"/>
        </w:rPr>
        <w:t xml:space="preserve"> en el primer trimestre y 2.7</w:t>
      </w:r>
      <w:r w:rsidR="0019290E">
        <w:rPr>
          <w:lang w:val="es-MX"/>
        </w:rPr>
        <w:t xml:space="preserve"> %</w:t>
      </w:r>
      <w:r w:rsidRPr="00305D32">
        <w:rPr>
          <w:lang w:val="es-MX"/>
        </w:rPr>
        <w:t xml:space="preserve"> en el segundo, evidenciando la </w:t>
      </w:r>
      <w:r w:rsidR="007A7947">
        <w:rPr>
          <w:lang w:val="es-MX"/>
        </w:rPr>
        <w:t>consistencia</w:t>
      </w:r>
      <w:r w:rsidRPr="00305D32">
        <w:rPr>
          <w:lang w:val="es-MX"/>
        </w:rPr>
        <w:t xml:space="preserve"> del mercado laboral en los últimos años.</w:t>
      </w:r>
    </w:p>
    <w:p w14:paraId="79FDB549" w14:textId="7A960726" w:rsidR="00265A9F" w:rsidRPr="00305D32" w:rsidRDefault="00265A9F" w:rsidP="00265A9F">
      <w:pPr>
        <w:rPr>
          <w:lang w:val="es-MX"/>
        </w:rPr>
      </w:pPr>
      <w:r w:rsidRPr="00305D32">
        <w:rPr>
          <w:lang w:val="es-MX"/>
        </w:rPr>
        <w:t xml:space="preserve">Al mismo tiempo, se puede identificar un patrón cíclico dentro de cada año: los valores más bajos de la tasa de desocupación se registran en los primeros y últimos trimestres, mientras que durante los segundos y terceros trimestres se observa un aumento. Este comportamiento se explica principalmente por la estacionalidad del empleo en sectores como el turismo, la agricultura y la construcción, donde durante los trimestres centrales del año se </w:t>
      </w:r>
      <w:r w:rsidR="00394A53">
        <w:rPr>
          <w:lang w:val="es-MX"/>
        </w:rPr>
        <w:t xml:space="preserve">reduce la </w:t>
      </w:r>
      <w:r w:rsidR="00D75120">
        <w:rPr>
          <w:lang w:val="es-MX"/>
        </w:rPr>
        <w:t>generación de</w:t>
      </w:r>
      <w:r w:rsidRPr="00305D32">
        <w:rPr>
          <w:lang w:val="es-MX"/>
        </w:rPr>
        <w:t xml:space="preserve"> empleo temporal, lo que incrementa la proporción de personas desocupadas respecto a la </w:t>
      </w:r>
      <w:r w:rsidR="00D75120">
        <w:rPr>
          <w:lang w:val="es-MX"/>
        </w:rPr>
        <w:t>PEA.</w:t>
      </w:r>
    </w:p>
    <w:p w14:paraId="4D083281" w14:textId="50BFE6AC" w:rsidR="00AE57F0" w:rsidRPr="00305D32" w:rsidRDefault="008E2BAB" w:rsidP="008E2BAB">
      <w:pPr>
        <w:pStyle w:val="Descripcin"/>
        <w:jc w:val="center"/>
        <w:rPr>
          <w:lang w:val="es-MX"/>
        </w:rPr>
      </w:pPr>
      <w:bookmarkStart w:id="40" w:name="_heading=h.2nusc19" w:colFirst="0" w:colLast="0"/>
      <w:bookmarkStart w:id="41" w:name="_Ref210213407"/>
      <w:bookmarkEnd w:id="40"/>
      <w:r w:rsidRPr="00305D32">
        <w:rPr>
          <w:lang w:val="es-MX"/>
        </w:rPr>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15</w:t>
      </w:r>
      <w:r w:rsidRPr="00305D32">
        <w:rPr>
          <w:lang w:val="es-MX"/>
        </w:rPr>
        <w:fldChar w:fldCharType="end"/>
      </w:r>
      <w:bookmarkEnd w:id="41"/>
      <w:r w:rsidR="00414F7C" w:rsidRPr="00305D32">
        <w:rPr>
          <w:lang w:val="es-MX"/>
        </w:rPr>
        <w:t>. Tasa de desocupación trimestral en México, 202</w:t>
      </w:r>
      <w:r w:rsidR="004330F7" w:rsidRPr="00305D32">
        <w:rPr>
          <w:lang w:val="es-MX"/>
        </w:rPr>
        <w:t>3</w:t>
      </w:r>
      <w:r w:rsidR="00414F7C" w:rsidRPr="00305D32">
        <w:rPr>
          <w:lang w:val="es-MX"/>
        </w:rPr>
        <w:t>-202</w:t>
      </w:r>
      <w:r w:rsidR="004330F7" w:rsidRPr="00305D32">
        <w:rPr>
          <w:lang w:val="es-MX"/>
        </w:rPr>
        <w:t>5</w:t>
      </w:r>
    </w:p>
    <w:p w14:paraId="4D083282" w14:textId="3A2047BC" w:rsidR="00AE57F0" w:rsidRPr="00305D32" w:rsidRDefault="00815296" w:rsidP="00C61956">
      <w:pPr>
        <w:spacing w:after="0"/>
        <w:jc w:val="center"/>
        <w:rPr>
          <w:lang w:val="es-MX"/>
        </w:rPr>
      </w:pPr>
      <w:r w:rsidRPr="00305D32">
        <w:rPr>
          <w:noProof/>
          <w:lang w:val="es-MX" w:eastAsia="es-MX"/>
        </w:rPr>
        <w:drawing>
          <wp:inline distT="0" distB="0" distL="0" distR="0" wp14:anchorId="036CC0F5" wp14:editId="1BD1EEFE">
            <wp:extent cx="5724525" cy="2416810"/>
            <wp:effectExtent l="0" t="0" r="9525" b="2540"/>
            <wp:docPr id="377014085" name="Gráfico 1">
              <a:extLst xmlns:a="http://schemas.openxmlformats.org/drawingml/2006/main">
                <a:ext uri="{FF2B5EF4-FFF2-40B4-BE49-F238E27FC236}">
                  <a16:creationId xmlns:a16="http://schemas.microsoft.com/office/drawing/2014/main" id="{EB8878B6-E051-74BA-D0F5-E67B093077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DE8F3F" w14:textId="77777777" w:rsidR="00B52316" w:rsidRPr="00305D32" w:rsidRDefault="00B52316" w:rsidP="00B52316">
      <w:pPr>
        <w:spacing w:line="240" w:lineRule="auto"/>
        <w:jc w:val="center"/>
        <w:rPr>
          <w:i/>
          <w:lang w:val="es-MX"/>
        </w:rPr>
      </w:pPr>
      <w:r w:rsidRPr="00305D32">
        <w:rPr>
          <w:sz w:val="20"/>
          <w:szCs w:val="20"/>
          <w:lang w:val="es-MX"/>
        </w:rPr>
        <w:t xml:space="preserve">Fuente: Elaboración de la Subsecretaría de Análisis Económico y Finanzas Públicas de la Secretaría de Finanzas y Planeación con información del Instituto Nacional de Estadística y Geografía (2025), </w:t>
      </w:r>
      <w:r w:rsidRPr="00305D32">
        <w:rPr>
          <w:i/>
          <w:sz w:val="20"/>
          <w:szCs w:val="20"/>
          <w:lang w:val="es-MX"/>
        </w:rPr>
        <w:t>Encuesta Nacional de Ocupación y Empleo</w:t>
      </w:r>
      <w:r w:rsidRPr="00305D32">
        <w:rPr>
          <w:i/>
          <w:lang w:val="es-MX"/>
        </w:rPr>
        <w:t>.</w:t>
      </w:r>
    </w:p>
    <w:p w14:paraId="3B5DF71D" w14:textId="1C7E7C72" w:rsidR="003F112C" w:rsidRDefault="003F112C">
      <w:pPr>
        <w:rPr>
          <w:lang w:val="es-MX"/>
        </w:rPr>
      </w:pPr>
      <w:r w:rsidRPr="00305D32">
        <w:rPr>
          <w:lang w:val="es-MX"/>
        </w:rPr>
        <w:lastRenderedPageBreak/>
        <w:t xml:space="preserve">Desde 2023, la tasa de desocupación se ha mantenido relativamente constante debido a la consolidación de la recuperación económica posterior a la pandemia, el crecimiento sostenido del empleo formal y la estabilidad en la generación de puestos de trabajo en sectores clave. Este escenario refleja que, a pesar de la variabilidad estacional, el mercado laboral mexicano ha logrado </w:t>
      </w:r>
      <w:r w:rsidR="003E163B">
        <w:rPr>
          <w:lang w:val="es-MX"/>
        </w:rPr>
        <w:t>mantener</w:t>
      </w:r>
      <w:r w:rsidRPr="00305D32">
        <w:rPr>
          <w:lang w:val="es-MX"/>
        </w:rPr>
        <w:t xml:space="preserve"> niveles de desocupación bajos y consistentes, lo que favorece la </w:t>
      </w:r>
      <w:r w:rsidR="003E163B">
        <w:rPr>
          <w:lang w:val="es-MX"/>
        </w:rPr>
        <w:t>planeación</w:t>
      </w:r>
      <w:r w:rsidRPr="00305D32">
        <w:rPr>
          <w:lang w:val="es-MX"/>
        </w:rPr>
        <w:t xml:space="preserve"> y el diseño de políticas públicas en materia laboral.</w:t>
      </w:r>
    </w:p>
    <w:p w14:paraId="639FE281" w14:textId="5FFA1264" w:rsidR="00F10E77" w:rsidRPr="00305D32" w:rsidRDefault="00F10E77">
      <w:pPr>
        <w:rPr>
          <w:lang w:val="es-MX"/>
        </w:rPr>
      </w:pPr>
      <w:r>
        <w:t>Asimismo, el análisis del mercado laboral debe complementarse con indicadores de calidad del empleo, tales como la informalidad laboral, la subocupación y los niveles salariales, los cuales ofrecen una visión más completa sobre la solidez y sostenibilidad de la recuperación económica. En este sentido, la informalidad continúa representando un reto estructural para México, al concentrar una proporción significativa de la fuerza laboral en actividades con baja productividad, menores niveles de protección social y limitada estabilidad en los ingresos. La persistencia de este fenómeno implica que, aun cuando la tasa de desocupación se mantiene en niveles históricamente bajos, persisten desafíos relevantes en materia de empleo de calidad, formalización y mejora de las condiciones laborales, especialmente en regiones con alta estacionalidad como las entidades con vocación turística.</w:t>
      </w:r>
    </w:p>
    <w:p w14:paraId="5A59A946" w14:textId="22F9B71F" w:rsidR="00681514" w:rsidRPr="00305D32" w:rsidRDefault="000E191A" w:rsidP="003F112C">
      <w:pPr>
        <w:rPr>
          <w:lang w:val="es-MX"/>
        </w:rPr>
      </w:pPr>
      <w:r w:rsidRPr="00305D32">
        <w:rPr>
          <w:lang w:val="es-MX"/>
        </w:rPr>
        <w:t xml:space="preserve">Otro indicador de relevancia es la tasa combinada de ocupación parcial y desocupación, que incluye tanto a las personas que no cuentan con </w:t>
      </w:r>
      <w:r w:rsidR="00B739B3" w:rsidRPr="00305D32">
        <w:rPr>
          <w:lang w:val="es-MX"/>
        </w:rPr>
        <w:t>empleo,</w:t>
      </w:r>
      <w:r w:rsidRPr="00305D32">
        <w:rPr>
          <w:lang w:val="es-MX"/>
        </w:rPr>
        <w:t xml:space="preserve"> pero lo buscan activamente</w:t>
      </w:r>
      <w:r w:rsidR="005103E7">
        <w:rPr>
          <w:lang w:val="es-MX"/>
        </w:rPr>
        <w:t>,</w:t>
      </w:r>
      <w:r w:rsidRPr="00305D32">
        <w:rPr>
          <w:lang w:val="es-MX"/>
        </w:rPr>
        <w:t xml:space="preserve"> como a quienes laboran menos de 15 horas a la semana. </w:t>
      </w:r>
      <w:r w:rsidR="00681514" w:rsidRPr="00305D32">
        <w:rPr>
          <w:lang w:val="es-MX"/>
        </w:rPr>
        <w:t>En general</w:t>
      </w:r>
      <w:r w:rsidR="005103E7">
        <w:rPr>
          <w:lang w:val="es-MX"/>
        </w:rPr>
        <w:t>,</w:t>
      </w:r>
      <w:r w:rsidR="00681514" w:rsidRPr="00305D32">
        <w:rPr>
          <w:lang w:val="es-MX"/>
        </w:rPr>
        <w:t xml:space="preserve"> esta tasa </w:t>
      </w:r>
      <w:r w:rsidR="005103E7">
        <w:rPr>
          <w:lang w:val="es-MX"/>
        </w:rPr>
        <w:t>representa</w:t>
      </w:r>
      <w:r w:rsidR="00681514" w:rsidRPr="00305D32">
        <w:rPr>
          <w:lang w:val="es-MX"/>
        </w:rPr>
        <w:t xml:space="preserve"> una medida de la presión efectiva de la búsqueda de empleo en el mercado laboral</w:t>
      </w:r>
      <w:r w:rsidR="00557954" w:rsidRPr="00305D32">
        <w:rPr>
          <w:lang w:val="es-MX"/>
        </w:rPr>
        <w:t>, ya que incluye a los desempleados que directamente buscan empleos</w:t>
      </w:r>
      <w:r w:rsidR="006F2F01">
        <w:rPr>
          <w:lang w:val="es-MX"/>
        </w:rPr>
        <w:t>,</w:t>
      </w:r>
      <w:r w:rsidR="00557954" w:rsidRPr="00305D32">
        <w:rPr>
          <w:lang w:val="es-MX"/>
        </w:rPr>
        <w:t xml:space="preserve"> como a aquellos que</w:t>
      </w:r>
      <w:r w:rsidR="006F2F01">
        <w:rPr>
          <w:lang w:val="es-MX"/>
        </w:rPr>
        <w:t>,</w:t>
      </w:r>
      <w:r w:rsidR="00557954" w:rsidRPr="00305D32">
        <w:rPr>
          <w:lang w:val="es-MX"/>
        </w:rPr>
        <w:t xml:space="preserve"> encontrándose laborando</w:t>
      </w:r>
      <w:r w:rsidR="00CC0840">
        <w:rPr>
          <w:lang w:val="es-MX"/>
        </w:rPr>
        <w:t>,</w:t>
      </w:r>
      <w:r w:rsidR="00557954" w:rsidRPr="00305D32">
        <w:rPr>
          <w:lang w:val="es-MX"/>
        </w:rPr>
        <w:t xml:space="preserve"> también pueden buscar un puesto de forma potencial. </w:t>
      </w:r>
    </w:p>
    <w:p w14:paraId="4D08328B" w14:textId="45C345D8" w:rsidR="00AE57F0" w:rsidRPr="00305D32" w:rsidRDefault="000E191A" w:rsidP="003F112C">
      <w:pPr>
        <w:rPr>
          <w:lang w:val="es-MX"/>
        </w:rPr>
      </w:pPr>
      <w:r w:rsidRPr="00305D32">
        <w:rPr>
          <w:lang w:val="es-MX"/>
        </w:rPr>
        <w:lastRenderedPageBreak/>
        <w:t>La evolución de este indicador, mostrada en la</w:t>
      </w:r>
      <w:r w:rsidR="00BA1291" w:rsidRPr="00305D32">
        <w:rPr>
          <w:lang w:val="es-MX"/>
        </w:rPr>
        <w:t xml:space="preserve"> </w:t>
      </w:r>
      <w:r w:rsidR="008E2BAB" w:rsidRPr="00305D32">
        <w:rPr>
          <w:lang w:val="es-MX"/>
        </w:rPr>
        <w:fldChar w:fldCharType="begin"/>
      </w:r>
      <w:r w:rsidR="008E2BAB" w:rsidRPr="00305D32">
        <w:rPr>
          <w:lang w:val="es-MX"/>
        </w:rPr>
        <w:instrText xml:space="preserve"> REF _Ref210213452 \h </w:instrText>
      </w:r>
      <w:r w:rsidR="008E2BAB" w:rsidRPr="00305D32">
        <w:rPr>
          <w:lang w:val="es-MX"/>
        </w:rPr>
      </w:r>
      <w:r w:rsidR="008E2BAB" w:rsidRPr="00305D32">
        <w:rPr>
          <w:lang w:val="es-MX"/>
        </w:rPr>
        <w:fldChar w:fldCharType="separate"/>
      </w:r>
      <w:r w:rsidR="00ED1F2F" w:rsidRPr="00305D32">
        <w:rPr>
          <w:lang w:val="es-MX"/>
        </w:rPr>
        <w:t xml:space="preserve">Figura </w:t>
      </w:r>
      <w:r w:rsidR="00ED1F2F">
        <w:rPr>
          <w:noProof/>
          <w:lang w:val="es-MX"/>
        </w:rPr>
        <w:t>16</w:t>
      </w:r>
      <w:r w:rsidR="008E2BAB" w:rsidRPr="00305D32">
        <w:rPr>
          <w:lang w:val="es-MX"/>
        </w:rPr>
        <w:fldChar w:fldCharType="end"/>
      </w:r>
      <w:r w:rsidRPr="00305D32">
        <w:rPr>
          <w:lang w:val="es-MX"/>
        </w:rPr>
        <w:t xml:space="preserve">, presenta un comportamiento </w:t>
      </w:r>
      <w:r w:rsidR="00CC0840">
        <w:rPr>
          <w:lang w:val="es-MX"/>
        </w:rPr>
        <w:t xml:space="preserve">ligeramente </w:t>
      </w:r>
      <w:r w:rsidRPr="00305D32">
        <w:rPr>
          <w:lang w:val="es-MX"/>
        </w:rPr>
        <w:t>variable a lo largo del tiempo, aunque tiende a estabilizarse alrededor de un valor cercano al 9</w:t>
      </w:r>
      <w:r w:rsidR="0019290E">
        <w:rPr>
          <w:lang w:val="es-MX"/>
        </w:rPr>
        <w:t xml:space="preserve"> %</w:t>
      </w:r>
      <w:r w:rsidRPr="00305D32">
        <w:rPr>
          <w:lang w:val="es-MX"/>
        </w:rPr>
        <w:t>.</w:t>
      </w:r>
    </w:p>
    <w:p w14:paraId="4D08328C" w14:textId="598E0AFA" w:rsidR="00AE57F0" w:rsidRPr="00305D32" w:rsidRDefault="008E2BAB" w:rsidP="008E2BAB">
      <w:pPr>
        <w:pStyle w:val="Descripcin"/>
        <w:jc w:val="center"/>
        <w:rPr>
          <w:lang w:val="es-MX"/>
        </w:rPr>
      </w:pPr>
      <w:bookmarkStart w:id="42" w:name="_heading=h.1302m92" w:colFirst="0" w:colLast="0"/>
      <w:bookmarkStart w:id="43" w:name="_Ref210213452"/>
      <w:bookmarkEnd w:id="42"/>
      <w:r w:rsidRPr="00305D32">
        <w:rPr>
          <w:lang w:val="es-MX"/>
        </w:rPr>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16</w:t>
      </w:r>
      <w:r w:rsidRPr="00305D32">
        <w:rPr>
          <w:lang w:val="es-MX"/>
        </w:rPr>
        <w:fldChar w:fldCharType="end"/>
      </w:r>
      <w:bookmarkEnd w:id="43"/>
      <w:r w:rsidR="00414F7C" w:rsidRPr="00305D32">
        <w:rPr>
          <w:bCs w:val="0"/>
          <w:lang w:val="es-MX"/>
        </w:rPr>
        <w:t>. Tasa de ocupación parcial y desocupación en México, 202</w:t>
      </w:r>
      <w:r w:rsidR="004330F7" w:rsidRPr="00305D32">
        <w:rPr>
          <w:bCs w:val="0"/>
          <w:lang w:val="es-MX"/>
        </w:rPr>
        <w:t>3</w:t>
      </w:r>
      <w:r w:rsidR="00414F7C" w:rsidRPr="00305D32">
        <w:rPr>
          <w:bCs w:val="0"/>
          <w:lang w:val="es-MX"/>
        </w:rPr>
        <w:t>-202</w:t>
      </w:r>
      <w:r w:rsidR="004330F7" w:rsidRPr="00305D32">
        <w:rPr>
          <w:bCs w:val="0"/>
          <w:lang w:val="es-MX"/>
        </w:rPr>
        <w:t>5</w:t>
      </w:r>
    </w:p>
    <w:p w14:paraId="4D08328D" w14:textId="33841C08" w:rsidR="00AE57F0" w:rsidRPr="00305D32" w:rsidRDefault="003B3338" w:rsidP="00C61956">
      <w:pPr>
        <w:spacing w:after="0"/>
        <w:jc w:val="center"/>
        <w:rPr>
          <w:lang w:val="es-MX"/>
        </w:rPr>
      </w:pPr>
      <w:r w:rsidRPr="00305D32">
        <w:rPr>
          <w:noProof/>
          <w:lang w:val="es-MX" w:eastAsia="es-MX"/>
        </w:rPr>
        <w:drawing>
          <wp:inline distT="0" distB="0" distL="0" distR="0" wp14:anchorId="6E3433B9" wp14:editId="1EA228C1">
            <wp:extent cx="5705475" cy="2476500"/>
            <wp:effectExtent l="0" t="0" r="9525" b="0"/>
            <wp:docPr id="1185800756" name="Gráfico 1">
              <a:extLst xmlns:a="http://schemas.openxmlformats.org/drawingml/2006/main">
                <a:ext uri="{FF2B5EF4-FFF2-40B4-BE49-F238E27FC236}">
                  <a16:creationId xmlns:a16="http://schemas.microsoft.com/office/drawing/2014/main" id="{23EED752-5AD4-BF27-3258-33C8FF5F41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D083290" w14:textId="74452DE1" w:rsidR="00AE57F0" w:rsidRPr="00305D32" w:rsidRDefault="00414F7C" w:rsidP="00396363">
      <w:pPr>
        <w:spacing w:line="240" w:lineRule="auto"/>
        <w:jc w:val="center"/>
        <w:rPr>
          <w:i/>
          <w:lang w:val="es-MX"/>
        </w:rPr>
      </w:pPr>
      <w:r w:rsidRPr="00305D32">
        <w:rPr>
          <w:sz w:val="20"/>
          <w:szCs w:val="20"/>
          <w:lang w:val="es-MX"/>
        </w:rPr>
        <w:t>Fuente: Elaboración de la Subsecretaría de Análisis Económico y Finanzas Públicas de la Secretaría de Finanzas y Planeación con información del Instituto Nacional de Estadística y Geografía (202</w:t>
      </w:r>
      <w:r w:rsidR="004330F7" w:rsidRPr="00305D32">
        <w:rPr>
          <w:sz w:val="20"/>
          <w:szCs w:val="20"/>
          <w:lang w:val="es-MX"/>
        </w:rPr>
        <w:t>5</w:t>
      </w:r>
      <w:r w:rsidRPr="00305D32">
        <w:rPr>
          <w:sz w:val="20"/>
          <w:szCs w:val="20"/>
          <w:lang w:val="es-MX"/>
        </w:rPr>
        <w:t xml:space="preserve">), </w:t>
      </w:r>
      <w:r w:rsidRPr="00305D32">
        <w:rPr>
          <w:i/>
          <w:sz w:val="20"/>
          <w:szCs w:val="20"/>
          <w:lang w:val="es-MX"/>
        </w:rPr>
        <w:t>Encuesta Nacional de Ocupación y Empleo</w:t>
      </w:r>
      <w:r w:rsidRPr="00305D32">
        <w:rPr>
          <w:i/>
          <w:lang w:val="es-MX"/>
        </w:rPr>
        <w:t>.</w:t>
      </w:r>
    </w:p>
    <w:p w14:paraId="2FFCDDD6" w14:textId="32276FC8" w:rsidR="00396363" w:rsidRPr="00305D32" w:rsidRDefault="00E73442" w:rsidP="007C78CC">
      <w:pPr>
        <w:spacing w:after="0"/>
        <w:rPr>
          <w:iCs/>
          <w:lang w:val="es-MX"/>
        </w:rPr>
      </w:pPr>
      <w:r w:rsidRPr="00305D32">
        <w:rPr>
          <w:lang w:val="es-MX"/>
        </w:rPr>
        <w:t>En el segundo trimestre de 2025, la tasa combinada de ocupación parcial y desocupación se situó en 9.1</w:t>
      </w:r>
      <w:r w:rsidR="0019290E">
        <w:rPr>
          <w:lang w:val="es-MX"/>
        </w:rPr>
        <w:t xml:space="preserve"> %</w:t>
      </w:r>
      <w:r w:rsidRPr="00305D32">
        <w:rPr>
          <w:lang w:val="es-MX"/>
        </w:rPr>
        <w:t xml:space="preserve">, mientras que en el trimestre anterior se había registrado </w:t>
      </w:r>
      <w:r w:rsidR="00FD2B24">
        <w:rPr>
          <w:lang w:val="es-MX"/>
        </w:rPr>
        <w:t>un nivel de</w:t>
      </w:r>
      <w:r w:rsidRPr="00305D32">
        <w:rPr>
          <w:lang w:val="es-MX"/>
        </w:rPr>
        <w:t xml:space="preserve"> 8.7</w:t>
      </w:r>
      <w:r w:rsidR="0019290E">
        <w:rPr>
          <w:lang w:val="es-MX"/>
        </w:rPr>
        <w:t xml:space="preserve"> %</w:t>
      </w:r>
      <w:r w:rsidRPr="00305D32">
        <w:rPr>
          <w:lang w:val="es-MX"/>
        </w:rPr>
        <w:t>, manteniéndose ambos valores próximos al promedio de 8.9</w:t>
      </w:r>
      <w:r w:rsidR="0019290E">
        <w:rPr>
          <w:lang w:val="es-MX"/>
        </w:rPr>
        <w:t xml:space="preserve"> %</w:t>
      </w:r>
      <w:r w:rsidR="0026272B" w:rsidRPr="00305D32">
        <w:rPr>
          <w:lang w:val="es-MX"/>
        </w:rPr>
        <w:t>.</w:t>
      </w:r>
      <w:r w:rsidR="00681514" w:rsidRPr="00305D32">
        <w:rPr>
          <w:lang w:val="es-MX"/>
        </w:rPr>
        <w:t xml:space="preserve"> </w:t>
      </w:r>
    </w:p>
    <w:p w14:paraId="68C1C8F1" w14:textId="77777777" w:rsidR="007C78CC" w:rsidRPr="00305D32" w:rsidRDefault="007C78CC" w:rsidP="007C78CC">
      <w:pPr>
        <w:spacing w:after="0"/>
        <w:rPr>
          <w:lang w:val="es-MX"/>
        </w:rPr>
      </w:pPr>
      <w:bookmarkStart w:id="44" w:name="_heading=h.3mzq4wv" w:colFirst="0" w:colLast="0"/>
      <w:bookmarkEnd w:id="44"/>
    </w:p>
    <w:p w14:paraId="4D083291" w14:textId="77777777" w:rsidR="00AE57F0" w:rsidRPr="00305D32" w:rsidRDefault="00414F7C">
      <w:pPr>
        <w:pStyle w:val="Ttulo2"/>
        <w:numPr>
          <w:ilvl w:val="1"/>
          <w:numId w:val="5"/>
        </w:numPr>
        <w:rPr>
          <w:lang w:val="es-MX"/>
        </w:rPr>
      </w:pPr>
      <w:r w:rsidRPr="00305D32">
        <w:rPr>
          <w:lang w:val="es-MX"/>
        </w:rPr>
        <w:t>Finanzas Públicas</w:t>
      </w:r>
    </w:p>
    <w:p w14:paraId="4D083294" w14:textId="2C0089F8" w:rsidR="00AE57F0" w:rsidRPr="00305D32" w:rsidRDefault="0058365B">
      <w:pPr>
        <w:rPr>
          <w:lang w:val="es-MX"/>
        </w:rPr>
      </w:pPr>
      <w:r w:rsidRPr="00305D32">
        <w:rPr>
          <w:lang w:val="es-MX"/>
        </w:rPr>
        <w:t>La política fiscal del país puede examinarse a partir de los elementos que conforman las finanzas públicas, específicamente el ingreso</w:t>
      </w:r>
      <w:r w:rsidR="00A466B1">
        <w:rPr>
          <w:lang w:val="es-MX"/>
        </w:rPr>
        <w:t xml:space="preserve"> público</w:t>
      </w:r>
      <w:r w:rsidRPr="00305D32">
        <w:rPr>
          <w:lang w:val="es-MX"/>
        </w:rPr>
        <w:t xml:space="preserve">, el gasto y la deuda pública. A partir de estos componentes, la postura fiscal se entiende como el balance resultante de los flujos económicos del sector público en un periodo determinado, los </w:t>
      </w:r>
      <w:r w:rsidRPr="00305D32">
        <w:rPr>
          <w:lang w:val="es-MX"/>
        </w:rPr>
        <w:lastRenderedPageBreak/>
        <w:t>cuales inciden directamente en su situación financiera</w:t>
      </w:r>
      <w:r w:rsidR="00A466B1">
        <w:rPr>
          <w:lang w:val="es-MX"/>
        </w:rPr>
        <w:t xml:space="preserve"> y en la sostenibilidad </w:t>
      </w:r>
      <w:r w:rsidR="00B77597">
        <w:rPr>
          <w:lang w:val="es-MX"/>
        </w:rPr>
        <w:t>de las cuentas públicas.</w:t>
      </w:r>
    </w:p>
    <w:p w14:paraId="4D083295" w14:textId="77777777" w:rsidR="00AE57F0" w:rsidRPr="00305D32" w:rsidRDefault="00414F7C">
      <w:pPr>
        <w:pStyle w:val="Ttulo3"/>
        <w:numPr>
          <w:ilvl w:val="2"/>
          <w:numId w:val="5"/>
        </w:numPr>
        <w:rPr>
          <w:lang w:val="es-MX"/>
        </w:rPr>
      </w:pPr>
      <w:bookmarkStart w:id="45" w:name="_heading=h.2250f4o" w:colFirst="0" w:colLast="0"/>
      <w:bookmarkEnd w:id="45"/>
      <w:r w:rsidRPr="00305D32">
        <w:rPr>
          <w:lang w:val="es-MX"/>
        </w:rPr>
        <w:t>Ingreso</w:t>
      </w:r>
    </w:p>
    <w:p w14:paraId="4D083296" w14:textId="47D07BBF" w:rsidR="00AE57F0" w:rsidRPr="00305D32" w:rsidRDefault="00764FA3">
      <w:pPr>
        <w:rPr>
          <w:lang w:val="es-MX"/>
        </w:rPr>
      </w:pPr>
      <w:r w:rsidRPr="00305D32">
        <w:rPr>
          <w:lang w:val="es-MX"/>
        </w:rPr>
        <w:t xml:space="preserve">Los ingresos públicos ordinarios a nivel federal se concentran principalmente en dos categorías: los ingresos petroleros y los ingresos no petroleros. Los ingresos petroleros se determinan a partir de los excedentes generados por la venta de crudo, sus derivados y el consumo interno, e incluyen </w:t>
      </w:r>
      <w:r w:rsidRPr="00A23200">
        <w:rPr>
          <w:lang w:val="es-MX"/>
        </w:rPr>
        <w:t>los impuestos y derechos asociados a la actividad petrolera. En contraste, los ingresos no petroleros comprenden</w:t>
      </w:r>
      <w:r w:rsidRPr="00305D32">
        <w:rPr>
          <w:lang w:val="es-MX"/>
        </w:rPr>
        <w:t xml:space="preserve"> impuestos, derechos, productos, aprovechamientos y contribuciones de mejoras que no están vinculados a la fuente petrolera, así como los ingresos propios de organismos y empresas distintas a P</w:t>
      </w:r>
      <w:r w:rsidR="004D2C1C" w:rsidRPr="00305D32">
        <w:rPr>
          <w:lang w:val="es-MX"/>
        </w:rPr>
        <w:t>emex</w:t>
      </w:r>
      <w:r w:rsidR="0050301E">
        <w:rPr>
          <w:lang w:val="es-MX"/>
        </w:rPr>
        <w:t>.</w:t>
      </w:r>
    </w:p>
    <w:p w14:paraId="41F8CD91" w14:textId="61E0A53A" w:rsidR="00C716BD" w:rsidRDefault="00C716BD" w:rsidP="00C716BD">
      <w:pPr>
        <w:rPr>
          <w:lang w:val="es-MX"/>
        </w:rPr>
      </w:pPr>
      <w:bookmarkStart w:id="46" w:name="_heading=h.haapch" w:colFirst="0" w:colLast="0"/>
      <w:bookmarkEnd w:id="46"/>
      <w:r w:rsidRPr="00305D32">
        <w:rPr>
          <w:lang w:val="es-MX"/>
        </w:rPr>
        <w:t xml:space="preserve">En la </w:t>
      </w:r>
      <w:r w:rsidR="003F123C" w:rsidRPr="00305D32">
        <w:rPr>
          <w:lang w:val="es-MX"/>
        </w:rPr>
        <w:fldChar w:fldCharType="begin"/>
      </w:r>
      <w:r w:rsidR="003F123C" w:rsidRPr="00305D32">
        <w:rPr>
          <w:lang w:val="es-MX"/>
        </w:rPr>
        <w:instrText xml:space="preserve"> REF _Ref210213706 \h </w:instrText>
      </w:r>
      <w:r w:rsidR="003F123C" w:rsidRPr="00305D32">
        <w:rPr>
          <w:lang w:val="es-MX"/>
        </w:rPr>
      </w:r>
      <w:r w:rsidR="003F123C" w:rsidRPr="00305D32">
        <w:rPr>
          <w:lang w:val="es-MX"/>
        </w:rPr>
        <w:fldChar w:fldCharType="separate"/>
      </w:r>
      <w:r w:rsidR="00ED1F2F" w:rsidRPr="00305D32">
        <w:rPr>
          <w:lang w:val="es-MX"/>
        </w:rPr>
        <w:t xml:space="preserve">Figura </w:t>
      </w:r>
      <w:r w:rsidR="00ED1F2F">
        <w:rPr>
          <w:noProof/>
          <w:lang w:val="es-MX"/>
        </w:rPr>
        <w:t>17</w:t>
      </w:r>
      <w:r w:rsidR="003F123C" w:rsidRPr="00305D32">
        <w:rPr>
          <w:lang w:val="es-MX"/>
        </w:rPr>
        <w:fldChar w:fldCharType="end"/>
      </w:r>
      <w:r w:rsidRPr="00305D32">
        <w:rPr>
          <w:lang w:val="es-MX"/>
        </w:rPr>
        <w:t xml:space="preserve"> se presentan los ingresos presupuestarios del sector público </w:t>
      </w:r>
      <w:r w:rsidR="000C2ABE">
        <w:rPr>
          <w:lang w:val="es-MX"/>
        </w:rPr>
        <w:t>f</w:t>
      </w:r>
      <w:r w:rsidRPr="00305D32">
        <w:rPr>
          <w:lang w:val="es-MX"/>
        </w:rPr>
        <w:t>ederal, para el periodo 2021-2025. En 2024 el monto de los ingresos petroleros representó el 12.8</w:t>
      </w:r>
      <w:r w:rsidR="0019290E">
        <w:rPr>
          <w:lang w:val="es-MX"/>
        </w:rPr>
        <w:t xml:space="preserve"> %</w:t>
      </w:r>
      <w:r w:rsidRPr="00305D32">
        <w:rPr>
          <w:lang w:val="es-MX"/>
        </w:rPr>
        <w:t xml:space="preserve"> del ingreso ordinario y al mes de julio de 2025 los ingresos petroleros representan el 11</w:t>
      </w:r>
      <w:r w:rsidR="0019290E">
        <w:rPr>
          <w:lang w:val="es-MX"/>
        </w:rPr>
        <w:t xml:space="preserve"> %</w:t>
      </w:r>
      <w:r w:rsidRPr="00305D32">
        <w:rPr>
          <w:lang w:val="es-MX"/>
        </w:rPr>
        <w:t xml:space="preserve"> de los ingresos totales. Los ingresos no petroleros representaron el 87.2</w:t>
      </w:r>
      <w:r w:rsidR="0019290E">
        <w:rPr>
          <w:lang w:val="es-MX"/>
        </w:rPr>
        <w:t xml:space="preserve"> %</w:t>
      </w:r>
      <w:r w:rsidRPr="00305D32">
        <w:rPr>
          <w:lang w:val="es-MX"/>
        </w:rPr>
        <w:t xml:space="preserve"> en 2024 y hasta julio de 2025 representan el 89</w:t>
      </w:r>
      <w:r w:rsidR="0019290E">
        <w:rPr>
          <w:lang w:val="es-MX"/>
        </w:rPr>
        <w:t xml:space="preserve"> %</w:t>
      </w:r>
      <w:r w:rsidRPr="00305D32">
        <w:rPr>
          <w:lang w:val="es-MX"/>
        </w:rPr>
        <w:t xml:space="preserve"> de los ingresos.</w:t>
      </w:r>
    </w:p>
    <w:p w14:paraId="0BC27AD9" w14:textId="7955D840" w:rsidR="003E041D" w:rsidRPr="00305D32" w:rsidRDefault="003E041D" w:rsidP="00C716BD">
      <w:pPr>
        <w:rPr>
          <w:lang w:val="es-MX"/>
        </w:rPr>
      </w:pPr>
      <w:r>
        <w:t>La dinámica reciente muestra una creciente dependencia de los ingresos no petroleros como fuente central de financiamiento del gasto público. Esta tendencia responde a la volatilidad de los precios internacionales del crudo, la disminución estructural en la plataforma de producción de Pemex y el fortalecimiento de la recaudación tributaria a través de medidas de fiscalización y eficiencia administrativa. Si bien esta transición contribuye a mejorar la estabilidad de las finanzas públicas, también exige mantener políticas sostenidas de ampliación de la base tributaria y eficiencia recaudatoria para evitar presiones en el mediano plazo.</w:t>
      </w:r>
    </w:p>
    <w:p w14:paraId="15C85886" w14:textId="7F09F9C2" w:rsidR="00C716BD" w:rsidRPr="00305D32" w:rsidRDefault="0081335C">
      <w:pPr>
        <w:rPr>
          <w:lang w:val="es-MX"/>
        </w:rPr>
      </w:pPr>
      <w:r w:rsidRPr="00305D32">
        <w:rPr>
          <w:lang w:val="es-MX"/>
        </w:rPr>
        <w:lastRenderedPageBreak/>
        <w:t xml:space="preserve">Los ingresos presupuestarios en 2025 ascienden a 4 billones 765 mil 70 millones de pesos hasta julio, de los 8 billones 55 mil 649 millones de pesos presupuestados para el ejercicio fiscal 2025 en la Ley de Ingresos </w:t>
      </w:r>
      <w:r w:rsidR="00957845">
        <w:rPr>
          <w:lang w:val="es-MX"/>
        </w:rPr>
        <w:t xml:space="preserve">de la Federación </w:t>
      </w:r>
      <w:r w:rsidRPr="00305D32">
        <w:rPr>
          <w:lang w:val="es-MX"/>
        </w:rPr>
        <w:t>2025 (sin incluir ingresos derivados del financiamiento).</w:t>
      </w:r>
    </w:p>
    <w:p w14:paraId="4D083299" w14:textId="4A5699D4" w:rsidR="00AE57F0" w:rsidRPr="00305D32" w:rsidRDefault="00BA1291" w:rsidP="00BA1291">
      <w:pPr>
        <w:pStyle w:val="Descripcin"/>
        <w:jc w:val="center"/>
        <w:rPr>
          <w:color w:val="000000"/>
          <w:lang w:val="es-MX"/>
        </w:rPr>
      </w:pPr>
      <w:bookmarkStart w:id="47" w:name="_Ref210213706"/>
      <w:r w:rsidRPr="00305D32">
        <w:rPr>
          <w:lang w:val="es-MX"/>
        </w:rPr>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17</w:t>
      </w:r>
      <w:r w:rsidRPr="00305D32">
        <w:rPr>
          <w:lang w:val="es-MX"/>
        </w:rPr>
        <w:fldChar w:fldCharType="end"/>
      </w:r>
      <w:bookmarkEnd w:id="47"/>
      <w:r w:rsidR="00414F7C" w:rsidRPr="00305D32">
        <w:rPr>
          <w:color w:val="000000"/>
          <w:lang w:val="es-MX"/>
        </w:rPr>
        <w:t>. Ingresos presupuestarios del sector público Federal en México, 202</w:t>
      </w:r>
      <w:r w:rsidR="00AD3232" w:rsidRPr="00305D32">
        <w:rPr>
          <w:color w:val="000000"/>
          <w:lang w:val="es-MX"/>
        </w:rPr>
        <w:t>1</w:t>
      </w:r>
      <w:r w:rsidR="00414F7C" w:rsidRPr="00305D32">
        <w:rPr>
          <w:color w:val="000000"/>
          <w:lang w:val="es-MX"/>
        </w:rPr>
        <w:t>-202</w:t>
      </w:r>
      <w:r w:rsidR="00AD3232" w:rsidRPr="00305D32">
        <w:rPr>
          <w:color w:val="000000"/>
          <w:lang w:val="es-MX"/>
        </w:rPr>
        <w:t>5</w:t>
      </w:r>
      <w:r w:rsidR="00414F7C" w:rsidRPr="00305D32">
        <w:rPr>
          <w:color w:val="000000"/>
          <w:lang w:val="es-MX"/>
        </w:rPr>
        <w:t>*</w:t>
      </w:r>
    </w:p>
    <w:p w14:paraId="11D67F46" w14:textId="6ABFC016" w:rsidR="00EE6230" w:rsidRPr="00305D32" w:rsidRDefault="00EE6230" w:rsidP="00F95598">
      <w:pPr>
        <w:keepNext/>
        <w:pBdr>
          <w:top w:val="nil"/>
          <w:left w:val="nil"/>
          <w:bottom w:val="nil"/>
          <w:right w:val="nil"/>
          <w:between w:val="nil"/>
        </w:pBdr>
        <w:spacing w:after="0"/>
        <w:jc w:val="center"/>
        <w:rPr>
          <w:b/>
          <w:color w:val="000000"/>
          <w:lang w:val="es-MX"/>
        </w:rPr>
      </w:pPr>
      <w:r w:rsidRPr="00305D32">
        <w:rPr>
          <w:noProof/>
          <w:lang w:val="es-MX" w:eastAsia="es-MX"/>
        </w:rPr>
        <w:drawing>
          <wp:inline distT="0" distB="0" distL="0" distR="0" wp14:anchorId="5938F99C" wp14:editId="0BCEBDFF">
            <wp:extent cx="5732060" cy="2947916"/>
            <wp:effectExtent l="0" t="0" r="2540" b="5080"/>
            <wp:docPr id="1151204718" name="Gráfico 1">
              <a:extLst xmlns:a="http://schemas.openxmlformats.org/drawingml/2006/main">
                <a:ext uri="{FF2B5EF4-FFF2-40B4-BE49-F238E27FC236}">
                  <a16:creationId xmlns:a16="http://schemas.microsoft.com/office/drawing/2014/main" id="{C289B005-90B1-45D6-A373-A688B87709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08329A" w14:textId="1D31C9B7" w:rsidR="00AE57F0" w:rsidRPr="00305D32" w:rsidRDefault="00414F7C" w:rsidP="00A231C2">
      <w:pPr>
        <w:spacing w:line="240" w:lineRule="auto"/>
        <w:jc w:val="center"/>
        <w:rPr>
          <w:sz w:val="20"/>
          <w:szCs w:val="20"/>
          <w:lang w:val="es-MX"/>
        </w:rPr>
      </w:pPr>
      <w:r w:rsidRPr="00305D32">
        <w:rPr>
          <w:sz w:val="20"/>
          <w:szCs w:val="20"/>
          <w:lang w:val="es-MX"/>
        </w:rPr>
        <w:t xml:space="preserve"> Fuente: Elaboración de la Subsecretaría de Análisis Económico y Finanzas Públicas de la Secretaría de Finanzas y Planeación, con datos de la Secretaría de Hacienda y Crédito Público (202</w:t>
      </w:r>
      <w:r w:rsidR="00A231C2" w:rsidRPr="00305D32">
        <w:rPr>
          <w:sz w:val="20"/>
          <w:szCs w:val="20"/>
          <w:lang w:val="es-MX"/>
        </w:rPr>
        <w:t>5</w:t>
      </w:r>
      <w:r w:rsidRPr="00305D32">
        <w:rPr>
          <w:sz w:val="20"/>
          <w:szCs w:val="20"/>
          <w:lang w:val="es-MX"/>
        </w:rPr>
        <w:t>). Notas: *Los datos de 202</w:t>
      </w:r>
      <w:r w:rsidR="00AD3232" w:rsidRPr="00305D32">
        <w:rPr>
          <w:sz w:val="20"/>
          <w:szCs w:val="20"/>
          <w:lang w:val="es-MX"/>
        </w:rPr>
        <w:t>5</w:t>
      </w:r>
      <w:r w:rsidRPr="00305D32">
        <w:rPr>
          <w:sz w:val="20"/>
          <w:szCs w:val="20"/>
          <w:lang w:val="es-MX"/>
        </w:rPr>
        <w:t xml:space="preserve"> son con corte al mes de julio.</w:t>
      </w:r>
    </w:p>
    <w:p w14:paraId="228EBA3F" w14:textId="20DEDBD9" w:rsidR="0081335C" w:rsidRPr="00305D32" w:rsidRDefault="0081335C" w:rsidP="0081335C">
      <w:pPr>
        <w:rPr>
          <w:lang w:val="es-MX"/>
        </w:rPr>
      </w:pPr>
      <w:r w:rsidRPr="00305D32">
        <w:rPr>
          <w:lang w:val="es-MX"/>
        </w:rPr>
        <w:t>Los ingresos no petroleros se integran, a su vez, por los ingresos tributarios, que incluyen impuestos directos e indirectos, y los ingresos no tributarios, conformados por derechos, productos y aprovechamientos. Entre estos, los impuestos constituyen la principal fuente de recursos para la Federación. En la</w:t>
      </w:r>
      <w:r w:rsidR="00AF5530" w:rsidRPr="00305D32">
        <w:rPr>
          <w:lang w:val="es-MX"/>
        </w:rPr>
        <w:t xml:space="preserve"> </w:t>
      </w:r>
      <w:r w:rsidR="00AF5530" w:rsidRPr="00305D32">
        <w:rPr>
          <w:lang w:val="es-MX"/>
        </w:rPr>
        <w:fldChar w:fldCharType="begin"/>
      </w:r>
      <w:r w:rsidR="00AF5530" w:rsidRPr="00305D32">
        <w:rPr>
          <w:lang w:val="es-MX"/>
        </w:rPr>
        <w:instrText xml:space="preserve"> REF _Ref210213749 \h </w:instrText>
      </w:r>
      <w:r w:rsidR="00AF5530" w:rsidRPr="00305D32">
        <w:rPr>
          <w:lang w:val="es-MX"/>
        </w:rPr>
      </w:r>
      <w:r w:rsidR="00AF5530" w:rsidRPr="00305D32">
        <w:rPr>
          <w:lang w:val="es-MX"/>
        </w:rPr>
        <w:fldChar w:fldCharType="separate"/>
      </w:r>
      <w:r w:rsidR="00ED1F2F" w:rsidRPr="00305D32">
        <w:rPr>
          <w:lang w:val="es-MX"/>
        </w:rPr>
        <w:t xml:space="preserve">Figura </w:t>
      </w:r>
      <w:r w:rsidR="00ED1F2F">
        <w:rPr>
          <w:noProof/>
          <w:lang w:val="es-MX"/>
        </w:rPr>
        <w:t>18</w:t>
      </w:r>
      <w:r w:rsidR="00AF5530" w:rsidRPr="00305D32">
        <w:rPr>
          <w:lang w:val="es-MX"/>
        </w:rPr>
        <w:fldChar w:fldCharType="end"/>
      </w:r>
      <w:r w:rsidRPr="00305D32">
        <w:rPr>
          <w:lang w:val="es-MX"/>
        </w:rPr>
        <w:t xml:space="preserve"> se muestra la recaudación de los impuestos federales, destacando que el Impuesto </w:t>
      </w:r>
      <w:r w:rsidR="00D04F77">
        <w:rPr>
          <w:lang w:val="es-MX"/>
        </w:rPr>
        <w:t>s</w:t>
      </w:r>
      <w:r w:rsidRPr="00305D32">
        <w:rPr>
          <w:lang w:val="es-MX"/>
        </w:rPr>
        <w:t xml:space="preserve">obre la Renta (ISR) es el que más contribuye a los ingresos, seguido </w:t>
      </w:r>
      <w:r w:rsidR="00D04F77">
        <w:rPr>
          <w:lang w:val="es-MX"/>
        </w:rPr>
        <w:t>d</w:t>
      </w:r>
      <w:r w:rsidRPr="00305D32">
        <w:rPr>
          <w:lang w:val="es-MX"/>
        </w:rPr>
        <w:t>el Impuesto al Valor Agregado (IVA).</w:t>
      </w:r>
    </w:p>
    <w:p w14:paraId="6BA48BA9" w14:textId="53BED0F6" w:rsidR="0081335C" w:rsidRPr="00305D32" w:rsidRDefault="00027EBE" w:rsidP="00027EBE">
      <w:pPr>
        <w:rPr>
          <w:lang w:val="es-MX"/>
        </w:rPr>
      </w:pPr>
      <w:bookmarkStart w:id="48" w:name="_heading=h.319y80a" w:colFirst="0" w:colLast="0"/>
      <w:bookmarkEnd w:id="48"/>
      <w:r w:rsidRPr="00305D32">
        <w:rPr>
          <w:lang w:val="es-MX"/>
        </w:rPr>
        <w:lastRenderedPageBreak/>
        <w:t>En 2024, los ingresos tributarios ascendieron a 4 billones 953 mil 324 millones de pesos, de los cuales, el 54.2</w:t>
      </w:r>
      <w:r w:rsidR="0019290E">
        <w:rPr>
          <w:lang w:val="es-MX"/>
        </w:rPr>
        <w:t xml:space="preserve"> %</w:t>
      </w:r>
      <w:r w:rsidRPr="00305D32">
        <w:rPr>
          <w:lang w:val="es-MX"/>
        </w:rPr>
        <w:t xml:space="preserve"> fue de</w:t>
      </w:r>
      <w:r w:rsidR="002052F5">
        <w:rPr>
          <w:lang w:val="es-MX"/>
        </w:rPr>
        <w:t>l</w:t>
      </w:r>
      <w:r w:rsidRPr="00305D32">
        <w:rPr>
          <w:lang w:val="es-MX"/>
        </w:rPr>
        <w:t xml:space="preserve"> ISR, el 28.4</w:t>
      </w:r>
      <w:r w:rsidR="0019290E">
        <w:rPr>
          <w:lang w:val="es-MX"/>
        </w:rPr>
        <w:t xml:space="preserve"> %</w:t>
      </w:r>
      <w:r w:rsidRPr="00305D32">
        <w:rPr>
          <w:lang w:val="es-MX"/>
        </w:rPr>
        <w:t xml:space="preserve"> de</w:t>
      </w:r>
      <w:r w:rsidR="002052F5">
        <w:rPr>
          <w:lang w:val="es-MX"/>
        </w:rPr>
        <w:t>l</w:t>
      </w:r>
      <w:r w:rsidRPr="00305D32">
        <w:rPr>
          <w:lang w:val="es-MX"/>
        </w:rPr>
        <w:t xml:space="preserve"> IVA y el 12.7</w:t>
      </w:r>
      <w:r w:rsidR="0019290E">
        <w:rPr>
          <w:lang w:val="es-MX"/>
        </w:rPr>
        <w:t xml:space="preserve"> %</w:t>
      </w:r>
      <w:r w:rsidRPr="00305D32">
        <w:rPr>
          <w:lang w:val="es-MX"/>
        </w:rPr>
        <w:t xml:space="preserve"> de</w:t>
      </w:r>
      <w:r w:rsidR="002052F5">
        <w:rPr>
          <w:lang w:val="es-MX"/>
        </w:rPr>
        <w:t>l</w:t>
      </w:r>
      <w:r w:rsidRPr="00305D32">
        <w:rPr>
          <w:lang w:val="es-MX"/>
        </w:rPr>
        <w:t xml:space="preserve"> IEPS. Hasta el mes de julio de 2025 se han recaudado 3 billones 278 mil 843 millones de pesos, 55.5</w:t>
      </w:r>
      <w:r w:rsidR="0019290E">
        <w:rPr>
          <w:lang w:val="es-MX"/>
        </w:rPr>
        <w:t xml:space="preserve"> %</w:t>
      </w:r>
      <w:r w:rsidRPr="00305D32">
        <w:rPr>
          <w:lang w:val="es-MX"/>
        </w:rPr>
        <w:t xml:space="preserve"> de parte del ISR, 27.8</w:t>
      </w:r>
      <w:r w:rsidR="0019290E">
        <w:rPr>
          <w:lang w:val="es-MX"/>
        </w:rPr>
        <w:t xml:space="preserve"> %</w:t>
      </w:r>
      <w:r w:rsidRPr="00305D32">
        <w:rPr>
          <w:lang w:val="es-MX"/>
        </w:rPr>
        <w:t xml:space="preserve"> de parte del IVA y 11.6</w:t>
      </w:r>
      <w:r w:rsidR="0019290E">
        <w:rPr>
          <w:lang w:val="es-MX"/>
        </w:rPr>
        <w:t xml:space="preserve"> %</w:t>
      </w:r>
      <w:r w:rsidRPr="00305D32">
        <w:rPr>
          <w:lang w:val="es-MX"/>
        </w:rPr>
        <w:t xml:space="preserve"> de</w:t>
      </w:r>
      <w:r w:rsidR="00F617FB">
        <w:rPr>
          <w:lang w:val="es-MX"/>
        </w:rPr>
        <w:t>l</w:t>
      </w:r>
      <w:r w:rsidRPr="00305D32">
        <w:rPr>
          <w:lang w:val="es-MX"/>
        </w:rPr>
        <w:t xml:space="preserve"> IEPS, de los 5 billones 297 mil 813 millones de pesos estimados en la Ley de Ingresos</w:t>
      </w:r>
      <w:r w:rsidR="00E57352">
        <w:rPr>
          <w:lang w:val="es-MX"/>
        </w:rPr>
        <w:t xml:space="preserve"> de la Federación 2025</w:t>
      </w:r>
      <w:r w:rsidRPr="00305D32">
        <w:rPr>
          <w:lang w:val="es-MX"/>
        </w:rPr>
        <w:t>.</w:t>
      </w:r>
    </w:p>
    <w:p w14:paraId="4D08329D" w14:textId="49138339" w:rsidR="00AE57F0" w:rsidRPr="00305D32" w:rsidRDefault="00F804C3" w:rsidP="00F804C3">
      <w:pPr>
        <w:pStyle w:val="Descripcin"/>
        <w:jc w:val="center"/>
        <w:rPr>
          <w:color w:val="000000"/>
          <w:lang w:val="es-MX"/>
        </w:rPr>
      </w:pPr>
      <w:bookmarkStart w:id="49" w:name="_Ref210213749"/>
      <w:r w:rsidRPr="00305D32">
        <w:rPr>
          <w:lang w:val="es-MX"/>
        </w:rPr>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18</w:t>
      </w:r>
      <w:r w:rsidRPr="00305D32">
        <w:rPr>
          <w:lang w:val="es-MX"/>
        </w:rPr>
        <w:fldChar w:fldCharType="end"/>
      </w:r>
      <w:bookmarkEnd w:id="49"/>
      <w:r w:rsidR="00414F7C" w:rsidRPr="00305D32">
        <w:rPr>
          <w:color w:val="000000"/>
          <w:lang w:val="es-MX"/>
        </w:rPr>
        <w:t>. Ingresos tributarios del sector público Federal en México, 202</w:t>
      </w:r>
      <w:r w:rsidR="00A231C2" w:rsidRPr="00305D32">
        <w:rPr>
          <w:color w:val="000000"/>
          <w:lang w:val="es-MX"/>
        </w:rPr>
        <w:t>1</w:t>
      </w:r>
      <w:r w:rsidR="00414F7C" w:rsidRPr="00305D32">
        <w:rPr>
          <w:color w:val="000000"/>
          <w:lang w:val="es-MX"/>
        </w:rPr>
        <w:t>-202</w:t>
      </w:r>
      <w:r w:rsidR="00A231C2" w:rsidRPr="00305D32">
        <w:rPr>
          <w:color w:val="000000"/>
          <w:lang w:val="es-MX"/>
        </w:rPr>
        <w:t>5</w:t>
      </w:r>
      <w:r w:rsidR="00414F7C" w:rsidRPr="00305D32">
        <w:rPr>
          <w:color w:val="000000"/>
          <w:lang w:val="es-MX"/>
        </w:rPr>
        <w:t>*</w:t>
      </w:r>
    </w:p>
    <w:p w14:paraId="11472499" w14:textId="054D76BE" w:rsidR="00654CBA" w:rsidRPr="00305D32" w:rsidRDefault="00654CBA" w:rsidP="006673C1">
      <w:pPr>
        <w:keepNext/>
        <w:pBdr>
          <w:top w:val="nil"/>
          <w:left w:val="nil"/>
          <w:bottom w:val="nil"/>
          <w:right w:val="nil"/>
          <w:between w:val="nil"/>
        </w:pBdr>
        <w:spacing w:after="0"/>
        <w:jc w:val="center"/>
        <w:rPr>
          <w:b/>
          <w:color w:val="000000"/>
          <w:lang w:val="es-MX"/>
        </w:rPr>
      </w:pPr>
      <w:r w:rsidRPr="00305D32">
        <w:rPr>
          <w:noProof/>
          <w:lang w:val="es-MX" w:eastAsia="es-MX"/>
        </w:rPr>
        <w:drawing>
          <wp:inline distT="0" distB="0" distL="0" distR="0" wp14:anchorId="07D10EC6" wp14:editId="194682ED">
            <wp:extent cx="5961413" cy="3348842"/>
            <wp:effectExtent l="0" t="0" r="1270" b="4445"/>
            <wp:docPr id="1181472107" name="Gráfico 1">
              <a:extLst xmlns:a="http://schemas.openxmlformats.org/drawingml/2006/main">
                <a:ext uri="{FF2B5EF4-FFF2-40B4-BE49-F238E27FC236}">
                  <a16:creationId xmlns:a16="http://schemas.microsoft.com/office/drawing/2014/main" id="{10D66EDB-BFE0-4F66-952F-7FA6E05FCB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D08329F" w14:textId="7B353F9D" w:rsidR="00AE57F0" w:rsidRPr="00305D32" w:rsidRDefault="00414F7C" w:rsidP="00387B58">
      <w:pPr>
        <w:spacing w:line="240" w:lineRule="auto"/>
        <w:jc w:val="center"/>
        <w:rPr>
          <w:sz w:val="20"/>
          <w:szCs w:val="20"/>
          <w:lang w:val="es-MX"/>
        </w:rPr>
      </w:pPr>
      <w:r w:rsidRPr="00305D32">
        <w:rPr>
          <w:lang w:val="es-MX"/>
        </w:rPr>
        <w:t xml:space="preserve"> </w:t>
      </w:r>
      <w:r w:rsidRPr="00305D32">
        <w:rPr>
          <w:sz w:val="20"/>
          <w:szCs w:val="20"/>
          <w:lang w:val="es-MX"/>
        </w:rPr>
        <w:t>Fuente: Elaboración de la Subsecretaría de Análisis Económico y Finanzas Públicas de la Secretaría de Finanzas y Planeación, con datos de la Secretaría de Hacienda y Crédito Público (202</w:t>
      </w:r>
      <w:r w:rsidR="00A231C2" w:rsidRPr="00305D32">
        <w:rPr>
          <w:sz w:val="20"/>
          <w:szCs w:val="20"/>
          <w:lang w:val="es-MX"/>
        </w:rPr>
        <w:t>5</w:t>
      </w:r>
      <w:r w:rsidRPr="00305D32">
        <w:rPr>
          <w:sz w:val="20"/>
          <w:szCs w:val="20"/>
          <w:lang w:val="es-MX"/>
        </w:rPr>
        <w:t>). Notas: *Los datos de 202</w:t>
      </w:r>
      <w:r w:rsidR="00A231C2" w:rsidRPr="00305D32">
        <w:rPr>
          <w:sz w:val="20"/>
          <w:szCs w:val="20"/>
          <w:lang w:val="es-MX"/>
        </w:rPr>
        <w:t>5</w:t>
      </w:r>
      <w:r w:rsidRPr="00305D32">
        <w:rPr>
          <w:sz w:val="20"/>
          <w:szCs w:val="20"/>
          <w:lang w:val="es-MX"/>
        </w:rPr>
        <w:t xml:space="preserve"> son con corte al mes de julio.</w:t>
      </w:r>
    </w:p>
    <w:p w14:paraId="4D0832A0" w14:textId="77777777" w:rsidR="00AE57F0" w:rsidRPr="00305D32" w:rsidRDefault="00414F7C">
      <w:pPr>
        <w:pStyle w:val="Ttulo3"/>
        <w:numPr>
          <w:ilvl w:val="2"/>
          <w:numId w:val="5"/>
        </w:numPr>
        <w:rPr>
          <w:lang w:val="es-MX"/>
        </w:rPr>
      </w:pPr>
      <w:r w:rsidRPr="00305D32">
        <w:rPr>
          <w:lang w:val="es-MX"/>
        </w:rPr>
        <w:t>Gasto</w:t>
      </w:r>
    </w:p>
    <w:p w14:paraId="4D0832A1" w14:textId="22129745" w:rsidR="00AE57F0" w:rsidRPr="00305D32" w:rsidRDefault="0030140E">
      <w:pPr>
        <w:rPr>
          <w:lang w:val="es-MX"/>
        </w:rPr>
      </w:pPr>
      <w:r w:rsidRPr="00305D32">
        <w:rPr>
          <w:lang w:val="es-MX"/>
        </w:rPr>
        <w:t xml:space="preserve">Los gastos del sector público se clasifican principalmente en gasto programable y gasto no programable. El gasto programable corresponde a los recursos destinados a la operación de las instituciones gubernamentales para la prestación de servicios </w:t>
      </w:r>
      <w:r w:rsidRPr="00305D32">
        <w:rPr>
          <w:lang w:val="es-MX"/>
        </w:rPr>
        <w:lastRenderedPageBreak/>
        <w:t>públicos a la población</w:t>
      </w:r>
      <w:r w:rsidR="00E57352">
        <w:rPr>
          <w:lang w:val="es-MX"/>
        </w:rPr>
        <w:t>,</w:t>
      </w:r>
      <w:r w:rsidRPr="00305D32">
        <w:rPr>
          <w:lang w:val="es-MX"/>
        </w:rPr>
        <w:t xml:space="preserve"> y se subdivide en gasto corriente</w:t>
      </w:r>
      <w:r w:rsidR="002A318E">
        <w:rPr>
          <w:lang w:val="es-MX"/>
        </w:rPr>
        <w:t xml:space="preserve"> y gasto de inversión</w:t>
      </w:r>
      <w:r w:rsidRPr="00305D32">
        <w:rPr>
          <w:lang w:val="es-MX"/>
        </w:rPr>
        <w:t xml:space="preserve">. Por su parte, el gasto no programable comprende erogaciones que no están vinculadas directamente con la operación institucional, sino que se destinan a conceptos como el pago de </w:t>
      </w:r>
      <w:r w:rsidR="00733130">
        <w:rPr>
          <w:lang w:val="es-MX"/>
        </w:rPr>
        <w:t>obligaciones</w:t>
      </w:r>
      <w:r w:rsidRPr="00305D32">
        <w:rPr>
          <w:lang w:val="es-MX"/>
        </w:rPr>
        <w:t xml:space="preserve"> pendientes de ejercicios anteriores, intereses, comisiones y otros rubros relacionados con la deuda pública.</w:t>
      </w:r>
    </w:p>
    <w:p w14:paraId="4D0832A4" w14:textId="3BCC8243" w:rsidR="00AE57F0" w:rsidRPr="00305D32" w:rsidRDefault="00725895" w:rsidP="00725895">
      <w:pPr>
        <w:pStyle w:val="Descripcin"/>
        <w:jc w:val="center"/>
        <w:rPr>
          <w:color w:val="000000"/>
          <w:lang w:val="es-MX"/>
        </w:rPr>
      </w:pPr>
      <w:bookmarkStart w:id="50" w:name="_Ref210213850"/>
      <w:r w:rsidRPr="00305D32">
        <w:rPr>
          <w:lang w:val="es-MX"/>
        </w:rPr>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19</w:t>
      </w:r>
      <w:r w:rsidRPr="00305D32">
        <w:rPr>
          <w:lang w:val="es-MX"/>
        </w:rPr>
        <w:fldChar w:fldCharType="end"/>
      </w:r>
      <w:bookmarkEnd w:id="50"/>
      <w:r w:rsidR="00414F7C" w:rsidRPr="00305D32">
        <w:rPr>
          <w:color w:val="000000"/>
          <w:lang w:val="es-MX"/>
        </w:rPr>
        <w:t>. Gasto del sector público Federal en México, 202</w:t>
      </w:r>
      <w:r w:rsidR="00552D2D" w:rsidRPr="00305D32">
        <w:rPr>
          <w:color w:val="000000"/>
          <w:lang w:val="es-MX"/>
        </w:rPr>
        <w:t>1</w:t>
      </w:r>
      <w:r w:rsidR="00414F7C" w:rsidRPr="00305D32">
        <w:rPr>
          <w:color w:val="000000"/>
          <w:lang w:val="es-MX"/>
        </w:rPr>
        <w:t>-202</w:t>
      </w:r>
      <w:r w:rsidR="00552D2D" w:rsidRPr="00305D32">
        <w:rPr>
          <w:color w:val="000000"/>
          <w:lang w:val="es-MX"/>
        </w:rPr>
        <w:t>5</w:t>
      </w:r>
      <w:r w:rsidR="00414F7C" w:rsidRPr="00305D32">
        <w:rPr>
          <w:color w:val="000000"/>
          <w:lang w:val="es-MX"/>
        </w:rPr>
        <w:t>*</w:t>
      </w:r>
    </w:p>
    <w:p w14:paraId="374E1B41" w14:textId="77777777" w:rsidR="00B5706B" w:rsidRDefault="00E70FBD" w:rsidP="00B5706B">
      <w:pPr>
        <w:spacing w:after="0"/>
        <w:jc w:val="center"/>
        <w:rPr>
          <w:sz w:val="20"/>
          <w:szCs w:val="20"/>
          <w:lang w:val="es-MX"/>
        </w:rPr>
      </w:pPr>
      <w:r w:rsidRPr="00305D32">
        <w:rPr>
          <w:noProof/>
          <w:lang w:val="es-MX" w:eastAsia="es-MX"/>
        </w:rPr>
        <w:drawing>
          <wp:inline distT="0" distB="0" distL="0" distR="0" wp14:anchorId="7206293F" wp14:editId="7C2709A4">
            <wp:extent cx="5712032" cy="2553194"/>
            <wp:effectExtent l="0" t="0" r="3175" b="0"/>
            <wp:docPr id="909136951" name="Gráfico 1">
              <a:extLst xmlns:a="http://schemas.openxmlformats.org/drawingml/2006/main">
                <a:ext uri="{FF2B5EF4-FFF2-40B4-BE49-F238E27FC236}">
                  <a16:creationId xmlns:a16="http://schemas.microsoft.com/office/drawing/2014/main" id="{AA2493C2-BE78-4E4E-827A-9A82E46E1D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0832A5" w14:textId="30C95852" w:rsidR="00AE57F0" w:rsidRPr="00305D32" w:rsidRDefault="00414F7C" w:rsidP="00B5706B">
      <w:pPr>
        <w:spacing w:line="240"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datos de la Secretaría de Hacienda y Crédito Público (202</w:t>
      </w:r>
      <w:r w:rsidR="00552D2D" w:rsidRPr="00305D32">
        <w:rPr>
          <w:sz w:val="20"/>
          <w:szCs w:val="20"/>
          <w:lang w:val="es-MX"/>
        </w:rPr>
        <w:t>5</w:t>
      </w:r>
      <w:r w:rsidRPr="00305D32">
        <w:rPr>
          <w:sz w:val="20"/>
          <w:szCs w:val="20"/>
          <w:lang w:val="es-MX"/>
        </w:rPr>
        <w:t>). Notas: *Los datos de 202</w:t>
      </w:r>
      <w:r w:rsidR="00552D2D" w:rsidRPr="00305D32">
        <w:rPr>
          <w:sz w:val="20"/>
          <w:szCs w:val="20"/>
          <w:lang w:val="es-MX"/>
        </w:rPr>
        <w:t>5</w:t>
      </w:r>
      <w:r w:rsidRPr="00305D32">
        <w:rPr>
          <w:sz w:val="20"/>
          <w:szCs w:val="20"/>
          <w:lang w:val="es-MX"/>
        </w:rPr>
        <w:t xml:space="preserve"> son con corte al mes de julio.</w:t>
      </w:r>
    </w:p>
    <w:p w14:paraId="17BF6D48" w14:textId="6552FFEA" w:rsidR="00FA0F95" w:rsidRPr="00305D32" w:rsidRDefault="00A64ACB">
      <w:pPr>
        <w:rPr>
          <w:lang w:val="es-MX"/>
        </w:rPr>
      </w:pPr>
      <w:r w:rsidRPr="00305D32">
        <w:rPr>
          <w:lang w:val="es-MX"/>
        </w:rPr>
        <w:t xml:space="preserve">En la </w:t>
      </w:r>
      <w:r w:rsidR="00725895" w:rsidRPr="00305D32">
        <w:rPr>
          <w:lang w:val="es-MX"/>
        </w:rPr>
        <w:fldChar w:fldCharType="begin"/>
      </w:r>
      <w:r w:rsidR="00725895" w:rsidRPr="00305D32">
        <w:rPr>
          <w:lang w:val="es-MX"/>
        </w:rPr>
        <w:instrText xml:space="preserve"> REF _Ref210213850 \h </w:instrText>
      </w:r>
      <w:r w:rsidR="00725895" w:rsidRPr="00305D32">
        <w:rPr>
          <w:lang w:val="es-MX"/>
        </w:rPr>
      </w:r>
      <w:r w:rsidR="00725895" w:rsidRPr="00305D32">
        <w:rPr>
          <w:lang w:val="es-MX"/>
        </w:rPr>
        <w:fldChar w:fldCharType="separate"/>
      </w:r>
      <w:r w:rsidR="00ED1F2F" w:rsidRPr="00305D32">
        <w:rPr>
          <w:lang w:val="es-MX"/>
        </w:rPr>
        <w:t xml:space="preserve">Figura </w:t>
      </w:r>
      <w:r w:rsidR="00ED1F2F">
        <w:rPr>
          <w:noProof/>
          <w:lang w:val="es-MX"/>
        </w:rPr>
        <w:t>19</w:t>
      </w:r>
      <w:r w:rsidR="00725895" w:rsidRPr="00305D32">
        <w:rPr>
          <w:lang w:val="es-MX"/>
        </w:rPr>
        <w:fldChar w:fldCharType="end"/>
      </w:r>
      <w:r w:rsidRPr="00305D32">
        <w:rPr>
          <w:lang w:val="es-MX"/>
        </w:rPr>
        <w:t xml:space="preserve"> es posible observar cómo e</w:t>
      </w:r>
      <w:r w:rsidR="00FA0F95" w:rsidRPr="00305D32">
        <w:rPr>
          <w:lang w:val="es-MX"/>
        </w:rPr>
        <w:t>n 2024</w:t>
      </w:r>
      <w:r w:rsidR="00824B64">
        <w:rPr>
          <w:lang w:val="es-MX"/>
        </w:rPr>
        <w:t>,</w:t>
      </w:r>
      <w:r w:rsidR="00FA0F95" w:rsidRPr="00305D32">
        <w:rPr>
          <w:lang w:val="es-MX"/>
        </w:rPr>
        <w:t xml:space="preserve"> el gasto público ascendió a 9 billones 164 mil 185 millones de pesos, siendo el 73.4</w:t>
      </w:r>
      <w:r w:rsidR="0019290E">
        <w:rPr>
          <w:lang w:val="es-MX"/>
        </w:rPr>
        <w:t xml:space="preserve"> %</w:t>
      </w:r>
      <w:r w:rsidR="00FA0F95" w:rsidRPr="00305D32">
        <w:rPr>
          <w:lang w:val="es-MX"/>
        </w:rPr>
        <w:t xml:space="preserve"> </w:t>
      </w:r>
      <w:r w:rsidR="00716ACD">
        <w:rPr>
          <w:lang w:val="es-MX"/>
        </w:rPr>
        <w:t xml:space="preserve">de </w:t>
      </w:r>
      <w:r w:rsidR="00FA0F95" w:rsidRPr="00305D32">
        <w:rPr>
          <w:lang w:val="es-MX"/>
        </w:rPr>
        <w:t>gasto programable y el 26.6</w:t>
      </w:r>
      <w:r w:rsidR="0019290E">
        <w:rPr>
          <w:lang w:val="es-MX"/>
        </w:rPr>
        <w:t xml:space="preserve"> %</w:t>
      </w:r>
      <w:r w:rsidR="00EE4E2C">
        <w:rPr>
          <w:lang w:val="es-MX"/>
        </w:rPr>
        <w:t xml:space="preserve"> de</w:t>
      </w:r>
      <w:r w:rsidR="00FA0F95" w:rsidRPr="00305D32">
        <w:rPr>
          <w:lang w:val="es-MX"/>
        </w:rPr>
        <w:t xml:space="preserve"> gasto no programable</w:t>
      </w:r>
      <w:r w:rsidR="000C1F01" w:rsidRPr="00305D32">
        <w:rPr>
          <w:lang w:val="es-MX"/>
        </w:rPr>
        <w:t>, mientras que el</w:t>
      </w:r>
      <w:r w:rsidR="00FA0F95" w:rsidRPr="00305D32">
        <w:rPr>
          <w:lang w:val="es-MX"/>
        </w:rPr>
        <w:t xml:space="preserve"> gasto hasta julio de 2025 asciende a 5 billones 337 mil 991 millones de pesos, </w:t>
      </w:r>
      <w:r w:rsidR="003859F6" w:rsidRPr="00305D32">
        <w:rPr>
          <w:lang w:val="es-MX"/>
        </w:rPr>
        <w:t>d</w:t>
      </w:r>
      <w:r w:rsidR="00331962" w:rsidRPr="00305D32">
        <w:rPr>
          <w:lang w:val="es-MX"/>
        </w:rPr>
        <w:t>ó</w:t>
      </w:r>
      <w:r w:rsidR="003859F6" w:rsidRPr="00305D32">
        <w:rPr>
          <w:lang w:val="es-MX"/>
        </w:rPr>
        <w:t xml:space="preserve">nde </w:t>
      </w:r>
      <w:r w:rsidR="00FA0F95" w:rsidRPr="00305D32">
        <w:rPr>
          <w:lang w:val="es-MX"/>
        </w:rPr>
        <w:t>69</w:t>
      </w:r>
      <w:r w:rsidR="0019290E">
        <w:rPr>
          <w:lang w:val="es-MX"/>
        </w:rPr>
        <w:t xml:space="preserve"> %</w:t>
      </w:r>
      <w:r w:rsidR="00FA0F95" w:rsidRPr="00305D32">
        <w:rPr>
          <w:lang w:val="es-MX"/>
        </w:rPr>
        <w:t xml:space="preserve"> </w:t>
      </w:r>
      <w:r w:rsidR="004F0F1C" w:rsidRPr="00305D32">
        <w:rPr>
          <w:lang w:val="es-MX"/>
        </w:rPr>
        <w:t xml:space="preserve">es </w:t>
      </w:r>
      <w:r w:rsidR="00FA0F95" w:rsidRPr="00305D32">
        <w:rPr>
          <w:lang w:val="es-MX"/>
        </w:rPr>
        <w:t xml:space="preserve">gasto programable y </w:t>
      </w:r>
      <w:r w:rsidR="004F0F1C" w:rsidRPr="00305D32">
        <w:rPr>
          <w:lang w:val="es-MX"/>
        </w:rPr>
        <w:t xml:space="preserve">el </w:t>
      </w:r>
      <w:r w:rsidR="00FA0F95" w:rsidRPr="00305D32">
        <w:rPr>
          <w:lang w:val="es-MX"/>
        </w:rPr>
        <w:t>31</w:t>
      </w:r>
      <w:r w:rsidR="0019290E">
        <w:rPr>
          <w:lang w:val="es-MX"/>
        </w:rPr>
        <w:t xml:space="preserve"> %</w:t>
      </w:r>
      <w:r w:rsidR="00FA0F95" w:rsidRPr="00305D32">
        <w:rPr>
          <w:lang w:val="es-MX"/>
        </w:rPr>
        <w:t xml:space="preserve"> </w:t>
      </w:r>
      <w:r w:rsidR="004F0F1C" w:rsidRPr="00305D32">
        <w:rPr>
          <w:lang w:val="es-MX"/>
        </w:rPr>
        <w:t>es</w:t>
      </w:r>
      <w:r w:rsidR="00FA0F95" w:rsidRPr="00305D32">
        <w:rPr>
          <w:lang w:val="es-MX"/>
        </w:rPr>
        <w:t xml:space="preserve"> gasto no programable, de los 9 billones 302 mil 15 millones de pesos considerados en el Presupuesto de Egresos de la Federación 2025.</w:t>
      </w:r>
    </w:p>
    <w:p w14:paraId="007EA577" w14:textId="6B750484" w:rsidR="008F174F" w:rsidRPr="00305D32" w:rsidRDefault="008F174F">
      <w:pPr>
        <w:rPr>
          <w:lang w:val="es-MX"/>
        </w:rPr>
      </w:pPr>
      <w:r w:rsidRPr="00305D32">
        <w:rPr>
          <w:lang w:val="es-MX"/>
        </w:rPr>
        <w:t>El gasto programable del sector público federal se muestra en la</w:t>
      </w:r>
      <w:r w:rsidR="00E37817" w:rsidRPr="00305D32">
        <w:rPr>
          <w:lang w:val="es-MX"/>
        </w:rPr>
        <w:t xml:space="preserve"> </w:t>
      </w:r>
      <w:r w:rsidR="00E37817" w:rsidRPr="00305D32">
        <w:rPr>
          <w:lang w:val="es-MX"/>
        </w:rPr>
        <w:fldChar w:fldCharType="begin"/>
      </w:r>
      <w:r w:rsidR="00E37817" w:rsidRPr="00305D32">
        <w:rPr>
          <w:lang w:val="es-MX"/>
        </w:rPr>
        <w:instrText xml:space="preserve"> REF _Ref210213953 \h </w:instrText>
      </w:r>
      <w:r w:rsidR="00E37817" w:rsidRPr="00305D32">
        <w:rPr>
          <w:lang w:val="es-MX"/>
        </w:rPr>
      </w:r>
      <w:r w:rsidR="00E37817" w:rsidRPr="00305D32">
        <w:rPr>
          <w:lang w:val="es-MX"/>
        </w:rPr>
        <w:fldChar w:fldCharType="separate"/>
      </w:r>
      <w:r w:rsidR="00ED1F2F" w:rsidRPr="00305D32">
        <w:rPr>
          <w:lang w:val="es-MX"/>
        </w:rPr>
        <w:t xml:space="preserve">Figura </w:t>
      </w:r>
      <w:r w:rsidR="00ED1F2F">
        <w:rPr>
          <w:noProof/>
          <w:lang w:val="es-MX"/>
        </w:rPr>
        <w:t>20</w:t>
      </w:r>
      <w:r w:rsidR="00E37817" w:rsidRPr="00305D32">
        <w:rPr>
          <w:lang w:val="es-MX"/>
        </w:rPr>
        <w:fldChar w:fldCharType="end"/>
      </w:r>
      <w:r w:rsidRPr="00305D32">
        <w:rPr>
          <w:lang w:val="es-MX"/>
        </w:rPr>
        <w:t xml:space="preserve">, donde se observa que la mayor proporción se destina a la administración pública central </w:t>
      </w:r>
      <w:r w:rsidR="00166FB9">
        <w:rPr>
          <w:lang w:val="es-MX"/>
        </w:rPr>
        <w:t>--</w:t>
      </w:r>
      <w:r w:rsidRPr="00305D32">
        <w:rPr>
          <w:lang w:val="es-MX"/>
        </w:rPr>
        <w:lastRenderedPageBreak/>
        <w:t>Ramos Administrativos y Generales</w:t>
      </w:r>
      <w:r w:rsidR="00166FB9">
        <w:rPr>
          <w:lang w:val="es-MX"/>
        </w:rPr>
        <w:t>--</w:t>
      </w:r>
      <w:r w:rsidRPr="00305D32">
        <w:rPr>
          <w:lang w:val="es-MX"/>
        </w:rPr>
        <w:t>, seguida de las entidades bajo control presupuestario directo, como P</w:t>
      </w:r>
      <w:r w:rsidR="006669C8">
        <w:rPr>
          <w:lang w:val="es-MX"/>
        </w:rPr>
        <w:t>emex</w:t>
      </w:r>
      <w:r w:rsidRPr="00305D32">
        <w:rPr>
          <w:lang w:val="es-MX"/>
        </w:rPr>
        <w:t xml:space="preserve">, CFE, IMSS e ISSSTE, entre otras. En menor medida, los recursos se asignan a los </w:t>
      </w:r>
      <w:r w:rsidR="00A52D39">
        <w:rPr>
          <w:lang w:val="es-MX"/>
        </w:rPr>
        <w:t>r</w:t>
      </w:r>
      <w:r w:rsidRPr="00305D32">
        <w:rPr>
          <w:lang w:val="es-MX"/>
        </w:rPr>
        <w:t xml:space="preserve">amos </w:t>
      </w:r>
      <w:r w:rsidR="00A52D39">
        <w:rPr>
          <w:lang w:val="es-MX"/>
        </w:rPr>
        <w:t>a</w:t>
      </w:r>
      <w:r w:rsidRPr="00305D32">
        <w:rPr>
          <w:lang w:val="es-MX"/>
        </w:rPr>
        <w:t xml:space="preserve">utónomos, que incluyen al Poder Legislativo, </w:t>
      </w:r>
      <w:r w:rsidR="00A52D39">
        <w:rPr>
          <w:lang w:val="es-MX"/>
        </w:rPr>
        <w:t xml:space="preserve">al </w:t>
      </w:r>
      <w:r w:rsidRPr="00305D32">
        <w:rPr>
          <w:lang w:val="es-MX"/>
        </w:rPr>
        <w:t>Poder Judicial y</w:t>
      </w:r>
      <w:r w:rsidR="00A52D39">
        <w:rPr>
          <w:lang w:val="es-MX"/>
        </w:rPr>
        <w:t xml:space="preserve"> a</w:t>
      </w:r>
      <w:r w:rsidRPr="00305D32">
        <w:rPr>
          <w:lang w:val="es-MX"/>
        </w:rPr>
        <w:t xml:space="preserve"> los órganos constitucionales autónomos.</w:t>
      </w:r>
    </w:p>
    <w:p w14:paraId="4D0832A8" w14:textId="482BEBC0" w:rsidR="00AE57F0" w:rsidRPr="00305D32" w:rsidRDefault="00E37817" w:rsidP="00E37817">
      <w:pPr>
        <w:pStyle w:val="Descripcin"/>
        <w:jc w:val="center"/>
        <w:rPr>
          <w:color w:val="000000"/>
          <w:lang w:val="es-MX"/>
        </w:rPr>
      </w:pPr>
      <w:bookmarkStart w:id="51" w:name="_heading=h.40ew0vw" w:colFirst="0" w:colLast="0"/>
      <w:bookmarkStart w:id="52" w:name="_Ref210213953"/>
      <w:bookmarkEnd w:id="51"/>
      <w:r w:rsidRPr="00305D32">
        <w:rPr>
          <w:lang w:val="es-MX"/>
        </w:rPr>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20</w:t>
      </w:r>
      <w:r w:rsidRPr="00305D32">
        <w:rPr>
          <w:lang w:val="es-MX"/>
        </w:rPr>
        <w:fldChar w:fldCharType="end"/>
      </w:r>
      <w:bookmarkEnd w:id="52"/>
      <w:r w:rsidR="00414F7C" w:rsidRPr="00305D32">
        <w:rPr>
          <w:color w:val="000000"/>
          <w:lang w:val="es-MX"/>
        </w:rPr>
        <w:t>. Gasto programable del sector público Federal en México, 202</w:t>
      </w:r>
      <w:r w:rsidR="00652351" w:rsidRPr="00305D32">
        <w:rPr>
          <w:color w:val="000000"/>
          <w:lang w:val="es-MX"/>
        </w:rPr>
        <w:t>1</w:t>
      </w:r>
      <w:r w:rsidR="00414F7C" w:rsidRPr="00305D32">
        <w:rPr>
          <w:color w:val="000000"/>
          <w:lang w:val="es-MX"/>
        </w:rPr>
        <w:t>-202</w:t>
      </w:r>
      <w:r w:rsidR="00652351" w:rsidRPr="00305D32">
        <w:rPr>
          <w:color w:val="000000"/>
          <w:lang w:val="es-MX"/>
        </w:rPr>
        <w:t>5</w:t>
      </w:r>
      <w:r w:rsidR="00414F7C" w:rsidRPr="00305D32">
        <w:rPr>
          <w:color w:val="000000"/>
          <w:lang w:val="es-MX"/>
        </w:rPr>
        <w:t>*</w:t>
      </w:r>
    </w:p>
    <w:p w14:paraId="6BAE08B4" w14:textId="77777777" w:rsidR="00B5706B" w:rsidRDefault="00E91698" w:rsidP="00B5706B">
      <w:pPr>
        <w:keepNext/>
        <w:pBdr>
          <w:top w:val="nil"/>
          <w:left w:val="nil"/>
          <w:bottom w:val="nil"/>
          <w:right w:val="nil"/>
          <w:between w:val="nil"/>
        </w:pBdr>
        <w:spacing w:after="0"/>
        <w:jc w:val="center"/>
        <w:rPr>
          <w:sz w:val="20"/>
          <w:szCs w:val="20"/>
          <w:lang w:val="es-MX"/>
        </w:rPr>
      </w:pPr>
      <w:r w:rsidRPr="00305D32">
        <w:rPr>
          <w:noProof/>
          <w:lang w:val="es-MX" w:eastAsia="es-MX"/>
        </w:rPr>
        <w:drawing>
          <wp:inline distT="0" distB="0" distL="0" distR="0" wp14:anchorId="3E5DB4DB" wp14:editId="5B48C260">
            <wp:extent cx="5925787" cy="2766950"/>
            <wp:effectExtent l="0" t="0" r="18415" b="14605"/>
            <wp:docPr id="332697679" name="Gráfico 1">
              <a:extLst xmlns:a="http://schemas.openxmlformats.org/drawingml/2006/main">
                <a:ext uri="{FF2B5EF4-FFF2-40B4-BE49-F238E27FC236}">
                  <a16:creationId xmlns:a16="http://schemas.microsoft.com/office/drawing/2014/main" id="{063C8195-2912-46C9-8243-F1A81D6B58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D0832A9" w14:textId="50B5DB61" w:rsidR="00AE57F0" w:rsidRPr="00305D32" w:rsidRDefault="00414F7C" w:rsidP="00B5706B">
      <w:pPr>
        <w:keepNext/>
        <w:pBdr>
          <w:top w:val="nil"/>
          <w:left w:val="nil"/>
          <w:bottom w:val="nil"/>
          <w:right w:val="nil"/>
          <w:between w:val="nil"/>
        </w:pBdr>
        <w:spacing w:line="240" w:lineRule="auto"/>
        <w:jc w:val="center"/>
        <w:rPr>
          <w:b/>
          <w:color w:val="000000"/>
          <w:lang w:val="es-MX"/>
        </w:rPr>
      </w:pPr>
      <w:r w:rsidRPr="00305D32">
        <w:rPr>
          <w:sz w:val="20"/>
          <w:szCs w:val="20"/>
          <w:lang w:val="es-MX"/>
        </w:rPr>
        <w:t>Fuente: Elaboración de la Subsecretaría de Análisis Económico y Finanzas Públicas de la Secretaría de Finanzas y Planeación, con datos de la Secretaría de Hacienda y Crédito Público (202</w:t>
      </w:r>
      <w:r w:rsidR="00652351" w:rsidRPr="00305D32">
        <w:rPr>
          <w:sz w:val="20"/>
          <w:szCs w:val="20"/>
          <w:lang w:val="es-MX"/>
        </w:rPr>
        <w:t>5</w:t>
      </w:r>
      <w:r w:rsidRPr="00305D32">
        <w:rPr>
          <w:sz w:val="20"/>
          <w:szCs w:val="20"/>
          <w:lang w:val="es-MX"/>
        </w:rPr>
        <w:t>). Notas: *Los datos de 202</w:t>
      </w:r>
      <w:r w:rsidR="00652351" w:rsidRPr="00305D32">
        <w:rPr>
          <w:sz w:val="20"/>
          <w:szCs w:val="20"/>
          <w:lang w:val="es-MX"/>
        </w:rPr>
        <w:t>5</w:t>
      </w:r>
      <w:r w:rsidRPr="00305D32">
        <w:rPr>
          <w:sz w:val="20"/>
          <w:szCs w:val="20"/>
          <w:lang w:val="es-MX"/>
        </w:rPr>
        <w:t xml:space="preserve"> son con corte al mes de julio.</w:t>
      </w:r>
    </w:p>
    <w:p w14:paraId="0806E4C1" w14:textId="36EA1EC2" w:rsidR="008F0DBB" w:rsidRPr="00305D32" w:rsidRDefault="008F0DBB">
      <w:pPr>
        <w:rPr>
          <w:lang w:val="es-MX"/>
        </w:rPr>
      </w:pPr>
      <w:r w:rsidRPr="009F4A14">
        <w:rPr>
          <w:lang w:val="es-MX"/>
        </w:rPr>
        <w:t>En 2024 el gasto</w:t>
      </w:r>
      <w:r w:rsidRPr="00305D32">
        <w:rPr>
          <w:lang w:val="es-MX"/>
        </w:rPr>
        <w:t xml:space="preserve"> programable ascendió a 6 billones 730 mil 580 millones de pesos. Hasta el mes de julio de 2025 el gasto programable asciende a 3 billones 684 mil 934 millones de pesos, siendo el 76.9</w:t>
      </w:r>
      <w:r w:rsidR="0019290E">
        <w:rPr>
          <w:lang w:val="es-MX"/>
        </w:rPr>
        <w:t xml:space="preserve"> %</w:t>
      </w:r>
      <w:r w:rsidRPr="00305D32">
        <w:rPr>
          <w:lang w:val="es-MX"/>
        </w:rPr>
        <w:t xml:space="preserve"> de Administración Central, el 45.4</w:t>
      </w:r>
      <w:r w:rsidR="0019290E">
        <w:rPr>
          <w:lang w:val="es-MX"/>
        </w:rPr>
        <w:t xml:space="preserve"> %</w:t>
      </w:r>
      <w:r w:rsidRPr="00305D32">
        <w:rPr>
          <w:lang w:val="es-MX"/>
        </w:rPr>
        <w:t xml:space="preserve"> de </w:t>
      </w:r>
      <w:r w:rsidR="00A74609">
        <w:rPr>
          <w:lang w:val="es-MX"/>
        </w:rPr>
        <w:t>e</w:t>
      </w:r>
      <w:r w:rsidRPr="00305D32">
        <w:rPr>
          <w:lang w:val="es-MX"/>
        </w:rPr>
        <w:t xml:space="preserve">ntidades </w:t>
      </w:r>
      <w:r w:rsidR="00A12747">
        <w:rPr>
          <w:lang w:val="es-MX"/>
        </w:rPr>
        <w:t>bajo</w:t>
      </w:r>
      <w:r w:rsidRPr="00305D32">
        <w:rPr>
          <w:lang w:val="es-MX"/>
        </w:rPr>
        <w:t xml:space="preserve"> control </w:t>
      </w:r>
      <w:r w:rsidR="00A12747">
        <w:rPr>
          <w:lang w:val="es-MX"/>
        </w:rPr>
        <w:t xml:space="preserve">presupuestario </w:t>
      </w:r>
      <w:r w:rsidRPr="00305D32">
        <w:rPr>
          <w:lang w:val="es-MX"/>
        </w:rPr>
        <w:t>directo y el 2.1</w:t>
      </w:r>
      <w:r w:rsidR="0019290E">
        <w:rPr>
          <w:lang w:val="es-MX"/>
        </w:rPr>
        <w:t xml:space="preserve"> %</w:t>
      </w:r>
      <w:r w:rsidRPr="00305D32">
        <w:rPr>
          <w:lang w:val="es-MX"/>
        </w:rPr>
        <w:t xml:space="preserve"> de </w:t>
      </w:r>
      <w:r w:rsidR="00DC6FA3">
        <w:rPr>
          <w:lang w:val="es-MX"/>
        </w:rPr>
        <w:t>r</w:t>
      </w:r>
      <w:r w:rsidRPr="00305D32">
        <w:rPr>
          <w:lang w:val="es-MX"/>
        </w:rPr>
        <w:t xml:space="preserve">amos </w:t>
      </w:r>
      <w:r w:rsidR="00DC6FA3">
        <w:rPr>
          <w:lang w:val="es-MX"/>
        </w:rPr>
        <w:t>a</w:t>
      </w:r>
      <w:r w:rsidRPr="00305D32">
        <w:rPr>
          <w:lang w:val="es-MX"/>
        </w:rPr>
        <w:t>utónomos.</w:t>
      </w:r>
    </w:p>
    <w:p w14:paraId="4D0832AA" w14:textId="78AB98A9" w:rsidR="00AE57F0" w:rsidRPr="00305D32" w:rsidRDefault="00414F7C">
      <w:pPr>
        <w:rPr>
          <w:lang w:val="es-MX"/>
        </w:rPr>
      </w:pPr>
      <w:r w:rsidRPr="00305D32">
        <w:rPr>
          <w:lang w:val="es-MX"/>
        </w:rPr>
        <w:t>En la</w:t>
      </w:r>
      <w:r w:rsidR="00E37817" w:rsidRPr="00305D32">
        <w:rPr>
          <w:lang w:val="es-MX"/>
        </w:rPr>
        <w:t xml:space="preserve"> </w:t>
      </w:r>
      <w:r w:rsidR="00E37817" w:rsidRPr="00305D32">
        <w:rPr>
          <w:lang w:val="es-MX"/>
        </w:rPr>
        <w:fldChar w:fldCharType="begin"/>
      </w:r>
      <w:r w:rsidR="00E37817" w:rsidRPr="00305D32">
        <w:rPr>
          <w:lang w:val="es-MX"/>
        </w:rPr>
        <w:instrText xml:space="preserve"> REF _Ref210213978 \h </w:instrText>
      </w:r>
      <w:r w:rsidR="00E37817" w:rsidRPr="00305D32">
        <w:rPr>
          <w:lang w:val="es-MX"/>
        </w:rPr>
      </w:r>
      <w:r w:rsidR="00E37817" w:rsidRPr="00305D32">
        <w:rPr>
          <w:lang w:val="es-MX"/>
        </w:rPr>
        <w:fldChar w:fldCharType="separate"/>
      </w:r>
      <w:r w:rsidR="00ED1F2F" w:rsidRPr="00305D32">
        <w:rPr>
          <w:lang w:val="es-MX"/>
        </w:rPr>
        <w:t xml:space="preserve">Figura </w:t>
      </w:r>
      <w:r w:rsidR="00ED1F2F">
        <w:rPr>
          <w:noProof/>
          <w:lang w:val="es-MX"/>
        </w:rPr>
        <w:t>21</w:t>
      </w:r>
      <w:r w:rsidR="00E37817" w:rsidRPr="00305D32">
        <w:rPr>
          <w:lang w:val="es-MX"/>
        </w:rPr>
        <w:fldChar w:fldCharType="end"/>
      </w:r>
      <w:r w:rsidRPr="00305D32">
        <w:rPr>
          <w:lang w:val="es-MX"/>
        </w:rPr>
        <w:t xml:space="preserve"> se presenta el gasto programable del sector público </w:t>
      </w:r>
      <w:r w:rsidR="00C92F17">
        <w:rPr>
          <w:lang w:val="es-MX"/>
        </w:rPr>
        <w:t>f</w:t>
      </w:r>
      <w:r w:rsidRPr="00305D32">
        <w:rPr>
          <w:lang w:val="es-MX"/>
        </w:rPr>
        <w:t>ederal por su clasificación funcional, en donde las funciones de desarrollo social son las que más recursos concentran, con un 6</w:t>
      </w:r>
      <w:r w:rsidR="001417D6" w:rsidRPr="00305D32">
        <w:rPr>
          <w:lang w:val="es-MX"/>
        </w:rPr>
        <w:t>4.4</w:t>
      </w:r>
      <w:r w:rsidR="0019290E">
        <w:rPr>
          <w:lang w:val="es-MX"/>
        </w:rPr>
        <w:t xml:space="preserve"> %</w:t>
      </w:r>
      <w:r w:rsidRPr="00305D32">
        <w:rPr>
          <w:lang w:val="es-MX"/>
        </w:rPr>
        <w:t xml:space="preserve"> de los recursos en 202</w:t>
      </w:r>
      <w:r w:rsidR="00B710FC" w:rsidRPr="00305D32">
        <w:rPr>
          <w:lang w:val="es-MX"/>
        </w:rPr>
        <w:t>4</w:t>
      </w:r>
      <w:r w:rsidRPr="00305D32">
        <w:rPr>
          <w:lang w:val="es-MX"/>
        </w:rPr>
        <w:t xml:space="preserve"> y con un 6</w:t>
      </w:r>
      <w:r w:rsidR="001417D6" w:rsidRPr="00305D32">
        <w:rPr>
          <w:lang w:val="es-MX"/>
        </w:rPr>
        <w:t>9.6</w:t>
      </w:r>
      <w:r w:rsidR="0019290E">
        <w:rPr>
          <w:lang w:val="es-MX"/>
        </w:rPr>
        <w:t xml:space="preserve"> %</w:t>
      </w:r>
      <w:r w:rsidRPr="00305D32">
        <w:rPr>
          <w:lang w:val="es-MX"/>
        </w:rPr>
        <w:t xml:space="preserve"> de los recursos hasta julio de 202</w:t>
      </w:r>
      <w:r w:rsidR="00B710FC" w:rsidRPr="00305D32">
        <w:rPr>
          <w:lang w:val="es-MX"/>
        </w:rPr>
        <w:t>5</w:t>
      </w:r>
      <w:r w:rsidRPr="00305D32">
        <w:rPr>
          <w:lang w:val="es-MX"/>
        </w:rPr>
        <w:t>.</w:t>
      </w:r>
    </w:p>
    <w:p w14:paraId="4D0832AB" w14:textId="4BA2B166" w:rsidR="00AE57F0" w:rsidRPr="00305D32" w:rsidRDefault="00414F7C">
      <w:pPr>
        <w:rPr>
          <w:lang w:val="es-MX"/>
        </w:rPr>
      </w:pPr>
      <w:r w:rsidRPr="00305D32">
        <w:rPr>
          <w:lang w:val="es-MX"/>
        </w:rPr>
        <w:lastRenderedPageBreak/>
        <w:t>Las funciones de desarrollo económico ejecutaron el 26.</w:t>
      </w:r>
      <w:r w:rsidR="002B33D0" w:rsidRPr="00305D32">
        <w:rPr>
          <w:lang w:val="es-MX"/>
        </w:rPr>
        <w:t>4</w:t>
      </w:r>
      <w:r w:rsidR="0019290E">
        <w:rPr>
          <w:lang w:val="es-MX"/>
        </w:rPr>
        <w:t xml:space="preserve"> %</w:t>
      </w:r>
      <w:r w:rsidRPr="00305D32">
        <w:rPr>
          <w:lang w:val="es-MX"/>
        </w:rPr>
        <w:t xml:space="preserve"> del gasto </w:t>
      </w:r>
      <w:r w:rsidR="00FF5AF6">
        <w:rPr>
          <w:lang w:val="es-MX"/>
        </w:rPr>
        <w:t xml:space="preserve">programable </w:t>
      </w:r>
      <w:r w:rsidRPr="00305D32">
        <w:rPr>
          <w:lang w:val="es-MX"/>
        </w:rPr>
        <w:t>en 202</w:t>
      </w:r>
      <w:r w:rsidR="007B3C34" w:rsidRPr="00305D32">
        <w:rPr>
          <w:lang w:val="es-MX"/>
        </w:rPr>
        <w:t>4</w:t>
      </w:r>
      <w:r w:rsidRPr="00305D32">
        <w:rPr>
          <w:lang w:val="es-MX"/>
        </w:rPr>
        <w:t xml:space="preserve"> y en lo que va de 202</w:t>
      </w:r>
      <w:r w:rsidR="007B3C34" w:rsidRPr="00305D32">
        <w:rPr>
          <w:lang w:val="es-MX"/>
        </w:rPr>
        <w:t>5</w:t>
      </w:r>
      <w:r w:rsidR="00B710FC" w:rsidRPr="00305D32">
        <w:rPr>
          <w:lang w:val="es-MX"/>
        </w:rPr>
        <w:t xml:space="preserve"> </w:t>
      </w:r>
      <w:r w:rsidRPr="00305D32">
        <w:rPr>
          <w:lang w:val="es-MX"/>
        </w:rPr>
        <w:t>han concentrado el 2</w:t>
      </w:r>
      <w:r w:rsidR="002B33D0" w:rsidRPr="00305D32">
        <w:rPr>
          <w:lang w:val="es-MX"/>
        </w:rPr>
        <w:t>3.6</w:t>
      </w:r>
      <w:r w:rsidR="0019290E">
        <w:rPr>
          <w:lang w:val="es-MX"/>
        </w:rPr>
        <w:t xml:space="preserve"> %</w:t>
      </w:r>
      <w:r w:rsidRPr="00305D32">
        <w:rPr>
          <w:lang w:val="es-MX"/>
        </w:rPr>
        <w:t xml:space="preserve">. Los recursos destinados a fondos y fideicomisos </w:t>
      </w:r>
      <w:r w:rsidR="00AA2A3D">
        <w:rPr>
          <w:lang w:val="es-MX"/>
        </w:rPr>
        <w:t>representan</w:t>
      </w:r>
      <w:r w:rsidRPr="00305D32">
        <w:rPr>
          <w:lang w:val="es-MX"/>
        </w:rPr>
        <w:t xml:space="preserve"> apenas el 0.2</w:t>
      </w:r>
      <w:r w:rsidR="0019290E">
        <w:rPr>
          <w:lang w:val="es-MX"/>
        </w:rPr>
        <w:t xml:space="preserve"> %</w:t>
      </w:r>
      <w:r w:rsidRPr="00305D32">
        <w:rPr>
          <w:lang w:val="es-MX"/>
        </w:rPr>
        <w:t xml:space="preserve"> del gasto programable.</w:t>
      </w:r>
    </w:p>
    <w:p w14:paraId="4D0832AC" w14:textId="0CF25903" w:rsidR="00AE57F0" w:rsidRPr="00305D32" w:rsidRDefault="00E37817" w:rsidP="00E37817">
      <w:pPr>
        <w:pStyle w:val="Descripcin"/>
        <w:jc w:val="center"/>
        <w:rPr>
          <w:color w:val="000000"/>
          <w:lang w:val="es-MX"/>
        </w:rPr>
      </w:pPr>
      <w:bookmarkStart w:id="53" w:name="_heading=h.2fk6b3p" w:colFirst="0" w:colLast="0"/>
      <w:bookmarkStart w:id="54" w:name="_Ref210213978"/>
      <w:bookmarkEnd w:id="53"/>
      <w:r w:rsidRPr="00305D32">
        <w:rPr>
          <w:lang w:val="es-MX"/>
        </w:rPr>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21</w:t>
      </w:r>
      <w:r w:rsidRPr="00305D32">
        <w:rPr>
          <w:lang w:val="es-MX"/>
        </w:rPr>
        <w:fldChar w:fldCharType="end"/>
      </w:r>
      <w:bookmarkEnd w:id="54"/>
      <w:r w:rsidR="00414F7C" w:rsidRPr="00305D32">
        <w:rPr>
          <w:color w:val="000000"/>
          <w:lang w:val="es-MX"/>
        </w:rPr>
        <w:t>. Gasto Programable del sector público Federal por clasificación funcional en México, 202</w:t>
      </w:r>
      <w:r w:rsidR="00B710FC" w:rsidRPr="00305D32">
        <w:rPr>
          <w:color w:val="000000"/>
          <w:lang w:val="es-MX"/>
        </w:rPr>
        <w:t>1</w:t>
      </w:r>
      <w:r w:rsidR="00414F7C" w:rsidRPr="00305D32">
        <w:rPr>
          <w:color w:val="000000"/>
          <w:lang w:val="es-MX"/>
        </w:rPr>
        <w:t>-202</w:t>
      </w:r>
      <w:r w:rsidR="00B710FC" w:rsidRPr="00305D32">
        <w:rPr>
          <w:color w:val="000000"/>
          <w:lang w:val="es-MX"/>
        </w:rPr>
        <w:t>5</w:t>
      </w:r>
      <w:r w:rsidR="00414F7C" w:rsidRPr="00305D32">
        <w:rPr>
          <w:color w:val="000000"/>
          <w:lang w:val="es-MX"/>
        </w:rPr>
        <w:t>*</w:t>
      </w:r>
    </w:p>
    <w:p w14:paraId="4D0832AD" w14:textId="57ED2D15" w:rsidR="00AE57F0" w:rsidRPr="00305D32" w:rsidRDefault="00066806">
      <w:pPr>
        <w:keepNext/>
        <w:pBdr>
          <w:top w:val="nil"/>
          <w:left w:val="nil"/>
          <w:bottom w:val="nil"/>
          <w:right w:val="nil"/>
          <w:between w:val="nil"/>
        </w:pBdr>
        <w:spacing w:after="0"/>
        <w:rPr>
          <w:b/>
          <w:color w:val="000000"/>
          <w:lang w:val="es-MX"/>
        </w:rPr>
      </w:pPr>
      <w:r w:rsidRPr="00305D32">
        <w:rPr>
          <w:noProof/>
          <w:lang w:val="es-MX" w:eastAsia="es-MX"/>
        </w:rPr>
        <w:drawing>
          <wp:inline distT="0" distB="0" distL="0" distR="0" wp14:anchorId="0695DAC9" wp14:editId="65C7CA47">
            <wp:extent cx="5876925" cy="3257550"/>
            <wp:effectExtent l="0" t="0" r="9525" b="0"/>
            <wp:docPr id="2010215819" name="Gráfico 1">
              <a:extLst xmlns:a="http://schemas.openxmlformats.org/drawingml/2006/main">
                <a:ext uri="{FF2B5EF4-FFF2-40B4-BE49-F238E27FC236}">
                  <a16:creationId xmlns:a16="http://schemas.microsoft.com/office/drawing/2014/main" id="{2BDB59D3-463F-4438-98DE-F0B4432EC9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B17F5B5" w14:textId="7776E0DB" w:rsidR="00891666" w:rsidRPr="00305D32" w:rsidRDefault="00414F7C" w:rsidP="00A87AB5">
      <w:pPr>
        <w:spacing w:line="240" w:lineRule="auto"/>
        <w:jc w:val="center"/>
        <w:rPr>
          <w:sz w:val="20"/>
          <w:szCs w:val="20"/>
          <w:lang w:val="es-MX"/>
        </w:rPr>
      </w:pPr>
      <w:r w:rsidRPr="00305D32">
        <w:rPr>
          <w:sz w:val="20"/>
          <w:szCs w:val="20"/>
          <w:lang w:val="es-MX"/>
        </w:rPr>
        <w:t xml:space="preserve"> Fuente: Elaboración de la Subsecretaría de Análisis Económico y Finanzas Públicas de la Secretaría de Finanzas y Planeación, con datos de la Secretaría de Hacienda y Crédito Público (202</w:t>
      </w:r>
      <w:r w:rsidR="00B710FC" w:rsidRPr="00305D32">
        <w:rPr>
          <w:sz w:val="20"/>
          <w:szCs w:val="20"/>
          <w:lang w:val="es-MX"/>
        </w:rPr>
        <w:t>5</w:t>
      </w:r>
      <w:r w:rsidRPr="00305D32">
        <w:rPr>
          <w:sz w:val="20"/>
          <w:szCs w:val="20"/>
          <w:lang w:val="es-MX"/>
        </w:rPr>
        <w:t>). Notas: *Los datos de 202</w:t>
      </w:r>
      <w:r w:rsidR="00B710FC" w:rsidRPr="00305D32">
        <w:rPr>
          <w:sz w:val="20"/>
          <w:szCs w:val="20"/>
          <w:lang w:val="es-MX"/>
        </w:rPr>
        <w:t>5</w:t>
      </w:r>
      <w:r w:rsidRPr="00305D32">
        <w:rPr>
          <w:sz w:val="20"/>
          <w:szCs w:val="20"/>
          <w:lang w:val="es-MX"/>
        </w:rPr>
        <w:t xml:space="preserve"> son con corte al mes de julio.</w:t>
      </w:r>
      <w:bookmarkStart w:id="55" w:name="_heading=h.upglbi" w:colFirst="0" w:colLast="0"/>
      <w:bookmarkEnd w:id="55"/>
    </w:p>
    <w:p w14:paraId="4D0832B0" w14:textId="77777777" w:rsidR="00AE57F0" w:rsidRPr="00305D32" w:rsidRDefault="00414F7C">
      <w:pPr>
        <w:pStyle w:val="Ttulo3"/>
        <w:numPr>
          <w:ilvl w:val="2"/>
          <w:numId w:val="5"/>
        </w:numPr>
        <w:rPr>
          <w:lang w:val="es-MX"/>
        </w:rPr>
      </w:pPr>
      <w:r w:rsidRPr="00305D32">
        <w:rPr>
          <w:lang w:val="es-MX"/>
        </w:rPr>
        <w:t>Deuda</w:t>
      </w:r>
    </w:p>
    <w:p w14:paraId="321B1F1E" w14:textId="0E95FA2F" w:rsidR="00566AB9" w:rsidRPr="00305D32" w:rsidRDefault="00566AB9" w:rsidP="00566AB9">
      <w:pPr>
        <w:spacing w:after="240"/>
        <w:rPr>
          <w:lang w:val="es-MX"/>
        </w:rPr>
      </w:pPr>
      <w:r w:rsidRPr="00305D32">
        <w:rPr>
          <w:lang w:val="es-MX"/>
        </w:rPr>
        <w:t xml:space="preserve">La política fiscal en México también puede evaluarse a partir de la deuda pública contraída por el gobierno, la cual se presenta bajo distintas </w:t>
      </w:r>
      <w:r w:rsidR="0035385F">
        <w:rPr>
          <w:lang w:val="es-MX"/>
        </w:rPr>
        <w:t>clasificaciones</w:t>
      </w:r>
      <w:r w:rsidRPr="00305D32">
        <w:rPr>
          <w:lang w:val="es-MX"/>
        </w:rPr>
        <w:t xml:space="preserve"> que incluyen diversos rubros, </w:t>
      </w:r>
      <w:r w:rsidR="00697174">
        <w:rPr>
          <w:lang w:val="es-MX"/>
        </w:rPr>
        <w:t>y generan</w:t>
      </w:r>
      <w:r w:rsidRPr="00305D32">
        <w:rPr>
          <w:lang w:val="es-MX"/>
        </w:rPr>
        <w:t xml:space="preserve"> diferencias entre la deuda del </w:t>
      </w:r>
      <w:r w:rsidR="00697174">
        <w:rPr>
          <w:lang w:val="es-MX"/>
        </w:rPr>
        <w:t>G</w:t>
      </w:r>
      <w:r w:rsidRPr="00305D32">
        <w:rPr>
          <w:lang w:val="es-MX"/>
        </w:rPr>
        <w:t xml:space="preserve">obierno </w:t>
      </w:r>
      <w:r w:rsidR="00697174">
        <w:rPr>
          <w:lang w:val="es-MX"/>
        </w:rPr>
        <w:t>F</w:t>
      </w:r>
      <w:r w:rsidRPr="00305D32">
        <w:rPr>
          <w:lang w:val="es-MX"/>
        </w:rPr>
        <w:t xml:space="preserve">ederal, la deuda del sector público y el </w:t>
      </w:r>
      <w:r w:rsidR="008E1E1B">
        <w:rPr>
          <w:lang w:val="es-MX"/>
        </w:rPr>
        <w:t>S</w:t>
      </w:r>
      <w:r w:rsidRPr="00305D32">
        <w:rPr>
          <w:lang w:val="es-MX"/>
        </w:rPr>
        <w:t xml:space="preserve">aldo </w:t>
      </w:r>
      <w:r w:rsidR="008E1E1B">
        <w:rPr>
          <w:lang w:val="es-MX"/>
        </w:rPr>
        <w:t>H</w:t>
      </w:r>
      <w:r w:rsidRPr="00305D32">
        <w:rPr>
          <w:lang w:val="es-MX"/>
        </w:rPr>
        <w:t xml:space="preserve">istórico de los </w:t>
      </w:r>
      <w:r w:rsidR="008E1E1B">
        <w:rPr>
          <w:lang w:val="es-MX"/>
        </w:rPr>
        <w:t>R</w:t>
      </w:r>
      <w:r w:rsidRPr="00305D32">
        <w:rPr>
          <w:lang w:val="es-MX"/>
        </w:rPr>
        <w:t xml:space="preserve">equerimientos </w:t>
      </w:r>
      <w:r w:rsidR="008E1E1B">
        <w:rPr>
          <w:lang w:val="es-MX"/>
        </w:rPr>
        <w:t>F</w:t>
      </w:r>
      <w:r w:rsidRPr="00305D32">
        <w:rPr>
          <w:lang w:val="es-MX"/>
        </w:rPr>
        <w:t xml:space="preserve">inancieros del </w:t>
      </w:r>
      <w:r w:rsidR="008E1E1B">
        <w:rPr>
          <w:lang w:val="es-MX"/>
        </w:rPr>
        <w:t>S</w:t>
      </w:r>
      <w:r w:rsidRPr="00305D32">
        <w:rPr>
          <w:lang w:val="es-MX"/>
        </w:rPr>
        <w:t xml:space="preserve">ector </w:t>
      </w:r>
      <w:r w:rsidR="008E1E1B">
        <w:rPr>
          <w:lang w:val="es-MX"/>
        </w:rPr>
        <w:t>P</w:t>
      </w:r>
      <w:r w:rsidRPr="00305D32">
        <w:rPr>
          <w:lang w:val="es-MX"/>
        </w:rPr>
        <w:t>úblico</w:t>
      </w:r>
      <w:r w:rsidR="008E1E1B">
        <w:rPr>
          <w:lang w:val="es-MX"/>
        </w:rPr>
        <w:t xml:space="preserve"> (SHRFSP)</w:t>
      </w:r>
      <w:r w:rsidRPr="00305D32">
        <w:rPr>
          <w:lang w:val="es-MX"/>
        </w:rPr>
        <w:t>.</w:t>
      </w:r>
    </w:p>
    <w:p w14:paraId="2B9C4DBD" w14:textId="77777777" w:rsidR="00DD7FD3" w:rsidRDefault="00566AB9" w:rsidP="00566AB9">
      <w:pPr>
        <w:spacing w:after="240"/>
        <w:rPr>
          <w:lang w:val="es-MX"/>
        </w:rPr>
      </w:pPr>
      <w:r w:rsidRPr="00305D32">
        <w:rPr>
          <w:lang w:val="es-MX"/>
        </w:rPr>
        <w:lastRenderedPageBreak/>
        <w:t xml:space="preserve">En este contexto, la deuda del Gobierno Federal abarca las obligaciones de los poderes Legislativo y Judicial, las dependencias del Poder Ejecutivo Federal y sus órganos desconcentrados, así como los compromisos asumidos por entidades que formaron parte de la Administración Pública Federal </w:t>
      </w:r>
      <w:r w:rsidR="00CF51AF">
        <w:rPr>
          <w:lang w:val="es-MX"/>
        </w:rPr>
        <w:t>p</w:t>
      </w:r>
      <w:r w:rsidRPr="00305D32">
        <w:rPr>
          <w:lang w:val="es-MX"/>
        </w:rPr>
        <w:t>araestatal y que posteriormente fueron transformadas en órganos autónomos, destacando especialmente al Instituto Nacional de Transparencia, Acceso a la Información y Protección de Datos Personales (INAI) y al Instituto Federal de Telecomunicaciones (IFT).</w:t>
      </w:r>
    </w:p>
    <w:p w14:paraId="4D0832B3" w14:textId="5E73554F" w:rsidR="00AE57F0" w:rsidRPr="00305D32" w:rsidRDefault="00566AB9" w:rsidP="00566AB9">
      <w:pPr>
        <w:spacing w:after="240"/>
        <w:rPr>
          <w:lang w:val="es-MX"/>
        </w:rPr>
      </w:pPr>
      <w:r w:rsidRPr="00305D32">
        <w:rPr>
          <w:lang w:val="es-MX"/>
        </w:rPr>
        <w:t xml:space="preserve">La deuda del </w:t>
      </w:r>
      <w:r w:rsidR="00DD7FD3">
        <w:rPr>
          <w:lang w:val="es-MX"/>
        </w:rPr>
        <w:t>s</w:t>
      </w:r>
      <w:r w:rsidRPr="00305D32">
        <w:rPr>
          <w:lang w:val="es-MX"/>
        </w:rPr>
        <w:t xml:space="preserve">ector </w:t>
      </w:r>
      <w:r w:rsidR="00DD7FD3">
        <w:rPr>
          <w:lang w:val="es-MX"/>
        </w:rPr>
        <w:t>p</w:t>
      </w:r>
      <w:r w:rsidRPr="00305D32">
        <w:rPr>
          <w:lang w:val="es-MX"/>
        </w:rPr>
        <w:t>úblico está integrada por la deuda del Gobierno Federal más las obligaciones de las entidades de control presupuestario directo (IMSS e ISSSTE), de las</w:t>
      </w:r>
      <w:r w:rsidR="004A0C89">
        <w:rPr>
          <w:lang w:val="es-MX"/>
        </w:rPr>
        <w:t xml:space="preserve"> e</w:t>
      </w:r>
      <w:r w:rsidRPr="00305D32">
        <w:rPr>
          <w:lang w:val="es-MX"/>
        </w:rPr>
        <w:t xml:space="preserve">mpresas </w:t>
      </w:r>
      <w:r w:rsidR="004A0C89">
        <w:rPr>
          <w:lang w:val="es-MX"/>
        </w:rPr>
        <w:t>p</w:t>
      </w:r>
      <w:r w:rsidRPr="00305D32">
        <w:rPr>
          <w:lang w:val="es-MX"/>
        </w:rPr>
        <w:t>roductivas del Estado y sus subsidiarias (P</w:t>
      </w:r>
      <w:r w:rsidR="004A0C89">
        <w:rPr>
          <w:lang w:val="es-MX"/>
        </w:rPr>
        <w:t>emex</w:t>
      </w:r>
      <w:r w:rsidRPr="00305D32">
        <w:rPr>
          <w:lang w:val="es-MX"/>
        </w:rPr>
        <w:t xml:space="preserve"> y CFE), y de la banca de desarrollo (Banobras, SHF, Bancomext, Nafin, Financiera Nacional</w:t>
      </w:r>
      <w:r w:rsidR="00B86EE4">
        <w:rPr>
          <w:lang w:val="es-MX"/>
        </w:rPr>
        <w:t xml:space="preserve"> </w:t>
      </w:r>
      <w:r w:rsidR="00B86EE4" w:rsidRPr="00B86EE4">
        <w:rPr>
          <w:lang w:val="es-MX"/>
        </w:rPr>
        <w:t>de Desarrollo Agropecuario, Rural, Forestal y Pesquero</w:t>
      </w:r>
      <w:r w:rsidR="00B86EE4">
        <w:rPr>
          <w:lang w:val="es-MX"/>
        </w:rPr>
        <w:t xml:space="preserve"> </w:t>
      </w:r>
      <w:r w:rsidR="003565EB">
        <w:rPr>
          <w:lang w:val="es-MX"/>
        </w:rPr>
        <w:t>y</w:t>
      </w:r>
      <w:r w:rsidRPr="00305D32">
        <w:rPr>
          <w:lang w:val="es-MX"/>
        </w:rPr>
        <w:t xml:space="preserve"> Banco del Bienestar).</w:t>
      </w:r>
    </w:p>
    <w:p w14:paraId="379E68EE" w14:textId="4938C6EE" w:rsidR="0000552A" w:rsidRPr="00305D32" w:rsidRDefault="00545503" w:rsidP="0000552A">
      <w:pPr>
        <w:spacing w:after="240"/>
        <w:rPr>
          <w:lang w:val="es-MX"/>
        </w:rPr>
      </w:pPr>
      <w:r w:rsidRPr="00305D32">
        <w:rPr>
          <w:lang w:val="es-MX"/>
        </w:rPr>
        <w:t xml:space="preserve">El SHRFP constituye una definición más amplia de la deuda pública, ya que contempla todos los instrumentos de política pública que puedan generar endeudamiento a cargo del </w:t>
      </w:r>
      <w:r w:rsidR="0073229C">
        <w:rPr>
          <w:lang w:val="es-MX"/>
        </w:rPr>
        <w:t>s</w:t>
      </w:r>
      <w:r w:rsidRPr="00305D32">
        <w:rPr>
          <w:lang w:val="es-MX"/>
        </w:rPr>
        <w:t xml:space="preserve">ector </w:t>
      </w:r>
      <w:r w:rsidR="0073229C">
        <w:rPr>
          <w:lang w:val="es-MX"/>
        </w:rPr>
        <w:t>p</w:t>
      </w:r>
      <w:r w:rsidRPr="00305D32">
        <w:rPr>
          <w:lang w:val="es-MX"/>
        </w:rPr>
        <w:t xml:space="preserve">úblico. Este saldo se integra por la deuda del </w:t>
      </w:r>
      <w:r w:rsidR="000C5631">
        <w:rPr>
          <w:lang w:val="es-MX"/>
        </w:rPr>
        <w:t>s</w:t>
      </w:r>
      <w:r w:rsidRPr="00305D32">
        <w:rPr>
          <w:lang w:val="es-MX"/>
        </w:rPr>
        <w:t xml:space="preserve">ector </w:t>
      </w:r>
      <w:r w:rsidR="000C5631">
        <w:rPr>
          <w:lang w:val="es-MX"/>
        </w:rPr>
        <w:t>p</w:t>
      </w:r>
      <w:r w:rsidRPr="00305D32">
        <w:rPr>
          <w:lang w:val="es-MX"/>
        </w:rPr>
        <w:t xml:space="preserve">úblico </w:t>
      </w:r>
      <w:r w:rsidR="000C5631">
        <w:rPr>
          <w:lang w:val="es-MX"/>
        </w:rPr>
        <w:t>p</w:t>
      </w:r>
      <w:r w:rsidRPr="00305D32">
        <w:rPr>
          <w:lang w:val="es-MX"/>
        </w:rPr>
        <w:t xml:space="preserve">resupuestario más aquellas obligaciones que, por diversas disposiciones legales y prácticas presupuestarias, no se incluyen dentro de la deuda pública tradicional. Entre estas obligaciones destacan las </w:t>
      </w:r>
      <w:r w:rsidR="00B01A2D">
        <w:rPr>
          <w:lang w:val="es-MX"/>
        </w:rPr>
        <w:t xml:space="preserve">necesidades </w:t>
      </w:r>
      <w:r w:rsidRPr="00305D32">
        <w:rPr>
          <w:lang w:val="es-MX"/>
        </w:rPr>
        <w:t xml:space="preserve">financieras netas del Instituto para la Protección al Ahorro Bancario (IPAB) y del </w:t>
      </w:r>
      <w:r w:rsidR="000C5631">
        <w:rPr>
          <w:lang w:val="es-MX"/>
        </w:rPr>
        <w:t>P</w:t>
      </w:r>
      <w:r w:rsidRPr="00305D32">
        <w:rPr>
          <w:lang w:val="es-MX"/>
        </w:rPr>
        <w:t xml:space="preserve">rograma de </w:t>
      </w:r>
      <w:r w:rsidR="000C5631">
        <w:rPr>
          <w:lang w:val="es-MX"/>
        </w:rPr>
        <w:t>A</w:t>
      </w:r>
      <w:r w:rsidRPr="00305D32">
        <w:rPr>
          <w:lang w:val="es-MX"/>
        </w:rPr>
        <w:t xml:space="preserve">poyo a </w:t>
      </w:r>
      <w:r w:rsidR="000C5631">
        <w:rPr>
          <w:lang w:val="es-MX"/>
        </w:rPr>
        <w:t>D</w:t>
      </w:r>
      <w:r w:rsidRPr="00305D32">
        <w:rPr>
          <w:lang w:val="es-MX"/>
        </w:rPr>
        <w:t xml:space="preserve">eudores de la </w:t>
      </w:r>
      <w:r w:rsidR="000C5631">
        <w:rPr>
          <w:lang w:val="es-MX"/>
        </w:rPr>
        <w:t>B</w:t>
      </w:r>
      <w:r w:rsidRPr="00305D32">
        <w:rPr>
          <w:lang w:val="es-MX"/>
        </w:rPr>
        <w:t xml:space="preserve">anca, las obligaciones de los Pidiregas de la CFE, las derivadas del antiguo Fideicomiso de Apoyo para el Rescate de Autopistas Concesionadas (FARAC), actualmente transformado en el Fondo Nacional de Infraestructura (FONADIN), así como el patrimonio de las </w:t>
      </w:r>
      <w:r w:rsidR="00C27C31">
        <w:rPr>
          <w:lang w:val="es-MX"/>
        </w:rPr>
        <w:t>i</w:t>
      </w:r>
      <w:r w:rsidRPr="00305D32">
        <w:rPr>
          <w:lang w:val="es-MX"/>
        </w:rPr>
        <w:t xml:space="preserve">nstituciones de </w:t>
      </w:r>
      <w:r w:rsidR="00C27C31">
        <w:rPr>
          <w:lang w:val="es-MX"/>
        </w:rPr>
        <w:t>f</w:t>
      </w:r>
      <w:r w:rsidRPr="00305D32">
        <w:rPr>
          <w:lang w:val="es-MX"/>
        </w:rPr>
        <w:t>omento.</w:t>
      </w:r>
    </w:p>
    <w:p w14:paraId="4D0832B5" w14:textId="6BF66C3A" w:rsidR="00AE57F0" w:rsidRPr="00305D32" w:rsidRDefault="00D365D2">
      <w:pPr>
        <w:spacing w:after="240"/>
        <w:rPr>
          <w:lang w:val="es-MX"/>
        </w:rPr>
      </w:pPr>
      <w:r w:rsidRPr="00305D32">
        <w:rPr>
          <w:lang w:val="es-MX"/>
        </w:rPr>
        <w:t xml:space="preserve">En este contexto, la </w:t>
      </w:r>
      <w:r w:rsidR="00E37817" w:rsidRPr="00305D32">
        <w:rPr>
          <w:lang w:val="es-MX"/>
        </w:rPr>
        <w:fldChar w:fldCharType="begin"/>
      </w:r>
      <w:r w:rsidR="00E37817" w:rsidRPr="00305D32">
        <w:rPr>
          <w:lang w:val="es-MX"/>
        </w:rPr>
        <w:instrText xml:space="preserve"> REF _Ref210214004 \h </w:instrText>
      </w:r>
      <w:r w:rsidR="00E37817" w:rsidRPr="00305D32">
        <w:rPr>
          <w:lang w:val="es-MX"/>
        </w:rPr>
      </w:r>
      <w:r w:rsidR="00E37817" w:rsidRPr="00305D32">
        <w:rPr>
          <w:lang w:val="es-MX"/>
        </w:rPr>
        <w:fldChar w:fldCharType="separate"/>
      </w:r>
      <w:r w:rsidR="00ED1F2F" w:rsidRPr="00305D32">
        <w:rPr>
          <w:lang w:val="es-MX"/>
        </w:rPr>
        <w:t xml:space="preserve">Figura </w:t>
      </w:r>
      <w:r w:rsidR="00ED1F2F">
        <w:rPr>
          <w:noProof/>
          <w:lang w:val="es-MX"/>
        </w:rPr>
        <w:t>22</w:t>
      </w:r>
      <w:r w:rsidR="00E37817" w:rsidRPr="00305D32">
        <w:rPr>
          <w:lang w:val="es-MX"/>
        </w:rPr>
        <w:fldChar w:fldCharType="end"/>
      </w:r>
      <w:r w:rsidRPr="00305D32">
        <w:rPr>
          <w:lang w:val="es-MX"/>
        </w:rPr>
        <w:t xml:space="preserve"> muestra el SHRFSP, considerado el indicador más integral del endeudamiento del sector público federal. En 2024, el saldo alcanzó los 17 billones 423 mil 222 millones de pesos, mientras que para julio de 2025 se ubicó </w:t>
      </w:r>
      <w:r w:rsidRPr="00305D32">
        <w:rPr>
          <w:lang w:val="es-MX"/>
        </w:rPr>
        <w:lastRenderedPageBreak/>
        <w:t>en 17 billones 840 mil millones de pesos, reflejando un incremento moderado en el nivel de endeudamiento durante este periodo.</w:t>
      </w:r>
    </w:p>
    <w:p w14:paraId="4D0832B6" w14:textId="60B6BEA1" w:rsidR="00AE57F0" w:rsidRPr="00305D32" w:rsidRDefault="00E37817" w:rsidP="00E37817">
      <w:pPr>
        <w:pStyle w:val="Descripcin"/>
        <w:jc w:val="center"/>
        <w:rPr>
          <w:color w:val="000000"/>
          <w:lang w:val="es-MX"/>
        </w:rPr>
      </w:pPr>
      <w:bookmarkStart w:id="56" w:name="_heading=h.3ep43zb" w:colFirst="0" w:colLast="0"/>
      <w:bookmarkStart w:id="57" w:name="_Ref210214004"/>
      <w:bookmarkEnd w:id="56"/>
      <w:r w:rsidRPr="00305D32">
        <w:rPr>
          <w:lang w:val="es-MX"/>
        </w:rPr>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22</w:t>
      </w:r>
      <w:r w:rsidRPr="00305D32">
        <w:rPr>
          <w:lang w:val="es-MX"/>
        </w:rPr>
        <w:fldChar w:fldCharType="end"/>
      </w:r>
      <w:bookmarkEnd w:id="57"/>
      <w:r w:rsidR="00414F7C" w:rsidRPr="00305D32">
        <w:rPr>
          <w:color w:val="000000"/>
          <w:lang w:val="es-MX"/>
        </w:rPr>
        <w:t>. Saldo Histórico de los Requerimientos Financieros del Sector Público (SHRFSP) Federal en México, 202</w:t>
      </w:r>
      <w:r w:rsidR="00545503" w:rsidRPr="00305D32">
        <w:rPr>
          <w:color w:val="000000"/>
          <w:lang w:val="es-MX"/>
        </w:rPr>
        <w:t>1</w:t>
      </w:r>
      <w:r w:rsidR="00414F7C" w:rsidRPr="00305D32">
        <w:rPr>
          <w:color w:val="000000"/>
          <w:lang w:val="es-MX"/>
        </w:rPr>
        <w:t>-202</w:t>
      </w:r>
      <w:r w:rsidR="00545503" w:rsidRPr="00305D32">
        <w:rPr>
          <w:color w:val="000000"/>
          <w:lang w:val="es-MX"/>
        </w:rPr>
        <w:t>5</w:t>
      </w:r>
      <w:r w:rsidR="00414F7C" w:rsidRPr="00305D32">
        <w:rPr>
          <w:color w:val="000000"/>
          <w:lang w:val="es-MX"/>
        </w:rPr>
        <w:t>*</w:t>
      </w:r>
      <w:r w:rsidR="00AF039F" w:rsidRPr="00305D32">
        <w:rPr>
          <w:color w:val="000000"/>
          <w:lang w:val="es-MX"/>
        </w:rPr>
        <w:t>, millones de pesos</w:t>
      </w:r>
    </w:p>
    <w:p w14:paraId="47AC9E11" w14:textId="0E558566" w:rsidR="00C24F8E" w:rsidRPr="00305D32" w:rsidRDefault="00C24F8E" w:rsidP="006C583F">
      <w:pPr>
        <w:keepNext/>
        <w:pBdr>
          <w:top w:val="nil"/>
          <w:left w:val="nil"/>
          <w:bottom w:val="nil"/>
          <w:right w:val="nil"/>
          <w:between w:val="nil"/>
        </w:pBdr>
        <w:spacing w:after="0"/>
        <w:jc w:val="center"/>
        <w:rPr>
          <w:b/>
          <w:color w:val="000000"/>
          <w:lang w:val="es-MX"/>
        </w:rPr>
      </w:pPr>
      <w:r w:rsidRPr="00305D32">
        <w:rPr>
          <w:noProof/>
          <w:lang w:val="es-MX" w:eastAsia="es-MX"/>
        </w:rPr>
        <w:drawing>
          <wp:inline distT="0" distB="0" distL="0" distR="0" wp14:anchorId="01EB4E6F" wp14:editId="2CDF89CA">
            <wp:extent cx="5753100" cy="1951630"/>
            <wp:effectExtent l="0" t="0" r="0" b="10795"/>
            <wp:docPr id="2002064649" name="Gráfico 1">
              <a:extLst xmlns:a="http://schemas.openxmlformats.org/drawingml/2006/main">
                <a:ext uri="{FF2B5EF4-FFF2-40B4-BE49-F238E27FC236}">
                  <a16:creationId xmlns:a16="http://schemas.microsoft.com/office/drawing/2014/main" id="{0B4CEAB1-5C2D-0719-0298-36531378A7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D0832B7" w14:textId="47ADF298" w:rsidR="00AE57F0" w:rsidRPr="00305D32" w:rsidRDefault="00414F7C">
      <w:pPr>
        <w:spacing w:line="240" w:lineRule="auto"/>
        <w:jc w:val="center"/>
        <w:rPr>
          <w:sz w:val="20"/>
          <w:szCs w:val="20"/>
          <w:lang w:val="es-MX"/>
        </w:rPr>
      </w:pPr>
      <w:r w:rsidRPr="00305D32">
        <w:rPr>
          <w:sz w:val="20"/>
          <w:szCs w:val="20"/>
          <w:lang w:val="es-MX"/>
        </w:rPr>
        <w:t xml:space="preserve"> Fuente: Elaboración de la Subsecretaría de Análisis Económico y Finanzas Públicas de la Secretaría de Finanzas y Planeación, con datos de la Secretaría de Hacienda y Crédito Público (202</w:t>
      </w:r>
      <w:r w:rsidR="00E30137" w:rsidRPr="00305D32">
        <w:rPr>
          <w:sz w:val="20"/>
          <w:szCs w:val="20"/>
          <w:lang w:val="es-MX"/>
        </w:rPr>
        <w:t>5</w:t>
      </w:r>
      <w:r w:rsidRPr="00305D32">
        <w:rPr>
          <w:sz w:val="20"/>
          <w:szCs w:val="20"/>
          <w:lang w:val="es-MX"/>
        </w:rPr>
        <w:t>). Notas: *Los datos de 202</w:t>
      </w:r>
      <w:r w:rsidR="00E30137" w:rsidRPr="00305D32">
        <w:rPr>
          <w:sz w:val="20"/>
          <w:szCs w:val="20"/>
          <w:lang w:val="es-MX"/>
        </w:rPr>
        <w:t>5</w:t>
      </w:r>
      <w:r w:rsidRPr="00305D32">
        <w:rPr>
          <w:sz w:val="20"/>
          <w:szCs w:val="20"/>
          <w:lang w:val="es-MX"/>
        </w:rPr>
        <w:t xml:space="preserve"> son con corte al mes de julio.</w:t>
      </w:r>
    </w:p>
    <w:p w14:paraId="00F13D03" w14:textId="38CBCC53" w:rsidR="00F560FB" w:rsidRPr="00305D32" w:rsidRDefault="00F560FB" w:rsidP="00F560FB">
      <w:pPr>
        <w:spacing w:after="240"/>
        <w:rPr>
          <w:lang w:val="es-MX"/>
        </w:rPr>
      </w:pPr>
      <w:r w:rsidRPr="00305D32">
        <w:rPr>
          <w:lang w:val="es-MX"/>
        </w:rPr>
        <w:t xml:space="preserve">La relación entre deuda y </w:t>
      </w:r>
      <w:r w:rsidR="00AB5792">
        <w:rPr>
          <w:lang w:val="es-MX"/>
        </w:rPr>
        <w:t>PIB</w:t>
      </w:r>
      <w:r w:rsidR="00AA1E37">
        <w:rPr>
          <w:lang w:val="es-MX"/>
        </w:rPr>
        <w:t xml:space="preserve"> </w:t>
      </w:r>
      <w:r w:rsidRPr="00305D32">
        <w:rPr>
          <w:lang w:val="es-MX"/>
        </w:rPr>
        <w:t xml:space="preserve">permite evaluar el nivel de apalancamiento financiero de </w:t>
      </w:r>
      <w:r w:rsidRPr="005A51AB">
        <w:rPr>
          <w:lang w:val="es-MX"/>
        </w:rPr>
        <w:t xml:space="preserve">una economía y refleja la situación general de sus finanzas públicas. En la </w:t>
      </w:r>
      <w:r w:rsidR="00E37817" w:rsidRPr="005A51AB">
        <w:rPr>
          <w:lang w:val="es-MX"/>
        </w:rPr>
        <w:fldChar w:fldCharType="begin"/>
      </w:r>
      <w:r w:rsidR="00E37817" w:rsidRPr="005A51AB">
        <w:rPr>
          <w:lang w:val="es-MX"/>
        </w:rPr>
        <w:instrText xml:space="preserve"> REF _Ref210214040 \h </w:instrText>
      </w:r>
      <w:r w:rsidR="005C1546">
        <w:rPr>
          <w:highlight w:val="yellow"/>
          <w:lang w:val="es-MX"/>
        </w:rPr>
        <w:instrText xml:space="preserve"> \* MERGEFORMAT </w:instrText>
      </w:r>
      <w:r w:rsidR="00E37817" w:rsidRPr="005A51AB">
        <w:rPr>
          <w:lang w:val="es-MX"/>
        </w:rPr>
      </w:r>
      <w:r w:rsidR="00E37817" w:rsidRPr="005A51AB">
        <w:rPr>
          <w:lang w:val="es-MX"/>
        </w:rPr>
        <w:fldChar w:fldCharType="separate"/>
      </w:r>
      <w:r w:rsidR="00ED1F2F" w:rsidRPr="00305D32">
        <w:rPr>
          <w:lang w:val="es-MX"/>
        </w:rPr>
        <w:t xml:space="preserve">Tabla </w:t>
      </w:r>
      <w:r w:rsidR="00ED1F2F">
        <w:rPr>
          <w:noProof/>
          <w:lang w:val="es-MX"/>
        </w:rPr>
        <w:t>4</w:t>
      </w:r>
      <w:r w:rsidR="00E37817" w:rsidRPr="005A51AB">
        <w:rPr>
          <w:lang w:val="es-MX"/>
        </w:rPr>
        <w:fldChar w:fldCharType="end"/>
      </w:r>
      <w:r w:rsidRPr="005A51AB">
        <w:rPr>
          <w:lang w:val="es-MX"/>
        </w:rPr>
        <w:t xml:space="preserve"> se presentan los datos de la deuda interna y externa del sector público, así como el SHRFSP. Para 2024, la deuda del sector público representó 51.7</w:t>
      </w:r>
      <w:r w:rsidR="0019290E">
        <w:rPr>
          <w:lang w:val="es-MX"/>
        </w:rPr>
        <w:t xml:space="preserve"> %</w:t>
      </w:r>
      <w:r w:rsidRPr="005A51AB">
        <w:rPr>
          <w:lang w:val="es-MX"/>
        </w:rPr>
        <w:t xml:space="preserve"> del PIB, mientras que el SHRFSP se situó en 51.3</w:t>
      </w:r>
      <w:r w:rsidR="0019290E">
        <w:rPr>
          <w:lang w:val="es-MX"/>
        </w:rPr>
        <w:t xml:space="preserve"> %</w:t>
      </w:r>
      <w:r w:rsidRPr="005A51AB">
        <w:rPr>
          <w:lang w:val="es-MX"/>
        </w:rPr>
        <w:t>, mostrando un incremento respecto</w:t>
      </w:r>
      <w:r w:rsidRPr="00305D32">
        <w:rPr>
          <w:lang w:val="es-MX"/>
        </w:rPr>
        <w:t xml:space="preserve"> a 2023, año en el que el endeudamiento relativo al PIB fue de 46.5</w:t>
      </w:r>
      <w:r w:rsidR="0019290E">
        <w:rPr>
          <w:lang w:val="es-MX"/>
        </w:rPr>
        <w:t xml:space="preserve"> %</w:t>
      </w:r>
      <w:r w:rsidRPr="00305D32">
        <w:rPr>
          <w:lang w:val="es-MX"/>
        </w:rPr>
        <w:t>.</w:t>
      </w:r>
    </w:p>
    <w:p w14:paraId="329CD9E0" w14:textId="6BBBBE7B" w:rsidR="005A51AB" w:rsidRDefault="00F560FB" w:rsidP="00F560FB">
      <w:pPr>
        <w:spacing w:after="240"/>
        <w:rPr>
          <w:lang w:val="es-MX"/>
        </w:rPr>
      </w:pPr>
      <w:r w:rsidRPr="00305D32">
        <w:rPr>
          <w:lang w:val="es-MX"/>
        </w:rPr>
        <w:t xml:space="preserve">Para el ejercicio fiscal 2025, </w:t>
      </w:r>
      <w:r w:rsidR="006538EF">
        <w:rPr>
          <w:lang w:val="es-MX"/>
        </w:rPr>
        <w:t xml:space="preserve">los </w:t>
      </w:r>
      <w:r w:rsidRPr="00305D32">
        <w:rPr>
          <w:lang w:val="es-MX"/>
        </w:rPr>
        <w:t>CGPE 2025 estimaban un SHRFSP de 51.4</w:t>
      </w:r>
      <w:r w:rsidR="0019290E">
        <w:rPr>
          <w:lang w:val="es-MX"/>
        </w:rPr>
        <w:t xml:space="preserve"> %</w:t>
      </w:r>
      <w:r w:rsidRPr="00305D32">
        <w:rPr>
          <w:lang w:val="es-MX"/>
        </w:rPr>
        <w:t xml:space="preserve"> del PIB; sin embargo, de acuerdo con los </w:t>
      </w:r>
      <w:r w:rsidR="005005B3">
        <w:rPr>
          <w:lang w:val="es-MX"/>
        </w:rPr>
        <w:t>CGPE 2026</w:t>
      </w:r>
      <w:r w:rsidRPr="00305D32">
        <w:rPr>
          <w:lang w:val="es-MX"/>
        </w:rPr>
        <w:t>, se proyecta que el saldo al cierre de 2025 alcance 52.3</w:t>
      </w:r>
      <w:r w:rsidR="0019290E">
        <w:rPr>
          <w:lang w:val="es-MX"/>
        </w:rPr>
        <w:t xml:space="preserve"> %</w:t>
      </w:r>
      <w:r w:rsidRPr="00305D32">
        <w:rPr>
          <w:lang w:val="es-MX"/>
        </w:rPr>
        <w:t xml:space="preserve"> del PIB, es decir, 0.9 puntos porcentuales por encima de lo previsto originalmente.</w:t>
      </w:r>
      <w:r w:rsidR="005A51AB">
        <w:rPr>
          <w:lang w:val="es-MX"/>
        </w:rPr>
        <w:t xml:space="preserve"> La revisión también afectó la deuda pública total, ya que en los CGPE 2025 se aprobó </w:t>
      </w:r>
      <w:r w:rsidR="005A51AB" w:rsidRPr="005A51AB">
        <w:rPr>
          <w:lang w:val="es-MX"/>
        </w:rPr>
        <w:t>50.9</w:t>
      </w:r>
      <w:r w:rsidR="0019290E">
        <w:rPr>
          <w:lang w:val="es-MX"/>
        </w:rPr>
        <w:t xml:space="preserve"> %</w:t>
      </w:r>
      <w:r w:rsidR="005A51AB">
        <w:rPr>
          <w:lang w:val="es-MX"/>
        </w:rPr>
        <w:t xml:space="preserve"> del PIB para 2025 y los CGPE 2026 proyectan una deuda pública total de </w:t>
      </w:r>
      <w:r w:rsidR="005A51AB" w:rsidRPr="005A51AB">
        <w:rPr>
          <w:lang w:val="es-MX"/>
        </w:rPr>
        <w:t>52.60</w:t>
      </w:r>
      <w:r w:rsidR="0019290E">
        <w:rPr>
          <w:lang w:val="es-MX"/>
        </w:rPr>
        <w:t xml:space="preserve"> %</w:t>
      </w:r>
      <w:r w:rsidR="005A51AB">
        <w:rPr>
          <w:lang w:val="es-MX"/>
        </w:rPr>
        <w:t xml:space="preserve"> al cierre del ejercicio 2025, es decir, un alza de 1.5</w:t>
      </w:r>
      <w:r w:rsidR="0019290E">
        <w:rPr>
          <w:lang w:val="es-MX"/>
        </w:rPr>
        <w:t xml:space="preserve"> %</w:t>
      </w:r>
      <w:r w:rsidR="005A51AB">
        <w:rPr>
          <w:lang w:val="es-MX"/>
        </w:rPr>
        <w:t xml:space="preserve"> del PIB.</w:t>
      </w:r>
    </w:p>
    <w:p w14:paraId="4D0832B9" w14:textId="60C15112" w:rsidR="00AE57F0" w:rsidRPr="00305D32" w:rsidRDefault="00F560FB" w:rsidP="00F560FB">
      <w:pPr>
        <w:spacing w:after="240"/>
        <w:rPr>
          <w:lang w:val="es-MX"/>
        </w:rPr>
      </w:pPr>
      <w:r w:rsidRPr="00305D32">
        <w:rPr>
          <w:lang w:val="es-MX"/>
        </w:rPr>
        <w:lastRenderedPageBreak/>
        <w:t>Para 2026, se mantiene la estimación del SHRFSP en 52.3</w:t>
      </w:r>
      <w:r w:rsidR="0019290E">
        <w:rPr>
          <w:lang w:val="es-MX"/>
        </w:rPr>
        <w:t xml:space="preserve"> %</w:t>
      </w:r>
      <w:r w:rsidRPr="00305D32">
        <w:rPr>
          <w:lang w:val="es-MX"/>
        </w:rPr>
        <w:t xml:space="preserve"> del PIB, indicando una estabilización del nivel de endeudamiento del sector público en relación con la economía.</w:t>
      </w:r>
      <w:r w:rsidR="005A51AB">
        <w:rPr>
          <w:lang w:val="es-MX"/>
        </w:rPr>
        <w:t xml:space="preserve"> La deuda pública total se estima de 52.8</w:t>
      </w:r>
      <w:r w:rsidR="0019290E">
        <w:rPr>
          <w:lang w:val="es-MX"/>
        </w:rPr>
        <w:t xml:space="preserve"> %</w:t>
      </w:r>
      <w:r w:rsidR="005A51AB">
        <w:rPr>
          <w:lang w:val="es-MX"/>
        </w:rPr>
        <w:t xml:space="preserve"> del PIB, mostrando una sustitución de la deuda externa (11.6</w:t>
      </w:r>
      <w:r w:rsidR="0019290E">
        <w:rPr>
          <w:lang w:val="es-MX"/>
        </w:rPr>
        <w:t xml:space="preserve"> %</w:t>
      </w:r>
      <w:r w:rsidR="005A51AB">
        <w:rPr>
          <w:lang w:val="es-MX"/>
        </w:rPr>
        <w:t>) por mayor deuda interna (41.3</w:t>
      </w:r>
      <w:r w:rsidR="0019290E">
        <w:rPr>
          <w:lang w:val="es-MX"/>
        </w:rPr>
        <w:t xml:space="preserve"> %</w:t>
      </w:r>
      <w:r w:rsidR="005A51AB">
        <w:rPr>
          <w:lang w:val="es-MX"/>
        </w:rPr>
        <w:t>).</w:t>
      </w:r>
    </w:p>
    <w:p w14:paraId="4D0832BA" w14:textId="5B5AE29B" w:rsidR="00AE57F0" w:rsidRPr="00305D32" w:rsidRDefault="00E37817" w:rsidP="00E37817">
      <w:pPr>
        <w:pStyle w:val="Descripcin"/>
        <w:jc w:val="center"/>
        <w:rPr>
          <w:lang w:val="es-MX"/>
        </w:rPr>
      </w:pPr>
      <w:bookmarkStart w:id="58" w:name="_heading=h.1tuee74" w:colFirst="0" w:colLast="0"/>
      <w:bookmarkStart w:id="59" w:name="_Ref210214040"/>
      <w:bookmarkEnd w:id="58"/>
      <w:r w:rsidRPr="00305D32">
        <w:rPr>
          <w:lang w:val="es-MX"/>
        </w:rPr>
        <w:t xml:space="preserve">Tabla </w:t>
      </w:r>
      <w:r w:rsidRPr="00305D32">
        <w:rPr>
          <w:lang w:val="es-MX"/>
        </w:rPr>
        <w:fldChar w:fldCharType="begin"/>
      </w:r>
      <w:r w:rsidRPr="00305D32">
        <w:rPr>
          <w:lang w:val="es-MX"/>
        </w:rPr>
        <w:instrText xml:space="preserve"> SEQ Tabla \* ARABIC </w:instrText>
      </w:r>
      <w:r w:rsidRPr="00305D32">
        <w:rPr>
          <w:lang w:val="es-MX"/>
        </w:rPr>
        <w:fldChar w:fldCharType="separate"/>
      </w:r>
      <w:r w:rsidR="00ED1F2F">
        <w:rPr>
          <w:noProof/>
          <w:lang w:val="es-MX"/>
        </w:rPr>
        <w:t>4</w:t>
      </w:r>
      <w:r w:rsidRPr="00305D32">
        <w:rPr>
          <w:lang w:val="es-MX"/>
        </w:rPr>
        <w:fldChar w:fldCharType="end"/>
      </w:r>
      <w:bookmarkEnd w:id="59"/>
      <w:r w:rsidRPr="00305D32">
        <w:rPr>
          <w:lang w:val="es-MX"/>
        </w:rPr>
        <w:t>.</w:t>
      </w:r>
      <w:r w:rsidR="00414F7C" w:rsidRPr="00305D32">
        <w:rPr>
          <w:lang w:val="es-MX"/>
        </w:rPr>
        <w:t xml:space="preserve"> Saldo de la deuda neta del sector público y del Saldo Histórico de los Requerimientos Financieros del Sector Público (SHRFSP) como proporción del PIB en México, 202</w:t>
      </w:r>
      <w:r w:rsidR="00D225CE" w:rsidRPr="00305D32">
        <w:rPr>
          <w:lang w:val="es-MX"/>
        </w:rPr>
        <w:t>3</w:t>
      </w:r>
      <w:r w:rsidR="00414F7C" w:rsidRPr="00305D32">
        <w:rPr>
          <w:lang w:val="es-MX"/>
        </w:rPr>
        <w:t>-202</w:t>
      </w:r>
      <w:r w:rsidR="00D225CE" w:rsidRPr="00305D32">
        <w:rPr>
          <w:lang w:val="es-MX"/>
        </w:rPr>
        <w:t>6</w:t>
      </w:r>
    </w:p>
    <w:tbl>
      <w:tblPr>
        <w:tblW w:w="8355" w:type="dxa"/>
        <w:jc w:val="center"/>
        <w:tblCellMar>
          <w:left w:w="70" w:type="dxa"/>
          <w:right w:w="70" w:type="dxa"/>
        </w:tblCellMar>
        <w:tblLook w:val="04A0" w:firstRow="1" w:lastRow="0" w:firstColumn="1" w:lastColumn="0" w:noHBand="0" w:noVBand="1"/>
      </w:tblPr>
      <w:tblGrid>
        <w:gridCol w:w="1755"/>
        <w:gridCol w:w="1320"/>
        <w:gridCol w:w="1320"/>
        <w:gridCol w:w="1320"/>
        <w:gridCol w:w="1320"/>
        <w:gridCol w:w="1320"/>
      </w:tblGrid>
      <w:tr w:rsidR="0051478A" w:rsidRPr="00305D32" w14:paraId="6E2F811A" w14:textId="77777777" w:rsidTr="0051478A">
        <w:trPr>
          <w:trHeight w:val="300"/>
          <w:jc w:val="center"/>
        </w:trPr>
        <w:tc>
          <w:tcPr>
            <w:tcW w:w="1755" w:type="dxa"/>
            <w:vMerge w:val="restart"/>
            <w:tcBorders>
              <w:top w:val="single" w:sz="8" w:space="0" w:color="auto"/>
              <w:left w:val="single" w:sz="8" w:space="0" w:color="auto"/>
              <w:bottom w:val="single" w:sz="8" w:space="0" w:color="000000"/>
              <w:right w:val="single" w:sz="8" w:space="0" w:color="auto"/>
            </w:tcBorders>
            <w:noWrap/>
            <w:vAlign w:val="center"/>
            <w:hideMark/>
          </w:tcPr>
          <w:p w14:paraId="2E250A2D" w14:textId="77777777" w:rsidR="0051478A" w:rsidRPr="00305D32" w:rsidRDefault="0051478A" w:rsidP="0051478A">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Concepto</w:t>
            </w:r>
          </w:p>
        </w:tc>
        <w:tc>
          <w:tcPr>
            <w:tcW w:w="1320" w:type="dxa"/>
            <w:vMerge w:val="restart"/>
            <w:tcBorders>
              <w:top w:val="single" w:sz="8" w:space="0" w:color="auto"/>
              <w:left w:val="single" w:sz="8" w:space="0" w:color="auto"/>
              <w:bottom w:val="single" w:sz="8" w:space="0" w:color="000000"/>
              <w:right w:val="single" w:sz="8" w:space="0" w:color="auto"/>
            </w:tcBorders>
            <w:noWrap/>
            <w:vAlign w:val="center"/>
            <w:hideMark/>
          </w:tcPr>
          <w:p w14:paraId="5E043457" w14:textId="77777777" w:rsidR="0051478A" w:rsidRPr="00305D32" w:rsidRDefault="0051478A" w:rsidP="0051478A">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2023</w:t>
            </w:r>
          </w:p>
        </w:tc>
        <w:tc>
          <w:tcPr>
            <w:tcW w:w="1320" w:type="dxa"/>
            <w:vMerge w:val="restart"/>
            <w:tcBorders>
              <w:top w:val="single" w:sz="8" w:space="0" w:color="auto"/>
              <w:left w:val="single" w:sz="8" w:space="0" w:color="auto"/>
              <w:bottom w:val="single" w:sz="8" w:space="0" w:color="000000"/>
              <w:right w:val="single" w:sz="8" w:space="0" w:color="auto"/>
            </w:tcBorders>
            <w:noWrap/>
            <w:vAlign w:val="center"/>
            <w:hideMark/>
          </w:tcPr>
          <w:p w14:paraId="6258DF32" w14:textId="77777777" w:rsidR="0051478A" w:rsidRPr="00305D32" w:rsidRDefault="0051478A" w:rsidP="0051478A">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2024</w:t>
            </w:r>
          </w:p>
        </w:tc>
        <w:tc>
          <w:tcPr>
            <w:tcW w:w="2640" w:type="dxa"/>
            <w:gridSpan w:val="2"/>
            <w:tcBorders>
              <w:top w:val="single" w:sz="8" w:space="0" w:color="auto"/>
              <w:left w:val="nil"/>
              <w:bottom w:val="single" w:sz="8" w:space="0" w:color="auto"/>
              <w:right w:val="single" w:sz="8" w:space="0" w:color="000000"/>
            </w:tcBorders>
            <w:noWrap/>
            <w:vAlign w:val="center"/>
            <w:hideMark/>
          </w:tcPr>
          <w:p w14:paraId="06776918" w14:textId="77777777" w:rsidR="0051478A" w:rsidRPr="00305D32" w:rsidRDefault="0051478A" w:rsidP="0051478A">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2025</w:t>
            </w:r>
          </w:p>
        </w:tc>
        <w:tc>
          <w:tcPr>
            <w:tcW w:w="1320" w:type="dxa"/>
            <w:tcBorders>
              <w:top w:val="single" w:sz="8" w:space="0" w:color="auto"/>
              <w:left w:val="nil"/>
              <w:bottom w:val="single" w:sz="8" w:space="0" w:color="auto"/>
              <w:right w:val="single" w:sz="8" w:space="0" w:color="auto"/>
            </w:tcBorders>
            <w:noWrap/>
            <w:vAlign w:val="center"/>
            <w:hideMark/>
          </w:tcPr>
          <w:p w14:paraId="2E076EB9" w14:textId="77777777" w:rsidR="0051478A" w:rsidRPr="00305D32" w:rsidRDefault="0051478A" w:rsidP="0051478A">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2026</w:t>
            </w:r>
          </w:p>
        </w:tc>
      </w:tr>
      <w:tr w:rsidR="0051478A" w:rsidRPr="00305D32" w14:paraId="6CA3859D" w14:textId="77777777" w:rsidTr="0051478A">
        <w:trPr>
          <w:trHeight w:val="285"/>
          <w:jc w:val="center"/>
        </w:trPr>
        <w:tc>
          <w:tcPr>
            <w:tcW w:w="1755" w:type="dxa"/>
            <w:vMerge/>
            <w:tcBorders>
              <w:top w:val="single" w:sz="8" w:space="0" w:color="auto"/>
              <w:left w:val="single" w:sz="8" w:space="0" w:color="auto"/>
              <w:bottom w:val="single" w:sz="8" w:space="0" w:color="000000"/>
              <w:right w:val="single" w:sz="8" w:space="0" w:color="auto"/>
            </w:tcBorders>
            <w:vAlign w:val="center"/>
            <w:hideMark/>
          </w:tcPr>
          <w:p w14:paraId="2F78B0BE" w14:textId="77777777" w:rsidR="0051478A" w:rsidRPr="00305D32" w:rsidRDefault="0051478A" w:rsidP="0051478A">
            <w:pPr>
              <w:spacing w:after="0" w:line="240" w:lineRule="auto"/>
              <w:jc w:val="left"/>
              <w:rPr>
                <w:rFonts w:eastAsia="Times New Roman"/>
                <w:b/>
                <w:bCs/>
                <w:color w:val="000000"/>
                <w:sz w:val="20"/>
                <w:szCs w:val="20"/>
                <w:lang w:val="es-MX" w:eastAsia="es-MX"/>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14:paraId="44212AE3" w14:textId="77777777" w:rsidR="0051478A" w:rsidRPr="00305D32" w:rsidRDefault="0051478A" w:rsidP="0051478A">
            <w:pPr>
              <w:spacing w:after="0" w:line="240" w:lineRule="auto"/>
              <w:jc w:val="left"/>
              <w:rPr>
                <w:rFonts w:eastAsia="Times New Roman"/>
                <w:b/>
                <w:bCs/>
                <w:color w:val="000000"/>
                <w:sz w:val="20"/>
                <w:szCs w:val="20"/>
                <w:lang w:val="es-MX" w:eastAsia="es-MX"/>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14:paraId="47771357" w14:textId="77777777" w:rsidR="0051478A" w:rsidRPr="00305D32" w:rsidRDefault="0051478A" w:rsidP="0051478A">
            <w:pPr>
              <w:spacing w:after="0" w:line="240" w:lineRule="auto"/>
              <w:jc w:val="left"/>
              <w:rPr>
                <w:rFonts w:eastAsia="Times New Roman"/>
                <w:b/>
                <w:bCs/>
                <w:color w:val="000000"/>
                <w:sz w:val="20"/>
                <w:szCs w:val="20"/>
                <w:lang w:val="es-MX" w:eastAsia="es-MX"/>
              </w:rPr>
            </w:pPr>
          </w:p>
        </w:tc>
        <w:tc>
          <w:tcPr>
            <w:tcW w:w="1320" w:type="dxa"/>
            <w:tcBorders>
              <w:top w:val="nil"/>
              <w:left w:val="nil"/>
              <w:bottom w:val="nil"/>
              <w:right w:val="single" w:sz="8" w:space="0" w:color="auto"/>
            </w:tcBorders>
            <w:vAlign w:val="center"/>
            <w:hideMark/>
          </w:tcPr>
          <w:p w14:paraId="3E2DD862" w14:textId="77777777" w:rsidR="0051478A" w:rsidRPr="00305D32" w:rsidRDefault="0051478A" w:rsidP="0051478A">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Aprobado</w:t>
            </w:r>
          </w:p>
        </w:tc>
        <w:tc>
          <w:tcPr>
            <w:tcW w:w="1320" w:type="dxa"/>
            <w:tcBorders>
              <w:top w:val="nil"/>
              <w:left w:val="nil"/>
              <w:bottom w:val="nil"/>
              <w:right w:val="single" w:sz="8" w:space="0" w:color="auto"/>
            </w:tcBorders>
            <w:vAlign w:val="center"/>
            <w:hideMark/>
          </w:tcPr>
          <w:p w14:paraId="7FD2F107" w14:textId="77777777" w:rsidR="0051478A" w:rsidRPr="00305D32" w:rsidRDefault="0051478A" w:rsidP="0051478A">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Estimado</w:t>
            </w:r>
          </w:p>
        </w:tc>
        <w:tc>
          <w:tcPr>
            <w:tcW w:w="1320" w:type="dxa"/>
            <w:tcBorders>
              <w:top w:val="nil"/>
              <w:left w:val="nil"/>
              <w:bottom w:val="nil"/>
              <w:right w:val="single" w:sz="8" w:space="0" w:color="auto"/>
            </w:tcBorders>
            <w:vAlign w:val="center"/>
            <w:hideMark/>
          </w:tcPr>
          <w:p w14:paraId="5A759A0B" w14:textId="77777777" w:rsidR="0051478A" w:rsidRPr="00305D32" w:rsidRDefault="0051478A" w:rsidP="0051478A">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Estimado</w:t>
            </w:r>
          </w:p>
        </w:tc>
      </w:tr>
      <w:tr w:rsidR="0051478A" w:rsidRPr="00305D32" w14:paraId="5D706779" w14:textId="77777777" w:rsidTr="005F552B">
        <w:trPr>
          <w:trHeight w:val="317"/>
          <w:jc w:val="center"/>
        </w:trPr>
        <w:tc>
          <w:tcPr>
            <w:tcW w:w="1755" w:type="dxa"/>
            <w:vMerge/>
            <w:tcBorders>
              <w:top w:val="single" w:sz="8" w:space="0" w:color="auto"/>
              <w:left w:val="single" w:sz="8" w:space="0" w:color="auto"/>
              <w:bottom w:val="single" w:sz="8" w:space="0" w:color="000000"/>
              <w:right w:val="single" w:sz="8" w:space="0" w:color="auto"/>
            </w:tcBorders>
            <w:vAlign w:val="center"/>
            <w:hideMark/>
          </w:tcPr>
          <w:p w14:paraId="5849CE45" w14:textId="77777777" w:rsidR="0051478A" w:rsidRPr="00305D32" w:rsidRDefault="0051478A" w:rsidP="0051478A">
            <w:pPr>
              <w:spacing w:after="0" w:line="240" w:lineRule="auto"/>
              <w:jc w:val="left"/>
              <w:rPr>
                <w:rFonts w:eastAsia="Times New Roman"/>
                <w:b/>
                <w:bCs/>
                <w:color w:val="000000"/>
                <w:sz w:val="20"/>
                <w:szCs w:val="20"/>
                <w:lang w:val="es-MX" w:eastAsia="es-MX"/>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14:paraId="227B1F2F" w14:textId="77777777" w:rsidR="0051478A" w:rsidRPr="00305D32" w:rsidRDefault="0051478A" w:rsidP="0051478A">
            <w:pPr>
              <w:spacing w:after="0" w:line="240" w:lineRule="auto"/>
              <w:jc w:val="left"/>
              <w:rPr>
                <w:rFonts w:eastAsia="Times New Roman"/>
                <w:b/>
                <w:bCs/>
                <w:color w:val="000000"/>
                <w:sz w:val="20"/>
                <w:szCs w:val="20"/>
                <w:lang w:val="es-MX" w:eastAsia="es-MX"/>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14:paraId="68681A0D" w14:textId="77777777" w:rsidR="0051478A" w:rsidRPr="00305D32" w:rsidRDefault="0051478A" w:rsidP="0051478A">
            <w:pPr>
              <w:spacing w:after="0" w:line="240" w:lineRule="auto"/>
              <w:jc w:val="left"/>
              <w:rPr>
                <w:rFonts w:eastAsia="Times New Roman"/>
                <w:b/>
                <w:bCs/>
                <w:color w:val="000000"/>
                <w:sz w:val="20"/>
                <w:szCs w:val="20"/>
                <w:lang w:val="es-MX" w:eastAsia="es-MX"/>
              </w:rPr>
            </w:pPr>
          </w:p>
        </w:tc>
        <w:tc>
          <w:tcPr>
            <w:tcW w:w="1320" w:type="dxa"/>
            <w:tcBorders>
              <w:top w:val="nil"/>
              <w:left w:val="nil"/>
              <w:bottom w:val="single" w:sz="8" w:space="0" w:color="auto"/>
              <w:right w:val="single" w:sz="8" w:space="0" w:color="auto"/>
            </w:tcBorders>
            <w:vAlign w:val="center"/>
            <w:hideMark/>
          </w:tcPr>
          <w:p w14:paraId="7CBC459A" w14:textId="77777777" w:rsidR="0051478A" w:rsidRPr="00305D32" w:rsidRDefault="0051478A" w:rsidP="0051478A">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CGPE 2025</w:t>
            </w:r>
          </w:p>
        </w:tc>
        <w:tc>
          <w:tcPr>
            <w:tcW w:w="1320" w:type="dxa"/>
            <w:tcBorders>
              <w:top w:val="nil"/>
              <w:left w:val="nil"/>
              <w:bottom w:val="single" w:sz="8" w:space="0" w:color="auto"/>
              <w:right w:val="single" w:sz="8" w:space="0" w:color="auto"/>
            </w:tcBorders>
            <w:vAlign w:val="center"/>
            <w:hideMark/>
          </w:tcPr>
          <w:p w14:paraId="5DC71FD4" w14:textId="4219A1C2" w:rsidR="0051478A" w:rsidRPr="00305D32" w:rsidRDefault="0051478A" w:rsidP="0051478A">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CGPE 2026</w:t>
            </w:r>
          </w:p>
        </w:tc>
        <w:tc>
          <w:tcPr>
            <w:tcW w:w="1320" w:type="dxa"/>
            <w:tcBorders>
              <w:top w:val="nil"/>
              <w:left w:val="nil"/>
              <w:bottom w:val="single" w:sz="8" w:space="0" w:color="auto"/>
              <w:right w:val="single" w:sz="8" w:space="0" w:color="auto"/>
            </w:tcBorders>
            <w:vAlign w:val="center"/>
            <w:hideMark/>
          </w:tcPr>
          <w:p w14:paraId="3B1CDDA9" w14:textId="03AD58EF" w:rsidR="0051478A" w:rsidRPr="00305D32" w:rsidRDefault="0051478A" w:rsidP="0051478A">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CGPE 2026</w:t>
            </w:r>
          </w:p>
        </w:tc>
      </w:tr>
      <w:tr w:rsidR="0051478A" w:rsidRPr="00305D32" w14:paraId="2F96527A" w14:textId="77777777" w:rsidTr="0051478A">
        <w:trPr>
          <w:trHeight w:val="300"/>
          <w:jc w:val="center"/>
        </w:trPr>
        <w:tc>
          <w:tcPr>
            <w:tcW w:w="1755" w:type="dxa"/>
            <w:tcBorders>
              <w:top w:val="nil"/>
              <w:left w:val="single" w:sz="8" w:space="0" w:color="auto"/>
              <w:bottom w:val="single" w:sz="8" w:space="0" w:color="auto"/>
              <w:right w:val="single" w:sz="8" w:space="0" w:color="auto"/>
            </w:tcBorders>
            <w:noWrap/>
            <w:vAlign w:val="center"/>
            <w:hideMark/>
          </w:tcPr>
          <w:p w14:paraId="3C3E66F2" w14:textId="77777777" w:rsidR="0051478A" w:rsidRPr="00305D32" w:rsidRDefault="0051478A" w:rsidP="0051478A">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Deuda Interna</w:t>
            </w:r>
          </w:p>
        </w:tc>
        <w:tc>
          <w:tcPr>
            <w:tcW w:w="1320" w:type="dxa"/>
            <w:tcBorders>
              <w:top w:val="nil"/>
              <w:left w:val="nil"/>
              <w:bottom w:val="single" w:sz="8" w:space="0" w:color="auto"/>
              <w:right w:val="single" w:sz="8" w:space="0" w:color="auto"/>
            </w:tcBorders>
            <w:noWrap/>
            <w:vAlign w:val="center"/>
            <w:hideMark/>
          </w:tcPr>
          <w:p w14:paraId="41003186" w14:textId="54BD87B5" w:rsidR="0051478A" w:rsidRPr="00305D32" w:rsidRDefault="0051478A"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35.3</w:t>
            </w:r>
            <w:r w:rsidR="0019290E">
              <w:rPr>
                <w:rFonts w:eastAsia="Times New Roman"/>
                <w:color w:val="000000"/>
                <w:sz w:val="20"/>
                <w:szCs w:val="20"/>
                <w:lang w:val="es-MX" w:eastAsia="es-MX"/>
              </w:rPr>
              <w:t xml:space="preserve"> %</w:t>
            </w:r>
          </w:p>
        </w:tc>
        <w:tc>
          <w:tcPr>
            <w:tcW w:w="1320" w:type="dxa"/>
            <w:tcBorders>
              <w:top w:val="nil"/>
              <w:left w:val="nil"/>
              <w:bottom w:val="single" w:sz="8" w:space="0" w:color="auto"/>
              <w:right w:val="single" w:sz="8" w:space="0" w:color="auto"/>
            </w:tcBorders>
            <w:noWrap/>
            <w:vAlign w:val="center"/>
            <w:hideMark/>
          </w:tcPr>
          <w:p w14:paraId="3F78B2D4" w14:textId="14A35DB5" w:rsidR="0051478A" w:rsidRPr="00305D32" w:rsidRDefault="0051478A"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38.6</w:t>
            </w:r>
            <w:r w:rsidR="0019290E">
              <w:rPr>
                <w:rFonts w:eastAsia="Times New Roman"/>
                <w:color w:val="000000"/>
                <w:sz w:val="20"/>
                <w:szCs w:val="20"/>
                <w:lang w:val="es-MX" w:eastAsia="es-MX"/>
              </w:rPr>
              <w:t xml:space="preserve"> %</w:t>
            </w:r>
          </w:p>
        </w:tc>
        <w:tc>
          <w:tcPr>
            <w:tcW w:w="1320" w:type="dxa"/>
            <w:tcBorders>
              <w:top w:val="nil"/>
              <w:left w:val="nil"/>
              <w:bottom w:val="single" w:sz="8" w:space="0" w:color="auto"/>
              <w:right w:val="single" w:sz="8" w:space="0" w:color="auto"/>
            </w:tcBorders>
            <w:noWrap/>
            <w:vAlign w:val="center"/>
            <w:hideMark/>
          </w:tcPr>
          <w:p w14:paraId="14713DFE" w14:textId="14875836" w:rsidR="0051478A" w:rsidRPr="00305D32" w:rsidRDefault="0051478A"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39.2</w:t>
            </w:r>
            <w:r w:rsidR="0019290E">
              <w:rPr>
                <w:rFonts w:eastAsia="Times New Roman"/>
                <w:color w:val="000000"/>
                <w:sz w:val="20"/>
                <w:szCs w:val="20"/>
                <w:lang w:val="es-MX" w:eastAsia="es-MX"/>
              </w:rPr>
              <w:t xml:space="preserve"> %</w:t>
            </w:r>
          </w:p>
        </w:tc>
        <w:tc>
          <w:tcPr>
            <w:tcW w:w="1320" w:type="dxa"/>
            <w:tcBorders>
              <w:top w:val="nil"/>
              <w:left w:val="nil"/>
              <w:bottom w:val="single" w:sz="8" w:space="0" w:color="auto"/>
              <w:right w:val="single" w:sz="8" w:space="0" w:color="auto"/>
            </w:tcBorders>
            <w:noWrap/>
            <w:vAlign w:val="center"/>
            <w:hideMark/>
          </w:tcPr>
          <w:p w14:paraId="5763FDFB" w14:textId="3D3DDBE3" w:rsidR="0051478A" w:rsidRPr="00305D32" w:rsidRDefault="003462D7"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40.2</w:t>
            </w:r>
            <w:r w:rsidR="0019290E">
              <w:rPr>
                <w:rFonts w:eastAsia="Times New Roman"/>
                <w:color w:val="000000"/>
                <w:sz w:val="20"/>
                <w:szCs w:val="20"/>
                <w:lang w:val="es-MX" w:eastAsia="es-MX"/>
              </w:rPr>
              <w:t xml:space="preserve"> %</w:t>
            </w:r>
          </w:p>
        </w:tc>
        <w:tc>
          <w:tcPr>
            <w:tcW w:w="1320" w:type="dxa"/>
            <w:tcBorders>
              <w:top w:val="nil"/>
              <w:left w:val="nil"/>
              <w:bottom w:val="single" w:sz="8" w:space="0" w:color="auto"/>
              <w:right w:val="single" w:sz="8" w:space="0" w:color="auto"/>
            </w:tcBorders>
            <w:noWrap/>
            <w:vAlign w:val="center"/>
            <w:hideMark/>
          </w:tcPr>
          <w:p w14:paraId="321375AE" w14:textId="1461A5E0" w:rsidR="0051478A" w:rsidRPr="00305D32" w:rsidRDefault="00DC45EF"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41.3</w:t>
            </w:r>
            <w:r w:rsidR="0019290E">
              <w:rPr>
                <w:rFonts w:eastAsia="Times New Roman"/>
                <w:color w:val="000000"/>
                <w:sz w:val="20"/>
                <w:szCs w:val="20"/>
                <w:lang w:val="es-MX" w:eastAsia="es-MX"/>
              </w:rPr>
              <w:t xml:space="preserve"> %</w:t>
            </w:r>
          </w:p>
        </w:tc>
      </w:tr>
      <w:tr w:rsidR="0051478A" w:rsidRPr="00305D32" w14:paraId="623A6396" w14:textId="77777777" w:rsidTr="0051478A">
        <w:trPr>
          <w:trHeight w:val="300"/>
          <w:jc w:val="center"/>
        </w:trPr>
        <w:tc>
          <w:tcPr>
            <w:tcW w:w="1755" w:type="dxa"/>
            <w:tcBorders>
              <w:top w:val="nil"/>
              <w:left w:val="single" w:sz="8" w:space="0" w:color="auto"/>
              <w:bottom w:val="single" w:sz="8" w:space="0" w:color="auto"/>
              <w:right w:val="single" w:sz="8" w:space="0" w:color="auto"/>
            </w:tcBorders>
            <w:noWrap/>
            <w:vAlign w:val="center"/>
            <w:hideMark/>
          </w:tcPr>
          <w:p w14:paraId="34E6E9FD" w14:textId="77777777" w:rsidR="0051478A" w:rsidRPr="00305D32" w:rsidRDefault="0051478A" w:rsidP="0051478A">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Deuda Externa</w:t>
            </w:r>
          </w:p>
        </w:tc>
        <w:tc>
          <w:tcPr>
            <w:tcW w:w="1320" w:type="dxa"/>
            <w:tcBorders>
              <w:top w:val="nil"/>
              <w:left w:val="nil"/>
              <w:bottom w:val="single" w:sz="8" w:space="0" w:color="auto"/>
              <w:right w:val="single" w:sz="8" w:space="0" w:color="auto"/>
            </w:tcBorders>
            <w:noWrap/>
            <w:vAlign w:val="center"/>
            <w:hideMark/>
          </w:tcPr>
          <w:p w14:paraId="19AB5652" w14:textId="0BA0FD18" w:rsidR="0051478A" w:rsidRPr="00305D32" w:rsidRDefault="0051478A"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11.3</w:t>
            </w:r>
            <w:r w:rsidR="0019290E">
              <w:rPr>
                <w:rFonts w:eastAsia="Times New Roman"/>
                <w:color w:val="000000"/>
                <w:sz w:val="20"/>
                <w:szCs w:val="20"/>
                <w:lang w:val="es-MX" w:eastAsia="es-MX"/>
              </w:rPr>
              <w:t xml:space="preserve"> %</w:t>
            </w:r>
          </w:p>
        </w:tc>
        <w:tc>
          <w:tcPr>
            <w:tcW w:w="1320" w:type="dxa"/>
            <w:tcBorders>
              <w:top w:val="nil"/>
              <w:left w:val="nil"/>
              <w:bottom w:val="single" w:sz="8" w:space="0" w:color="auto"/>
              <w:right w:val="single" w:sz="8" w:space="0" w:color="auto"/>
            </w:tcBorders>
            <w:noWrap/>
            <w:vAlign w:val="center"/>
            <w:hideMark/>
          </w:tcPr>
          <w:p w14:paraId="5D1B3F3C" w14:textId="1C718594" w:rsidR="0051478A" w:rsidRPr="00305D32" w:rsidRDefault="0051478A"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13.0</w:t>
            </w:r>
            <w:r w:rsidR="0019290E">
              <w:rPr>
                <w:rFonts w:eastAsia="Times New Roman"/>
                <w:color w:val="000000"/>
                <w:sz w:val="20"/>
                <w:szCs w:val="20"/>
                <w:lang w:val="es-MX" w:eastAsia="es-MX"/>
              </w:rPr>
              <w:t xml:space="preserve"> %</w:t>
            </w:r>
          </w:p>
        </w:tc>
        <w:tc>
          <w:tcPr>
            <w:tcW w:w="1320" w:type="dxa"/>
            <w:tcBorders>
              <w:top w:val="nil"/>
              <w:left w:val="nil"/>
              <w:bottom w:val="single" w:sz="8" w:space="0" w:color="auto"/>
              <w:right w:val="single" w:sz="8" w:space="0" w:color="auto"/>
            </w:tcBorders>
            <w:noWrap/>
            <w:vAlign w:val="center"/>
            <w:hideMark/>
          </w:tcPr>
          <w:p w14:paraId="7955CA84" w14:textId="0623878D" w:rsidR="0051478A" w:rsidRPr="00305D32" w:rsidRDefault="0051478A"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11.7</w:t>
            </w:r>
            <w:r w:rsidR="0019290E">
              <w:rPr>
                <w:rFonts w:eastAsia="Times New Roman"/>
                <w:color w:val="000000"/>
                <w:sz w:val="20"/>
                <w:szCs w:val="20"/>
                <w:lang w:val="es-MX" w:eastAsia="es-MX"/>
              </w:rPr>
              <w:t xml:space="preserve"> %</w:t>
            </w:r>
          </w:p>
        </w:tc>
        <w:tc>
          <w:tcPr>
            <w:tcW w:w="1320" w:type="dxa"/>
            <w:tcBorders>
              <w:top w:val="nil"/>
              <w:left w:val="nil"/>
              <w:bottom w:val="single" w:sz="8" w:space="0" w:color="auto"/>
              <w:right w:val="single" w:sz="8" w:space="0" w:color="auto"/>
            </w:tcBorders>
            <w:noWrap/>
            <w:vAlign w:val="center"/>
            <w:hideMark/>
          </w:tcPr>
          <w:p w14:paraId="6B473578" w14:textId="3EC4E6DE" w:rsidR="0051478A" w:rsidRPr="00305D32" w:rsidRDefault="003462D7"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12.5</w:t>
            </w:r>
            <w:r w:rsidR="0019290E">
              <w:rPr>
                <w:rFonts w:eastAsia="Times New Roman"/>
                <w:color w:val="000000"/>
                <w:sz w:val="20"/>
                <w:szCs w:val="20"/>
                <w:lang w:val="es-MX" w:eastAsia="es-MX"/>
              </w:rPr>
              <w:t xml:space="preserve"> %</w:t>
            </w:r>
          </w:p>
        </w:tc>
        <w:tc>
          <w:tcPr>
            <w:tcW w:w="1320" w:type="dxa"/>
            <w:tcBorders>
              <w:top w:val="nil"/>
              <w:left w:val="nil"/>
              <w:bottom w:val="single" w:sz="8" w:space="0" w:color="auto"/>
              <w:right w:val="single" w:sz="8" w:space="0" w:color="auto"/>
            </w:tcBorders>
            <w:noWrap/>
            <w:vAlign w:val="center"/>
            <w:hideMark/>
          </w:tcPr>
          <w:p w14:paraId="25DB1ED4" w14:textId="1305F13C" w:rsidR="0051478A" w:rsidRPr="00305D32" w:rsidRDefault="00DC45EF"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11.6</w:t>
            </w:r>
            <w:r w:rsidR="0019290E">
              <w:rPr>
                <w:rFonts w:eastAsia="Times New Roman"/>
                <w:color w:val="000000"/>
                <w:sz w:val="20"/>
                <w:szCs w:val="20"/>
                <w:lang w:val="es-MX" w:eastAsia="es-MX"/>
              </w:rPr>
              <w:t xml:space="preserve"> %</w:t>
            </w:r>
          </w:p>
        </w:tc>
      </w:tr>
      <w:tr w:rsidR="0051478A" w:rsidRPr="00305D32" w14:paraId="4FB075C0" w14:textId="77777777" w:rsidTr="0051478A">
        <w:trPr>
          <w:trHeight w:val="300"/>
          <w:jc w:val="center"/>
        </w:trPr>
        <w:tc>
          <w:tcPr>
            <w:tcW w:w="1755" w:type="dxa"/>
            <w:tcBorders>
              <w:top w:val="nil"/>
              <w:left w:val="single" w:sz="8" w:space="0" w:color="auto"/>
              <w:bottom w:val="single" w:sz="8" w:space="0" w:color="auto"/>
              <w:right w:val="single" w:sz="8" w:space="0" w:color="auto"/>
            </w:tcBorders>
            <w:noWrap/>
            <w:vAlign w:val="center"/>
            <w:hideMark/>
          </w:tcPr>
          <w:p w14:paraId="750B50A6" w14:textId="77777777" w:rsidR="0051478A" w:rsidRPr="00305D32" w:rsidRDefault="0051478A" w:rsidP="0051478A">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Deuda Pública total</w:t>
            </w:r>
          </w:p>
        </w:tc>
        <w:tc>
          <w:tcPr>
            <w:tcW w:w="1320" w:type="dxa"/>
            <w:tcBorders>
              <w:top w:val="nil"/>
              <w:left w:val="nil"/>
              <w:bottom w:val="single" w:sz="8" w:space="0" w:color="auto"/>
              <w:right w:val="single" w:sz="8" w:space="0" w:color="auto"/>
            </w:tcBorders>
            <w:noWrap/>
            <w:vAlign w:val="center"/>
            <w:hideMark/>
          </w:tcPr>
          <w:p w14:paraId="4E21E45E" w14:textId="4A6E8544" w:rsidR="0051478A" w:rsidRPr="00305D32" w:rsidRDefault="0051478A"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46.5</w:t>
            </w:r>
            <w:r w:rsidR="0019290E">
              <w:rPr>
                <w:rFonts w:eastAsia="Times New Roman"/>
                <w:color w:val="000000"/>
                <w:sz w:val="20"/>
                <w:szCs w:val="20"/>
                <w:lang w:val="es-MX" w:eastAsia="es-MX"/>
              </w:rPr>
              <w:t xml:space="preserve"> %</w:t>
            </w:r>
          </w:p>
        </w:tc>
        <w:tc>
          <w:tcPr>
            <w:tcW w:w="1320" w:type="dxa"/>
            <w:tcBorders>
              <w:top w:val="nil"/>
              <w:left w:val="nil"/>
              <w:bottom w:val="single" w:sz="8" w:space="0" w:color="auto"/>
              <w:right w:val="single" w:sz="8" w:space="0" w:color="auto"/>
            </w:tcBorders>
            <w:noWrap/>
            <w:vAlign w:val="center"/>
            <w:hideMark/>
          </w:tcPr>
          <w:p w14:paraId="0542D1EE" w14:textId="2457F9A0" w:rsidR="0051478A" w:rsidRPr="00305D32" w:rsidRDefault="0051478A"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51.7</w:t>
            </w:r>
            <w:r w:rsidR="0019290E">
              <w:rPr>
                <w:rFonts w:eastAsia="Times New Roman"/>
                <w:color w:val="000000"/>
                <w:sz w:val="20"/>
                <w:szCs w:val="20"/>
                <w:lang w:val="es-MX" w:eastAsia="es-MX"/>
              </w:rPr>
              <w:t xml:space="preserve"> %</w:t>
            </w:r>
          </w:p>
        </w:tc>
        <w:tc>
          <w:tcPr>
            <w:tcW w:w="1320" w:type="dxa"/>
            <w:tcBorders>
              <w:top w:val="nil"/>
              <w:left w:val="nil"/>
              <w:bottom w:val="single" w:sz="8" w:space="0" w:color="auto"/>
              <w:right w:val="single" w:sz="8" w:space="0" w:color="auto"/>
            </w:tcBorders>
            <w:noWrap/>
            <w:vAlign w:val="center"/>
            <w:hideMark/>
          </w:tcPr>
          <w:p w14:paraId="6F7C3A86" w14:textId="2CAA5881" w:rsidR="0051478A" w:rsidRPr="00305D32" w:rsidRDefault="0051478A"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50.9</w:t>
            </w:r>
            <w:r w:rsidR="0019290E">
              <w:rPr>
                <w:rFonts w:eastAsia="Times New Roman"/>
                <w:color w:val="000000"/>
                <w:sz w:val="20"/>
                <w:szCs w:val="20"/>
                <w:lang w:val="es-MX" w:eastAsia="es-MX"/>
              </w:rPr>
              <w:t xml:space="preserve"> %</w:t>
            </w:r>
          </w:p>
        </w:tc>
        <w:tc>
          <w:tcPr>
            <w:tcW w:w="1320" w:type="dxa"/>
            <w:tcBorders>
              <w:top w:val="nil"/>
              <w:left w:val="nil"/>
              <w:bottom w:val="single" w:sz="8" w:space="0" w:color="auto"/>
              <w:right w:val="single" w:sz="8" w:space="0" w:color="auto"/>
            </w:tcBorders>
            <w:noWrap/>
            <w:vAlign w:val="center"/>
            <w:hideMark/>
          </w:tcPr>
          <w:p w14:paraId="0BDE272F" w14:textId="39D973C3" w:rsidR="0051478A" w:rsidRPr="00305D32" w:rsidRDefault="0051478A"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52.60</w:t>
            </w:r>
            <w:r w:rsidR="0019290E">
              <w:rPr>
                <w:rFonts w:eastAsia="Times New Roman"/>
                <w:color w:val="000000"/>
                <w:sz w:val="20"/>
                <w:szCs w:val="20"/>
                <w:lang w:val="es-MX" w:eastAsia="es-MX"/>
              </w:rPr>
              <w:t xml:space="preserve"> %</w:t>
            </w:r>
          </w:p>
        </w:tc>
        <w:tc>
          <w:tcPr>
            <w:tcW w:w="1320" w:type="dxa"/>
            <w:tcBorders>
              <w:top w:val="nil"/>
              <w:left w:val="nil"/>
              <w:bottom w:val="single" w:sz="8" w:space="0" w:color="auto"/>
              <w:right w:val="single" w:sz="8" w:space="0" w:color="auto"/>
            </w:tcBorders>
            <w:noWrap/>
            <w:vAlign w:val="center"/>
            <w:hideMark/>
          </w:tcPr>
          <w:p w14:paraId="6491FD54" w14:textId="7859756D" w:rsidR="0051478A" w:rsidRPr="00305D32" w:rsidRDefault="00376CC0"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52.8</w:t>
            </w:r>
            <w:r w:rsidR="0019290E">
              <w:rPr>
                <w:rFonts w:eastAsia="Times New Roman"/>
                <w:color w:val="000000"/>
                <w:sz w:val="20"/>
                <w:szCs w:val="20"/>
                <w:lang w:val="es-MX" w:eastAsia="es-MX"/>
              </w:rPr>
              <w:t xml:space="preserve"> %</w:t>
            </w:r>
          </w:p>
        </w:tc>
      </w:tr>
      <w:tr w:rsidR="0051478A" w:rsidRPr="00305D32" w14:paraId="0C3C6C83" w14:textId="77777777" w:rsidTr="005F552B">
        <w:trPr>
          <w:trHeight w:val="355"/>
          <w:jc w:val="center"/>
        </w:trPr>
        <w:tc>
          <w:tcPr>
            <w:tcW w:w="1755" w:type="dxa"/>
            <w:tcBorders>
              <w:top w:val="nil"/>
              <w:left w:val="single" w:sz="8" w:space="0" w:color="auto"/>
              <w:bottom w:val="single" w:sz="8" w:space="0" w:color="auto"/>
              <w:right w:val="single" w:sz="8" w:space="0" w:color="auto"/>
            </w:tcBorders>
            <w:vAlign w:val="center"/>
            <w:hideMark/>
          </w:tcPr>
          <w:p w14:paraId="3FA238B7" w14:textId="6B3CBB3B" w:rsidR="0051478A" w:rsidRPr="00305D32" w:rsidRDefault="0051478A" w:rsidP="0051478A">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SHRFSP</w:t>
            </w:r>
          </w:p>
        </w:tc>
        <w:tc>
          <w:tcPr>
            <w:tcW w:w="1320" w:type="dxa"/>
            <w:tcBorders>
              <w:top w:val="nil"/>
              <w:left w:val="nil"/>
              <w:bottom w:val="single" w:sz="8" w:space="0" w:color="auto"/>
              <w:right w:val="single" w:sz="8" w:space="0" w:color="auto"/>
            </w:tcBorders>
            <w:noWrap/>
            <w:vAlign w:val="center"/>
            <w:hideMark/>
          </w:tcPr>
          <w:p w14:paraId="4D66A8E2" w14:textId="234EB0D0" w:rsidR="0051478A" w:rsidRPr="00305D32" w:rsidRDefault="0051478A"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46.5</w:t>
            </w:r>
            <w:r w:rsidR="0019290E">
              <w:rPr>
                <w:rFonts w:eastAsia="Times New Roman"/>
                <w:color w:val="000000"/>
                <w:sz w:val="20"/>
                <w:szCs w:val="20"/>
                <w:lang w:val="es-MX" w:eastAsia="es-MX"/>
              </w:rPr>
              <w:t xml:space="preserve"> %</w:t>
            </w:r>
          </w:p>
        </w:tc>
        <w:tc>
          <w:tcPr>
            <w:tcW w:w="1320" w:type="dxa"/>
            <w:tcBorders>
              <w:top w:val="nil"/>
              <w:left w:val="nil"/>
              <w:bottom w:val="single" w:sz="8" w:space="0" w:color="auto"/>
              <w:right w:val="single" w:sz="8" w:space="0" w:color="auto"/>
            </w:tcBorders>
            <w:noWrap/>
            <w:vAlign w:val="center"/>
            <w:hideMark/>
          </w:tcPr>
          <w:p w14:paraId="7669CF39" w14:textId="1EE19805" w:rsidR="0051478A" w:rsidRPr="00305D32" w:rsidRDefault="0051478A"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51.3</w:t>
            </w:r>
            <w:r w:rsidR="0019290E">
              <w:rPr>
                <w:rFonts w:eastAsia="Times New Roman"/>
                <w:color w:val="000000"/>
                <w:sz w:val="20"/>
                <w:szCs w:val="20"/>
                <w:lang w:val="es-MX" w:eastAsia="es-MX"/>
              </w:rPr>
              <w:t xml:space="preserve"> %</w:t>
            </w:r>
          </w:p>
        </w:tc>
        <w:tc>
          <w:tcPr>
            <w:tcW w:w="1320" w:type="dxa"/>
            <w:tcBorders>
              <w:top w:val="nil"/>
              <w:left w:val="nil"/>
              <w:bottom w:val="single" w:sz="8" w:space="0" w:color="auto"/>
              <w:right w:val="single" w:sz="8" w:space="0" w:color="auto"/>
            </w:tcBorders>
            <w:noWrap/>
            <w:vAlign w:val="center"/>
            <w:hideMark/>
          </w:tcPr>
          <w:p w14:paraId="543FB7D7" w14:textId="26E5DA0F" w:rsidR="0051478A" w:rsidRPr="00305D32" w:rsidRDefault="0051478A"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51.4</w:t>
            </w:r>
            <w:r w:rsidR="0019290E">
              <w:rPr>
                <w:rFonts w:eastAsia="Times New Roman"/>
                <w:color w:val="000000"/>
                <w:sz w:val="20"/>
                <w:szCs w:val="20"/>
                <w:lang w:val="es-MX" w:eastAsia="es-MX"/>
              </w:rPr>
              <w:t xml:space="preserve"> %</w:t>
            </w:r>
          </w:p>
        </w:tc>
        <w:tc>
          <w:tcPr>
            <w:tcW w:w="1320" w:type="dxa"/>
            <w:tcBorders>
              <w:top w:val="nil"/>
              <w:left w:val="nil"/>
              <w:bottom w:val="single" w:sz="8" w:space="0" w:color="auto"/>
              <w:right w:val="single" w:sz="8" w:space="0" w:color="auto"/>
            </w:tcBorders>
            <w:noWrap/>
            <w:vAlign w:val="center"/>
            <w:hideMark/>
          </w:tcPr>
          <w:p w14:paraId="2B7C8FF1" w14:textId="0F32CD61" w:rsidR="0051478A" w:rsidRPr="00305D32" w:rsidRDefault="0051478A"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52.30</w:t>
            </w:r>
            <w:r w:rsidR="0019290E">
              <w:rPr>
                <w:rFonts w:eastAsia="Times New Roman"/>
                <w:color w:val="000000"/>
                <w:sz w:val="20"/>
                <w:szCs w:val="20"/>
                <w:lang w:val="es-MX" w:eastAsia="es-MX"/>
              </w:rPr>
              <w:t xml:space="preserve"> %</w:t>
            </w:r>
          </w:p>
        </w:tc>
        <w:tc>
          <w:tcPr>
            <w:tcW w:w="1320" w:type="dxa"/>
            <w:tcBorders>
              <w:top w:val="nil"/>
              <w:left w:val="nil"/>
              <w:bottom w:val="single" w:sz="8" w:space="0" w:color="auto"/>
              <w:right w:val="single" w:sz="8" w:space="0" w:color="auto"/>
            </w:tcBorders>
            <w:noWrap/>
            <w:vAlign w:val="center"/>
            <w:hideMark/>
          </w:tcPr>
          <w:p w14:paraId="64AAEC69" w14:textId="612B6AEB" w:rsidR="0051478A" w:rsidRPr="00305D32" w:rsidRDefault="0051478A"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52.30</w:t>
            </w:r>
            <w:r w:rsidR="0019290E">
              <w:rPr>
                <w:rFonts w:eastAsia="Times New Roman"/>
                <w:color w:val="000000"/>
                <w:sz w:val="20"/>
                <w:szCs w:val="20"/>
                <w:lang w:val="es-MX" w:eastAsia="es-MX"/>
              </w:rPr>
              <w:t xml:space="preserve"> %</w:t>
            </w:r>
          </w:p>
        </w:tc>
      </w:tr>
    </w:tbl>
    <w:p w14:paraId="724C8A2C" w14:textId="174E9020" w:rsidR="00AF1ED1" w:rsidRPr="00305D32" w:rsidRDefault="00414F7C" w:rsidP="00A87AB5">
      <w:pPr>
        <w:spacing w:line="240"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datos de la Secretaría de Hacienda y Crédito Público (202</w:t>
      </w:r>
      <w:r w:rsidR="00CA3163" w:rsidRPr="00305D32">
        <w:rPr>
          <w:sz w:val="20"/>
          <w:szCs w:val="20"/>
          <w:lang w:val="es-MX"/>
        </w:rPr>
        <w:t>5</w:t>
      </w:r>
      <w:r w:rsidRPr="00305D32">
        <w:rPr>
          <w:sz w:val="20"/>
          <w:szCs w:val="20"/>
          <w:lang w:val="es-MX"/>
        </w:rPr>
        <w:t xml:space="preserve">), </w:t>
      </w:r>
      <w:r w:rsidRPr="00305D32">
        <w:rPr>
          <w:i/>
          <w:sz w:val="20"/>
          <w:szCs w:val="20"/>
          <w:lang w:val="es-MX"/>
        </w:rPr>
        <w:t>Criterios Generales de Política Económica</w:t>
      </w:r>
      <w:r w:rsidRPr="00305D32">
        <w:rPr>
          <w:sz w:val="20"/>
          <w:szCs w:val="20"/>
          <w:lang w:val="es-MX"/>
        </w:rPr>
        <w:t xml:space="preserve"> 202</w:t>
      </w:r>
      <w:r w:rsidR="00CA3163" w:rsidRPr="00305D32">
        <w:rPr>
          <w:sz w:val="20"/>
          <w:szCs w:val="20"/>
          <w:lang w:val="es-MX"/>
        </w:rPr>
        <w:t>6</w:t>
      </w:r>
      <w:r w:rsidRPr="00305D32">
        <w:rPr>
          <w:sz w:val="20"/>
          <w:szCs w:val="20"/>
          <w:lang w:val="es-MX"/>
        </w:rPr>
        <w:t xml:space="preserve"> (CGPE 202</w:t>
      </w:r>
      <w:r w:rsidR="00CA3163" w:rsidRPr="00305D32">
        <w:rPr>
          <w:sz w:val="20"/>
          <w:szCs w:val="20"/>
          <w:lang w:val="es-MX"/>
        </w:rPr>
        <w:t>6</w:t>
      </w:r>
      <w:r w:rsidRPr="00305D32">
        <w:rPr>
          <w:sz w:val="20"/>
          <w:szCs w:val="20"/>
          <w:lang w:val="es-MX"/>
        </w:rPr>
        <w:t>).</w:t>
      </w:r>
      <w:bookmarkStart w:id="60" w:name="_heading=h.4du1wux" w:colFirst="0" w:colLast="0"/>
      <w:bookmarkEnd w:id="60"/>
    </w:p>
    <w:p w14:paraId="4D0832ED" w14:textId="77777777" w:rsidR="00AE57F0" w:rsidRPr="00305D32" w:rsidRDefault="00414F7C">
      <w:pPr>
        <w:pStyle w:val="Ttulo3"/>
        <w:numPr>
          <w:ilvl w:val="2"/>
          <w:numId w:val="5"/>
        </w:numPr>
        <w:rPr>
          <w:lang w:val="es-MX"/>
        </w:rPr>
      </w:pPr>
      <w:r w:rsidRPr="00305D32">
        <w:rPr>
          <w:lang w:val="es-MX"/>
        </w:rPr>
        <w:t>Balance Presupuestario</w:t>
      </w:r>
    </w:p>
    <w:p w14:paraId="315E8B69" w14:textId="7F3F32D4" w:rsidR="00A03FEC" w:rsidRPr="00305D32" w:rsidRDefault="00A03FEC" w:rsidP="00A03FEC">
      <w:pPr>
        <w:rPr>
          <w:lang w:val="es-MX"/>
        </w:rPr>
      </w:pPr>
      <w:r w:rsidRPr="00305D32">
        <w:rPr>
          <w:lang w:val="es-MX"/>
        </w:rPr>
        <w:t>El balance público se determina a partir de la diferencia entre los ingresos y los gastos del gobierno</w:t>
      </w:r>
      <w:r w:rsidR="00457B53">
        <w:rPr>
          <w:lang w:val="es-MX"/>
        </w:rPr>
        <w:t>,</w:t>
      </w:r>
      <w:r w:rsidRPr="00305D32">
        <w:rPr>
          <w:lang w:val="es-MX"/>
        </w:rPr>
        <w:t xml:space="preserve"> y constituye un indicador clave para evaluar el equilibrio fiscal. En la </w:t>
      </w:r>
      <w:r w:rsidR="00BD4302" w:rsidRPr="00305D32">
        <w:rPr>
          <w:lang w:val="es-MX"/>
        </w:rPr>
        <w:fldChar w:fldCharType="begin"/>
      </w:r>
      <w:r w:rsidR="00BD4302" w:rsidRPr="00305D32">
        <w:rPr>
          <w:lang w:val="es-MX"/>
        </w:rPr>
        <w:instrText xml:space="preserve"> REF _Ref210214148 \h </w:instrText>
      </w:r>
      <w:r w:rsidR="00BD4302" w:rsidRPr="00305D32">
        <w:rPr>
          <w:lang w:val="es-MX"/>
        </w:rPr>
      </w:r>
      <w:r w:rsidR="00BD4302" w:rsidRPr="00305D32">
        <w:rPr>
          <w:lang w:val="es-MX"/>
        </w:rPr>
        <w:fldChar w:fldCharType="separate"/>
      </w:r>
      <w:r w:rsidR="00ED1F2F" w:rsidRPr="00305D32">
        <w:rPr>
          <w:lang w:val="es-MX"/>
        </w:rPr>
        <w:t xml:space="preserve">Figura </w:t>
      </w:r>
      <w:r w:rsidR="00ED1F2F">
        <w:rPr>
          <w:noProof/>
          <w:lang w:val="es-MX"/>
        </w:rPr>
        <w:t>23</w:t>
      </w:r>
      <w:r w:rsidR="00BD4302" w:rsidRPr="00305D32">
        <w:rPr>
          <w:lang w:val="es-MX"/>
        </w:rPr>
        <w:fldChar w:fldCharType="end"/>
      </w:r>
      <w:r w:rsidR="00BD4302" w:rsidRPr="00305D32">
        <w:rPr>
          <w:lang w:val="es-MX"/>
        </w:rPr>
        <w:t xml:space="preserve"> </w:t>
      </w:r>
      <w:r w:rsidRPr="00305D32">
        <w:rPr>
          <w:lang w:val="es-MX"/>
        </w:rPr>
        <w:t>se presentan tanto los montos del balance presupuestario como del balance primario del sector público federal.</w:t>
      </w:r>
    </w:p>
    <w:p w14:paraId="779B3892" w14:textId="30F9D2B4" w:rsidR="00A03FEC" w:rsidRPr="00305D32" w:rsidRDefault="00A03FEC" w:rsidP="00A03FEC">
      <w:pPr>
        <w:rPr>
          <w:lang w:val="es-MX"/>
        </w:rPr>
      </w:pPr>
      <w:r w:rsidRPr="00305D32">
        <w:rPr>
          <w:lang w:val="es-MX"/>
        </w:rPr>
        <w:t>El balance público o presupuestario refleja el saldo resultante de la comparación entre los ingresos y los egresos del Gobierno Federal, incluyendo los de las entidades paraestatales bajo control presupuestario directo, y permite medir, de manera general, el grado de desequilibrio del sector público hasta un corte determinado.</w:t>
      </w:r>
    </w:p>
    <w:p w14:paraId="332535FE" w14:textId="0553CAC2" w:rsidR="005D45A3" w:rsidRPr="00305D32" w:rsidRDefault="00A03FEC" w:rsidP="00A03FEC">
      <w:pPr>
        <w:rPr>
          <w:lang w:val="es-MX"/>
        </w:rPr>
      </w:pPr>
      <w:r w:rsidRPr="00305D32">
        <w:rPr>
          <w:lang w:val="es-MX"/>
        </w:rPr>
        <w:lastRenderedPageBreak/>
        <w:t xml:space="preserve">Por su parte, el balance primario se calcula como la diferencia entre los ingresos totales del sector público y sus gastos totales, excluyendo los intereses derivados de la deuda acumulada en ejercicios anteriores, y proporciona una medida del equilibrio financiero correspondiente únicamente a un ejercicio fiscal </w:t>
      </w:r>
      <w:r w:rsidR="00457B53">
        <w:rPr>
          <w:lang w:val="es-MX"/>
        </w:rPr>
        <w:t>determinado</w:t>
      </w:r>
      <w:r w:rsidRPr="00305D32">
        <w:rPr>
          <w:lang w:val="es-MX"/>
        </w:rPr>
        <w:t>.</w:t>
      </w:r>
    </w:p>
    <w:p w14:paraId="4D0832F2" w14:textId="10CD3DBA" w:rsidR="00AE57F0" w:rsidRDefault="00B91A18">
      <w:pPr>
        <w:rPr>
          <w:lang w:val="es-MX"/>
        </w:rPr>
      </w:pPr>
      <w:r w:rsidRPr="00305D32">
        <w:rPr>
          <w:lang w:val="es-MX"/>
        </w:rPr>
        <w:t>En</w:t>
      </w:r>
      <w:r w:rsidR="00414F7C" w:rsidRPr="00305D32">
        <w:rPr>
          <w:lang w:val="es-MX"/>
        </w:rPr>
        <w:t xml:space="preserve"> el ejercicio fiscal 202</w:t>
      </w:r>
      <w:r w:rsidR="00256765" w:rsidRPr="00305D32">
        <w:rPr>
          <w:lang w:val="es-MX"/>
        </w:rPr>
        <w:t>4</w:t>
      </w:r>
      <w:r w:rsidR="00414F7C" w:rsidRPr="00305D32">
        <w:rPr>
          <w:lang w:val="es-MX"/>
        </w:rPr>
        <w:t xml:space="preserve"> se alcanzó un déficit primario de </w:t>
      </w:r>
      <w:r w:rsidR="0099418F" w:rsidRPr="00305D32">
        <w:rPr>
          <w:lang w:val="es-MX"/>
        </w:rPr>
        <w:t xml:space="preserve">499 </w:t>
      </w:r>
      <w:r w:rsidR="00414F7C" w:rsidRPr="00305D32">
        <w:rPr>
          <w:lang w:val="es-MX"/>
        </w:rPr>
        <w:t xml:space="preserve">mil </w:t>
      </w:r>
      <w:r w:rsidR="0099418F" w:rsidRPr="00305D32">
        <w:rPr>
          <w:lang w:val="es-MX"/>
        </w:rPr>
        <w:t>618</w:t>
      </w:r>
      <w:r w:rsidR="00414F7C" w:rsidRPr="00305D32">
        <w:rPr>
          <w:lang w:val="es-MX"/>
        </w:rPr>
        <w:t xml:space="preserve"> millones de pesos y el déficit presupuestario alcanzó un nivel de 1 billón </w:t>
      </w:r>
      <w:r w:rsidR="00F17392" w:rsidRPr="00305D32">
        <w:rPr>
          <w:lang w:val="es-MX"/>
        </w:rPr>
        <w:t>667</w:t>
      </w:r>
      <w:r w:rsidR="00414F7C" w:rsidRPr="00305D32">
        <w:rPr>
          <w:lang w:val="es-MX"/>
        </w:rPr>
        <w:t xml:space="preserve"> mil </w:t>
      </w:r>
      <w:r w:rsidR="00F17392" w:rsidRPr="00305D32">
        <w:rPr>
          <w:lang w:val="es-MX"/>
        </w:rPr>
        <w:t>446</w:t>
      </w:r>
      <w:r w:rsidR="00414F7C" w:rsidRPr="00305D32">
        <w:rPr>
          <w:lang w:val="es-MX"/>
        </w:rPr>
        <w:t xml:space="preserve"> millones de pesos. Hasta </w:t>
      </w:r>
      <w:r w:rsidR="00F17392" w:rsidRPr="00305D32">
        <w:rPr>
          <w:lang w:val="es-MX"/>
        </w:rPr>
        <w:t>julio</w:t>
      </w:r>
      <w:r w:rsidR="00414F7C" w:rsidRPr="00305D32">
        <w:rPr>
          <w:lang w:val="es-MX"/>
        </w:rPr>
        <w:t xml:space="preserve"> de 202</w:t>
      </w:r>
      <w:r w:rsidR="00F17392" w:rsidRPr="00305D32">
        <w:rPr>
          <w:lang w:val="es-MX"/>
        </w:rPr>
        <w:t>5</w:t>
      </w:r>
      <w:r w:rsidR="00224C29">
        <w:rPr>
          <w:lang w:val="es-MX"/>
        </w:rPr>
        <w:t>,</w:t>
      </w:r>
      <w:r w:rsidR="00414F7C" w:rsidRPr="00305D32">
        <w:rPr>
          <w:lang w:val="es-MX"/>
        </w:rPr>
        <w:t xml:space="preserve"> el </w:t>
      </w:r>
      <w:r w:rsidR="00F17392" w:rsidRPr="00305D32">
        <w:rPr>
          <w:lang w:val="es-MX"/>
        </w:rPr>
        <w:t>balance primario</w:t>
      </w:r>
      <w:r w:rsidR="00414F7C" w:rsidRPr="00305D32">
        <w:rPr>
          <w:lang w:val="es-MX"/>
        </w:rPr>
        <w:t xml:space="preserve"> </w:t>
      </w:r>
      <w:r w:rsidR="00F17392" w:rsidRPr="00305D32">
        <w:rPr>
          <w:lang w:val="es-MX"/>
        </w:rPr>
        <w:t>marcó un superávit</w:t>
      </w:r>
      <w:r w:rsidR="00414F7C" w:rsidRPr="00305D32">
        <w:rPr>
          <w:lang w:val="es-MX"/>
        </w:rPr>
        <w:t xml:space="preserve"> de</w:t>
      </w:r>
      <w:r w:rsidR="00F17392" w:rsidRPr="00305D32">
        <w:rPr>
          <w:lang w:val="es-MX"/>
        </w:rPr>
        <w:t xml:space="preserve"> 211</w:t>
      </w:r>
      <w:r w:rsidR="00414F7C" w:rsidRPr="00305D32">
        <w:rPr>
          <w:lang w:val="es-MX"/>
        </w:rPr>
        <w:t xml:space="preserve"> mil </w:t>
      </w:r>
      <w:r w:rsidR="00F17392" w:rsidRPr="00305D32">
        <w:rPr>
          <w:lang w:val="es-MX"/>
        </w:rPr>
        <w:t>15</w:t>
      </w:r>
      <w:r w:rsidR="00414F7C" w:rsidRPr="00305D32">
        <w:rPr>
          <w:lang w:val="es-MX"/>
        </w:rPr>
        <w:t xml:space="preserve"> millones de pesos y la </w:t>
      </w:r>
      <w:r w:rsidR="00224C29">
        <w:rPr>
          <w:lang w:val="es-MX"/>
        </w:rPr>
        <w:t>SHCP</w:t>
      </w:r>
      <w:r w:rsidR="00414F7C" w:rsidRPr="00305D32">
        <w:rPr>
          <w:lang w:val="es-MX"/>
        </w:rPr>
        <w:t xml:space="preserve"> tiene estimado un </w:t>
      </w:r>
      <w:r w:rsidR="00F653DD" w:rsidRPr="00305D32">
        <w:rPr>
          <w:lang w:val="es-MX"/>
        </w:rPr>
        <w:t>superávit</w:t>
      </w:r>
      <w:r w:rsidR="00414F7C" w:rsidRPr="00305D32">
        <w:rPr>
          <w:lang w:val="es-MX"/>
        </w:rPr>
        <w:t xml:space="preserve"> </w:t>
      </w:r>
      <w:r w:rsidR="003211FA">
        <w:rPr>
          <w:lang w:val="es-MX"/>
        </w:rPr>
        <w:t>ligeramente</w:t>
      </w:r>
      <w:r w:rsidR="00E32FD4" w:rsidRPr="00305D32">
        <w:rPr>
          <w:lang w:val="es-MX"/>
        </w:rPr>
        <w:t xml:space="preserve"> menor de aproximadamente</w:t>
      </w:r>
      <w:r w:rsidR="00414F7C" w:rsidRPr="00305D32">
        <w:rPr>
          <w:lang w:val="es-MX"/>
        </w:rPr>
        <w:t xml:space="preserve"> </w:t>
      </w:r>
      <w:r w:rsidR="00413692" w:rsidRPr="00305D32">
        <w:rPr>
          <w:lang w:val="es-MX"/>
        </w:rPr>
        <w:t>74</w:t>
      </w:r>
      <w:r w:rsidR="00414F7C" w:rsidRPr="00305D32">
        <w:rPr>
          <w:lang w:val="es-MX"/>
        </w:rPr>
        <w:t xml:space="preserve"> mil </w:t>
      </w:r>
      <w:r w:rsidR="00F82D8C" w:rsidRPr="00305D32">
        <w:rPr>
          <w:lang w:val="es-MX"/>
        </w:rPr>
        <w:t>3</w:t>
      </w:r>
      <w:r w:rsidR="00275242" w:rsidRPr="00305D32">
        <w:rPr>
          <w:lang w:val="es-MX"/>
        </w:rPr>
        <w:t>23</w:t>
      </w:r>
      <w:r w:rsidR="00414F7C" w:rsidRPr="00305D32">
        <w:rPr>
          <w:lang w:val="es-MX"/>
        </w:rPr>
        <w:t xml:space="preserve"> millones de pesos, equivalente al </w:t>
      </w:r>
      <w:r w:rsidR="00F82D8C" w:rsidRPr="00305D32">
        <w:rPr>
          <w:lang w:val="es-MX"/>
        </w:rPr>
        <w:t>0.</w:t>
      </w:r>
      <w:r w:rsidR="00CC5686" w:rsidRPr="00305D32">
        <w:rPr>
          <w:lang w:val="es-MX"/>
        </w:rPr>
        <w:t>2</w:t>
      </w:r>
      <w:r w:rsidR="0019290E">
        <w:rPr>
          <w:lang w:val="es-MX"/>
        </w:rPr>
        <w:t xml:space="preserve"> %</w:t>
      </w:r>
      <w:r w:rsidR="00414F7C" w:rsidRPr="00305D32">
        <w:rPr>
          <w:lang w:val="es-MX"/>
        </w:rPr>
        <w:t xml:space="preserve"> del PIB</w:t>
      </w:r>
      <w:r w:rsidR="00F82D8C" w:rsidRPr="00305D32">
        <w:rPr>
          <w:lang w:val="es-MX"/>
        </w:rPr>
        <w:t>, para el cierre de año.</w:t>
      </w:r>
    </w:p>
    <w:p w14:paraId="4D0832F4" w14:textId="4C8E93D0" w:rsidR="00AE57F0" w:rsidRPr="00305D32" w:rsidRDefault="00BD4302" w:rsidP="00BD4302">
      <w:pPr>
        <w:pStyle w:val="Descripcin"/>
        <w:jc w:val="center"/>
        <w:rPr>
          <w:color w:val="000000"/>
          <w:lang w:val="es-MX"/>
        </w:rPr>
      </w:pPr>
      <w:bookmarkStart w:id="61" w:name="_heading=h.2szc72q" w:colFirst="0" w:colLast="0"/>
      <w:bookmarkStart w:id="62" w:name="_Ref210214148"/>
      <w:bookmarkEnd w:id="61"/>
      <w:r w:rsidRPr="00305D32">
        <w:rPr>
          <w:lang w:val="es-MX"/>
        </w:rPr>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23</w:t>
      </w:r>
      <w:r w:rsidRPr="00305D32">
        <w:rPr>
          <w:lang w:val="es-MX"/>
        </w:rPr>
        <w:fldChar w:fldCharType="end"/>
      </w:r>
      <w:bookmarkEnd w:id="62"/>
      <w:r w:rsidR="00414F7C" w:rsidRPr="00305D32">
        <w:rPr>
          <w:color w:val="000000"/>
          <w:lang w:val="es-MX"/>
        </w:rPr>
        <w:t>. Balance público y balance primario del sector público Federal en México, 202</w:t>
      </w:r>
      <w:r w:rsidR="00111B8B" w:rsidRPr="00305D32">
        <w:rPr>
          <w:color w:val="000000"/>
          <w:lang w:val="es-MX"/>
        </w:rPr>
        <w:t>1</w:t>
      </w:r>
      <w:r w:rsidR="00414F7C" w:rsidRPr="00305D32">
        <w:rPr>
          <w:color w:val="000000"/>
          <w:lang w:val="es-MX"/>
        </w:rPr>
        <w:t>-202</w:t>
      </w:r>
      <w:r w:rsidR="00111B8B" w:rsidRPr="00305D32">
        <w:rPr>
          <w:color w:val="000000"/>
          <w:lang w:val="es-MX"/>
        </w:rPr>
        <w:t>5</w:t>
      </w:r>
      <w:r w:rsidR="00414F7C" w:rsidRPr="00305D32">
        <w:rPr>
          <w:color w:val="000000"/>
          <w:lang w:val="es-MX"/>
        </w:rPr>
        <w:t>*</w:t>
      </w:r>
    </w:p>
    <w:p w14:paraId="0F5D84E7" w14:textId="031A0B44" w:rsidR="0070301A" w:rsidRPr="00305D32" w:rsidRDefault="0070301A" w:rsidP="000F7EBA">
      <w:pPr>
        <w:keepNext/>
        <w:pBdr>
          <w:top w:val="nil"/>
          <w:left w:val="nil"/>
          <w:bottom w:val="nil"/>
          <w:right w:val="nil"/>
          <w:between w:val="nil"/>
        </w:pBdr>
        <w:spacing w:after="0"/>
        <w:jc w:val="center"/>
        <w:rPr>
          <w:b/>
          <w:color w:val="000000"/>
          <w:lang w:val="es-MX"/>
        </w:rPr>
      </w:pPr>
      <w:r w:rsidRPr="00327AD1">
        <w:rPr>
          <w:noProof/>
          <w:lang w:val="es-MX" w:eastAsia="es-MX"/>
        </w:rPr>
        <w:drawing>
          <wp:inline distT="0" distB="0" distL="0" distR="0" wp14:anchorId="192EF251" wp14:editId="4B3AD4FB">
            <wp:extent cx="5252483" cy="2211572"/>
            <wp:effectExtent l="0" t="0" r="24765" b="17780"/>
            <wp:docPr id="1858641174" name="Gráfico 1">
              <a:extLst xmlns:a="http://schemas.openxmlformats.org/drawingml/2006/main">
                <a:ext uri="{FF2B5EF4-FFF2-40B4-BE49-F238E27FC236}">
                  <a16:creationId xmlns:a16="http://schemas.microsoft.com/office/drawing/2014/main" id="{5D337ACA-CBD2-7268-954B-58AB9B009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D0832F5" w14:textId="572AD287" w:rsidR="00AE57F0" w:rsidRPr="00305D32" w:rsidRDefault="00414F7C">
      <w:pPr>
        <w:spacing w:line="240" w:lineRule="auto"/>
        <w:jc w:val="center"/>
        <w:rPr>
          <w:sz w:val="20"/>
          <w:szCs w:val="20"/>
          <w:lang w:val="es-MX"/>
        </w:rPr>
      </w:pPr>
      <w:r w:rsidRPr="00305D32">
        <w:rPr>
          <w:sz w:val="20"/>
          <w:szCs w:val="20"/>
          <w:lang w:val="es-MX"/>
        </w:rPr>
        <w:t xml:space="preserve"> Fuente: Elaboración de la Subsecretaría de Análisis Económico y Finanzas Públicas de la Secretaría de Finanzas y Planeación, con datos de la Secretaría de Hacienda y Crédito Público (202</w:t>
      </w:r>
      <w:r w:rsidR="00111B8B" w:rsidRPr="00305D32">
        <w:rPr>
          <w:sz w:val="20"/>
          <w:szCs w:val="20"/>
          <w:lang w:val="es-MX"/>
        </w:rPr>
        <w:t>5</w:t>
      </w:r>
      <w:r w:rsidRPr="00305D32">
        <w:rPr>
          <w:sz w:val="20"/>
          <w:szCs w:val="20"/>
          <w:lang w:val="es-MX"/>
        </w:rPr>
        <w:t>). Notas: *Los datos de 202</w:t>
      </w:r>
      <w:r w:rsidR="00111B8B" w:rsidRPr="00305D32">
        <w:rPr>
          <w:sz w:val="20"/>
          <w:szCs w:val="20"/>
          <w:lang w:val="es-MX"/>
        </w:rPr>
        <w:t>5</w:t>
      </w:r>
      <w:r w:rsidRPr="00305D32">
        <w:rPr>
          <w:sz w:val="20"/>
          <w:szCs w:val="20"/>
          <w:lang w:val="es-MX"/>
        </w:rPr>
        <w:t xml:space="preserve"> son con corte al mes de julio.</w:t>
      </w:r>
    </w:p>
    <w:p w14:paraId="4CF6EBBE" w14:textId="38B7CAF0" w:rsidR="00A57401" w:rsidRPr="00305D32" w:rsidRDefault="00A57401">
      <w:pPr>
        <w:rPr>
          <w:lang w:val="es-MX"/>
        </w:rPr>
      </w:pPr>
      <w:r w:rsidRPr="00305D32">
        <w:rPr>
          <w:lang w:val="es-MX"/>
        </w:rPr>
        <w:t xml:space="preserve">El balance presupuestario hasta </w:t>
      </w:r>
      <w:r w:rsidR="00CE25AE" w:rsidRPr="00880BF0">
        <w:rPr>
          <w:lang w:val="es-MX"/>
        </w:rPr>
        <w:t>julio</w:t>
      </w:r>
      <w:r w:rsidRPr="00880BF0">
        <w:rPr>
          <w:lang w:val="es-MX"/>
        </w:rPr>
        <w:t xml:space="preserve"> </w:t>
      </w:r>
      <w:r w:rsidR="004B6538" w:rsidRPr="00880BF0">
        <w:rPr>
          <w:lang w:val="es-MX"/>
        </w:rPr>
        <w:t>muestra</w:t>
      </w:r>
      <w:r w:rsidR="009D0C9C" w:rsidRPr="00880BF0">
        <w:rPr>
          <w:lang w:val="es-MX"/>
        </w:rPr>
        <w:t xml:space="preserve"> un déficit</w:t>
      </w:r>
      <w:r w:rsidRPr="00880BF0">
        <w:rPr>
          <w:lang w:val="es-MX"/>
        </w:rPr>
        <w:t xml:space="preserve"> de </w:t>
      </w:r>
      <w:r w:rsidR="0024612C" w:rsidRPr="00880BF0">
        <w:rPr>
          <w:lang w:val="es-MX"/>
        </w:rPr>
        <w:t>519</w:t>
      </w:r>
      <w:r w:rsidRPr="00880BF0">
        <w:rPr>
          <w:lang w:val="es-MX"/>
        </w:rPr>
        <w:t xml:space="preserve"> mil </w:t>
      </w:r>
      <w:r w:rsidR="0024612C" w:rsidRPr="00880BF0">
        <w:rPr>
          <w:lang w:val="es-MX"/>
        </w:rPr>
        <w:t>556</w:t>
      </w:r>
      <w:r w:rsidRPr="00880BF0">
        <w:rPr>
          <w:lang w:val="es-MX"/>
        </w:rPr>
        <w:t xml:space="preserve"> millones de pesos y la SHCP </w:t>
      </w:r>
      <w:r w:rsidR="00A12374" w:rsidRPr="00880BF0">
        <w:rPr>
          <w:lang w:val="es-MX"/>
        </w:rPr>
        <w:t>estima</w:t>
      </w:r>
      <w:r w:rsidRPr="00880BF0">
        <w:rPr>
          <w:lang w:val="es-MX"/>
        </w:rPr>
        <w:t xml:space="preserve"> un déficit presupuestario</w:t>
      </w:r>
      <w:r w:rsidR="009A5437" w:rsidRPr="00880BF0">
        <w:rPr>
          <w:lang w:val="es-MX"/>
        </w:rPr>
        <w:t xml:space="preserve"> </w:t>
      </w:r>
      <w:r w:rsidRPr="00880BF0">
        <w:rPr>
          <w:lang w:val="es-MX"/>
        </w:rPr>
        <w:t>de</w:t>
      </w:r>
      <w:r w:rsidR="0076559E" w:rsidRPr="00880BF0">
        <w:rPr>
          <w:lang w:val="es-MX"/>
        </w:rPr>
        <w:t xml:space="preserve"> </w:t>
      </w:r>
      <w:r w:rsidRPr="00880BF0">
        <w:rPr>
          <w:lang w:val="es-MX"/>
        </w:rPr>
        <w:t xml:space="preserve">1 billón </w:t>
      </w:r>
      <w:r w:rsidR="00C95965" w:rsidRPr="00880BF0">
        <w:rPr>
          <w:lang w:val="es-MX"/>
        </w:rPr>
        <w:t>302</w:t>
      </w:r>
      <w:r w:rsidRPr="00880BF0">
        <w:rPr>
          <w:lang w:val="es-MX"/>
        </w:rPr>
        <w:t xml:space="preserve"> mil</w:t>
      </w:r>
      <w:r w:rsidR="0024612C" w:rsidRPr="00880BF0">
        <w:rPr>
          <w:lang w:val="es-MX"/>
        </w:rPr>
        <w:t xml:space="preserve"> </w:t>
      </w:r>
      <w:r w:rsidR="00C95965" w:rsidRPr="00880BF0">
        <w:rPr>
          <w:lang w:val="es-MX"/>
        </w:rPr>
        <w:t>124</w:t>
      </w:r>
      <w:r w:rsidRPr="00880BF0">
        <w:rPr>
          <w:lang w:val="es-MX"/>
        </w:rPr>
        <w:t xml:space="preserve"> millones de pesos, equivalente a </w:t>
      </w:r>
      <w:r w:rsidR="00995D70" w:rsidRPr="00880BF0">
        <w:rPr>
          <w:lang w:val="es-MX"/>
        </w:rPr>
        <w:t>3.</w:t>
      </w:r>
      <w:r w:rsidR="00C95965" w:rsidRPr="00880BF0">
        <w:rPr>
          <w:lang w:val="es-MX"/>
        </w:rPr>
        <w:t>6</w:t>
      </w:r>
      <w:r w:rsidR="0019290E">
        <w:rPr>
          <w:lang w:val="es-MX"/>
        </w:rPr>
        <w:t xml:space="preserve"> %</w:t>
      </w:r>
      <w:r w:rsidRPr="00880BF0">
        <w:rPr>
          <w:lang w:val="es-MX"/>
        </w:rPr>
        <w:t xml:space="preserve"> del PIB</w:t>
      </w:r>
      <w:r w:rsidR="00220E31" w:rsidRPr="00880BF0">
        <w:rPr>
          <w:lang w:val="es-MX"/>
        </w:rPr>
        <w:t>, para el cierre de 2025</w:t>
      </w:r>
      <w:r w:rsidRPr="00880BF0">
        <w:rPr>
          <w:lang w:val="es-MX"/>
        </w:rPr>
        <w:t>.</w:t>
      </w:r>
    </w:p>
    <w:p w14:paraId="4D0832F6" w14:textId="0B14AA72" w:rsidR="00AE57F0" w:rsidRPr="00305D32" w:rsidRDefault="00414F7C">
      <w:pPr>
        <w:rPr>
          <w:lang w:val="es-MX"/>
        </w:rPr>
      </w:pPr>
      <w:r w:rsidRPr="00305D32">
        <w:rPr>
          <w:lang w:val="es-MX"/>
        </w:rPr>
        <w:lastRenderedPageBreak/>
        <w:t xml:space="preserve">El balance público y el balance primario como porcentaje del PIB se presenta en la </w:t>
      </w:r>
      <w:r w:rsidR="00BD4302" w:rsidRPr="00305D32">
        <w:rPr>
          <w:lang w:val="es-MX"/>
        </w:rPr>
        <w:fldChar w:fldCharType="begin"/>
      </w:r>
      <w:r w:rsidR="00BD4302" w:rsidRPr="00305D32">
        <w:rPr>
          <w:lang w:val="es-MX"/>
        </w:rPr>
        <w:instrText xml:space="preserve"> REF _Ref210214178 \h </w:instrText>
      </w:r>
      <w:r w:rsidR="00BD4302" w:rsidRPr="00305D32">
        <w:rPr>
          <w:lang w:val="es-MX"/>
        </w:rPr>
      </w:r>
      <w:r w:rsidR="00BD4302" w:rsidRPr="00305D32">
        <w:rPr>
          <w:lang w:val="es-MX"/>
        </w:rPr>
        <w:fldChar w:fldCharType="separate"/>
      </w:r>
      <w:r w:rsidR="00ED1F2F" w:rsidRPr="00305D32">
        <w:rPr>
          <w:lang w:val="es-MX"/>
        </w:rPr>
        <w:t xml:space="preserve">Tabla </w:t>
      </w:r>
      <w:r w:rsidR="00ED1F2F">
        <w:rPr>
          <w:noProof/>
          <w:lang w:val="es-MX"/>
        </w:rPr>
        <w:t>5</w:t>
      </w:r>
      <w:r w:rsidR="00BD4302" w:rsidRPr="00305D32">
        <w:rPr>
          <w:lang w:val="es-MX"/>
        </w:rPr>
        <w:fldChar w:fldCharType="end"/>
      </w:r>
      <w:r w:rsidR="00F93A2A">
        <w:rPr>
          <w:lang w:val="es-MX"/>
        </w:rPr>
        <w:t>.</w:t>
      </w:r>
      <w:r w:rsidRPr="00305D32">
        <w:rPr>
          <w:lang w:val="es-MX"/>
        </w:rPr>
        <w:t xml:space="preserve"> </w:t>
      </w:r>
      <w:r w:rsidR="00742C01">
        <w:rPr>
          <w:lang w:val="es-MX"/>
        </w:rPr>
        <w:t>E</w:t>
      </w:r>
      <w:r w:rsidRPr="00305D32">
        <w:rPr>
          <w:lang w:val="es-MX"/>
        </w:rPr>
        <w:t>n 202</w:t>
      </w:r>
      <w:r w:rsidR="00091895" w:rsidRPr="00305D32">
        <w:rPr>
          <w:lang w:val="es-MX"/>
        </w:rPr>
        <w:t>4</w:t>
      </w:r>
      <w:r w:rsidRPr="00305D32">
        <w:rPr>
          <w:lang w:val="es-MX"/>
        </w:rPr>
        <w:t xml:space="preserve"> el déficit primario fue de </w:t>
      </w:r>
      <w:r w:rsidR="002A57C6" w:rsidRPr="00305D32">
        <w:rPr>
          <w:lang w:val="es-MX"/>
        </w:rPr>
        <w:t>1.5</w:t>
      </w:r>
      <w:r w:rsidR="0019290E">
        <w:rPr>
          <w:lang w:val="es-MX"/>
        </w:rPr>
        <w:t xml:space="preserve"> %</w:t>
      </w:r>
      <w:r w:rsidRPr="00305D32">
        <w:rPr>
          <w:lang w:val="es-MX"/>
        </w:rPr>
        <w:t xml:space="preserve"> del PIB</w:t>
      </w:r>
      <w:r w:rsidR="00742C01">
        <w:rPr>
          <w:lang w:val="es-MX"/>
        </w:rPr>
        <w:t>,</w:t>
      </w:r>
      <w:r w:rsidRPr="00305D32">
        <w:rPr>
          <w:lang w:val="es-MX"/>
        </w:rPr>
        <w:t xml:space="preserve"> y para 202</w:t>
      </w:r>
      <w:r w:rsidR="002A57C6" w:rsidRPr="00305D32">
        <w:rPr>
          <w:lang w:val="es-MX"/>
        </w:rPr>
        <w:t>5</w:t>
      </w:r>
      <w:r w:rsidRPr="00305D32">
        <w:rPr>
          <w:lang w:val="es-MX"/>
        </w:rPr>
        <w:t xml:space="preserve"> se aprobó </w:t>
      </w:r>
      <w:r w:rsidR="0025214A" w:rsidRPr="00305D32">
        <w:rPr>
          <w:lang w:val="es-MX"/>
        </w:rPr>
        <w:t xml:space="preserve">en </w:t>
      </w:r>
      <w:r w:rsidR="00725B6F" w:rsidRPr="00305D32">
        <w:rPr>
          <w:lang w:val="es-MX"/>
        </w:rPr>
        <w:t xml:space="preserve">los CGPE </w:t>
      </w:r>
      <w:r w:rsidR="009911BF" w:rsidRPr="00305D32">
        <w:rPr>
          <w:lang w:val="es-MX"/>
        </w:rPr>
        <w:t xml:space="preserve">2025 </w:t>
      </w:r>
      <w:r w:rsidR="00C0336A" w:rsidRPr="00305D32">
        <w:rPr>
          <w:lang w:val="es-MX"/>
        </w:rPr>
        <w:t>un superávit</w:t>
      </w:r>
      <w:r w:rsidRPr="00305D32">
        <w:rPr>
          <w:lang w:val="es-MX"/>
        </w:rPr>
        <w:t xml:space="preserve"> de</w:t>
      </w:r>
      <w:r w:rsidR="00C0336A" w:rsidRPr="00305D32">
        <w:rPr>
          <w:lang w:val="es-MX"/>
        </w:rPr>
        <w:t>l 0.6</w:t>
      </w:r>
      <w:r w:rsidR="0019290E">
        <w:rPr>
          <w:lang w:val="es-MX"/>
        </w:rPr>
        <w:t xml:space="preserve"> %</w:t>
      </w:r>
      <w:r w:rsidRPr="00305D32">
        <w:rPr>
          <w:lang w:val="es-MX"/>
        </w:rPr>
        <w:t xml:space="preserve"> del PIB</w:t>
      </w:r>
      <w:r w:rsidR="006A5188" w:rsidRPr="00305D32">
        <w:rPr>
          <w:lang w:val="es-MX"/>
        </w:rPr>
        <w:t xml:space="preserve">, mismo que se </w:t>
      </w:r>
      <w:r w:rsidR="00204321" w:rsidRPr="00305D32">
        <w:rPr>
          <w:lang w:val="es-MX"/>
        </w:rPr>
        <w:t>reduce</w:t>
      </w:r>
      <w:r w:rsidR="006A5188" w:rsidRPr="00305D32">
        <w:rPr>
          <w:lang w:val="es-MX"/>
        </w:rPr>
        <w:t xml:space="preserve"> en los CGPE de 2026</w:t>
      </w:r>
      <w:r w:rsidR="00204321" w:rsidRPr="00305D32">
        <w:rPr>
          <w:lang w:val="es-MX"/>
        </w:rPr>
        <w:t xml:space="preserve">, </w:t>
      </w:r>
      <w:r w:rsidR="00742C01" w:rsidRPr="00305D32">
        <w:rPr>
          <w:lang w:val="es-MX"/>
        </w:rPr>
        <w:t>estimándo</w:t>
      </w:r>
      <w:r w:rsidR="00742C01">
        <w:rPr>
          <w:lang w:val="es-MX"/>
        </w:rPr>
        <w:t>se</w:t>
      </w:r>
      <w:r w:rsidR="001131BA" w:rsidRPr="00305D32">
        <w:rPr>
          <w:lang w:val="es-MX"/>
        </w:rPr>
        <w:t xml:space="preserve"> ahora </w:t>
      </w:r>
      <w:r w:rsidR="00742C01">
        <w:rPr>
          <w:lang w:val="es-MX"/>
        </w:rPr>
        <w:t>en</w:t>
      </w:r>
      <w:r w:rsidR="001131BA" w:rsidRPr="00305D32">
        <w:rPr>
          <w:lang w:val="es-MX"/>
        </w:rPr>
        <w:t xml:space="preserve"> 0.2</w:t>
      </w:r>
      <w:r w:rsidR="0019290E">
        <w:rPr>
          <w:lang w:val="es-MX"/>
        </w:rPr>
        <w:t xml:space="preserve"> %</w:t>
      </w:r>
      <w:r w:rsidRPr="00305D32">
        <w:rPr>
          <w:lang w:val="es-MX"/>
        </w:rPr>
        <w:t xml:space="preserve">. </w:t>
      </w:r>
      <w:r w:rsidR="006A5188" w:rsidRPr="00305D32">
        <w:rPr>
          <w:lang w:val="es-MX"/>
        </w:rPr>
        <w:t xml:space="preserve">Asimismo, </w:t>
      </w:r>
      <w:r w:rsidR="00156910" w:rsidRPr="00305D32">
        <w:rPr>
          <w:lang w:val="es-MX"/>
        </w:rPr>
        <w:t xml:space="preserve">en los CGPE </w:t>
      </w:r>
      <w:r w:rsidR="005B29C6" w:rsidRPr="00305D32">
        <w:rPr>
          <w:lang w:val="es-MX"/>
        </w:rPr>
        <w:t xml:space="preserve">2025 </w:t>
      </w:r>
      <w:r w:rsidR="00156910" w:rsidRPr="00305D32">
        <w:rPr>
          <w:lang w:val="es-MX"/>
        </w:rPr>
        <w:t xml:space="preserve">se aprobó un déficit </w:t>
      </w:r>
      <w:r w:rsidR="006A762F" w:rsidRPr="00305D32">
        <w:rPr>
          <w:lang w:val="es-MX"/>
        </w:rPr>
        <w:t xml:space="preserve">presupuestario </w:t>
      </w:r>
      <w:r w:rsidR="00A24CB7" w:rsidRPr="00305D32">
        <w:rPr>
          <w:lang w:val="es-MX"/>
        </w:rPr>
        <w:t>del 3.2</w:t>
      </w:r>
      <w:r w:rsidR="0019290E">
        <w:rPr>
          <w:lang w:val="es-MX"/>
        </w:rPr>
        <w:t xml:space="preserve"> %</w:t>
      </w:r>
      <w:r w:rsidR="00A24CB7" w:rsidRPr="00305D32">
        <w:rPr>
          <w:lang w:val="es-MX"/>
        </w:rPr>
        <w:t xml:space="preserve"> del PIB, </w:t>
      </w:r>
      <w:r w:rsidR="005F2AB5" w:rsidRPr="00305D32">
        <w:rPr>
          <w:lang w:val="es-MX"/>
        </w:rPr>
        <w:t xml:space="preserve">déficit que en los CGPE </w:t>
      </w:r>
      <w:r w:rsidR="00D96554" w:rsidRPr="00305D32">
        <w:rPr>
          <w:lang w:val="es-MX"/>
        </w:rPr>
        <w:t>2026</w:t>
      </w:r>
      <w:r w:rsidR="00E07BFD" w:rsidRPr="00305D32">
        <w:rPr>
          <w:lang w:val="es-MX"/>
        </w:rPr>
        <w:t xml:space="preserve"> </w:t>
      </w:r>
      <w:r w:rsidR="005F2AB5" w:rsidRPr="00305D32">
        <w:rPr>
          <w:lang w:val="es-MX"/>
        </w:rPr>
        <w:t xml:space="preserve">varía por </w:t>
      </w:r>
      <w:r w:rsidR="004E7171" w:rsidRPr="00305D32">
        <w:rPr>
          <w:lang w:val="es-MX"/>
        </w:rPr>
        <w:t>un 0.</w:t>
      </w:r>
      <w:r w:rsidR="00E07BFD" w:rsidRPr="00305D32">
        <w:rPr>
          <w:lang w:val="es-MX"/>
        </w:rPr>
        <w:t>4</w:t>
      </w:r>
      <w:r w:rsidR="0019290E">
        <w:rPr>
          <w:lang w:val="es-MX"/>
        </w:rPr>
        <w:t xml:space="preserve"> %</w:t>
      </w:r>
      <w:r w:rsidR="004E7171" w:rsidRPr="00305D32">
        <w:rPr>
          <w:lang w:val="es-MX"/>
        </w:rPr>
        <w:t>.</w:t>
      </w:r>
    </w:p>
    <w:p w14:paraId="4D0832F7" w14:textId="54944D9A" w:rsidR="00AE57F0" w:rsidRPr="00305D32" w:rsidRDefault="00414F7C">
      <w:pPr>
        <w:rPr>
          <w:lang w:val="es-MX"/>
        </w:rPr>
      </w:pPr>
      <w:r w:rsidRPr="00305D32">
        <w:rPr>
          <w:lang w:val="es-MX"/>
        </w:rPr>
        <w:t>Para 202</w:t>
      </w:r>
      <w:r w:rsidR="00C11CF6" w:rsidRPr="00305D32">
        <w:rPr>
          <w:lang w:val="es-MX"/>
        </w:rPr>
        <w:t>6</w:t>
      </w:r>
      <w:r w:rsidRPr="00305D32">
        <w:rPr>
          <w:lang w:val="es-MX"/>
        </w:rPr>
        <w:t xml:space="preserve"> </w:t>
      </w:r>
      <w:r w:rsidR="00DA1899" w:rsidRPr="00305D32">
        <w:rPr>
          <w:lang w:val="es-MX"/>
        </w:rPr>
        <w:t xml:space="preserve">se estima que el </w:t>
      </w:r>
      <w:r w:rsidR="004957E0">
        <w:rPr>
          <w:lang w:val="es-MX"/>
        </w:rPr>
        <w:t>b</w:t>
      </w:r>
      <w:r w:rsidR="00DA1899" w:rsidRPr="00305D32">
        <w:rPr>
          <w:lang w:val="es-MX"/>
        </w:rPr>
        <w:t xml:space="preserve">alance </w:t>
      </w:r>
      <w:r w:rsidR="004957E0">
        <w:rPr>
          <w:lang w:val="es-MX"/>
        </w:rPr>
        <w:t>p</w:t>
      </w:r>
      <w:r w:rsidR="00DA1899" w:rsidRPr="00305D32">
        <w:rPr>
          <w:lang w:val="es-MX"/>
        </w:rPr>
        <w:t xml:space="preserve">rimario continúe </w:t>
      </w:r>
      <w:r w:rsidR="0046507F" w:rsidRPr="00305D32">
        <w:rPr>
          <w:lang w:val="es-MX"/>
        </w:rPr>
        <w:t xml:space="preserve">siendo positivo, abarcando un </w:t>
      </w:r>
      <w:r w:rsidR="005F1A1B" w:rsidRPr="00305D32">
        <w:rPr>
          <w:lang w:val="es-MX"/>
        </w:rPr>
        <w:t>0.5</w:t>
      </w:r>
      <w:r w:rsidR="0019290E">
        <w:rPr>
          <w:lang w:val="es-MX"/>
        </w:rPr>
        <w:t xml:space="preserve"> %</w:t>
      </w:r>
      <w:r w:rsidR="005F1A1B" w:rsidRPr="00305D32">
        <w:rPr>
          <w:lang w:val="es-MX"/>
        </w:rPr>
        <w:t xml:space="preserve"> </w:t>
      </w:r>
      <w:r w:rsidR="006C1739" w:rsidRPr="00305D32">
        <w:rPr>
          <w:lang w:val="es-MX"/>
        </w:rPr>
        <w:t>del PIB</w:t>
      </w:r>
      <w:r w:rsidR="00794547" w:rsidRPr="00305D32">
        <w:rPr>
          <w:lang w:val="es-MX"/>
        </w:rPr>
        <w:t xml:space="preserve">. En cuanto al </w:t>
      </w:r>
      <w:r w:rsidR="0092590E" w:rsidRPr="00305D32">
        <w:rPr>
          <w:lang w:val="es-MX"/>
        </w:rPr>
        <w:t>d</w:t>
      </w:r>
      <w:r w:rsidR="00AC4A91" w:rsidRPr="00305D32">
        <w:rPr>
          <w:lang w:val="es-MX"/>
        </w:rPr>
        <w:t xml:space="preserve">éficit presupuestario, se espera que </w:t>
      </w:r>
      <w:r w:rsidR="001A15C2" w:rsidRPr="00305D32">
        <w:rPr>
          <w:lang w:val="es-MX"/>
        </w:rPr>
        <w:t xml:space="preserve">se mantenga en la misma magnitud </w:t>
      </w:r>
      <w:r w:rsidR="004E4312">
        <w:rPr>
          <w:lang w:val="es-MX"/>
        </w:rPr>
        <w:t xml:space="preserve">que en </w:t>
      </w:r>
      <w:r w:rsidR="00DA3CFC" w:rsidRPr="00305D32">
        <w:rPr>
          <w:lang w:val="es-MX"/>
        </w:rPr>
        <w:t>2025</w:t>
      </w:r>
      <w:r w:rsidR="004E4312">
        <w:rPr>
          <w:lang w:val="es-MX"/>
        </w:rPr>
        <w:t>,</w:t>
      </w:r>
      <w:r w:rsidR="00DA3CFC" w:rsidRPr="00305D32">
        <w:rPr>
          <w:lang w:val="es-MX"/>
        </w:rPr>
        <w:t xml:space="preserve"> con </w:t>
      </w:r>
      <w:r w:rsidR="00AC7604" w:rsidRPr="00305D32">
        <w:rPr>
          <w:lang w:val="es-MX"/>
        </w:rPr>
        <w:t>un</w:t>
      </w:r>
      <w:r w:rsidR="00F95C05" w:rsidRPr="00305D32">
        <w:rPr>
          <w:lang w:val="es-MX"/>
        </w:rPr>
        <w:t xml:space="preserve"> valor</w:t>
      </w:r>
      <w:r w:rsidR="00AC7604" w:rsidRPr="00305D32">
        <w:rPr>
          <w:lang w:val="es-MX"/>
        </w:rPr>
        <w:t xml:space="preserve"> del </w:t>
      </w:r>
      <w:r w:rsidR="00752C61" w:rsidRPr="00305D32">
        <w:rPr>
          <w:lang w:val="es-MX"/>
        </w:rPr>
        <w:t>3.6</w:t>
      </w:r>
      <w:r w:rsidR="0019290E">
        <w:rPr>
          <w:lang w:val="es-MX"/>
        </w:rPr>
        <w:t xml:space="preserve"> %</w:t>
      </w:r>
      <w:r w:rsidR="00752C61" w:rsidRPr="00305D32">
        <w:rPr>
          <w:lang w:val="es-MX"/>
        </w:rPr>
        <w:t>.</w:t>
      </w:r>
    </w:p>
    <w:p w14:paraId="4D0832F8" w14:textId="621B3C30" w:rsidR="00AE57F0" w:rsidRPr="00305D32" w:rsidRDefault="00BD4302" w:rsidP="00BD4302">
      <w:pPr>
        <w:pStyle w:val="Descripcin"/>
        <w:jc w:val="center"/>
        <w:rPr>
          <w:color w:val="000000"/>
          <w:lang w:val="es-MX"/>
        </w:rPr>
      </w:pPr>
      <w:bookmarkStart w:id="63" w:name="_heading=h.184mhaj" w:colFirst="0" w:colLast="0"/>
      <w:bookmarkStart w:id="64" w:name="_Ref210214178"/>
      <w:bookmarkEnd w:id="63"/>
      <w:r w:rsidRPr="00305D32">
        <w:rPr>
          <w:lang w:val="es-MX"/>
        </w:rPr>
        <w:t xml:space="preserve">Tabla </w:t>
      </w:r>
      <w:r w:rsidRPr="00305D32">
        <w:rPr>
          <w:lang w:val="es-MX"/>
        </w:rPr>
        <w:fldChar w:fldCharType="begin"/>
      </w:r>
      <w:r w:rsidRPr="00305D32">
        <w:rPr>
          <w:lang w:val="es-MX"/>
        </w:rPr>
        <w:instrText xml:space="preserve"> SEQ Tabla \* ARABIC </w:instrText>
      </w:r>
      <w:r w:rsidRPr="00305D32">
        <w:rPr>
          <w:lang w:val="es-MX"/>
        </w:rPr>
        <w:fldChar w:fldCharType="separate"/>
      </w:r>
      <w:r w:rsidR="00ED1F2F">
        <w:rPr>
          <w:noProof/>
          <w:lang w:val="es-MX"/>
        </w:rPr>
        <w:t>5</w:t>
      </w:r>
      <w:r w:rsidRPr="00305D32">
        <w:rPr>
          <w:lang w:val="es-MX"/>
        </w:rPr>
        <w:fldChar w:fldCharType="end"/>
      </w:r>
      <w:bookmarkEnd w:id="64"/>
      <w:r w:rsidR="00414F7C" w:rsidRPr="00305D32">
        <w:rPr>
          <w:color w:val="000000"/>
          <w:lang w:val="es-MX"/>
        </w:rPr>
        <w:t>. Balance público y balance primario del sector público Federal como proporción del PIB en México, 202</w:t>
      </w:r>
      <w:r w:rsidR="00AA1742" w:rsidRPr="00305D32">
        <w:rPr>
          <w:color w:val="000000"/>
          <w:lang w:val="es-MX"/>
        </w:rPr>
        <w:t>3</w:t>
      </w:r>
      <w:r w:rsidR="00414F7C" w:rsidRPr="00305D32">
        <w:rPr>
          <w:color w:val="000000"/>
          <w:lang w:val="es-MX"/>
        </w:rPr>
        <w:t>-202</w:t>
      </w:r>
      <w:r w:rsidR="00AA1742" w:rsidRPr="00305D32">
        <w:rPr>
          <w:color w:val="000000"/>
          <w:lang w:val="es-MX"/>
        </w:rPr>
        <w:t>6</w:t>
      </w:r>
    </w:p>
    <w:tbl>
      <w:tblPr>
        <w:tblW w:w="8133" w:type="dxa"/>
        <w:jc w:val="center"/>
        <w:tblCellMar>
          <w:left w:w="70" w:type="dxa"/>
          <w:right w:w="70" w:type="dxa"/>
        </w:tblCellMar>
        <w:tblLook w:val="04A0" w:firstRow="1" w:lastRow="0" w:firstColumn="1" w:lastColumn="0" w:noHBand="0" w:noVBand="1"/>
      </w:tblPr>
      <w:tblGrid>
        <w:gridCol w:w="1533"/>
        <w:gridCol w:w="1320"/>
        <w:gridCol w:w="1320"/>
        <w:gridCol w:w="1320"/>
        <w:gridCol w:w="1320"/>
        <w:gridCol w:w="1320"/>
      </w:tblGrid>
      <w:tr w:rsidR="005D6C39" w:rsidRPr="00305D32" w14:paraId="40FF5D8E" w14:textId="77777777" w:rsidTr="005D6C39">
        <w:trPr>
          <w:trHeight w:val="285"/>
          <w:jc w:val="center"/>
        </w:trPr>
        <w:tc>
          <w:tcPr>
            <w:tcW w:w="1533" w:type="dxa"/>
            <w:vMerge w:val="restart"/>
            <w:tcBorders>
              <w:top w:val="single" w:sz="4" w:space="0" w:color="auto"/>
              <w:left w:val="single" w:sz="4" w:space="0" w:color="auto"/>
              <w:bottom w:val="single" w:sz="4" w:space="0" w:color="auto"/>
              <w:right w:val="single" w:sz="4" w:space="0" w:color="auto"/>
            </w:tcBorders>
            <w:noWrap/>
            <w:vAlign w:val="center"/>
            <w:hideMark/>
          </w:tcPr>
          <w:p w14:paraId="02B2E942" w14:textId="77777777" w:rsidR="005D6C39" w:rsidRPr="00305D32" w:rsidRDefault="005D6C39" w:rsidP="005D6C39">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Balance</w:t>
            </w:r>
          </w:p>
        </w:tc>
        <w:tc>
          <w:tcPr>
            <w:tcW w:w="1320" w:type="dxa"/>
            <w:vMerge w:val="restart"/>
            <w:tcBorders>
              <w:top w:val="single" w:sz="4" w:space="0" w:color="auto"/>
              <w:left w:val="single" w:sz="4" w:space="0" w:color="auto"/>
              <w:bottom w:val="single" w:sz="4" w:space="0" w:color="auto"/>
              <w:right w:val="single" w:sz="4" w:space="0" w:color="auto"/>
            </w:tcBorders>
            <w:noWrap/>
            <w:vAlign w:val="center"/>
            <w:hideMark/>
          </w:tcPr>
          <w:p w14:paraId="24AB3377" w14:textId="77777777" w:rsidR="005D6C39" w:rsidRPr="00305D32" w:rsidRDefault="005D6C39" w:rsidP="005D6C39">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2023</w:t>
            </w:r>
          </w:p>
        </w:tc>
        <w:tc>
          <w:tcPr>
            <w:tcW w:w="1320" w:type="dxa"/>
            <w:vMerge w:val="restart"/>
            <w:tcBorders>
              <w:top w:val="single" w:sz="4" w:space="0" w:color="auto"/>
              <w:left w:val="single" w:sz="4" w:space="0" w:color="auto"/>
              <w:bottom w:val="single" w:sz="4" w:space="0" w:color="auto"/>
              <w:right w:val="single" w:sz="4" w:space="0" w:color="auto"/>
            </w:tcBorders>
            <w:noWrap/>
            <w:vAlign w:val="center"/>
            <w:hideMark/>
          </w:tcPr>
          <w:p w14:paraId="56E20F55" w14:textId="77777777" w:rsidR="005D6C39" w:rsidRPr="00305D32" w:rsidRDefault="005D6C39" w:rsidP="005D6C39">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2024</w:t>
            </w:r>
          </w:p>
        </w:tc>
        <w:tc>
          <w:tcPr>
            <w:tcW w:w="2640" w:type="dxa"/>
            <w:gridSpan w:val="2"/>
            <w:tcBorders>
              <w:top w:val="single" w:sz="4" w:space="0" w:color="auto"/>
              <w:left w:val="nil"/>
              <w:bottom w:val="single" w:sz="4" w:space="0" w:color="auto"/>
              <w:right w:val="single" w:sz="4" w:space="0" w:color="auto"/>
            </w:tcBorders>
            <w:noWrap/>
            <w:vAlign w:val="center"/>
            <w:hideMark/>
          </w:tcPr>
          <w:p w14:paraId="39731C13" w14:textId="77777777" w:rsidR="005D6C39" w:rsidRPr="00305D32" w:rsidRDefault="005D6C39" w:rsidP="005D6C39">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2025</w:t>
            </w:r>
          </w:p>
        </w:tc>
        <w:tc>
          <w:tcPr>
            <w:tcW w:w="1320" w:type="dxa"/>
            <w:tcBorders>
              <w:top w:val="single" w:sz="4" w:space="0" w:color="auto"/>
              <w:left w:val="nil"/>
              <w:bottom w:val="single" w:sz="4" w:space="0" w:color="auto"/>
              <w:right w:val="single" w:sz="4" w:space="0" w:color="auto"/>
            </w:tcBorders>
            <w:noWrap/>
            <w:vAlign w:val="center"/>
            <w:hideMark/>
          </w:tcPr>
          <w:p w14:paraId="1008E9D6" w14:textId="77777777" w:rsidR="005D6C39" w:rsidRPr="00305D32" w:rsidRDefault="005D6C39" w:rsidP="005D6C39">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2026</w:t>
            </w:r>
          </w:p>
        </w:tc>
      </w:tr>
      <w:tr w:rsidR="005D6C39" w:rsidRPr="00305D32" w14:paraId="0A9E5434" w14:textId="77777777" w:rsidTr="005D6C39">
        <w:trPr>
          <w:trHeight w:val="285"/>
          <w:jc w:val="center"/>
        </w:trPr>
        <w:tc>
          <w:tcPr>
            <w:tcW w:w="1533" w:type="dxa"/>
            <w:vMerge/>
            <w:tcBorders>
              <w:top w:val="single" w:sz="4" w:space="0" w:color="auto"/>
              <w:left w:val="single" w:sz="4" w:space="0" w:color="auto"/>
              <w:bottom w:val="single" w:sz="4" w:space="0" w:color="auto"/>
              <w:right w:val="single" w:sz="4" w:space="0" w:color="auto"/>
            </w:tcBorders>
            <w:vAlign w:val="center"/>
            <w:hideMark/>
          </w:tcPr>
          <w:p w14:paraId="1FB4EDE0" w14:textId="77777777" w:rsidR="005D6C39" w:rsidRPr="00305D32" w:rsidRDefault="005D6C39" w:rsidP="005D6C39">
            <w:pPr>
              <w:spacing w:after="0" w:line="240" w:lineRule="auto"/>
              <w:jc w:val="left"/>
              <w:rPr>
                <w:rFonts w:eastAsia="Times New Roman"/>
                <w:b/>
                <w:bCs/>
                <w:color w:val="000000"/>
                <w:sz w:val="20"/>
                <w:szCs w:val="20"/>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7B166351" w14:textId="77777777" w:rsidR="005D6C39" w:rsidRPr="00305D32" w:rsidRDefault="005D6C39" w:rsidP="005D6C39">
            <w:pPr>
              <w:spacing w:after="0" w:line="240" w:lineRule="auto"/>
              <w:jc w:val="left"/>
              <w:rPr>
                <w:rFonts w:eastAsia="Times New Roman"/>
                <w:b/>
                <w:bCs/>
                <w:color w:val="000000"/>
                <w:sz w:val="20"/>
                <w:szCs w:val="20"/>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24ED1C6E" w14:textId="77777777" w:rsidR="005D6C39" w:rsidRPr="00305D32" w:rsidRDefault="005D6C39" w:rsidP="005D6C39">
            <w:pPr>
              <w:spacing w:after="0" w:line="240" w:lineRule="auto"/>
              <w:jc w:val="left"/>
              <w:rPr>
                <w:rFonts w:eastAsia="Times New Roman"/>
                <w:b/>
                <w:bCs/>
                <w:color w:val="000000"/>
                <w:sz w:val="20"/>
                <w:szCs w:val="20"/>
                <w:lang w:val="es-MX" w:eastAsia="es-MX"/>
              </w:rPr>
            </w:pPr>
          </w:p>
        </w:tc>
        <w:tc>
          <w:tcPr>
            <w:tcW w:w="1320" w:type="dxa"/>
            <w:tcBorders>
              <w:top w:val="nil"/>
              <w:left w:val="nil"/>
              <w:bottom w:val="single" w:sz="4" w:space="0" w:color="auto"/>
              <w:right w:val="single" w:sz="4" w:space="0" w:color="auto"/>
            </w:tcBorders>
            <w:vAlign w:val="center"/>
            <w:hideMark/>
          </w:tcPr>
          <w:p w14:paraId="37686122" w14:textId="77777777" w:rsidR="005D6C39" w:rsidRPr="00305D32" w:rsidRDefault="005D6C39" w:rsidP="005D6C39">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Aprobado</w:t>
            </w:r>
          </w:p>
        </w:tc>
        <w:tc>
          <w:tcPr>
            <w:tcW w:w="1320" w:type="dxa"/>
            <w:tcBorders>
              <w:top w:val="nil"/>
              <w:left w:val="nil"/>
              <w:bottom w:val="single" w:sz="4" w:space="0" w:color="auto"/>
              <w:right w:val="single" w:sz="4" w:space="0" w:color="auto"/>
            </w:tcBorders>
            <w:vAlign w:val="center"/>
            <w:hideMark/>
          </w:tcPr>
          <w:p w14:paraId="3A631F88" w14:textId="77777777" w:rsidR="005D6C39" w:rsidRPr="00305D32" w:rsidRDefault="005D6C39" w:rsidP="005D6C39">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Estimado</w:t>
            </w:r>
          </w:p>
        </w:tc>
        <w:tc>
          <w:tcPr>
            <w:tcW w:w="1320" w:type="dxa"/>
            <w:tcBorders>
              <w:top w:val="nil"/>
              <w:left w:val="nil"/>
              <w:bottom w:val="single" w:sz="4" w:space="0" w:color="auto"/>
              <w:right w:val="single" w:sz="4" w:space="0" w:color="auto"/>
            </w:tcBorders>
            <w:vAlign w:val="center"/>
            <w:hideMark/>
          </w:tcPr>
          <w:p w14:paraId="07BD7781" w14:textId="77777777" w:rsidR="005D6C39" w:rsidRPr="00305D32" w:rsidRDefault="005D6C39" w:rsidP="005D6C39">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Estimado</w:t>
            </w:r>
          </w:p>
        </w:tc>
      </w:tr>
      <w:tr w:rsidR="005D6C39" w:rsidRPr="00305D32" w14:paraId="303C36FB" w14:textId="77777777" w:rsidTr="005D6C39">
        <w:trPr>
          <w:trHeight w:val="510"/>
          <w:jc w:val="center"/>
        </w:trPr>
        <w:tc>
          <w:tcPr>
            <w:tcW w:w="1533" w:type="dxa"/>
            <w:vMerge/>
            <w:tcBorders>
              <w:top w:val="single" w:sz="4" w:space="0" w:color="auto"/>
              <w:left w:val="single" w:sz="4" w:space="0" w:color="auto"/>
              <w:bottom w:val="single" w:sz="4" w:space="0" w:color="auto"/>
              <w:right w:val="single" w:sz="4" w:space="0" w:color="auto"/>
            </w:tcBorders>
            <w:vAlign w:val="center"/>
            <w:hideMark/>
          </w:tcPr>
          <w:p w14:paraId="7710F52D" w14:textId="77777777" w:rsidR="005D6C39" w:rsidRPr="00305D32" w:rsidRDefault="005D6C39" w:rsidP="005D6C39">
            <w:pPr>
              <w:spacing w:after="0" w:line="240" w:lineRule="auto"/>
              <w:jc w:val="left"/>
              <w:rPr>
                <w:rFonts w:eastAsia="Times New Roman"/>
                <w:b/>
                <w:bCs/>
                <w:color w:val="000000"/>
                <w:sz w:val="20"/>
                <w:szCs w:val="20"/>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609AB894" w14:textId="77777777" w:rsidR="005D6C39" w:rsidRPr="00305D32" w:rsidRDefault="005D6C39" w:rsidP="005D6C39">
            <w:pPr>
              <w:spacing w:after="0" w:line="240" w:lineRule="auto"/>
              <w:jc w:val="left"/>
              <w:rPr>
                <w:rFonts w:eastAsia="Times New Roman"/>
                <w:b/>
                <w:bCs/>
                <w:color w:val="000000"/>
                <w:sz w:val="20"/>
                <w:szCs w:val="20"/>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2AA80213" w14:textId="77777777" w:rsidR="005D6C39" w:rsidRPr="00305D32" w:rsidRDefault="005D6C39" w:rsidP="005D6C39">
            <w:pPr>
              <w:spacing w:after="0" w:line="240" w:lineRule="auto"/>
              <w:jc w:val="left"/>
              <w:rPr>
                <w:rFonts w:eastAsia="Times New Roman"/>
                <w:b/>
                <w:bCs/>
                <w:color w:val="000000"/>
                <w:sz w:val="20"/>
                <w:szCs w:val="20"/>
                <w:lang w:val="es-MX" w:eastAsia="es-MX"/>
              </w:rPr>
            </w:pPr>
          </w:p>
        </w:tc>
        <w:tc>
          <w:tcPr>
            <w:tcW w:w="1320" w:type="dxa"/>
            <w:tcBorders>
              <w:top w:val="nil"/>
              <w:left w:val="nil"/>
              <w:bottom w:val="single" w:sz="4" w:space="0" w:color="auto"/>
              <w:right w:val="single" w:sz="4" w:space="0" w:color="auto"/>
            </w:tcBorders>
            <w:vAlign w:val="center"/>
            <w:hideMark/>
          </w:tcPr>
          <w:p w14:paraId="0A64537E" w14:textId="77777777" w:rsidR="005D6C39" w:rsidRPr="00305D32" w:rsidRDefault="005D6C39" w:rsidP="005D6C39">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CGPE 2025</w:t>
            </w:r>
          </w:p>
        </w:tc>
        <w:tc>
          <w:tcPr>
            <w:tcW w:w="1320" w:type="dxa"/>
            <w:tcBorders>
              <w:top w:val="nil"/>
              <w:left w:val="nil"/>
              <w:bottom w:val="single" w:sz="4" w:space="0" w:color="auto"/>
              <w:right w:val="single" w:sz="4" w:space="0" w:color="auto"/>
            </w:tcBorders>
            <w:vAlign w:val="center"/>
            <w:hideMark/>
          </w:tcPr>
          <w:p w14:paraId="45E3D247" w14:textId="3C217714" w:rsidR="005D6C39" w:rsidRPr="00305D32" w:rsidRDefault="005D6C39" w:rsidP="005D6C39">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CGPE 2026</w:t>
            </w:r>
          </w:p>
        </w:tc>
        <w:tc>
          <w:tcPr>
            <w:tcW w:w="1320" w:type="dxa"/>
            <w:tcBorders>
              <w:top w:val="nil"/>
              <w:left w:val="nil"/>
              <w:bottom w:val="single" w:sz="4" w:space="0" w:color="auto"/>
              <w:right w:val="single" w:sz="4" w:space="0" w:color="auto"/>
            </w:tcBorders>
            <w:vAlign w:val="center"/>
            <w:hideMark/>
          </w:tcPr>
          <w:p w14:paraId="5006CEE6" w14:textId="219FB049" w:rsidR="005D6C39" w:rsidRPr="00305D32" w:rsidRDefault="005D6C39" w:rsidP="005D6C39">
            <w:pPr>
              <w:spacing w:after="0" w:line="240" w:lineRule="auto"/>
              <w:jc w:val="center"/>
              <w:rPr>
                <w:rFonts w:eastAsia="Times New Roman"/>
                <w:b/>
                <w:bCs/>
                <w:color w:val="000000"/>
                <w:sz w:val="20"/>
                <w:szCs w:val="20"/>
                <w:lang w:val="es-MX" w:eastAsia="es-MX"/>
              </w:rPr>
            </w:pPr>
            <w:r w:rsidRPr="00305D32">
              <w:rPr>
                <w:rFonts w:eastAsia="Times New Roman"/>
                <w:b/>
                <w:bCs/>
                <w:color w:val="000000"/>
                <w:sz w:val="20"/>
                <w:szCs w:val="20"/>
                <w:lang w:val="es-MX" w:eastAsia="es-MX"/>
              </w:rPr>
              <w:t>CGPE 2026</w:t>
            </w:r>
          </w:p>
        </w:tc>
      </w:tr>
      <w:tr w:rsidR="005D6C39" w:rsidRPr="00305D32" w14:paraId="3B4413C6" w14:textId="77777777" w:rsidTr="005D6C39">
        <w:trPr>
          <w:trHeight w:val="330"/>
          <w:jc w:val="center"/>
        </w:trPr>
        <w:tc>
          <w:tcPr>
            <w:tcW w:w="1533" w:type="dxa"/>
            <w:tcBorders>
              <w:top w:val="nil"/>
              <w:left w:val="single" w:sz="4" w:space="0" w:color="auto"/>
              <w:bottom w:val="single" w:sz="4" w:space="0" w:color="auto"/>
              <w:right w:val="single" w:sz="4" w:space="0" w:color="auto"/>
            </w:tcBorders>
            <w:noWrap/>
            <w:vAlign w:val="bottom"/>
            <w:hideMark/>
          </w:tcPr>
          <w:p w14:paraId="11160477" w14:textId="77777777" w:rsidR="005D6C39" w:rsidRPr="00305D32" w:rsidRDefault="005D6C39" w:rsidP="005D6C3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Balance Público</w:t>
            </w:r>
          </w:p>
        </w:tc>
        <w:tc>
          <w:tcPr>
            <w:tcW w:w="1320" w:type="dxa"/>
            <w:tcBorders>
              <w:top w:val="nil"/>
              <w:left w:val="nil"/>
              <w:bottom w:val="single" w:sz="4" w:space="0" w:color="auto"/>
              <w:right w:val="single" w:sz="4" w:space="0" w:color="auto"/>
            </w:tcBorders>
            <w:noWrap/>
            <w:vAlign w:val="center"/>
            <w:hideMark/>
          </w:tcPr>
          <w:p w14:paraId="14B6156F" w14:textId="2783DE1A" w:rsidR="005D6C39" w:rsidRPr="00305D32" w:rsidRDefault="005D6C39"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-3.3</w:t>
            </w:r>
            <w:r w:rsidR="0019290E">
              <w:rPr>
                <w:rFonts w:eastAsia="Times New Roman"/>
                <w:color w:val="000000"/>
                <w:sz w:val="20"/>
                <w:szCs w:val="20"/>
                <w:lang w:val="es-MX" w:eastAsia="es-MX"/>
              </w:rPr>
              <w:t xml:space="preserve"> %</w:t>
            </w:r>
          </w:p>
        </w:tc>
        <w:tc>
          <w:tcPr>
            <w:tcW w:w="1320" w:type="dxa"/>
            <w:tcBorders>
              <w:top w:val="nil"/>
              <w:left w:val="nil"/>
              <w:bottom w:val="single" w:sz="4" w:space="0" w:color="auto"/>
              <w:right w:val="single" w:sz="4" w:space="0" w:color="auto"/>
            </w:tcBorders>
            <w:noWrap/>
            <w:vAlign w:val="center"/>
            <w:hideMark/>
          </w:tcPr>
          <w:p w14:paraId="286112C0" w14:textId="6F7DB89F" w:rsidR="005D6C39" w:rsidRPr="00305D32" w:rsidRDefault="005D6C39"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-4.9</w:t>
            </w:r>
            <w:r w:rsidR="0019290E">
              <w:rPr>
                <w:rFonts w:eastAsia="Times New Roman"/>
                <w:color w:val="000000"/>
                <w:sz w:val="20"/>
                <w:szCs w:val="20"/>
                <w:lang w:val="es-MX" w:eastAsia="es-MX"/>
              </w:rPr>
              <w:t xml:space="preserve"> %</w:t>
            </w:r>
          </w:p>
        </w:tc>
        <w:tc>
          <w:tcPr>
            <w:tcW w:w="1320" w:type="dxa"/>
            <w:tcBorders>
              <w:top w:val="nil"/>
              <w:left w:val="nil"/>
              <w:bottom w:val="single" w:sz="4" w:space="0" w:color="auto"/>
              <w:right w:val="single" w:sz="4" w:space="0" w:color="auto"/>
            </w:tcBorders>
            <w:noWrap/>
            <w:vAlign w:val="center"/>
            <w:hideMark/>
          </w:tcPr>
          <w:p w14:paraId="2F1917E8" w14:textId="0E921597" w:rsidR="005D6C39" w:rsidRPr="00305D32" w:rsidRDefault="005D6C39"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-3.2</w:t>
            </w:r>
            <w:r w:rsidR="0019290E">
              <w:rPr>
                <w:rFonts w:eastAsia="Times New Roman"/>
                <w:color w:val="000000"/>
                <w:sz w:val="20"/>
                <w:szCs w:val="20"/>
                <w:lang w:val="es-MX" w:eastAsia="es-MX"/>
              </w:rPr>
              <w:t xml:space="preserve"> %</w:t>
            </w:r>
          </w:p>
        </w:tc>
        <w:tc>
          <w:tcPr>
            <w:tcW w:w="1320" w:type="dxa"/>
            <w:tcBorders>
              <w:top w:val="nil"/>
              <w:left w:val="nil"/>
              <w:bottom w:val="single" w:sz="4" w:space="0" w:color="auto"/>
              <w:right w:val="single" w:sz="4" w:space="0" w:color="auto"/>
            </w:tcBorders>
            <w:noWrap/>
            <w:vAlign w:val="center"/>
            <w:hideMark/>
          </w:tcPr>
          <w:p w14:paraId="70B6F60C" w14:textId="28B4C569" w:rsidR="005D6C39" w:rsidRPr="00305D32" w:rsidRDefault="005D6C39"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-3.</w:t>
            </w:r>
            <w:r w:rsidR="00044CFF" w:rsidRPr="00305D32">
              <w:rPr>
                <w:rFonts w:eastAsia="Times New Roman"/>
                <w:color w:val="000000"/>
                <w:sz w:val="20"/>
                <w:szCs w:val="20"/>
                <w:lang w:val="es-MX" w:eastAsia="es-MX"/>
              </w:rPr>
              <w:t>6</w:t>
            </w:r>
            <w:r w:rsidR="0019290E">
              <w:rPr>
                <w:rFonts w:eastAsia="Times New Roman"/>
                <w:color w:val="000000"/>
                <w:sz w:val="20"/>
                <w:szCs w:val="20"/>
                <w:lang w:val="es-MX" w:eastAsia="es-MX"/>
              </w:rPr>
              <w:t xml:space="preserve"> %</w:t>
            </w:r>
          </w:p>
        </w:tc>
        <w:tc>
          <w:tcPr>
            <w:tcW w:w="1320" w:type="dxa"/>
            <w:tcBorders>
              <w:top w:val="nil"/>
              <w:left w:val="nil"/>
              <w:bottom w:val="single" w:sz="4" w:space="0" w:color="auto"/>
              <w:right w:val="single" w:sz="4" w:space="0" w:color="auto"/>
            </w:tcBorders>
            <w:noWrap/>
            <w:vAlign w:val="center"/>
            <w:hideMark/>
          </w:tcPr>
          <w:p w14:paraId="360A113D" w14:textId="14247BFF" w:rsidR="005D6C39" w:rsidRPr="00305D32" w:rsidRDefault="005D6C39"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w:t>
            </w:r>
            <w:r w:rsidR="00C82085" w:rsidRPr="00305D32">
              <w:rPr>
                <w:rFonts w:eastAsia="Times New Roman"/>
                <w:color w:val="000000"/>
                <w:sz w:val="20"/>
                <w:szCs w:val="20"/>
                <w:lang w:val="es-MX" w:eastAsia="es-MX"/>
              </w:rPr>
              <w:t>3.6</w:t>
            </w:r>
            <w:r w:rsidR="0019290E">
              <w:rPr>
                <w:rFonts w:eastAsia="Times New Roman"/>
                <w:color w:val="000000"/>
                <w:sz w:val="20"/>
                <w:szCs w:val="20"/>
                <w:lang w:val="es-MX" w:eastAsia="es-MX"/>
              </w:rPr>
              <w:t xml:space="preserve"> %</w:t>
            </w:r>
          </w:p>
        </w:tc>
      </w:tr>
      <w:tr w:rsidR="005D6C39" w:rsidRPr="00305D32" w14:paraId="5AD14E3E" w14:textId="77777777" w:rsidTr="005D6C39">
        <w:trPr>
          <w:trHeight w:val="285"/>
          <w:jc w:val="center"/>
        </w:trPr>
        <w:tc>
          <w:tcPr>
            <w:tcW w:w="1533" w:type="dxa"/>
            <w:tcBorders>
              <w:top w:val="nil"/>
              <w:left w:val="single" w:sz="4" w:space="0" w:color="auto"/>
              <w:bottom w:val="single" w:sz="4" w:space="0" w:color="auto"/>
              <w:right w:val="single" w:sz="4" w:space="0" w:color="auto"/>
            </w:tcBorders>
            <w:noWrap/>
            <w:vAlign w:val="bottom"/>
            <w:hideMark/>
          </w:tcPr>
          <w:p w14:paraId="3DB758C3" w14:textId="77777777" w:rsidR="005D6C39" w:rsidRPr="00305D32" w:rsidRDefault="005D6C39" w:rsidP="005D6C39">
            <w:pPr>
              <w:spacing w:after="0" w:line="240" w:lineRule="auto"/>
              <w:jc w:val="left"/>
              <w:rPr>
                <w:rFonts w:eastAsia="Times New Roman"/>
                <w:color w:val="000000"/>
                <w:sz w:val="20"/>
                <w:szCs w:val="20"/>
                <w:lang w:val="es-MX" w:eastAsia="es-MX"/>
              </w:rPr>
            </w:pPr>
            <w:r w:rsidRPr="00305D32">
              <w:rPr>
                <w:rFonts w:eastAsia="Times New Roman"/>
                <w:color w:val="000000"/>
                <w:sz w:val="20"/>
                <w:szCs w:val="20"/>
                <w:lang w:val="es-MX" w:eastAsia="es-MX"/>
              </w:rPr>
              <w:t>Balance Primario</w:t>
            </w:r>
          </w:p>
        </w:tc>
        <w:tc>
          <w:tcPr>
            <w:tcW w:w="1320" w:type="dxa"/>
            <w:tcBorders>
              <w:top w:val="nil"/>
              <w:left w:val="nil"/>
              <w:bottom w:val="single" w:sz="4" w:space="0" w:color="auto"/>
              <w:right w:val="single" w:sz="4" w:space="0" w:color="auto"/>
            </w:tcBorders>
            <w:noWrap/>
            <w:vAlign w:val="center"/>
            <w:hideMark/>
          </w:tcPr>
          <w:p w14:paraId="3DD515C5" w14:textId="10975583" w:rsidR="005D6C39" w:rsidRPr="00305D32" w:rsidRDefault="005D6C39"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-0.1</w:t>
            </w:r>
            <w:r w:rsidR="0019290E">
              <w:rPr>
                <w:rFonts w:eastAsia="Times New Roman"/>
                <w:color w:val="000000"/>
                <w:sz w:val="20"/>
                <w:szCs w:val="20"/>
                <w:lang w:val="es-MX" w:eastAsia="es-MX"/>
              </w:rPr>
              <w:t xml:space="preserve"> %</w:t>
            </w:r>
          </w:p>
        </w:tc>
        <w:tc>
          <w:tcPr>
            <w:tcW w:w="1320" w:type="dxa"/>
            <w:tcBorders>
              <w:top w:val="nil"/>
              <w:left w:val="nil"/>
              <w:bottom w:val="single" w:sz="4" w:space="0" w:color="auto"/>
              <w:right w:val="single" w:sz="4" w:space="0" w:color="auto"/>
            </w:tcBorders>
            <w:noWrap/>
            <w:vAlign w:val="center"/>
            <w:hideMark/>
          </w:tcPr>
          <w:p w14:paraId="32B0F3BE" w14:textId="6D9A605F" w:rsidR="005D6C39" w:rsidRPr="00305D32" w:rsidRDefault="005D6C39"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-1.5</w:t>
            </w:r>
            <w:r w:rsidR="0019290E">
              <w:rPr>
                <w:rFonts w:eastAsia="Times New Roman"/>
                <w:color w:val="000000"/>
                <w:sz w:val="20"/>
                <w:szCs w:val="20"/>
                <w:lang w:val="es-MX" w:eastAsia="es-MX"/>
              </w:rPr>
              <w:t xml:space="preserve"> %</w:t>
            </w:r>
          </w:p>
        </w:tc>
        <w:tc>
          <w:tcPr>
            <w:tcW w:w="1320" w:type="dxa"/>
            <w:tcBorders>
              <w:top w:val="nil"/>
              <w:left w:val="nil"/>
              <w:bottom w:val="single" w:sz="4" w:space="0" w:color="auto"/>
              <w:right w:val="single" w:sz="4" w:space="0" w:color="auto"/>
            </w:tcBorders>
            <w:noWrap/>
            <w:vAlign w:val="center"/>
            <w:hideMark/>
          </w:tcPr>
          <w:p w14:paraId="49839D4F" w14:textId="24979AFD" w:rsidR="005D6C39" w:rsidRPr="00305D32" w:rsidRDefault="005D6C39"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0.6</w:t>
            </w:r>
            <w:r w:rsidR="0019290E">
              <w:rPr>
                <w:rFonts w:eastAsia="Times New Roman"/>
                <w:color w:val="000000"/>
                <w:sz w:val="20"/>
                <w:szCs w:val="20"/>
                <w:lang w:val="es-MX" w:eastAsia="es-MX"/>
              </w:rPr>
              <w:t xml:space="preserve"> %</w:t>
            </w:r>
          </w:p>
        </w:tc>
        <w:tc>
          <w:tcPr>
            <w:tcW w:w="1320" w:type="dxa"/>
            <w:tcBorders>
              <w:top w:val="nil"/>
              <w:left w:val="nil"/>
              <w:bottom w:val="single" w:sz="4" w:space="0" w:color="auto"/>
              <w:right w:val="single" w:sz="4" w:space="0" w:color="auto"/>
            </w:tcBorders>
            <w:noWrap/>
            <w:vAlign w:val="center"/>
            <w:hideMark/>
          </w:tcPr>
          <w:p w14:paraId="5936BF02" w14:textId="0EBA2CCD" w:rsidR="005D6C39" w:rsidRPr="00305D32" w:rsidRDefault="005D6C39"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0.</w:t>
            </w:r>
            <w:r w:rsidR="00635855" w:rsidRPr="00305D32">
              <w:rPr>
                <w:rFonts w:eastAsia="Times New Roman"/>
                <w:color w:val="000000"/>
                <w:sz w:val="20"/>
                <w:szCs w:val="20"/>
                <w:lang w:val="es-MX" w:eastAsia="es-MX"/>
              </w:rPr>
              <w:t>2</w:t>
            </w:r>
            <w:r w:rsidR="0019290E">
              <w:rPr>
                <w:rFonts w:eastAsia="Times New Roman"/>
                <w:color w:val="000000"/>
                <w:sz w:val="20"/>
                <w:szCs w:val="20"/>
                <w:lang w:val="es-MX" w:eastAsia="es-MX"/>
              </w:rPr>
              <w:t xml:space="preserve"> %</w:t>
            </w:r>
          </w:p>
        </w:tc>
        <w:tc>
          <w:tcPr>
            <w:tcW w:w="1320" w:type="dxa"/>
            <w:tcBorders>
              <w:top w:val="nil"/>
              <w:left w:val="nil"/>
              <w:bottom w:val="single" w:sz="4" w:space="0" w:color="auto"/>
              <w:right w:val="single" w:sz="4" w:space="0" w:color="auto"/>
            </w:tcBorders>
            <w:noWrap/>
            <w:vAlign w:val="center"/>
            <w:hideMark/>
          </w:tcPr>
          <w:p w14:paraId="244A8B5E" w14:textId="4558E63B" w:rsidR="005D6C39" w:rsidRPr="00305D32" w:rsidRDefault="005D6C39" w:rsidP="005D6C39">
            <w:pPr>
              <w:spacing w:after="0" w:line="240" w:lineRule="auto"/>
              <w:jc w:val="center"/>
              <w:rPr>
                <w:rFonts w:eastAsia="Times New Roman"/>
                <w:color w:val="000000"/>
                <w:sz w:val="20"/>
                <w:szCs w:val="20"/>
                <w:lang w:val="es-MX" w:eastAsia="es-MX"/>
              </w:rPr>
            </w:pPr>
            <w:r w:rsidRPr="00305D32">
              <w:rPr>
                <w:rFonts w:eastAsia="Times New Roman"/>
                <w:color w:val="000000"/>
                <w:sz w:val="20"/>
                <w:szCs w:val="20"/>
                <w:lang w:val="es-MX" w:eastAsia="es-MX"/>
              </w:rPr>
              <w:t>0.5</w:t>
            </w:r>
            <w:r w:rsidR="0019290E">
              <w:rPr>
                <w:rFonts w:eastAsia="Times New Roman"/>
                <w:color w:val="000000"/>
                <w:sz w:val="20"/>
                <w:szCs w:val="20"/>
                <w:lang w:val="es-MX" w:eastAsia="es-MX"/>
              </w:rPr>
              <w:t xml:space="preserve"> %</w:t>
            </w:r>
          </w:p>
        </w:tc>
      </w:tr>
    </w:tbl>
    <w:p w14:paraId="4D08331B" w14:textId="7DAA77B1" w:rsidR="00AE57F0" w:rsidRPr="00305D32" w:rsidRDefault="00414F7C">
      <w:pPr>
        <w:spacing w:line="240"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datos de la Secretaría de Hacienda y Crédito Público (202</w:t>
      </w:r>
      <w:r w:rsidR="00AA1742" w:rsidRPr="00305D32">
        <w:rPr>
          <w:sz w:val="20"/>
          <w:szCs w:val="20"/>
          <w:lang w:val="es-MX"/>
        </w:rPr>
        <w:t>5</w:t>
      </w:r>
      <w:r w:rsidRPr="00305D32">
        <w:rPr>
          <w:sz w:val="20"/>
          <w:szCs w:val="20"/>
          <w:lang w:val="es-MX"/>
        </w:rPr>
        <w:t xml:space="preserve">), </w:t>
      </w:r>
      <w:r w:rsidRPr="00305D32">
        <w:rPr>
          <w:i/>
          <w:sz w:val="20"/>
          <w:szCs w:val="20"/>
          <w:lang w:val="es-MX"/>
        </w:rPr>
        <w:t>Criterios Generales de Política Económica</w:t>
      </w:r>
      <w:r w:rsidRPr="00305D32">
        <w:rPr>
          <w:sz w:val="20"/>
          <w:szCs w:val="20"/>
          <w:lang w:val="es-MX"/>
        </w:rPr>
        <w:t xml:space="preserve"> 202</w:t>
      </w:r>
      <w:r w:rsidR="00AA1742" w:rsidRPr="00305D32">
        <w:rPr>
          <w:sz w:val="20"/>
          <w:szCs w:val="20"/>
          <w:lang w:val="es-MX"/>
        </w:rPr>
        <w:t>6</w:t>
      </w:r>
      <w:r w:rsidRPr="00305D32">
        <w:rPr>
          <w:sz w:val="20"/>
          <w:szCs w:val="20"/>
          <w:lang w:val="es-MX"/>
        </w:rPr>
        <w:t xml:space="preserve"> (CGPE 202</w:t>
      </w:r>
      <w:r w:rsidR="00AA1742" w:rsidRPr="00305D32">
        <w:rPr>
          <w:sz w:val="20"/>
          <w:szCs w:val="20"/>
          <w:lang w:val="es-MX"/>
        </w:rPr>
        <w:t>6</w:t>
      </w:r>
      <w:r w:rsidRPr="00305D32">
        <w:rPr>
          <w:sz w:val="20"/>
          <w:szCs w:val="20"/>
          <w:lang w:val="es-MX"/>
        </w:rPr>
        <w:t>).</w:t>
      </w:r>
    </w:p>
    <w:p w14:paraId="4D08331C" w14:textId="354FE717" w:rsidR="00AE57F0" w:rsidRPr="00305D32" w:rsidRDefault="00414F7C">
      <w:pPr>
        <w:rPr>
          <w:lang w:val="es-MX"/>
        </w:rPr>
      </w:pPr>
      <w:r w:rsidRPr="00305D32">
        <w:rPr>
          <w:lang w:val="es-MX"/>
        </w:rPr>
        <w:t>En términos generales, el ejercicio fiscal 202</w:t>
      </w:r>
      <w:r w:rsidR="00285D85" w:rsidRPr="00305D32">
        <w:rPr>
          <w:lang w:val="es-MX"/>
        </w:rPr>
        <w:t>5</w:t>
      </w:r>
      <w:r w:rsidRPr="00305D32">
        <w:rPr>
          <w:lang w:val="es-MX"/>
        </w:rPr>
        <w:t xml:space="preserve"> presentará </w:t>
      </w:r>
      <w:r w:rsidR="00E12503" w:rsidRPr="00305D32">
        <w:rPr>
          <w:lang w:val="es-MX"/>
        </w:rPr>
        <w:t>un superávit</w:t>
      </w:r>
      <w:r w:rsidRPr="00305D32">
        <w:rPr>
          <w:lang w:val="es-MX"/>
        </w:rPr>
        <w:t xml:space="preserve"> primario</w:t>
      </w:r>
      <w:r w:rsidR="00A50A4C" w:rsidRPr="00305D32">
        <w:rPr>
          <w:lang w:val="es-MX"/>
        </w:rPr>
        <w:t xml:space="preserve"> por primera vez desde 2020,</w:t>
      </w:r>
      <w:r w:rsidRPr="00305D32">
        <w:rPr>
          <w:lang w:val="es-MX"/>
        </w:rPr>
        <w:t xml:space="preserve"> con </w:t>
      </w:r>
      <w:r w:rsidR="00A50A4C" w:rsidRPr="00305D32">
        <w:rPr>
          <w:lang w:val="es-MX"/>
        </w:rPr>
        <w:t>0.</w:t>
      </w:r>
      <w:r w:rsidR="006B0919" w:rsidRPr="00305D32">
        <w:rPr>
          <w:lang w:val="es-MX"/>
        </w:rPr>
        <w:t>2</w:t>
      </w:r>
      <w:r w:rsidR="0019290E">
        <w:rPr>
          <w:lang w:val="es-MX"/>
        </w:rPr>
        <w:t xml:space="preserve"> %</w:t>
      </w:r>
      <w:r w:rsidRPr="00305D32">
        <w:rPr>
          <w:lang w:val="es-MX"/>
        </w:rPr>
        <w:t xml:space="preserve"> del PIB estimado en los CGPE de 202</w:t>
      </w:r>
      <w:r w:rsidR="00A50A4C" w:rsidRPr="00305D32">
        <w:rPr>
          <w:lang w:val="es-MX"/>
        </w:rPr>
        <w:t>6</w:t>
      </w:r>
      <w:r w:rsidRPr="00305D32">
        <w:rPr>
          <w:lang w:val="es-MX"/>
        </w:rPr>
        <w:t xml:space="preserve"> y con ello el déficit presupuestario alcanzará un </w:t>
      </w:r>
      <w:r w:rsidR="00B023B0" w:rsidRPr="00305D32">
        <w:rPr>
          <w:lang w:val="es-MX"/>
        </w:rPr>
        <w:t>3.</w:t>
      </w:r>
      <w:r w:rsidR="003F202D" w:rsidRPr="00305D32">
        <w:rPr>
          <w:lang w:val="es-MX"/>
        </w:rPr>
        <w:t>6</w:t>
      </w:r>
      <w:r w:rsidR="0019290E">
        <w:rPr>
          <w:lang w:val="es-MX"/>
        </w:rPr>
        <w:t xml:space="preserve"> %</w:t>
      </w:r>
      <w:r w:rsidRPr="00305D32">
        <w:rPr>
          <w:lang w:val="es-MX"/>
        </w:rPr>
        <w:t xml:space="preserve"> del PIB. En el ejercicio fiscal 202</w:t>
      </w:r>
      <w:r w:rsidR="00ED01D7" w:rsidRPr="00305D32">
        <w:rPr>
          <w:lang w:val="es-MX"/>
        </w:rPr>
        <w:t>6</w:t>
      </w:r>
      <w:r w:rsidR="00E24419">
        <w:rPr>
          <w:lang w:val="es-MX"/>
        </w:rPr>
        <w:t>,</w:t>
      </w:r>
      <w:r w:rsidRPr="00305D32">
        <w:rPr>
          <w:lang w:val="es-MX"/>
        </w:rPr>
        <w:t xml:space="preserve"> se proyecta </w:t>
      </w:r>
      <w:r w:rsidR="00ED01D7" w:rsidRPr="00305D32">
        <w:rPr>
          <w:lang w:val="es-MX"/>
        </w:rPr>
        <w:t>una estabilidad en materia fiscal</w:t>
      </w:r>
      <w:r w:rsidR="00E24419">
        <w:rPr>
          <w:lang w:val="es-MX"/>
        </w:rPr>
        <w:t>,</w:t>
      </w:r>
      <w:r w:rsidRPr="00305D32">
        <w:rPr>
          <w:lang w:val="es-MX"/>
        </w:rPr>
        <w:t xml:space="preserve"> y</w:t>
      </w:r>
      <w:r w:rsidR="00ED01D7" w:rsidRPr="00305D32">
        <w:rPr>
          <w:lang w:val="es-MX"/>
        </w:rPr>
        <w:t xml:space="preserve">a que </w:t>
      </w:r>
      <w:r w:rsidRPr="00305D32">
        <w:rPr>
          <w:lang w:val="es-MX"/>
        </w:rPr>
        <w:t>se prevé un superávit primario de 0.</w:t>
      </w:r>
      <w:r w:rsidR="00ED01D7" w:rsidRPr="00305D32">
        <w:rPr>
          <w:lang w:val="es-MX"/>
        </w:rPr>
        <w:t>5</w:t>
      </w:r>
      <w:r w:rsidR="0019290E">
        <w:rPr>
          <w:lang w:val="es-MX"/>
        </w:rPr>
        <w:t xml:space="preserve"> %</w:t>
      </w:r>
      <w:r w:rsidRPr="00305D32">
        <w:rPr>
          <w:lang w:val="es-MX"/>
        </w:rPr>
        <w:t>, al estimar que los ingresos superen a los egresos</w:t>
      </w:r>
      <w:r w:rsidR="0099247E">
        <w:rPr>
          <w:lang w:val="es-MX"/>
        </w:rPr>
        <w:t>,</w:t>
      </w:r>
      <w:r w:rsidR="00ED01D7" w:rsidRPr="00305D32">
        <w:rPr>
          <w:lang w:val="es-MX"/>
        </w:rPr>
        <w:t xml:space="preserve"> y </w:t>
      </w:r>
      <w:r w:rsidRPr="00305D32">
        <w:rPr>
          <w:lang w:val="es-MX"/>
        </w:rPr>
        <w:t xml:space="preserve">se proyecta </w:t>
      </w:r>
      <w:r w:rsidR="003F202D" w:rsidRPr="00305D32">
        <w:rPr>
          <w:lang w:val="es-MX"/>
        </w:rPr>
        <w:t>que el déficit presupuestario se ma</w:t>
      </w:r>
      <w:r w:rsidR="00B2254E" w:rsidRPr="00305D32">
        <w:rPr>
          <w:lang w:val="es-MX"/>
        </w:rPr>
        <w:t>ntenga</w:t>
      </w:r>
      <w:r w:rsidR="0099247E">
        <w:rPr>
          <w:lang w:val="es-MX"/>
        </w:rPr>
        <w:t xml:space="preserve"> en el mismo nivel.</w:t>
      </w:r>
    </w:p>
    <w:p w14:paraId="4D08331D" w14:textId="77777777" w:rsidR="00AE57F0" w:rsidRPr="00305D32" w:rsidRDefault="00414F7C">
      <w:pPr>
        <w:pStyle w:val="Ttulo1"/>
        <w:numPr>
          <w:ilvl w:val="0"/>
          <w:numId w:val="5"/>
        </w:numPr>
        <w:spacing w:before="0"/>
        <w:rPr>
          <w:lang w:val="es-MX"/>
        </w:rPr>
      </w:pPr>
      <w:bookmarkStart w:id="65" w:name="_heading=h.3s49zyc" w:colFirst="0" w:colLast="0"/>
      <w:bookmarkEnd w:id="65"/>
      <w:r w:rsidRPr="00305D32">
        <w:rPr>
          <w:lang w:val="es-MX"/>
        </w:rPr>
        <w:lastRenderedPageBreak/>
        <w:t>Economía Estatal</w:t>
      </w:r>
    </w:p>
    <w:p w14:paraId="4D08331E" w14:textId="1EBA9913" w:rsidR="00AE57F0" w:rsidRPr="00305D32" w:rsidRDefault="00414F7C">
      <w:pPr>
        <w:rPr>
          <w:color w:val="000000"/>
          <w:lang w:val="es-MX"/>
        </w:rPr>
      </w:pPr>
      <w:r w:rsidRPr="00305D32">
        <w:rPr>
          <w:color w:val="000000"/>
          <w:lang w:val="es-MX"/>
        </w:rPr>
        <w:t xml:space="preserve">En este apartado se presenta un análisis de la economía estatal </w:t>
      </w:r>
      <w:r w:rsidR="003E41AF">
        <w:rPr>
          <w:color w:val="000000"/>
          <w:lang w:val="es-MX"/>
        </w:rPr>
        <w:t>correspondiente</w:t>
      </w:r>
      <w:r w:rsidR="00A10FF5">
        <w:rPr>
          <w:color w:val="000000"/>
          <w:lang w:val="es-MX"/>
        </w:rPr>
        <w:t xml:space="preserve"> a</w:t>
      </w:r>
      <w:r w:rsidRPr="00305D32">
        <w:rPr>
          <w:color w:val="000000"/>
          <w:lang w:val="es-MX"/>
        </w:rPr>
        <w:t xml:space="preserve"> </w:t>
      </w:r>
      <w:r w:rsidR="006E1AC3" w:rsidRPr="00305D32">
        <w:rPr>
          <w:color w:val="000000"/>
          <w:lang w:val="es-MX"/>
        </w:rPr>
        <w:t>202</w:t>
      </w:r>
      <w:r w:rsidR="0055730E" w:rsidRPr="00305D32">
        <w:rPr>
          <w:color w:val="000000"/>
          <w:lang w:val="es-MX"/>
        </w:rPr>
        <w:t>5</w:t>
      </w:r>
      <w:r w:rsidR="00A10FF5">
        <w:rPr>
          <w:color w:val="000000"/>
          <w:lang w:val="es-MX"/>
        </w:rPr>
        <w:t>,</w:t>
      </w:r>
      <w:r w:rsidRPr="00305D32">
        <w:rPr>
          <w:color w:val="000000"/>
          <w:lang w:val="es-MX"/>
        </w:rPr>
        <w:t xml:space="preserve"> </w:t>
      </w:r>
      <w:r w:rsidR="00285723">
        <w:rPr>
          <w:color w:val="000000"/>
          <w:lang w:val="es-MX"/>
        </w:rPr>
        <w:t xml:space="preserve">abordando </w:t>
      </w:r>
      <w:r w:rsidRPr="00305D32">
        <w:rPr>
          <w:color w:val="000000"/>
          <w:lang w:val="es-MX"/>
        </w:rPr>
        <w:t xml:space="preserve">el crecimiento económico, finanzas públicas, inflación, sector externo, sector turístico y los </w:t>
      </w:r>
      <w:r w:rsidR="00A10FF5">
        <w:rPr>
          <w:color w:val="000000"/>
          <w:lang w:val="es-MX"/>
        </w:rPr>
        <w:t xml:space="preserve">principales </w:t>
      </w:r>
      <w:r w:rsidRPr="00305D32">
        <w:rPr>
          <w:color w:val="000000"/>
          <w:lang w:val="es-MX"/>
        </w:rPr>
        <w:t xml:space="preserve">indicadores del mercado laboral. En vista de que el ejercicio fiscal </w:t>
      </w:r>
      <w:r w:rsidR="006E1AC3" w:rsidRPr="00305D32">
        <w:rPr>
          <w:color w:val="000000"/>
          <w:lang w:val="es-MX"/>
        </w:rPr>
        <w:t>202</w:t>
      </w:r>
      <w:r w:rsidR="0055730E" w:rsidRPr="00305D32">
        <w:rPr>
          <w:color w:val="000000"/>
          <w:lang w:val="es-MX"/>
        </w:rPr>
        <w:t>5</w:t>
      </w:r>
      <w:r w:rsidRPr="00305D32">
        <w:rPr>
          <w:color w:val="000000"/>
          <w:lang w:val="es-MX"/>
        </w:rPr>
        <w:t xml:space="preserve"> aún no ha concluido</w:t>
      </w:r>
      <w:r w:rsidR="00C50F85">
        <w:rPr>
          <w:color w:val="000000"/>
          <w:lang w:val="es-MX"/>
        </w:rPr>
        <w:t>,</w:t>
      </w:r>
      <w:r w:rsidRPr="00305D32">
        <w:rPr>
          <w:color w:val="000000"/>
          <w:lang w:val="es-MX"/>
        </w:rPr>
        <w:t xml:space="preserve"> es importante considerar que las cifras preliminares utilizadas se encuentran sujetas a modificación conforme se </w:t>
      </w:r>
      <w:r w:rsidR="00C50F85">
        <w:rPr>
          <w:color w:val="000000"/>
          <w:lang w:val="es-MX"/>
        </w:rPr>
        <w:t xml:space="preserve">disponga de información </w:t>
      </w:r>
      <w:r w:rsidR="00D04339">
        <w:rPr>
          <w:color w:val="000000"/>
          <w:lang w:val="es-MX"/>
        </w:rPr>
        <w:t>más actualizada</w:t>
      </w:r>
      <w:r w:rsidRPr="00305D32">
        <w:rPr>
          <w:color w:val="000000"/>
          <w:lang w:val="es-MX"/>
        </w:rPr>
        <w:t xml:space="preserve"> y</w:t>
      </w:r>
      <w:r w:rsidR="00D04339">
        <w:rPr>
          <w:color w:val="000000"/>
          <w:lang w:val="es-MX"/>
        </w:rPr>
        <w:t xml:space="preserve"> que</w:t>
      </w:r>
      <w:r w:rsidRPr="00305D32">
        <w:rPr>
          <w:color w:val="000000"/>
          <w:lang w:val="es-MX"/>
        </w:rPr>
        <w:t xml:space="preserve"> las correspondientes a </w:t>
      </w:r>
      <w:r w:rsidR="006E1AC3" w:rsidRPr="00305D32">
        <w:rPr>
          <w:color w:val="000000"/>
          <w:lang w:val="es-MX"/>
        </w:rPr>
        <w:t>2025</w:t>
      </w:r>
      <w:r w:rsidRPr="00305D32">
        <w:rPr>
          <w:color w:val="000000"/>
          <w:lang w:val="es-MX"/>
        </w:rPr>
        <w:t xml:space="preserve"> </w:t>
      </w:r>
      <w:r w:rsidR="00D04339">
        <w:rPr>
          <w:color w:val="000000"/>
          <w:lang w:val="es-MX"/>
        </w:rPr>
        <w:t>provienen</w:t>
      </w:r>
      <w:r w:rsidRPr="00305D32">
        <w:rPr>
          <w:color w:val="000000"/>
          <w:lang w:val="es-MX"/>
        </w:rPr>
        <w:t xml:space="preserve"> </w:t>
      </w:r>
      <w:r w:rsidR="00D04339">
        <w:rPr>
          <w:color w:val="000000"/>
          <w:lang w:val="es-MX"/>
        </w:rPr>
        <w:t>de</w:t>
      </w:r>
      <w:r w:rsidRPr="00305D32">
        <w:rPr>
          <w:color w:val="000000"/>
          <w:lang w:val="es-MX"/>
        </w:rPr>
        <w:t xml:space="preserve"> estimaciones realizadas por la Subsecretaría de Análisis Económico y Finanzas Públicas de la </w:t>
      </w:r>
      <w:r w:rsidR="00451322" w:rsidRPr="00451322">
        <w:rPr>
          <w:color w:val="000000"/>
          <w:lang w:val="es-MX"/>
        </w:rPr>
        <w:t xml:space="preserve">Secretaría de Finanzas y Planeación </w:t>
      </w:r>
      <w:r w:rsidR="00451322">
        <w:rPr>
          <w:color w:val="000000"/>
          <w:lang w:val="es-MX"/>
        </w:rPr>
        <w:t>(</w:t>
      </w:r>
      <w:r w:rsidRPr="00305D32">
        <w:rPr>
          <w:color w:val="000000"/>
          <w:lang w:val="es-MX"/>
        </w:rPr>
        <w:t>SEFIPLAN</w:t>
      </w:r>
      <w:r w:rsidR="00451322">
        <w:rPr>
          <w:color w:val="000000"/>
          <w:lang w:val="es-MX"/>
        </w:rPr>
        <w:t>)</w:t>
      </w:r>
      <w:r w:rsidRPr="00305D32">
        <w:rPr>
          <w:color w:val="000000"/>
          <w:lang w:val="es-MX"/>
        </w:rPr>
        <w:t>.</w:t>
      </w:r>
    </w:p>
    <w:p w14:paraId="4D08331F" w14:textId="77777777" w:rsidR="00AE57F0" w:rsidRPr="00305D32" w:rsidRDefault="00414F7C">
      <w:pPr>
        <w:pStyle w:val="Ttulo2"/>
        <w:numPr>
          <w:ilvl w:val="1"/>
          <w:numId w:val="3"/>
        </w:numPr>
        <w:ind w:left="0" w:firstLine="0"/>
        <w:rPr>
          <w:lang w:val="es-MX"/>
        </w:rPr>
      </w:pPr>
      <w:bookmarkStart w:id="66" w:name="_heading=h.279ka65" w:colFirst="0" w:colLast="0"/>
      <w:bookmarkEnd w:id="66"/>
      <w:r w:rsidRPr="00305D32">
        <w:rPr>
          <w:lang w:val="es-MX"/>
        </w:rPr>
        <w:t>Producto Interno Bruto</w:t>
      </w:r>
    </w:p>
    <w:p w14:paraId="4D083320" w14:textId="7C7AD988" w:rsidR="00AE57F0" w:rsidRPr="00305D32" w:rsidRDefault="00414F7C">
      <w:pPr>
        <w:rPr>
          <w:color w:val="000000"/>
          <w:lang w:val="es-MX"/>
        </w:rPr>
      </w:pPr>
      <w:r w:rsidRPr="00305D32">
        <w:rPr>
          <w:color w:val="000000"/>
          <w:lang w:val="es-MX"/>
        </w:rPr>
        <w:t xml:space="preserve">Quintana Roo es una entidad altamente reconocida a nivel mundial por sus destinos turísticos, </w:t>
      </w:r>
      <w:r w:rsidR="001B683C">
        <w:rPr>
          <w:color w:val="000000"/>
          <w:lang w:val="es-MX"/>
        </w:rPr>
        <w:t>así como por su riqueza</w:t>
      </w:r>
      <w:r w:rsidRPr="00305D32">
        <w:rPr>
          <w:color w:val="000000"/>
          <w:lang w:val="es-MX"/>
        </w:rPr>
        <w:t xml:space="preserve"> natural y cultural</w:t>
      </w:r>
      <w:r w:rsidR="00B4144C">
        <w:rPr>
          <w:color w:val="000000"/>
          <w:lang w:val="es-MX"/>
        </w:rPr>
        <w:t>.</w:t>
      </w:r>
      <w:r w:rsidRPr="00305D32">
        <w:rPr>
          <w:color w:val="000000"/>
          <w:lang w:val="es-MX"/>
        </w:rPr>
        <w:t xml:space="preserve"> </w:t>
      </w:r>
      <w:r w:rsidR="00B4144C">
        <w:rPr>
          <w:color w:val="000000"/>
          <w:lang w:val="es-MX"/>
        </w:rPr>
        <w:t>G</w:t>
      </w:r>
      <w:r w:rsidRPr="00305D32">
        <w:rPr>
          <w:color w:val="000000"/>
          <w:lang w:val="es-MX"/>
        </w:rPr>
        <w:t xml:space="preserve">racias a </w:t>
      </w:r>
      <w:r w:rsidR="00B4144C">
        <w:rPr>
          <w:color w:val="000000"/>
          <w:lang w:val="es-MX"/>
        </w:rPr>
        <w:t>ell</w:t>
      </w:r>
      <w:r w:rsidRPr="00305D32">
        <w:rPr>
          <w:color w:val="000000"/>
          <w:lang w:val="es-MX"/>
        </w:rPr>
        <w:t>o</w:t>
      </w:r>
      <w:r w:rsidR="00AB7BF4">
        <w:rPr>
          <w:color w:val="000000"/>
          <w:lang w:val="es-MX"/>
        </w:rPr>
        <w:t>,</w:t>
      </w:r>
      <w:r w:rsidRPr="00305D32">
        <w:rPr>
          <w:color w:val="000000"/>
          <w:lang w:val="es-MX"/>
        </w:rPr>
        <w:t xml:space="preserve"> ha logrado dejar huella </w:t>
      </w:r>
      <w:r w:rsidR="00AB7BF4">
        <w:rPr>
          <w:color w:val="000000"/>
          <w:lang w:val="es-MX"/>
        </w:rPr>
        <w:t>a nivel internacional.</w:t>
      </w:r>
      <w:r w:rsidR="002A3D7C">
        <w:rPr>
          <w:color w:val="000000"/>
          <w:lang w:val="es-MX"/>
        </w:rPr>
        <w:t xml:space="preserve"> N</w:t>
      </w:r>
      <w:r w:rsidRPr="00305D32">
        <w:rPr>
          <w:color w:val="000000"/>
          <w:lang w:val="es-MX"/>
        </w:rPr>
        <w:t xml:space="preserve">o es de extrañar que su crecimiento económico dependa principalmente de las actividades </w:t>
      </w:r>
      <w:r w:rsidR="002A3D7C">
        <w:rPr>
          <w:color w:val="000000"/>
          <w:lang w:val="es-MX"/>
        </w:rPr>
        <w:t xml:space="preserve">del </w:t>
      </w:r>
      <w:r w:rsidR="00D25FB9">
        <w:rPr>
          <w:color w:val="000000"/>
          <w:lang w:val="es-MX"/>
        </w:rPr>
        <w:t xml:space="preserve">sector terciario </w:t>
      </w:r>
      <w:r w:rsidRPr="00305D32">
        <w:rPr>
          <w:color w:val="000000"/>
          <w:lang w:val="es-MX"/>
        </w:rPr>
        <w:t>y</w:t>
      </w:r>
      <w:r w:rsidR="00D25FB9">
        <w:rPr>
          <w:color w:val="000000"/>
          <w:lang w:val="es-MX"/>
        </w:rPr>
        <w:t xml:space="preserve"> que</w:t>
      </w:r>
      <w:r w:rsidR="00AB1A84" w:rsidRPr="00305D32">
        <w:rPr>
          <w:color w:val="000000"/>
          <w:lang w:val="es-MX"/>
        </w:rPr>
        <w:t>,</w:t>
      </w:r>
      <w:r w:rsidRPr="00305D32">
        <w:rPr>
          <w:color w:val="000000"/>
          <w:lang w:val="es-MX"/>
        </w:rPr>
        <w:t xml:space="preserve"> por ende</w:t>
      </w:r>
      <w:r w:rsidR="00AB1A84" w:rsidRPr="00305D32">
        <w:rPr>
          <w:color w:val="000000"/>
          <w:lang w:val="es-MX"/>
        </w:rPr>
        <w:t>,</w:t>
      </w:r>
      <w:r w:rsidRPr="00305D32">
        <w:rPr>
          <w:color w:val="000000"/>
          <w:lang w:val="es-MX"/>
        </w:rPr>
        <w:t xml:space="preserve"> el sector turístico es de los más explotados a nivel estatal. </w:t>
      </w:r>
    </w:p>
    <w:p w14:paraId="4D083321" w14:textId="457FCB7C" w:rsidR="00AE57F0" w:rsidRPr="00305D32" w:rsidRDefault="00414F7C">
      <w:pPr>
        <w:rPr>
          <w:color w:val="000000"/>
          <w:lang w:val="es-MX"/>
        </w:rPr>
      </w:pPr>
      <w:r w:rsidRPr="00305D32">
        <w:rPr>
          <w:color w:val="000000"/>
          <w:lang w:val="es-MX"/>
        </w:rPr>
        <w:t xml:space="preserve">En 2024 se proyecta un crecimiento a la baja de </w:t>
      </w:r>
      <w:r w:rsidR="00FB6675" w:rsidRPr="00305D32">
        <w:rPr>
          <w:color w:val="000000"/>
          <w:lang w:val="es-MX"/>
        </w:rPr>
        <w:t>-3.92</w:t>
      </w:r>
      <w:r w:rsidR="0019290E">
        <w:rPr>
          <w:color w:val="000000"/>
          <w:lang w:val="es-MX"/>
        </w:rPr>
        <w:t xml:space="preserve"> %</w:t>
      </w:r>
      <w:r w:rsidRPr="00305D32">
        <w:rPr>
          <w:color w:val="000000"/>
          <w:lang w:val="es-MX"/>
        </w:rPr>
        <w:t xml:space="preserve">, de acuerdo con la </w:t>
      </w:r>
      <w:r w:rsidR="008F4E98">
        <w:rPr>
          <w:color w:val="000000"/>
          <w:lang w:val="es-MX"/>
        </w:rPr>
        <w:t>estimación</w:t>
      </w:r>
      <w:r w:rsidRPr="00305D32">
        <w:rPr>
          <w:color w:val="000000"/>
          <w:lang w:val="es-MX"/>
        </w:rPr>
        <w:t xml:space="preserve"> del PIB estatal </w:t>
      </w:r>
      <w:r w:rsidR="005B07DF" w:rsidRPr="005B07DF">
        <w:rPr>
          <w:color w:val="000000"/>
          <w:lang w:val="es-MX"/>
        </w:rPr>
        <w:t xml:space="preserve">realizada con base en el Indicador de la Actividad </w:t>
      </w:r>
      <w:r w:rsidR="00F11022" w:rsidRPr="005B07DF">
        <w:rPr>
          <w:color w:val="000000"/>
          <w:lang w:val="es-MX"/>
        </w:rPr>
        <w:t>Económica</w:t>
      </w:r>
      <w:r w:rsidR="005B07DF" w:rsidRPr="005B07DF">
        <w:rPr>
          <w:color w:val="000000"/>
          <w:lang w:val="es-MX"/>
        </w:rPr>
        <w:t xml:space="preserve"> </w:t>
      </w:r>
      <w:r w:rsidR="00F11318" w:rsidRPr="005B07DF">
        <w:rPr>
          <w:color w:val="000000"/>
          <w:lang w:val="es-MX"/>
        </w:rPr>
        <w:t>Estatal (</w:t>
      </w:r>
      <w:r w:rsidR="005B07DF" w:rsidRPr="005B07DF">
        <w:rPr>
          <w:color w:val="000000"/>
          <w:lang w:val="es-MX"/>
        </w:rPr>
        <w:t>ITAEE)</w:t>
      </w:r>
      <w:r w:rsidR="00F11022">
        <w:rPr>
          <w:color w:val="000000"/>
          <w:lang w:val="es-MX"/>
        </w:rPr>
        <w:t xml:space="preserve"> </w:t>
      </w:r>
      <w:r w:rsidR="00A0713C">
        <w:rPr>
          <w:color w:val="000000"/>
          <w:lang w:val="es-MX"/>
        </w:rPr>
        <w:t xml:space="preserve">y </w:t>
      </w:r>
      <w:r w:rsidRPr="00305D32">
        <w:rPr>
          <w:color w:val="000000"/>
          <w:lang w:val="es-MX"/>
        </w:rPr>
        <w:t xml:space="preserve">los datos del primer trimestre de </w:t>
      </w:r>
      <w:r w:rsidR="006E1AC3" w:rsidRPr="00305D32">
        <w:rPr>
          <w:color w:val="000000"/>
          <w:lang w:val="es-MX"/>
        </w:rPr>
        <w:t>202</w:t>
      </w:r>
      <w:r w:rsidR="00FB6675" w:rsidRPr="00305D32">
        <w:rPr>
          <w:color w:val="000000"/>
          <w:lang w:val="es-MX"/>
        </w:rPr>
        <w:t>5</w:t>
      </w:r>
      <w:r w:rsidRPr="00305D32">
        <w:rPr>
          <w:color w:val="000000"/>
          <w:lang w:val="es-MX"/>
        </w:rPr>
        <w:t xml:space="preserve"> (</w:t>
      </w:r>
      <w:r w:rsidR="00745079" w:rsidRPr="00305D32">
        <w:rPr>
          <w:color w:val="000000"/>
          <w:lang w:val="es-MX"/>
        </w:rPr>
        <w:fldChar w:fldCharType="begin"/>
      </w:r>
      <w:r w:rsidR="00745079" w:rsidRPr="00305D32">
        <w:rPr>
          <w:color w:val="000000"/>
          <w:lang w:val="es-MX"/>
        </w:rPr>
        <w:instrText xml:space="preserve"> REF _Ref210217155 \h </w:instrText>
      </w:r>
      <w:r w:rsidR="00745079" w:rsidRPr="00305D32">
        <w:rPr>
          <w:color w:val="000000"/>
          <w:lang w:val="es-MX"/>
        </w:rPr>
      </w:r>
      <w:r w:rsidR="00745079" w:rsidRPr="00305D32">
        <w:rPr>
          <w:color w:val="000000"/>
          <w:lang w:val="es-MX"/>
        </w:rPr>
        <w:fldChar w:fldCharType="separate"/>
      </w:r>
      <w:r w:rsidR="00ED1F2F" w:rsidRPr="00305D32">
        <w:rPr>
          <w:lang w:val="es-MX"/>
        </w:rPr>
        <w:t xml:space="preserve">Figura </w:t>
      </w:r>
      <w:r w:rsidR="00ED1F2F">
        <w:rPr>
          <w:noProof/>
          <w:lang w:val="es-MX"/>
        </w:rPr>
        <w:t>24</w:t>
      </w:r>
      <w:r w:rsidR="00745079" w:rsidRPr="00305D32">
        <w:rPr>
          <w:color w:val="000000"/>
          <w:lang w:val="es-MX"/>
        </w:rPr>
        <w:fldChar w:fldCharType="end"/>
      </w:r>
      <w:r w:rsidRPr="00305D32">
        <w:rPr>
          <w:lang w:val="es-MX"/>
        </w:rPr>
        <w:t>)</w:t>
      </w:r>
      <w:r w:rsidRPr="00305D32">
        <w:rPr>
          <w:color w:val="000000"/>
          <w:lang w:val="es-MX"/>
        </w:rPr>
        <w:t xml:space="preserve">. En la nueva metodología del INEGI con año base 2018, las tasas de crecimiento del ITAEE y </w:t>
      </w:r>
      <w:r w:rsidR="00EF06A2">
        <w:rPr>
          <w:color w:val="000000"/>
          <w:lang w:val="es-MX"/>
        </w:rPr>
        <w:t>del Valor Agregado Bruto</w:t>
      </w:r>
      <w:r w:rsidRPr="00305D32">
        <w:rPr>
          <w:color w:val="000000"/>
          <w:lang w:val="es-MX"/>
        </w:rPr>
        <w:t xml:space="preserve"> </w:t>
      </w:r>
      <w:r w:rsidR="00EF06A2">
        <w:rPr>
          <w:color w:val="000000"/>
          <w:lang w:val="es-MX"/>
        </w:rPr>
        <w:t>(</w:t>
      </w:r>
      <w:r w:rsidRPr="00305D32">
        <w:rPr>
          <w:color w:val="000000"/>
          <w:lang w:val="es-MX"/>
        </w:rPr>
        <w:t>VAB</w:t>
      </w:r>
      <w:r w:rsidR="00EF06A2">
        <w:rPr>
          <w:color w:val="000000"/>
          <w:lang w:val="es-MX"/>
        </w:rPr>
        <w:t>)</w:t>
      </w:r>
      <w:r w:rsidRPr="00305D32">
        <w:rPr>
          <w:color w:val="000000"/>
          <w:lang w:val="es-MX"/>
        </w:rPr>
        <w:t xml:space="preserve"> son equivalentes. En este sentido, el método de cálculo de la tasa de crecimiento del PIB </w:t>
      </w:r>
      <w:r w:rsidR="00EF06A2">
        <w:rPr>
          <w:color w:val="000000"/>
          <w:lang w:val="es-MX"/>
        </w:rPr>
        <w:t xml:space="preserve">estatal </w:t>
      </w:r>
      <w:r w:rsidRPr="00305D32">
        <w:rPr>
          <w:color w:val="000000"/>
          <w:lang w:val="es-MX"/>
        </w:rPr>
        <w:t xml:space="preserve">es el pronóstico del VAB más los impuestos indirectos. No obstante, la tasa estimada de </w:t>
      </w:r>
      <w:r w:rsidR="006E1AC3" w:rsidRPr="00305D32">
        <w:rPr>
          <w:color w:val="000000"/>
          <w:lang w:val="es-MX"/>
        </w:rPr>
        <w:t>202</w:t>
      </w:r>
      <w:r w:rsidR="00D43357" w:rsidRPr="00305D32">
        <w:rPr>
          <w:color w:val="000000"/>
          <w:lang w:val="es-MX"/>
        </w:rPr>
        <w:t>4</w:t>
      </w:r>
      <w:r w:rsidRPr="00305D32">
        <w:rPr>
          <w:color w:val="000000"/>
          <w:lang w:val="es-MX"/>
        </w:rPr>
        <w:t xml:space="preserve"> y la proyectada de </w:t>
      </w:r>
      <w:r w:rsidR="006E1AC3" w:rsidRPr="00305D32">
        <w:rPr>
          <w:color w:val="000000"/>
          <w:lang w:val="es-MX"/>
        </w:rPr>
        <w:t>202</w:t>
      </w:r>
      <w:r w:rsidR="00D43357" w:rsidRPr="00305D32">
        <w:rPr>
          <w:color w:val="000000"/>
          <w:lang w:val="es-MX"/>
        </w:rPr>
        <w:t>5</w:t>
      </w:r>
      <w:r w:rsidRPr="00305D32">
        <w:rPr>
          <w:color w:val="000000"/>
          <w:lang w:val="es-MX"/>
        </w:rPr>
        <w:t xml:space="preserve"> aún están sujetas a las variaciones que pueda tener con la publicación de los nuevos datos en el trascurso del año.</w:t>
      </w:r>
    </w:p>
    <w:p w14:paraId="624569A9" w14:textId="33BD39E2" w:rsidR="00137280" w:rsidRPr="00305D32" w:rsidRDefault="00414F7C">
      <w:pPr>
        <w:rPr>
          <w:color w:val="000000"/>
          <w:lang w:val="es-MX"/>
        </w:rPr>
      </w:pPr>
      <w:r w:rsidRPr="00305D32">
        <w:rPr>
          <w:color w:val="000000"/>
          <w:lang w:val="es-MX"/>
        </w:rPr>
        <w:lastRenderedPageBreak/>
        <w:t>Después de crecer a una tasa del 13.6</w:t>
      </w:r>
      <w:r w:rsidR="0019290E">
        <w:rPr>
          <w:color w:val="000000"/>
          <w:lang w:val="es-MX"/>
        </w:rPr>
        <w:t xml:space="preserve"> %</w:t>
      </w:r>
      <w:r w:rsidRPr="00305D32">
        <w:rPr>
          <w:color w:val="000000"/>
          <w:lang w:val="es-MX"/>
        </w:rPr>
        <w:t xml:space="preserve"> en 2021</w:t>
      </w:r>
      <w:r w:rsidR="00413913" w:rsidRPr="00305D32">
        <w:rPr>
          <w:color w:val="000000"/>
          <w:lang w:val="es-MX"/>
        </w:rPr>
        <w:t>,</w:t>
      </w:r>
      <w:r w:rsidRPr="00305D32">
        <w:rPr>
          <w:color w:val="000000"/>
          <w:lang w:val="es-MX"/>
        </w:rPr>
        <w:t xml:space="preserve"> 7.2</w:t>
      </w:r>
      <w:r w:rsidR="001532D2" w:rsidRPr="00305D32">
        <w:rPr>
          <w:color w:val="000000"/>
          <w:lang w:val="es-MX"/>
        </w:rPr>
        <w:t>7</w:t>
      </w:r>
      <w:r w:rsidR="0019290E">
        <w:rPr>
          <w:color w:val="000000"/>
          <w:lang w:val="es-MX"/>
        </w:rPr>
        <w:t xml:space="preserve"> %</w:t>
      </w:r>
      <w:r w:rsidRPr="00305D32">
        <w:rPr>
          <w:color w:val="000000"/>
          <w:lang w:val="es-MX"/>
        </w:rPr>
        <w:t xml:space="preserve"> en 2022</w:t>
      </w:r>
      <w:r w:rsidR="00C816CD" w:rsidRPr="00305D32">
        <w:rPr>
          <w:color w:val="000000"/>
          <w:lang w:val="es-MX"/>
        </w:rPr>
        <w:t xml:space="preserve"> y </w:t>
      </w:r>
      <w:r w:rsidR="00E26AC7" w:rsidRPr="00305D32">
        <w:rPr>
          <w:color w:val="000000"/>
          <w:lang w:val="es-MX"/>
        </w:rPr>
        <w:t>13.86</w:t>
      </w:r>
      <w:r w:rsidR="0019290E">
        <w:rPr>
          <w:color w:val="000000"/>
          <w:lang w:val="es-MX"/>
        </w:rPr>
        <w:t xml:space="preserve"> %</w:t>
      </w:r>
      <w:r w:rsidR="00E26AC7" w:rsidRPr="00305D32">
        <w:rPr>
          <w:color w:val="000000"/>
          <w:lang w:val="es-MX"/>
        </w:rPr>
        <w:t xml:space="preserve"> en 2023</w:t>
      </w:r>
      <w:r w:rsidRPr="00305D32">
        <w:rPr>
          <w:color w:val="000000"/>
          <w:lang w:val="es-MX"/>
        </w:rPr>
        <w:t>, impulsado por el repunte de actividades post</w:t>
      </w:r>
      <w:r w:rsidR="00903DB4">
        <w:rPr>
          <w:color w:val="000000"/>
          <w:lang w:val="es-MX"/>
        </w:rPr>
        <w:t xml:space="preserve">eriores a la </w:t>
      </w:r>
      <w:r w:rsidRPr="00305D32">
        <w:rPr>
          <w:color w:val="000000"/>
          <w:lang w:val="es-MX"/>
        </w:rPr>
        <w:t xml:space="preserve">pandemia, la </w:t>
      </w:r>
      <w:r w:rsidR="00313EAB">
        <w:rPr>
          <w:color w:val="000000"/>
          <w:lang w:val="es-MX"/>
        </w:rPr>
        <w:t xml:space="preserve">contracción </w:t>
      </w:r>
      <w:r w:rsidR="0029368B" w:rsidRPr="00305D32">
        <w:rPr>
          <w:color w:val="000000"/>
          <w:lang w:val="es-MX"/>
        </w:rPr>
        <w:t xml:space="preserve">de la </w:t>
      </w:r>
      <w:r w:rsidRPr="00305D32">
        <w:rPr>
          <w:color w:val="000000"/>
          <w:lang w:val="es-MX"/>
        </w:rPr>
        <w:t xml:space="preserve">tasa de crecimiento esperada en </w:t>
      </w:r>
      <w:r w:rsidR="006E1AC3" w:rsidRPr="00305D32">
        <w:rPr>
          <w:color w:val="000000"/>
          <w:lang w:val="es-MX"/>
        </w:rPr>
        <w:t>2024</w:t>
      </w:r>
      <w:r w:rsidRPr="00305D32">
        <w:rPr>
          <w:color w:val="000000"/>
          <w:lang w:val="es-MX"/>
        </w:rPr>
        <w:t xml:space="preserve"> responde al fuerte </w:t>
      </w:r>
      <w:r w:rsidR="00313EAB">
        <w:rPr>
          <w:color w:val="000000"/>
          <w:lang w:val="es-MX"/>
        </w:rPr>
        <w:t>dinamismo</w:t>
      </w:r>
      <w:r w:rsidRPr="00305D32">
        <w:rPr>
          <w:color w:val="000000"/>
          <w:lang w:val="es-MX"/>
        </w:rPr>
        <w:t xml:space="preserve"> observado en el tercer y cuarto trimestre de 2023 impulsado principalmente por el sector 23 </w:t>
      </w:r>
      <w:r w:rsidR="005A6C2F">
        <w:rPr>
          <w:color w:val="000000"/>
          <w:lang w:val="es-MX"/>
        </w:rPr>
        <w:t>“</w:t>
      </w:r>
      <w:r w:rsidRPr="00305D32">
        <w:rPr>
          <w:color w:val="000000"/>
          <w:lang w:val="es-MX"/>
        </w:rPr>
        <w:t>Construcción</w:t>
      </w:r>
      <w:r w:rsidR="005A6C2F">
        <w:rPr>
          <w:color w:val="000000"/>
          <w:lang w:val="es-MX"/>
        </w:rPr>
        <w:t>”,</w:t>
      </w:r>
      <w:r w:rsidRPr="00305D32">
        <w:rPr>
          <w:color w:val="000000"/>
          <w:lang w:val="es-MX"/>
        </w:rPr>
        <w:t xml:space="preserve"> a través de la construcción del Tren Maya. La inversión pública que impulsó el crecimiento en </w:t>
      </w:r>
      <w:r w:rsidR="00F11318" w:rsidRPr="00305D32">
        <w:rPr>
          <w:color w:val="000000"/>
          <w:lang w:val="es-MX"/>
        </w:rPr>
        <w:t>2022</w:t>
      </w:r>
      <w:r w:rsidRPr="00305D32">
        <w:rPr>
          <w:color w:val="000000"/>
          <w:lang w:val="es-MX"/>
        </w:rPr>
        <w:t xml:space="preserve"> se mantuvo en 2023 con un ritmo más </w:t>
      </w:r>
      <w:r w:rsidR="005A6C2F">
        <w:rPr>
          <w:color w:val="000000"/>
          <w:lang w:val="es-MX"/>
        </w:rPr>
        <w:t>acel</w:t>
      </w:r>
      <w:r w:rsidR="00A018F7">
        <w:rPr>
          <w:color w:val="000000"/>
          <w:lang w:val="es-MX"/>
        </w:rPr>
        <w:t>erado</w:t>
      </w:r>
      <w:r w:rsidR="003E54AF" w:rsidRPr="00305D32">
        <w:rPr>
          <w:color w:val="000000"/>
          <w:lang w:val="es-MX"/>
        </w:rPr>
        <w:t xml:space="preserve"> y durante el primer semestre de 2024 se observaron altos niveles de inversión</w:t>
      </w:r>
      <w:r w:rsidRPr="00305D32">
        <w:rPr>
          <w:color w:val="000000"/>
          <w:lang w:val="es-MX"/>
        </w:rPr>
        <w:t>.</w:t>
      </w:r>
    </w:p>
    <w:p w14:paraId="4D083324" w14:textId="6F7EBB96" w:rsidR="00AE57F0" w:rsidRPr="00305D32" w:rsidRDefault="00BC1725" w:rsidP="00BC1725">
      <w:pPr>
        <w:pStyle w:val="Descripcin"/>
        <w:jc w:val="center"/>
        <w:rPr>
          <w:color w:val="000000"/>
          <w:lang w:val="es-MX"/>
        </w:rPr>
      </w:pPr>
      <w:bookmarkStart w:id="67" w:name="_heading=h.meukdy" w:colFirst="0" w:colLast="0"/>
      <w:bookmarkStart w:id="68" w:name="_Ref210217155"/>
      <w:bookmarkEnd w:id="67"/>
      <w:r w:rsidRPr="00305D32">
        <w:rPr>
          <w:lang w:val="es-MX"/>
        </w:rPr>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24</w:t>
      </w:r>
      <w:r w:rsidRPr="00305D32">
        <w:rPr>
          <w:lang w:val="es-MX"/>
        </w:rPr>
        <w:fldChar w:fldCharType="end"/>
      </w:r>
      <w:bookmarkEnd w:id="68"/>
      <w:r w:rsidR="00414F7C" w:rsidRPr="00305D32">
        <w:rPr>
          <w:color w:val="000000"/>
          <w:lang w:val="es-MX"/>
        </w:rPr>
        <w:t>. Producto Interno Bruto del estado de Quintana Roo en miles de millones de pesos a precios de 2018 y tasa de crecimiento real, 201</w:t>
      </w:r>
      <w:r w:rsidR="00A36785" w:rsidRPr="00305D32">
        <w:rPr>
          <w:color w:val="000000"/>
          <w:lang w:val="es-MX"/>
        </w:rPr>
        <w:t>6</w:t>
      </w:r>
      <w:r w:rsidR="00414F7C" w:rsidRPr="00305D32">
        <w:rPr>
          <w:color w:val="000000"/>
          <w:lang w:val="es-MX"/>
        </w:rPr>
        <w:t>-202</w:t>
      </w:r>
      <w:r w:rsidR="00080BFB" w:rsidRPr="00305D32">
        <w:rPr>
          <w:color w:val="000000"/>
          <w:lang w:val="es-MX"/>
        </w:rPr>
        <w:t>5</w:t>
      </w:r>
    </w:p>
    <w:p w14:paraId="171F2A5B" w14:textId="243224FD" w:rsidR="00103764" w:rsidRPr="00305D32" w:rsidRDefault="00103764" w:rsidP="000D161A">
      <w:pPr>
        <w:spacing w:after="0"/>
        <w:rPr>
          <w:lang w:val="es-MX"/>
        </w:rPr>
      </w:pPr>
      <w:r w:rsidRPr="00305D32">
        <w:rPr>
          <w:noProof/>
          <w:lang w:val="es-MX" w:eastAsia="es-MX"/>
        </w:rPr>
        <w:drawing>
          <wp:inline distT="0" distB="0" distL="0" distR="0" wp14:anchorId="32C1CE76" wp14:editId="4430D75D">
            <wp:extent cx="5828030" cy="2371725"/>
            <wp:effectExtent l="0" t="0" r="1270" b="9525"/>
            <wp:docPr id="349179958" name="Gráfico 1">
              <a:extLst xmlns:a="http://schemas.openxmlformats.org/drawingml/2006/main">
                <a:ext uri="{FF2B5EF4-FFF2-40B4-BE49-F238E27FC236}">
                  <a16:creationId xmlns:a16="http://schemas.microsoft.com/office/drawing/2014/main" id="{A4B3AF73-B364-430F-A7DB-95D018C2FF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D083326" w14:textId="578A10FD" w:rsidR="00AE57F0" w:rsidRPr="00305D32" w:rsidRDefault="00414F7C">
      <w:pPr>
        <w:spacing w:line="240" w:lineRule="auto"/>
        <w:jc w:val="center"/>
        <w:rPr>
          <w:color w:val="000000"/>
          <w:sz w:val="20"/>
          <w:szCs w:val="20"/>
          <w:lang w:val="es-MX"/>
        </w:rPr>
      </w:pPr>
      <w:r w:rsidRPr="00305D32">
        <w:rPr>
          <w:color w:val="000000"/>
          <w:sz w:val="20"/>
          <w:szCs w:val="20"/>
          <w:lang w:val="es-MX"/>
        </w:rPr>
        <w:t>Fuente: Elaboración de la Subsecretaría de Análisis Económico y Finanzas Públicas de la Secretaría de Finanzas y Planeación, con base en datos del Instituto Nacional de Estadística y Geografía (202</w:t>
      </w:r>
      <w:r w:rsidR="009D080B" w:rsidRPr="00305D32">
        <w:rPr>
          <w:color w:val="000000"/>
          <w:sz w:val="20"/>
          <w:szCs w:val="20"/>
          <w:lang w:val="es-MX"/>
        </w:rPr>
        <w:t>5</w:t>
      </w:r>
      <w:r w:rsidRPr="00305D32">
        <w:rPr>
          <w:color w:val="000000"/>
          <w:sz w:val="20"/>
          <w:szCs w:val="20"/>
          <w:lang w:val="es-MX"/>
        </w:rPr>
        <w:t xml:space="preserve">) </w:t>
      </w:r>
      <w:r w:rsidRPr="00305D32">
        <w:rPr>
          <w:i/>
          <w:color w:val="000000"/>
          <w:sz w:val="20"/>
          <w:szCs w:val="20"/>
          <w:lang w:val="es-MX"/>
        </w:rPr>
        <w:t>Producto Interno Bruto Estatal e Indicador Trimestral de la Actividad Económica Estatal</w:t>
      </w:r>
      <w:r w:rsidRPr="00305D32">
        <w:rPr>
          <w:color w:val="000000"/>
          <w:sz w:val="20"/>
          <w:szCs w:val="20"/>
          <w:lang w:val="es-MX"/>
        </w:rPr>
        <w:t>. Cifras revisadas por el INEGI: 2019-202</w:t>
      </w:r>
      <w:r w:rsidR="009D080B" w:rsidRPr="00305D32">
        <w:rPr>
          <w:color w:val="000000"/>
          <w:sz w:val="20"/>
          <w:szCs w:val="20"/>
          <w:lang w:val="es-MX"/>
        </w:rPr>
        <w:t>3</w:t>
      </w:r>
      <w:r w:rsidRPr="00305D32">
        <w:rPr>
          <w:color w:val="000000"/>
          <w:sz w:val="20"/>
          <w:szCs w:val="20"/>
          <w:lang w:val="es-MX"/>
        </w:rPr>
        <w:t>. Cifras estimadas: 202</w:t>
      </w:r>
      <w:r w:rsidR="009D080B" w:rsidRPr="00305D32">
        <w:rPr>
          <w:color w:val="000000"/>
          <w:sz w:val="20"/>
          <w:szCs w:val="20"/>
          <w:lang w:val="es-MX"/>
        </w:rPr>
        <w:t>4</w:t>
      </w:r>
      <w:r w:rsidRPr="00305D32">
        <w:rPr>
          <w:color w:val="000000"/>
          <w:sz w:val="20"/>
          <w:szCs w:val="20"/>
          <w:lang w:val="es-MX"/>
        </w:rPr>
        <w:t>. Cifras proyectadas: 202</w:t>
      </w:r>
      <w:r w:rsidR="009D080B" w:rsidRPr="00305D32">
        <w:rPr>
          <w:color w:val="000000"/>
          <w:sz w:val="20"/>
          <w:szCs w:val="20"/>
          <w:lang w:val="es-MX"/>
        </w:rPr>
        <w:t>5</w:t>
      </w:r>
      <w:r w:rsidRPr="00305D32">
        <w:rPr>
          <w:color w:val="000000"/>
          <w:sz w:val="20"/>
          <w:szCs w:val="20"/>
          <w:lang w:val="es-MX"/>
        </w:rPr>
        <w:t>.</w:t>
      </w:r>
    </w:p>
    <w:p w14:paraId="65F6BD81" w14:textId="77777777" w:rsidR="00107B13" w:rsidRPr="00305D32" w:rsidRDefault="00107B13" w:rsidP="00107B13">
      <w:pPr>
        <w:rPr>
          <w:color w:val="000000"/>
          <w:lang w:val="es-MX"/>
        </w:rPr>
      </w:pPr>
      <w:r w:rsidRPr="00D910B3">
        <w:rPr>
          <w:color w:val="000000"/>
          <w:lang w:val="es-MX"/>
        </w:rPr>
        <w:t>La conclusión de los proyectos de infraestructura en el tercer trimestre de 2024 ocasionó una contracción significativa del nivel de inversión del Gobierno Federal en Quintana Roo, en consecuencia, el pronóstico para el siguiente ejercicio del sector 23 “Construcción” se ubi</w:t>
      </w:r>
      <w:r>
        <w:rPr>
          <w:color w:val="000000"/>
          <w:lang w:val="es-MX"/>
        </w:rPr>
        <w:t>ca en</w:t>
      </w:r>
      <w:r w:rsidRPr="00D910B3">
        <w:rPr>
          <w:color w:val="000000"/>
          <w:lang w:val="es-MX"/>
        </w:rPr>
        <w:t xml:space="preserve"> -57.14</w:t>
      </w:r>
      <w:r>
        <w:rPr>
          <w:color w:val="000000"/>
          <w:lang w:val="es-MX"/>
        </w:rPr>
        <w:t xml:space="preserve"> %</w:t>
      </w:r>
      <w:r w:rsidRPr="00D910B3">
        <w:rPr>
          <w:color w:val="000000"/>
          <w:lang w:val="es-MX"/>
        </w:rPr>
        <w:t xml:space="preserve">, considerando mantener los niveles de </w:t>
      </w:r>
      <w:r w:rsidRPr="00D910B3">
        <w:rPr>
          <w:color w:val="000000"/>
          <w:lang w:val="es-MX"/>
        </w:rPr>
        <w:lastRenderedPageBreak/>
        <w:t xml:space="preserve">inversión actuales en las obras </w:t>
      </w:r>
      <w:r>
        <w:rPr>
          <w:color w:val="000000"/>
          <w:lang w:val="es-MX"/>
        </w:rPr>
        <w:t>para</w:t>
      </w:r>
      <w:r w:rsidRPr="00D910B3">
        <w:rPr>
          <w:color w:val="000000"/>
          <w:lang w:val="es-MX"/>
        </w:rPr>
        <w:t xml:space="preserve"> Quintana Roo.</w:t>
      </w:r>
      <w:r>
        <w:rPr>
          <w:color w:val="000000"/>
          <w:lang w:val="es-MX"/>
        </w:rPr>
        <w:t xml:space="preserve"> Por tanto, se proyecta que el PIB estatal presente un comportamiento a la baja de -9.19 % para 2025.</w:t>
      </w:r>
    </w:p>
    <w:p w14:paraId="22CA49D2" w14:textId="7FC9A8C3" w:rsidR="002B616A" w:rsidRDefault="00414F7C">
      <w:pPr>
        <w:rPr>
          <w:lang w:val="es-MX"/>
        </w:rPr>
      </w:pPr>
      <w:r w:rsidRPr="00305D32">
        <w:rPr>
          <w:lang w:val="es-MX"/>
        </w:rPr>
        <w:t xml:space="preserve">La </w:t>
      </w:r>
      <w:r w:rsidR="00431A22" w:rsidRPr="00305D32">
        <w:rPr>
          <w:lang w:val="es-MX"/>
        </w:rPr>
        <w:fldChar w:fldCharType="begin"/>
      </w:r>
      <w:r w:rsidR="00431A22" w:rsidRPr="00305D32">
        <w:rPr>
          <w:lang w:val="es-MX"/>
        </w:rPr>
        <w:instrText xml:space="preserve"> REF _Ref210221081 \h </w:instrText>
      </w:r>
      <w:r w:rsidR="00431A22" w:rsidRPr="00305D32">
        <w:rPr>
          <w:lang w:val="es-MX"/>
        </w:rPr>
      </w:r>
      <w:r w:rsidR="00431A22" w:rsidRPr="00305D32">
        <w:rPr>
          <w:lang w:val="es-MX"/>
        </w:rPr>
        <w:fldChar w:fldCharType="separate"/>
      </w:r>
      <w:r w:rsidR="00ED1F2F" w:rsidRPr="00305D32">
        <w:rPr>
          <w:lang w:val="es-MX"/>
        </w:rPr>
        <w:t xml:space="preserve">Tabla </w:t>
      </w:r>
      <w:r w:rsidR="00ED1F2F">
        <w:rPr>
          <w:noProof/>
          <w:lang w:val="es-MX"/>
        </w:rPr>
        <w:t>6</w:t>
      </w:r>
      <w:r w:rsidR="00431A22" w:rsidRPr="00305D32">
        <w:rPr>
          <w:lang w:val="es-MX"/>
        </w:rPr>
        <w:fldChar w:fldCharType="end"/>
      </w:r>
      <w:r w:rsidRPr="00305D32">
        <w:rPr>
          <w:lang w:val="es-MX"/>
        </w:rPr>
        <w:t xml:space="preserve"> </w:t>
      </w:r>
      <w:r w:rsidR="002B616A" w:rsidRPr="002B616A">
        <w:rPr>
          <w:lang w:val="es-MX"/>
        </w:rPr>
        <w:t>muestra el comportamiento del crecimiento económico medido a través del ITAEE. Al primer trimestre de 2025, la tasa de crecimiento interanual para el Estado refleja una disminución de -9.4</w:t>
      </w:r>
      <w:r w:rsidR="0019290E">
        <w:rPr>
          <w:lang w:val="es-MX"/>
        </w:rPr>
        <w:t xml:space="preserve"> %</w:t>
      </w:r>
      <w:r w:rsidR="002B616A" w:rsidRPr="002B616A">
        <w:rPr>
          <w:lang w:val="es-MX"/>
        </w:rPr>
        <w:t>. Las actividades primarias muestran una reducción de -16.9</w:t>
      </w:r>
      <w:r w:rsidR="0019290E">
        <w:rPr>
          <w:lang w:val="es-MX"/>
        </w:rPr>
        <w:t xml:space="preserve"> %</w:t>
      </w:r>
      <w:r w:rsidR="002B616A" w:rsidRPr="002B616A">
        <w:rPr>
          <w:lang w:val="es-MX"/>
        </w:rPr>
        <w:t>, las secundarias una caída pronunciada de</w:t>
      </w:r>
      <w:r w:rsidR="002B616A">
        <w:rPr>
          <w:lang w:val="es-MX"/>
        </w:rPr>
        <w:t xml:space="preserve"> </w:t>
      </w:r>
      <w:r w:rsidR="002B616A" w:rsidRPr="002B616A">
        <w:rPr>
          <w:lang w:val="es-MX"/>
        </w:rPr>
        <w:t>-51.4</w:t>
      </w:r>
      <w:r w:rsidR="0019290E">
        <w:rPr>
          <w:lang w:val="es-MX"/>
        </w:rPr>
        <w:t xml:space="preserve"> %</w:t>
      </w:r>
      <w:r w:rsidR="002B616A" w:rsidRPr="002B616A">
        <w:rPr>
          <w:lang w:val="es-MX"/>
        </w:rPr>
        <w:t>, mientras que las actividades terciarias muestran un crecimiento moderado de 2.6</w:t>
      </w:r>
      <w:r w:rsidR="0019290E">
        <w:rPr>
          <w:lang w:val="es-MX"/>
        </w:rPr>
        <w:t xml:space="preserve"> %</w:t>
      </w:r>
      <w:r w:rsidR="002B616A" w:rsidRPr="002B616A">
        <w:rPr>
          <w:lang w:val="es-MX"/>
        </w:rPr>
        <w:t>.</w:t>
      </w:r>
    </w:p>
    <w:p w14:paraId="070466CD" w14:textId="4737FAA7" w:rsidR="00683425" w:rsidRDefault="00683425" w:rsidP="00C47636">
      <w:pPr>
        <w:rPr>
          <w:lang w:val="es-MX"/>
        </w:rPr>
      </w:pPr>
      <w:r w:rsidRPr="00683425">
        <w:rPr>
          <w:lang w:val="es-MX"/>
        </w:rPr>
        <w:t>Es importante destacar que la evolución del ITAEE y del VAB real es equivalente en su tasa de variación anual, debido a que el primer indicador se construye a partir de una muestra representativa de los principales sectores económicos que conforman el Producto Interno Bruto Estatal (PIBE). La diferencia del ITAEE con el PIBE radica en los impuestos indirectos, cuya estimación no se dispone a corto plazo.</w:t>
      </w:r>
    </w:p>
    <w:p w14:paraId="2BC5C457" w14:textId="3EEDC800" w:rsidR="00372D57" w:rsidRDefault="00E70E68" w:rsidP="00C47636">
      <w:pPr>
        <w:rPr>
          <w:lang w:val="es-MX"/>
        </w:rPr>
      </w:pPr>
      <w:r w:rsidRPr="00E70E68">
        <w:rPr>
          <w:lang w:val="es-MX"/>
        </w:rPr>
        <w:t xml:space="preserve">De acuerdo con los datos </w:t>
      </w:r>
      <w:r w:rsidR="00372D57">
        <w:rPr>
          <w:lang w:val="es-MX"/>
        </w:rPr>
        <w:t>ITAEE</w:t>
      </w:r>
      <w:r w:rsidRPr="00E70E68">
        <w:rPr>
          <w:lang w:val="es-MX"/>
        </w:rPr>
        <w:t xml:space="preserve">, durante 2024 se observó una desaceleración significativa en algunos sectores económicos del Estado. Las actividades primarias registraron una </w:t>
      </w:r>
      <w:r w:rsidRPr="009D303A">
        <w:rPr>
          <w:lang w:val="es-MX"/>
        </w:rPr>
        <w:t>contracción de -7.0</w:t>
      </w:r>
      <w:r w:rsidR="0019290E">
        <w:rPr>
          <w:lang w:val="es-MX"/>
        </w:rPr>
        <w:t xml:space="preserve"> %</w:t>
      </w:r>
      <w:r w:rsidRPr="009D303A">
        <w:rPr>
          <w:lang w:val="es-MX"/>
        </w:rPr>
        <w:t xml:space="preserve"> durante 2023, la cual se intensificó en 2024, alcanzando una reducción de -18.7</w:t>
      </w:r>
      <w:r w:rsidR="0019290E">
        <w:rPr>
          <w:lang w:val="es-MX"/>
        </w:rPr>
        <w:t xml:space="preserve"> %</w:t>
      </w:r>
      <w:r w:rsidRPr="009D303A">
        <w:rPr>
          <w:lang w:val="es-MX"/>
        </w:rPr>
        <w:t>, siendo este el sector más afectado en el ejercicio. Las actividades secundarias, por</w:t>
      </w:r>
      <w:r w:rsidRPr="00E70E68">
        <w:rPr>
          <w:lang w:val="es-MX"/>
        </w:rPr>
        <w:t xml:space="preserve"> su parte, </w:t>
      </w:r>
      <w:r w:rsidR="00E14CFC">
        <w:rPr>
          <w:lang w:val="es-MX"/>
        </w:rPr>
        <w:t xml:space="preserve">en 2023 </w:t>
      </w:r>
      <w:r w:rsidRPr="00E70E68">
        <w:rPr>
          <w:lang w:val="es-MX"/>
        </w:rPr>
        <w:t>presentaron una expansión de 180</w:t>
      </w:r>
      <w:r w:rsidR="0019290E">
        <w:rPr>
          <w:lang w:val="es-MX"/>
        </w:rPr>
        <w:t xml:space="preserve"> %</w:t>
      </w:r>
      <w:r w:rsidRPr="00E70E68">
        <w:rPr>
          <w:lang w:val="es-MX"/>
        </w:rPr>
        <w:t>, atribuido principalmente al crecimiento de las actividades del sector 23 “Construcción” ya que en toda la Entidad se ejecutaron diversas obras públicas de carácter federal y estatal, que impulsaron el dinamismo de dicho sector.</w:t>
      </w:r>
    </w:p>
    <w:p w14:paraId="620541D4" w14:textId="07322628" w:rsidR="00C47636" w:rsidRPr="00305D32" w:rsidRDefault="004D7C64" w:rsidP="00C47636">
      <w:pPr>
        <w:rPr>
          <w:lang w:val="es-MX"/>
        </w:rPr>
      </w:pPr>
      <w:r w:rsidRPr="004D7C64">
        <w:rPr>
          <w:lang w:val="es-MX"/>
        </w:rPr>
        <w:t xml:space="preserve">Sin embargo, aunque las actividades secundarias en conjunto </w:t>
      </w:r>
      <w:r w:rsidR="00FD28DC" w:rsidRPr="004D7C64">
        <w:rPr>
          <w:lang w:val="es-MX"/>
        </w:rPr>
        <w:t>mantuvieron</w:t>
      </w:r>
      <w:r w:rsidRPr="004D7C64">
        <w:rPr>
          <w:lang w:val="es-MX"/>
        </w:rPr>
        <w:t xml:space="preserve"> un crecimiento positivo, el sector 21 “Minería</w:t>
      </w:r>
      <w:r w:rsidR="00FD28DC" w:rsidRPr="004D7C64">
        <w:rPr>
          <w:lang w:val="es-MX"/>
        </w:rPr>
        <w:t>”, mostró</w:t>
      </w:r>
      <w:r w:rsidRPr="004D7C64">
        <w:rPr>
          <w:lang w:val="es-MX"/>
        </w:rPr>
        <w:t xml:space="preserve"> en 2023 una reducción drástica de – 97.1</w:t>
      </w:r>
      <w:r w:rsidR="0019290E">
        <w:rPr>
          <w:lang w:val="es-MX"/>
        </w:rPr>
        <w:t xml:space="preserve"> %</w:t>
      </w:r>
      <w:r w:rsidR="00FD28DC" w:rsidRPr="004D7C64">
        <w:rPr>
          <w:lang w:val="es-MX"/>
        </w:rPr>
        <w:t>, derivada</w:t>
      </w:r>
      <w:r w:rsidRPr="004D7C64">
        <w:rPr>
          <w:lang w:val="es-MX"/>
        </w:rPr>
        <w:t xml:space="preserve"> de la suspensión de operaciones de la mina Calica ordenada por el </w:t>
      </w:r>
      <w:r w:rsidR="00FD28DC" w:rsidRPr="004D7C64">
        <w:rPr>
          <w:lang w:val="es-MX"/>
        </w:rPr>
        <w:t>Gobierno</w:t>
      </w:r>
      <w:r w:rsidRPr="004D7C64">
        <w:rPr>
          <w:lang w:val="es-MX"/>
        </w:rPr>
        <w:t xml:space="preserve"> Federal en 2022, debido a los impactos ambientales identificados. En 2023 fuerzas de </w:t>
      </w:r>
      <w:r w:rsidR="00FD28DC" w:rsidRPr="004D7C64">
        <w:rPr>
          <w:lang w:val="es-MX"/>
        </w:rPr>
        <w:t>seguridad federales</w:t>
      </w:r>
      <w:r w:rsidRPr="004D7C64">
        <w:rPr>
          <w:lang w:val="es-MX"/>
        </w:rPr>
        <w:t xml:space="preserve"> ocuparon el puerto aledaño donde la empresa realizaba exportaciones a Estados Unidos, y en 2024 se realizó una declaratoria de </w:t>
      </w:r>
      <w:r w:rsidRPr="004D7C64">
        <w:rPr>
          <w:lang w:val="es-MX"/>
        </w:rPr>
        <w:lastRenderedPageBreak/>
        <w:t xml:space="preserve">Área Natural Protegida, entrando en vigor a inicios de </w:t>
      </w:r>
      <w:r w:rsidR="00FD28DC" w:rsidRPr="004D7C64">
        <w:rPr>
          <w:lang w:val="es-MX"/>
        </w:rPr>
        <w:t>2025.</w:t>
      </w:r>
      <w:r w:rsidRPr="004D7C64">
        <w:rPr>
          <w:lang w:val="es-MX"/>
        </w:rPr>
        <w:t xml:space="preserve"> Aunque en 2024 se registró un crecimiento de 9.5</w:t>
      </w:r>
      <w:r w:rsidR="0019290E">
        <w:rPr>
          <w:lang w:val="es-MX"/>
        </w:rPr>
        <w:t xml:space="preserve"> %</w:t>
      </w:r>
      <w:r w:rsidRPr="004D7C64">
        <w:rPr>
          <w:lang w:val="es-MX"/>
        </w:rPr>
        <w:t>, este impulso se revirtió por completo con la disminución de –</w:t>
      </w:r>
      <w:r w:rsidR="005C159B">
        <w:rPr>
          <w:lang w:val="es-MX"/>
        </w:rPr>
        <w:t xml:space="preserve"> </w:t>
      </w:r>
      <w:r w:rsidRPr="004D7C64">
        <w:rPr>
          <w:lang w:val="es-MX"/>
        </w:rPr>
        <w:t>49.4</w:t>
      </w:r>
      <w:r w:rsidR="0019290E">
        <w:rPr>
          <w:lang w:val="es-MX"/>
        </w:rPr>
        <w:t xml:space="preserve"> %</w:t>
      </w:r>
      <w:r w:rsidRPr="004D7C64">
        <w:rPr>
          <w:lang w:val="es-MX"/>
        </w:rPr>
        <w:t xml:space="preserve"> conforme al pronóstico para 2025. Estas consideraciones de carácter político y ambiental tendrán efectos económicos adversos en la minería, sector que no presenta perspectivas de recuperación en el corto plazo</w:t>
      </w:r>
      <w:r w:rsidR="00C47636" w:rsidRPr="00305D32">
        <w:rPr>
          <w:lang w:val="es-MX"/>
        </w:rPr>
        <w:t>.</w:t>
      </w:r>
    </w:p>
    <w:p w14:paraId="4D083328" w14:textId="64E4239B" w:rsidR="00AE57F0" w:rsidRPr="00305D32" w:rsidRDefault="00431A22" w:rsidP="00431A22">
      <w:pPr>
        <w:pStyle w:val="Descripcin"/>
        <w:jc w:val="center"/>
        <w:rPr>
          <w:lang w:val="es-MX"/>
        </w:rPr>
      </w:pPr>
      <w:bookmarkStart w:id="69" w:name="_heading=h.36ei31r" w:colFirst="0" w:colLast="0"/>
      <w:bookmarkStart w:id="70" w:name="_Ref210221081"/>
      <w:bookmarkEnd w:id="69"/>
      <w:r w:rsidRPr="00305D32">
        <w:rPr>
          <w:lang w:val="es-MX"/>
        </w:rPr>
        <w:t xml:space="preserve">Tabla </w:t>
      </w:r>
      <w:r w:rsidRPr="00305D32">
        <w:rPr>
          <w:lang w:val="es-MX"/>
        </w:rPr>
        <w:fldChar w:fldCharType="begin"/>
      </w:r>
      <w:r w:rsidRPr="00305D32">
        <w:rPr>
          <w:lang w:val="es-MX"/>
        </w:rPr>
        <w:instrText xml:space="preserve"> SEQ Tabla \* ARABIC </w:instrText>
      </w:r>
      <w:r w:rsidRPr="00305D32">
        <w:rPr>
          <w:lang w:val="es-MX"/>
        </w:rPr>
        <w:fldChar w:fldCharType="separate"/>
      </w:r>
      <w:r w:rsidR="00ED1F2F">
        <w:rPr>
          <w:noProof/>
          <w:lang w:val="es-MX"/>
        </w:rPr>
        <w:t>6</w:t>
      </w:r>
      <w:r w:rsidRPr="00305D32">
        <w:rPr>
          <w:lang w:val="es-MX"/>
        </w:rPr>
        <w:fldChar w:fldCharType="end"/>
      </w:r>
      <w:bookmarkEnd w:id="70"/>
      <w:r w:rsidR="00414F7C" w:rsidRPr="00305D32">
        <w:rPr>
          <w:lang w:val="es-MX"/>
        </w:rPr>
        <w:t>. Tasa de crecimiento anual del Indicador Trimestral de la Actividad Económica Estatal para Quintana Roo, 202</w:t>
      </w:r>
      <w:r w:rsidR="004477D1" w:rsidRPr="00305D32">
        <w:rPr>
          <w:lang w:val="es-MX"/>
        </w:rPr>
        <w:t>3</w:t>
      </w:r>
      <w:r w:rsidR="00414F7C" w:rsidRPr="00305D32">
        <w:rPr>
          <w:lang w:val="es-MX"/>
        </w:rPr>
        <w:t>-202</w:t>
      </w:r>
      <w:r w:rsidR="004477D1" w:rsidRPr="00305D32">
        <w:rPr>
          <w:lang w:val="es-MX"/>
        </w:rPr>
        <w:t>5</w:t>
      </w:r>
      <w:r w:rsidR="00414F7C" w:rsidRPr="00305D32">
        <w:rPr>
          <w:lang w:val="es-MX"/>
        </w:rPr>
        <w:t xml:space="preserve"> T1</w:t>
      </w:r>
    </w:p>
    <w:tbl>
      <w:tblPr>
        <w:tblStyle w:val="a4"/>
        <w:tblW w:w="9186" w:type="dxa"/>
        <w:tblInd w:w="0" w:type="dxa"/>
        <w:tblLayout w:type="fixed"/>
        <w:tblLook w:val="0400" w:firstRow="0" w:lastRow="0" w:firstColumn="0" w:lastColumn="0" w:noHBand="0" w:noVBand="1"/>
      </w:tblPr>
      <w:tblGrid>
        <w:gridCol w:w="6237"/>
        <w:gridCol w:w="993"/>
        <w:gridCol w:w="850"/>
        <w:gridCol w:w="1106"/>
      </w:tblGrid>
      <w:tr w:rsidR="00163582" w:rsidRPr="00305D32" w14:paraId="0D3E16EC" w14:textId="77777777" w:rsidTr="00E21385">
        <w:trPr>
          <w:trHeight w:val="355"/>
        </w:trPr>
        <w:tc>
          <w:tcPr>
            <w:tcW w:w="6237" w:type="dxa"/>
            <w:tcBorders>
              <w:top w:val="single" w:sz="4" w:space="0" w:color="000000"/>
              <w:bottom w:val="single" w:sz="4" w:space="0" w:color="auto"/>
            </w:tcBorders>
            <w:vAlign w:val="bottom"/>
          </w:tcPr>
          <w:p w14:paraId="51193F63" w14:textId="77777777" w:rsidR="00163582" w:rsidRPr="00305D32" w:rsidRDefault="00163582">
            <w:pPr>
              <w:spacing w:after="0" w:line="240" w:lineRule="auto"/>
              <w:jc w:val="left"/>
              <w:rPr>
                <w:b/>
                <w:color w:val="000000"/>
                <w:sz w:val="22"/>
                <w:szCs w:val="22"/>
                <w:lang w:val="es-MX"/>
              </w:rPr>
            </w:pPr>
            <w:r w:rsidRPr="00305D32">
              <w:rPr>
                <w:b/>
                <w:color w:val="000000"/>
                <w:sz w:val="22"/>
                <w:szCs w:val="22"/>
                <w:lang w:val="es-MX"/>
              </w:rPr>
              <w:t>ITAEE</w:t>
            </w:r>
          </w:p>
        </w:tc>
        <w:tc>
          <w:tcPr>
            <w:tcW w:w="993" w:type="dxa"/>
            <w:tcBorders>
              <w:top w:val="single" w:sz="4" w:space="0" w:color="000000"/>
              <w:bottom w:val="single" w:sz="4" w:space="0" w:color="auto"/>
            </w:tcBorders>
            <w:vAlign w:val="bottom"/>
          </w:tcPr>
          <w:p w14:paraId="50A18E88" w14:textId="0FFC8BF1" w:rsidR="00163582" w:rsidRPr="00305D32" w:rsidRDefault="00163582">
            <w:pPr>
              <w:spacing w:after="0" w:line="240" w:lineRule="auto"/>
              <w:jc w:val="center"/>
              <w:rPr>
                <w:b/>
                <w:color w:val="000000"/>
                <w:sz w:val="22"/>
                <w:szCs w:val="22"/>
                <w:lang w:val="es-MX"/>
              </w:rPr>
            </w:pPr>
            <w:r w:rsidRPr="00305D32">
              <w:rPr>
                <w:b/>
                <w:color w:val="000000"/>
                <w:sz w:val="22"/>
                <w:szCs w:val="22"/>
                <w:lang w:val="es-MX"/>
              </w:rPr>
              <w:t>202</w:t>
            </w:r>
            <w:r w:rsidR="00264298" w:rsidRPr="00305D32">
              <w:rPr>
                <w:b/>
                <w:color w:val="000000"/>
                <w:sz w:val="22"/>
                <w:szCs w:val="22"/>
                <w:lang w:val="es-MX"/>
              </w:rPr>
              <w:t>3</w:t>
            </w:r>
          </w:p>
        </w:tc>
        <w:tc>
          <w:tcPr>
            <w:tcW w:w="850" w:type="dxa"/>
            <w:tcBorders>
              <w:top w:val="single" w:sz="4" w:space="0" w:color="000000"/>
              <w:bottom w:val="single" w:sz="4" w:space="0" w:color="auto"/>
            </w:tcBorders>
            <w:vAlign w:val="bottom"/>
          </w:tcPr>
          <w:p w14:paraId="60E5E1E1" w14:textId="72A62C75" w:rsidR="00163582" w:rsidRPr="00305D32" w:rsidRDefault="00163582">
            <w:pPr>
              <w:spacing w:after="0" w:line="240" w:lineRule="auto"/>
              <w:jc w:val="center"/>
              <w:rPr>
                <w:b/>
                <w:color w:val="000000"/>
                <w:sz w:val="22"/>
                <w:szCs w:val="22"/>
                <w:lang w:val="es-MX"/>
              </w:rPr>
            </w:pPr>
            <w:r w:rsidRPr="00305D32">
              <w:rPr>
                <w:b/>
                <w:color w:val="000000"/>
                <w:sz w:val="22"/>
                <w:szCs w:val="22"/>
                <w:lang w:val="es-MX"/>
              </w:rPr>
              <w:t>202</w:t>
            </w:r>
            <w:r w:rsidR="00264298" w:rsidRPr="00305D32">
              <w:rPr>
                <w:b/>
                <w:color w:val="000000"/>
                <w:sz w:val="22"/>
                <w:szCs w:val="22"/>
                <w:lang w:val="es-MX"/>
              </w:rPr>
              <w:t>4</w:t>
            </w:r>
          </w:p>
        </w:tc>
        <w:tc>
          <w:tcPr>
            <w:tcW w:w="1106" w:type="dxa"/>
            <w:tcBorders>
              <w:top w:val="single" w:sz="4" w:space="0" w:color="000000"/>
              <w:bottom w:val="single" w:sz="4" w:space="0" w:color="auto"/>
            </w:tcBorders>
            <w:vAlign w:val="bottom"/>
          </w:tcPr>
          <w:p w14:paraId="0FD22E12" w14:textId="2486A73E" w:rsidR="00163582" w:rsidRPr="00305D32" w:rsidRDefault="00163582" w:rsidP="00264298">
            <w:pPr>
              <w:spacing w:after="0" w:line="240" w:lineRule="auto"/>
              <w:jc w:val="center"/>
              <w:rPr>
                <w:b/>
                <w:color w:val="000000"/>
                <w:sz w:val="22"/>
                <w:szCs w:val="22"/>
                <w:lang w:val="es-MX"/>
              </w:rPr>
            </w:pPr>
            <w:r w:rsidRPr="00305D32">
              <w:rPr>
                <w:b/>
                <w:color w:val="000000"/>
                <w:sz w:val="22"/>
                <w:szCs w:val="22"/>
                <w:lang w:val="es-MX"/>
              </w:rPr>
              <w:t>202</w:t>
            </w:r>
            <w:r w:rsidR="00264298" w:rsidRPr="00305D32">
              <w:rPr>
                <w:b/>
                <w:color w:val="000000"/>
                <w:sz w:val="22"/>
                <w:szCs w:val="22"/>
                <w:lang w:val="es-MX"/>
              </w:rPr>
              <w:t xml:space="preserve">5 </w:t>
            </w:r>
            <w:r w:rsidRPr="00305D32">
              <w:rPr>
                <w:b/>
                <w:color w:val="000000"/>
                <w:sz w:val="22"/>
                <w:szCs w:val="22"/>
                <w:lang w:val="es-MX"/>
              </w:rPr>
              <w:t>T1*</w:t>
            </w:r>
          </w:p>
        </w:tc>
      </w:tr>
      <w:tr w:rsidR="0023531C" w:rsidRPr="00305D32" w14:paraId="0FFD0F13" w14:textId="77777777" w:rsidTr="00CE4442">
        <w:trPr>
          <w:trHeight w:val="224"/>
        </w:trPr>
        <w:tc>
          <w:tcPr>
            <w:tcW w:w="6237" w:type="dxa"/>
            <w:tcBorders>
              <w:top w:val="single" w:sz="4" w:space="0" w:color="auto"/>
              <w:left w:val="nil"/>
              <w:bottom w:val="nil"/>
              <w:right w:val="nil"/>
            </w:tcBorders>
            <w:vAlign w:val="center"/>
          </w:tcPr>
          <w:p w14:paraId="22021FEC" w14:textId="77777777" w:rsidR="0023531C" w:rsidRPr="00305D32" w:rsidRDefault="0023531C" w:rsidP="0023531C">
            <w:pPr>
              <w:spacing w:after="0" w:line="240" w:lineRule="auto"/>
              <w:jc w:val="left"/>
              <w:rPr>
                <w:b/>
                <w:color w:val="000000"/>
                <w:sz w:val="20"/>
                <w:szCs w:val="20"/>
                <w:lang w:val="es-MX"/>
              </w:rPr>
            </w:pPr>
            <w:r w:rsidRPr="00305D32">
              <w:rPr>
                <w:b/>
                <w:color w:val="000000"/>
                <w:sz w:val="20"/>
                <w:szCs w:val="20"/>
                <w:lang w:val="es-MX"/>
              </w:rPr>
              <w:t>Total</w:t>
            </w:r>
          </w:p>
        </w:tc>
        <w:tc>
          <w:tcPr>
            <w:tcW w:w="993" w:type="dxa"/>
            <w:tcBorders>
              <w:top w:val="single" w:sz="4" w:space="0" w:color="auto"/>
              <w:left w:val="nil"/>
              <w:bottom w:val="nil"/>
              <w:right w:val="nil"/>
            </w:tcBorders>
            <w:vAlign w:val="center"/>
          </w:tcPr>
          <w:p w14:paraId="468F5F73" w14:textId="3F0D08E5" w:rsidR="0023531C" w:rsidRPr="00305D32" w:rsidRDefault="0023531C" w:rsidP="0023531C">
            <w:pPr>
              <w:spacing w:after="0" w:line="240" w:lineRule="auto"/>
              <w:jc w:val="right"/>
              <w:rPr>
                <w:b/>
                <w:color w:val="000000"/>
                <w:sz w:val="20"/>
                <w:szCs w:val="20"/>
                <w:lang w:val="es-MX"/>
              </w:rPr>
            </w:pPr>
            <w:r w:rsidRPr="00305D32">
              <w:rPr>
                <w:rFonts w:eastAsia="Times New Roman"/>
                <w:b/>
                <w:bCs/>
                <w:color w:val="000000"/>
                <w:sz w:val="20"/>
                <w:szCs w:val="20"/>
                <w:lang w:val="es-MX" w:eastAsia="es-419"/>
              </w:rPr>
              <w:t>15.3</w:t>
            </w:r>
            <w:r w:rsidR="0019290E">
              <w:rPr>
                <w:rFonts w:eastAsia="Times New Roman"/>
                <w:b/>
                <w:bCs/>
                <w:color w:val="000000"/>
                <w:sz w:val="20"/>
                <w:szCs w:val="20"/>
                <w:lang w:val="es-MX" w:eastAsia="es-419"/>
              </w:rPr>
              <w:t xml:space="preserve"> %</w:t>
            </w:r>
          </w:p>
        </w:tc>
        <w:tc>
          <w:tcPr>
            <w:tcW w:w="850" w:type="dxa"/>
            <w:tcBorders>
              <w:top w:val="single" w:sz="4" w:space="0" w:color="auto"/>
              <w:left w:val="nil"/>
              <w:bottom w:val="nil"/>
              <w:right w:val="nil"/>
            </w:tcBorders>
            <w:vAlign w:val="center"/>
          </w:tcPr>
          <w:p w14:paraId="054D99E5" w14:textId="109C8F46" w:rsidR="0023531C" w:rsidRPr="00305D32" w:rsidRDefault="0023531C" w:rsidP="0023531C">
            <w:pPr>
              <w:spacing w:after="0" w:line="240" w:lineRule="auto"/>
              <w:jc w:val="right"/>
              <w:rPr>
                <w:b/>
                <w:color w:val="000000"/>
                <w:sz w:val="20"/>
                <w:szCs w:val="20"/>
                <w:lang w:val="es-MX"/>
              </w:rPr>
            </w:pPr>
            <w:r w:rsidRPr="00305D32">
              <w:rPr>
                <w:rFonts w:eastAsia="Times New Roman"/>
                <w:b/>
                <w:bCs/>
                <w:color w:val="000000"/>
                <w:sz w:val="20"/>
                <w:szCs w:val="20"/>
                <w:lang w:val="es-MX" w:eastAsia="es-419"/>
              </w:rPr>
              <w:t>-4.4</w:t>
            </w:r>
            <w:r w:rsidR="0019290E">
              <w:rPr>
                <w:rFonts w:eastAsia="Times New Roman"/>
                <w:b/>
                <w:bCs/>
                <w:color w:val="000000"/>
                <w:sz w:val="20"/>
                <w:szCs w:val="20"/>
                <w:lang w:val="es-MX" w:eastAsia="es-419"/>
              </w:rPr>
              <w:t xml:space="preserve"> %</w:t>
            </w:r>
          </w:p>
        </w:tc>
        <w:tc>
          <w:tcPr>
            <w:tcW w:w="1106" w:type="dxa"/>
            <w:tcBorders>
              <w:top w:val="single" w:sz="4" w:space="0" w:color="auto"/>
              <w:left w:val="nil"/>
              <w:bottom w:val="nil"/>
              <w:right w:val="nil"/>
            </w:tcBorders>
            <w:vAlign w:val="center"/>
          </w:tcPr>
          <w:p w14:paraId="0D1594E0" w14:textId="38EA2289" w:rsidR="0023531C" w:rsidRPr="00305D32" w:rsidRDefault="0023531C" w:rsidP="0023531C">
            <w:pPr>
              <w:spacing w:after="0" w:line="240" w:lineRule="auto"/>
              <w:jc w:val="right"/>
              <w:rPr>
                <w:b/>
                <w:color w:val="000000"/>
                <w:sz w:val="20"/>
                <w:szCs w:val="20"/>
                <w:lang w:val="es-MX"/>
              </w:rPr>
            </w:pPr>
            <w:r w:rsidRPr="00305D32">
              <w:rPr>
                <w:rFonts w:eastAsia="Times New Roman"/>
                <w:b/>
                <w:bCs/>
                <w:color w:val="000000"/>
                <w:sz w:val="20"/>
                <w:szCs w:val="20"/>
                <w:lang w:val="es-MX" w:eastAsia="es-419"/>
              </w:rPr>
              <w:t>-9.4</w:t>
            </w:r>
            <w:r w:rsidR="0019290E">
              <w:rPr>
                <w:rFonts w:eastAsia="Times New Roman"/>
                <w:b/>
                <w:bCs/>
                <w:color w:val="000000"/>
                <w:sz w:val="20"/>
                <w:szCs w:val="20"/>
                <w:lang w:val="es-MX" w:eastAsia="es-419"/>
              </w:rPr>
              <w:t xml:space="preserve"> %</w:t>
            </w:r>
          </w:p>
        </w:tc>
      </w:tr>
      <w:tr w:rsidR="0023531C" w:rsidRPr="00305D32" w14:paraId="5470F00F" w14:textId="77777777" w:rsidTr="00CE4442">
        <w:trPr>
          <w:trHeight w:val="139"/>
        </w:trPr>
        <w:tc>
          <w:tcPr>
            <w:tcW w:w="6237" w:type="dxa"/>
            <w:tcBorders>
              <w:top w:val="nil"/>
              <w:left w:val="nil"/>
              <w:bottom w:val="nil"/>
              <w:right w:val="nil"/>
            </w:tcBorders>
            <w:vAlign w:val="center"/>
          </w:tcPr>
          <w:p w14:paraId="7A37FA21" w14:textId="77777777" w:rsidR="0023531C" w:rsidRPr="00305D32" w:rsidRDefault="0023531C" w:rsidP="0023531C">
            <w:pPr>
              <w:spacing w:after="0" w:line="240" w:lineRule="auto"/>
              <w:jc w:val="left"/>
              <w:rPr>
                <w:b/>
                <w:color w:val="000000"/>
                <w:sz w:val="20"/>
                <w:szCs w:val="20"/>
                <w:lang w:val="es-MX"/>
              </w:rPr>
            </w:pPr>
            <w:r w:rsidRPr="00305D32">
              <w:rPr>
                <w:b/>
                <w:color w:val="000000"/>
                <w:sz w:val="20"/>
                <w:szCs w:val="20"/>
                <w:lang w:val="es-MX"/>
              </w:rPr>
              <w:t xml:space="preserve">   Actividades primarias</w:t>
            </w:r>
          </w:p>
        </w:tc>
        <w:tc>
          <w:tcPr>
            <w:tcW w:w="993" w:type="dxa"/>
            <w:tcBorders>
              <w:top w:val="nil"/>
              <w:left w:val="nil"/>
              <w:bottom w:val="nil"/>
              <w:right w:val="nil"/>
            </w:tcBorders>
            <w:vAlign w:val="center"/>
          </w:tcPr>
          <w:p w14:paraId="5083C6F6" w14:textId="522EF1A3" w:rsidR="0023531C" w:rsidRPr="00305D32" w:rsidRDefault="0023531C" w:rsidP="0023531C">
            <w:pPr>
              <w:spacing w:after="0" w:line="240" w:lineRule="auto"/>
              <w:jc w:val="right"/>
              <w:rPr>
                <w:b/>
                <w:color w:val="000000"/>
                <w:sz w:val="20"/>
                <w:szCs w:val="20"/>
                <w:lang w:val="es-MX"/>
              </w:rPr>
            </w:pPr>
            <w:r w:rsidRPr="00305D32">
              <w:rPr>
                <w:rFonts w:eastAsia="Times New Roman"/>
                <w:b/>
                <w:bCs/>
                <w:color w:val="000000"/>
                <w:sz w:val="20"/>
                <w:szCs w:val="20"/>
                <w:lang w:val="es-MX" w:eastAsia="es-419"/>
              </w:rPr>
              <w:t>-7.0</w:t>
            </w:r>
            <w:r w:rsidR="0019290E">
              <w:rPr>
                <w:rFonts w:eastAsia="Times New Roman"/>
                <w:b/>
                <w:bCs/>
                <w:color w:val="000000"/>
                <w:sz w:val="20"/>
                <w:szCs w:val="20"/>
                <w:lang w:val="es-MX" w:eastAsia="es-419"/>
              </w:rPr>
              <w:t xml:space="preserve"> %</w:t>
            </w:r>
          </w:p>
        </w:tc>
        <w:tc>
          <w:tcPr>
            <w:tcW w:w="850" w:type="dxa"/>
            <w:tcBorders>
              <w:top w:val="nil"/>
              <w:left w:val="nil"/>
              <w:bottom w:val="nil"/>
              <w:right w:val="nil"/>
            </w:tcBorders>
            <w:vAlign w:val="center"/>
          </w:tcPr>
          <w:p w14:paraId="6A74B8AF" w14:textId="00EE4C1A" w:rsidR="0023531C" w:rsidRPr="00305D32" w:rsidRDefault="0023531C" w:rsidP="0023531C">
            <w:pPr>
              <w:spacing w:after="0" w:line="240" w:lineRule="auto"/>
              <w:jc w:val="right"/>
              <w:rPr>
                <w:b/>
                <w:color w:val="000000"/>
                <w:sz w:val="20"/>
                <w:szCs w:val="20"/>
                <w:lang w:val="es-MX"/>
              </w:rPr>
            </w:pPr>
            <w:r w:rsidRPr="00305D32">
              <w:rPr>
                <w:rFonts w:eastAsia="Times New Roman"/>
                <w:b/>
                <w:bCs/>
                <w:color w:val="000000"/>
                <w:sz w:val="20"/>
                <w:szCs w:val="20"/>
                <w:lang w:val="es-MX" w:eastAsia="es-419"/>
              </w:rPr>
              <w:t>-18.7</w:t>
            </w:r>
            <w:r w:rsidR="0019290E">
              <w:rPr>
                <w:rFonts w:eastAsia="Times New Roman"/>
                <w:b/>
                <w:bCs/>
                <w:color w:val="000000"/>
                <w:sz w:val="20"/>
                <w:szCs w:val="20"/>
                <w:lang w:val="es-MX" w:eastAsia="es-419"/>
              </w:rPr>
              <w:t xml:space="preserve"> %</w:t>
            </w:r>
          </w:p>
        </w:tc>
        <w:tc>
          <w:tcPr>
            <w:tcW w:w="1106" w:type="dxa"/>
            <w:tcBorders>
              <w:top w:val="nil"/>
              <w:left w:val="nil"/>
              <w:bottom w:val="nil"/>
              <w:right w:val="nil"/>
            </w:tcBorders>
            <w:vAlign w:val="center"/>
          </w:tcPr>
          <w:p w14:paraId="1ADE124E" w14:textId="452805F5" w:rsidR="0023531C" w:rsidRPr="00305D32" w:rsidRDefault="0023531C" w:rsidP="0023531C">
            <w:pPr>
              <w:spacing w:after="0" w:line="240" w:lineRule="auto"/>
              <w:jc w:val="right"/>
              <w:rPr>
                <w:b/>
                <w:color w:val="000000"/>
                <w:sz w:val="20"/>
                <w:szCs w:val="20"/>
                <w:lang w:val="es-MX"/>
              </w:rPr>
            </w:pPr>
            <w:r w:rsidRPr="00305D32">
              <w:rPr>
                <w:rFonts w:eastAsia="Times New Roman"/>
                <w:b/>
                <w:bCs/>
                <w:color w:val="000000"/>
                <w:sz w:val="20"/>
                <w:szCs w:val="20"/>
                <w:lang w:val="es-MX" w:eastAsia="es-419"/>
              </w:rPr>
              <w:t>-16.9</w:t>
            </w:r>
            <w:r w:rsidR="0019290E">
              <w:rPr>
                <w:rFonts w:eastAsia="Times New Roman"/>
                <w:b/>
                <w:bCs/>
                <w:color w:val="000000"/>
                <w:sz w:val="20"/>
                <w:szCs w:val="20"/>
                <w:lang w:val="es-MX" w:eastAsia="es-419"/>
              </w:rPr>
              <w:t xml:space="preserve"> %</w:t>
            </w:r>
          </w:p>
        </w:tc>
      </w:tr>
      <w:tr w:rsidR="0023531C" w:rsidRPr="00305D32" w14:paraId="67EE7580" w14:textId="77777777" w:rsidTr="00CE4442">
        <w:trPr>
          <w:trHeight w:val="270"/>
        </w:trPr>
        <w:tc>
          <w:tcPr>
            <w:tcW w:w="6237" w:type="dxa"/>
            <w:tcBorders>
              <w:top w:val="nil"/>
              <w:left w:val="nil"/>
              <w:bottom w:val="nil"/>
              <w:right w:val="nil"/>
            </w:tcBorders>
            <w:vAlign w:val="center"/>
          </w:tcPr>
          <w:p w14:paraId="0BB6525C" w14:textId="77777777" w:rsidR="0023531C" w:rsidRPr="00305D32" w:rsidRDefault="0023531C" w:rsidP="0023531C">
            <w:pPr>
              <w:spacing w:after="0" w:line="240" w:lineRule="auto"/>
              <w:jc w:val="left"/>
              <w:rPr>
                <w:color w:val="000000"/>
                <w:sz w:val="20"/>
                <w:szCs w:val="20"/>
                <w:lang w:val="es-MX"/>
              </w:rPr>
            </w:pPr>
            <w:r w:rsidRPr="00305D32">
              <w:rPr>
                <w:color w:val="000000"/>
                <w:sz w:val="20"/>
                <w:szCs w:val="20"/>
                <w:lang w:val="es-MX"/>
              </w:rPr>
              <w:t xml:space="preserve">      111-112 - Agricultura. Cría y explotación de animales</w:t>
            </w:r>
          </w:p>
        </w:tc>
        <w:tc>
          <w:tcPr>
            <w:tcW w:w="993" w:type="dxa"/>
            <w:tcBorders>
              <w:top w:val="nil"/>
              <w:left w:val="nil"/>
              <w:bottom w:val="nil"/>
              <w:right w:val="nil"/>
            </w:tcBorders>
            <w:vAlign w:val="center"/>
          </w:tcPr>
          <w:p w14:paraId="6C823DE7" w14:textId="6B550582" w:rsidR="0023531C" w:rsidRPr="00305D32" w:rsidRDefault="0023531C" w:rsidP="0023531C">
            <w:pPr>
              <w:spacing w:after="0" w:line="240" w:lineRule="auto"/>
              <w:jc w:val="right"/>
              <w:rPr>
                <w:color w:val="000000"/>
                <w:sz w:val="20"/>
                <w:szCs w:val="20"/>
                <w:lang w:val="es-MX"/>
              </w:rPr>
            </w:pPr>
            <w:r w:rsidRPr="00305D32">
              <w:rPr>
                <w:rFonts w:eastAsia="Times New Roman"/>
                <w:color w:val="000000"/>
                <w:sz w:val="20"/>
                <w:szCs w:val="20"/>
                <w:lang w:val="es-MX" w:eastAsia="es-419"/>
              </w:rPr>
              <w:t>-8.8</w:t>
            </w:r>
            <w:r w:rsidR="0019290E">
              <w:rPr>
                <w:rFonts w:eastAsia="Times New Roman"/>
                <w:color w:val="000000"/>
                <w:sz w:val="20"/>
                <w:szCs w:val="20"/>
                <w:lang w:val="es-MX" w:eastAsia="es-419"/>
              </w:rPr>
              <w:t xml:space="preserve"> %</w:t>
            </w:r>
          </w:p>
        </w:tc>
        <w:tc>
          <w:tcPr>
            <w:tcW w:w="850" w:type="dxa"/>
            <w:tcBorders>
              <w:top w:val="nil"/>
              <w:left w:val="nil"/>
              <w:bottom w:val="nil"/>
              <w:right w:val="nil"/>
            </w:tcBorders>
            <w:vAlign w:val="center"/>
          </w:tcPr>
          <w:p w14:paraId="5B8DC6BF" w14:textId="0B9B60C9" w:rsidR="0023531C" w:rsidRPr="00305D32" w:rsidRDefault="0023531C" w:rsidP="0023531C">
            <w:pPr>
              <w:spacing w:after="0" w:line="240" w:lineRule="auto"/>
              <w:jc w:val="right"/>
              <w:rPr>
                <w:color w:val="000000"/>
                <w:sz w:val="20"/>
                <w:szCs w:val="20"/>
                <w:lang w:val="es-MX"/>
              </w:rPr>
            </w:pPr>
            <w:r w:rsidRPr="00305D32">
              <w:rPr>
                <w:rFonts w:eastAsia="Times New Roman"/>
                <w:color w:val="000000"/>
                <w:sz w:val="20"/>
                <w:szCs w:val="20"/>
                <w:lang w:val="es-MX" w:eastAsia="es-419"/>
              </w:rPr>
              <w:t>-19.4</w:t>
            </w:r>
            <w:r w:rsidR="0019290E">
              <w:rPr>
                <w:rFonts w:eastAsia="Times New Roman"/>
                <w:color w:val="000000"/>
                <w:sz w:val="20"/>
                <w:szCs w:val="20"/>
                <w:lang w:val="es-MX" w:eastAsia="es-419"/>
              </w:rPr>
              <w:t xml:space="preserve"> %</w:t>
            </w:r>
          </w:p>
        </w:tc>
        <w:tc>
          <w:tcPr>
            <w:tcW w:w="1106" w:type="dxa"/>
            <w:tcBorders>
              <w:top w:val="nil"/>
              <w:left w:val="nil"/>
              <w:bottom w:val="nil"/>
              <w:right w:val="nil"/>
            </w:tcBorders>
            <w:vAlign w:val="center"/>
          </w:tcPr>
          <w:p w14:paraId="690E62BA" w14:textId="48F79574" w:rsidR="0023531C" w:rsidRPr="00305D32" w:rsidRDefault="0023531C" w:rsidP="0023531C">
            <w:pPr>
              <w:spacing w:after="0" w:line="240" w:lineRule="auto"/>
              <w:jc w:val="right"/>
              <w:rPr>
                <w:b/>
                <w:color w:val="000000"/>
                <w:sz w:val="20"/>
                <w:szCs w:val="20"/>
                <w:lang w:val="es-MX"/>
              </w:rPr>
            </w:pPr>
            <w:r w:rsidRPr="00305D32">
              <w:rPr>
                <w:rFonts w:eastAsia="Times New Roman"/>
                <w:b/>
                <w:bCs/>
                <w:color w:val="000000"/>
                <w:sz w:val="20"/>
                <w:szCs w:val="20"/>
                <w:lang w:val="es-MX" w:eastAsia="es-419"/>
              </w:rPr>
              <w:t>-17.9</w:t>
            </w:r>
            <w:r w:rsidR="0019290E">
              <w:rPr>
                <w:rFonts w:eastAsia="Times New Roman"/>
                <w:b/>
                <w:bCs/>
                <w:color w:val="000000"/>
                <w:sz w:val="20"/>
                <w:szCs w:val="20"/>
                <w:lang w:val="es-MX" w:eastAsia="es-419"/>
              </w:rPr>
              <w:t xml:space="preserve"> %</w:t>
            </w:r>
          </w:p>
        </w:tc>
      </w:tr>
      <w:tr w:rsidR="0023531C" w:rsidRPr="00305D32" w14:paraId="225F33A5" w14:textId="77777777" w:rsidTr="00CE4442">
        <w:trPr>
          <w:trHeight w:val="147"/>
        </w:trPr>
        <w:tc>
          <w:tcPr>
            <w:tcW w:w="6237" w:type="dxa"/>
            <w:tcBorders>
              <w:top w:val="nil"/>
              <w:left w:val="nil"/>
              <w:bottom w:val="nil"/>
              <w:right w:val="nil"/>
            </w:tcBorders>
            <w:vAlign w:val="center"/>
          </w:tcPr>
          <w:p w14:paraId="421E99F9" w14:textId="77777777" w:rsidR="0023531C" w:rsidRPr="00305D32" w:rsidRDefault="0023531C" w:rsidP="0023531C">
            <w:pPr>
              <w:spacing w:after="0" w:line="240" w:lineRule="auto"/>
              <w:jc w:val="left"/>
              <w:rPr>
                <w:color w:val="000000"/>
                <w:sz w:val="20"/>
                <w:szCs w:val="20"/>
                <w:lang w:val="es-MX"/>
              </w:rPr>
            </w:pPr>
            <w:r w:rsidRPr="00305D32">
              <w:rPr>
                <w:color w:val="000000"/>
                <w:sz w:val="20"/>
                <w:szCs w:val="20"/>
                <w:lang w:val="es-MX"/>
              </w:rPr>
              <w:t xml:space="preserve">      Resto</w:t>
            </w:r>
          </w:p>
        </w:tc>
        <w:tc>
          <w:tcPr>
            <w:tcW w:w="993" w:type="dxa"/>
            <w:tcBorders>
              <w:top w:val="nil"/>
              <w:left w:val="nil"/>
              <w:bottom w:val="nil"/>
              <w:right w:val="nil"/>
            </w:tcBorders>
            <w:vAlign w:val="center"/>
          </w:tcPr>
          <w:p w14:paraId="2B05C392" w14:textId="30B3B697" w:rsidR="0023531C" w:rsidRPr="00305D32" w:rsidRDefault="0023531C" w:rsidP="0023531C">
            <w:pPr>
              <w:spacing w:after="0" w:line="240" w:lineRule="auto"/>
              <w:jc w:val="right"/>
              <w:rPr>
                <w:color w:val="000000"/>
                <w:sz w:val="20"/>
                <w:szCs w:val="20"/>
                <w:lang w:val="es-MX"/>
              </w:rPr>
            </w:pPr>
            <w:r w:rsidRPr="00305D32">
              <w:rPr>
                <w:rFonts w:eastAsia="Times New Roman"/>
                <w:color w:val="000000"/>
                <w:sz w:val="20"/>
                <w:szCs w:val="20"/>
                <w:lang w:val="es-MX" w:eastAsia="es-419"/>
              </w:rPr>
              <w:t>22.4</w:t>
            </w:r>
            <w:r w:rsidR="0019290E">
              <w:rPr>
                <w:rFonts w:eastAsia="Times New Roman"/>
                <w:color w:val="000000"/>
                <w:sz w:val="20"/>
                <w:szCs w:val="20"/>
                <w:lang w:val="es-MX" w:eastAsia="es-419"/>
              </w:rPr>
              <w:t xml:space="preserve"> %</w:t>
            </w:r>
          </w:p>
        </w:tc>
        <w:tc>
          <w:tcPr>
            <w:tcW w:w="850" w:type="dxa"/>
            <w:tcBorders>
              <w:top w:val="nil"/>
              <w:left w:val="nil"/>
              <w:bottom w:val="nil"/>
              <w:right w:val="nil"/>
            </w:tcBorders>
            <w:vAlign w:val="center"/>
          </w:tcPr>
          <w:p w14:paraId="172C70EA" w14:textId="6C6B7B31" w:rsidR="0023531C" w:rsidRPr="00305D32" w:rsidRDefault="0023531C" w:rsidP="0023531C">
            <w:pPr>
              <w:spacing w:after="0" w:line="240" w:lineRule="auto"/>
              <w:jc w:val="right"/>
              <w:rPr>
                <w:color w:val="000000"/>
                <w:sz w:val="20"/>
                <w:szCs w:val="20"/>
                <w:lang w:val="es-MX"/>
              </w:rPr>
            </w:pPr>
            <w:r w:rsidRPr="00305D32">
              <w:rPr>
                <w:rFonts w:eastAsia="Times New Roman"/>
                <w:color w:val="000000"/>
                <w:sz w:val="20"/>
                <w:szCs w:val="20"/>
                <w:lang w:val="es-MX" w:eastAsia="es-419"/>
              </w:rPr>
              <w:t>-9.4</w:t>
            </w:r>
            <w:r w:rsidR="0019290E">
              <w:rPr>
                <w:rFonts w:eastAsia="Times New Roman"/>
                <w:color w:val="000000"/>
                <w:sz w:val="20"/>
                <w:szCs w:val="20"/>
                <w:lang w:val="es-MX" w:eastAsia="es-419"/>
              </w:rPr>
              <w:t xml:space="preserve"> %</w:t>
            </w:r>
          </w:p>
        </w:tc>
        <w:tc>
          <w:tcPr>
            <w:tcW w:w="1106" w:type="dxa"/>
            <w:tcBorders>
              <w:top w:val="nil"/>
              <w:left w:val="nil"/>
              <w:bottom w:val="nil"/>
              <w:right w:val="nil"/>
            </w:tcBorders>
            <w:vAlign w:val="center"/>
          </w:tcPr>
          <w:p w14:paraId="1EF46F51" w14:textId="336EDD3C" w:rsidR="0023531C" w:rsidRPr="00305D32" w:rsidRDefault="0023531C" w:rsidP="0023531C">
            <w:pPr>
              <w:spacing w:after="0" w:line="240" w:lineRule="auto"/>
              <w:jc w:val="right"/>
              <w:rPr>
                <w:b/>
                <w:color w:val="000000"/>
                <w:sz w:val="20"/>
                <w:szCs w:val="20"/>
                <w:lang w:val="es-MX"/>
              </w:rPr>
            </w:pPr>
            <w:r w:rsidRPr="00305D32">
              <w:rPr>
                <w:rFonts w:eastAsia="Times New Roman"/>
                <w:b/>
                <w:bCs/>
                <w:color w:val="000000"/>
                <w:sz w:val="20"/>
                <w:szCs w:val="20"/>
                <w:lang w:val="es-MX" w:eastAsia="es-419"/>
              </w:rPr>
              <w:t>-1.1</w:t>
            </w:r>
            <w:r w:rsidR="0019290E">
              <w:rPr>
                <w:rFonts w:eastAsia="Times New Roman"/>
                <w:b/>
                <w:bCs/>
                <w:color w:val="000000"/>
                <w:sz w:val="20"/>
                <w:szCs w:val="20"/>
                <w:lang w:val="es-MX" w:eastAsia="es-419"/>
              </w:rPr>
              <w:t xml:space="preserve"> %</w:t>
            </w:r>
          </w:p>
        </w:tc>
      </w:tr>
      <w:tr w:rsidR="0023531C" w:rsidRPr="00305D32" w14:paraId="782B5DB2" w14:textId="77777777" w:rsidTr="00CE4442">
        <w:trPr>
          <w:trHeight w:val="206"/>
        </w:trPr>
        <w:tc>
          <w:tcPr>
            <w:tcW w:w="6237" w:type="dxa"/>
            <w:tcBorders>
              <w:top w:val="nil"/>
              <w:left w:val="nil"/>
              <w:bottom w:val="nil"/>
              <w:right w:val="nil"/>
            </w:tcBorders>
            <w:vAlign w:val="center"/>
          </w:tcPr>
          <w:p w14:paraId="394D03C7" w14:textId="77777777" w:rsidR="0023531C" w:rsidRPr="00305D32" w:rsidRDefault="0023531C" w:rsidP="0023531C">
            <w:pPr>
              <w:spacing w:after="0" w:line="240" w:lineRule="auto"/>
              <w:jc w:val="left"/>
              <w:rPr>
                <w:b/>
                <w:color w:val="000000"/>
                <w:sz w:val="20"/>
                <w:szCs w:val="20"/>
                <w:lang w:val="es-MX"/>
              </w:rPr>
            </w:pPr>
            <w:r w:rsidRPr="00305D32">
              <w:rPr>
                <w:b/>
                <w:color w:val="000000"/>
                <w:sz w:val="20"/>
                <w:szCs w:val="20"/>
                <w:lang w:val="es-MX"/>
              </w:rPr>
              <w:t xml:space="preserve">   Actividades secundarias</w:t>
            </w:r>
          </w:p>
        </w:tc>
        <w:tc>
          <w:tcPr>
            <w:tcW w:w="993" w:type="dxa"/>
            <w:tcBorders>
              <w:top w:val="nil"/>
              <w:left w:val="nil"/>
              <w:bottom w:val="nil"/>
              <w:right w:val="nil"/>
            </w:tcBorders>
            <w:vAlign w:val="center"/>
          </w:tcPr>
          <w:p w14:paraId="5A96C408" w14:textId="4D75276C" w:rsidR="0023531C" w:rsidRPr="00305D32" w:rsidRDefault="0023531C" w:rsidP="0023531C">
            <w:pPr>
              <w:spacing w:after="0" w:line="240" w:lineRule="auto"/>
              <w:jc w:val="right"/>
              <w:rPr>
                <w:b/>
                <w:color w:val="000000"/>
                <w:sz w:val="20"/>
                <w:szCs w:val="20"/>
                <w:lang w:val="es-MX"/>
              </w:rPr>
            </w:pPr>
            <w:r w:rsidRPr="00305D32">
              <w:rPr>
                <w:rFonts w:eastAsia="Times New Roman"/>
                <w:b/>
                <w:bCs/>
                <w:color w:val="000000"/>
                <w:sz w:val="20"/>
                <w:szCs w:val="20"/>
                <w:lang w:val="es-MX" w:eastAsia="es-419"/>
              </w:rPr>
              <w:t>180.0</w:t>
            </w:r>
            <w:r w:rsidR="0019290E">
              <w:rPr>
                <w:rFonts w:eastAsia="Times New Roman"/>
                <w:b/>
                <w:bCs/>
                <w:color w:val="000000"/>
                <w:sz w:val="20"/>
                <w:szCs w:val="20"/>
                <w:lang w:val="es-MX" w:eastAsia="es-419"/>
              </w:rPr>
              <w:t xml:space="preserve"> %</w:t>
            </w:r>
          </w:p>
        </w:tc>
        <w:tc>
          <w:tcPr>
            <w:tcW w:w="850" w:type="dxa"/>
            <w:tcBorders>
              <w:top w:val="nil"/>
              <w:left w:val="nil"/>
              <w:bottom w:val="nil"/>
              <w:right w:val="nil"/>
            </w:tcBorders>
            <w:vAlign w:val="center"/>
          </w:tcPr>
          <w:p w14:paraId="64EB3F78" w14:textId="2C2B8967" w:rsidR="0023531C" w:rsidRPr="00305D32" w:rsidRDefault="0023531C" w:rsidP="0023531C">
            <w:pPr>
              <w:spacing w:after="0" w:line="240" w:lineRule="auto"/>
              <w:jc w:val="right"/>
              <w:rPr>
                <w:b/>
                <w:color w:val="000000"/>
                <w:sz w:val="20"/>
                <w:szCs w:val="20"/>
                <w:lang w:val="es-MX"/>
              </w:rPr>
            </w:pPr>
            <w:r w:rsidRPr="00305D32">
              <w:rPr>
                <w:rFonts w:eastAsia="Times New Roman"/>
                <w:b/>
                <w:bCs/>
                <w:color w:val="000000"/>
                <w:sz w:val="20"/>
                <w:szCs w:val="20"/>
                <w:lang w:val="es-MX" w:eastAsia="es-419"/>
              </w:rPr>
              <w:t>-21.7</w:t>
            </w:r>
            <w:r w:rsidR="0019290E">
              <w:rPr>
                <w:rFonts w:eastAsia="Times New Roman"/>
                <w:b/>
                <w:bCs/>
                <w:color w:val="000000"/>
                <w:sz w:val="20"/>
                <w:szCs w:val="20"/>
                <w:lang w:val="es-MX" w:eastAsia="es-419"/>
              </w:rPr>
              <w:t xml:space="preserve"> %</w:t>
            </w:r>
          </w:p>
        </w:tc>
        <w:tc>
          <w:tcPr>
            <w:tcW w:w="1106" w:type="dxa"/>
            <w:tcBorders>
              <w:top w:val="nil"/>
              <w:left w:val="nil"/>
              <w:bottom w:val="nil"/>
              <w:right w:val="nil"/>
            </w:tcBorders>
            <w:vAlign w:val="center"/>
          </w:tcPr>
          <w:p w14:paraId="2FEED342" w14:textId="2EC0A015" w:rsidR="0023531C" w:rsidRPr="00305D32" w:rsidRDefault="0023531C" w:rsidP="0023531C">
            <w:pPr>
              <w:spacing w:after="0" w:line="240" w:lineRule="auto"/>
              <w:jc w:val="right"/>
              <w:rPr>
                <w:b/>
                <w:color w:val="000000"/>
                <w:sz w:val="20"/>
                <w:szCs w:val="20"/>
                <w:lang w:val="es-MX"/>
              </w:rPr>
            </w:pPr>
            <w:r w:rsidRPr="00305D32">
              <w:rPr>
                <w:rFonts w:eastAsia="Times New Roman"/>
                <w:b/>
                <w:bCs/>
                <w:color w:val="000000"/>
                <w:sz w:val="20"/>
                <w:szCs w:val="20"/>
                <w:lang w:val="es-MX" w:eastAsia="es-419"/>
              </w:rPr>
              <w:t>-51.4</w:t>
            </w:r>
            <w:r w:rsidR="0019290E">
              <w:rPr>
                <w:rFonts w:eastAsia="Times New Roman"/>
                <w:b/>
                <w:bCs/>
                <w:color w:val="000000"/>
                <w:sz w:val="20"/>
                <w:szCs w:val="20"/>
                <w:lang w:val="es-MX" w:eastAsia="es-419"/>
              </w:rPr>
              <w:t xml:space="preserve"> %</w:t>
            </w:r>
          </w:p>
        </w:tc>
      </w:tr>
      <w:tr w:rsidR="0023531C" w:rsidRPr="00305D32" w14:paraId="37F94296" w14:textId="77777777" w:rsidTr="00CE4442">
        <w:trPr>
          <w:trHeight w:val="111"/>
        </w:trPr>
        <w:tc>
          <w:tcPr>
            <w:tcW w:w="6237" w:type="dxa"/>
            <w:tcBorders>
              <w:top w:val="nil"/>
              <w:left w:val="nil"/>
              <w:bottom w:val="nil"/>
              <w:right w:val="nil"/>
            </w:tcBorders>
            <w:vAlign w:val="center"/>
          </w:tcPr>
          <w:p w14:paraId="32B663E2" w14:textId="7EF56DE0" w:rsidR="0023531C" w:rsidRPr="00305D32" w:rsidRDefault="0023531C" w:rsidP="0023531C">
            <w:pPr>
              <w:spacing w:after="0" w:line="240" w:lineRule="auto"/>
              <w:jc w:val="left"/>
              <w:rPr>
                <w:color w:val="000000"/>
                <w:sz w:val="20"/>
                <w:szCs w:val="20"/>
                <w:lang w:val="es-MX"/>
              </w:rPr>
            </w:pPr>
            <w:r w:rsidRPr="00305D32">
              <w:rPr>
                <w:color w:val="000000"/>
                <w:sz w:val="20"/>
                <w:szCs w:val="20"/>
                <w:lang w:val="es-MX"/>
              </w:rPr>
              <w:t xml:space="preserve">      21 </w:t>
            </w:r>
            <w:r w:rsidR="00097B5D">
              <w:rPr>
                <w:color w:val="000000"/>
                <w:sz w:val="20"/>
                <w:szCs w:val="20"/>
                <w:lang w:val="es-MX"/>
              </w:rPr>
              <w:t>–</w:t>
            </w:r>
            <w:r w:rsidRPr="00305D32">
              <w:rPr>
                <w:color w:val="000000"/>
                <w:sz w:val="20"/>
                <w:szCs w:val="20"/>
                <w:lang w:val="es-MX"/>
              </w:rPr>
              <w:t xml:space="preserve"> Minería</w:t>
            </w:r>
          </w:p>
        </w:tc>
        <w:tc>
          <w:tcPr>
            <w:tcW w:w="993" w:type="dxa"/>
            <w:tcBorders>
              <w:top w:val="nil"/>
              <w:left w:val="nil"/>
              <w:bottom w:val="nil"/>
              <w:right w:val="nil"/>
            </w:tcBorders>
            <w:vAlign w:val="center"/>
          </w:tcPr>
          <w:p w14:paraId="1A22B670" w14:textId="1AEC92DB" w:rsidR="0023531C" w:rsidRPr="00305D32" w:rsidRDefault="0023531C" w:rsidP="0023531C">
            <w:pPr>
              <w:spacing w:after="0" w:line="240" w:lineRule="auto"/>
              <w:jc w:val="right"/>
              <w:rPr>
                <w:color w:val="000000"/>
                <w:sz w:val="20"/>
                <w:szCs w:val="20"/>
                <w:lang w:val="es-MX"/>
              </w:rPr>
            </w:pPr>
            <w:r w:rsidRPr="00305D32">
              <w:rPr>
                <w:rFonts w:eastAsia="Times New Roman"/>
                <w:color w:val="000000"/>
                <w:sz w:val="20"/>
                <w:szCs w:val="20"/>
                <w:lang w:val="es-MX" w:eastAsia="es-419"/>
              </w:rPr>
              <w:t>-97.1</w:t>
            </w:r>
            <w:r w:rsidR="0019290E">
              <w:rPr>
                <w:rFonts w:eastAsia="Times New Roman"/>
                <w:color w:val="000000"/>
                <w:sz w:val="20"/>
                <w:szCs w:val="20"/>
                <w:lang w:val="es-MX" w:eastAsia="es-419"/>
              </w:rPr>
              <w:t xml:space="preserve"> %</w:t>
            </w:r>
          </w:p>
        </w:tc>
        <w:tc>
          <w:tcPr>
            <w:tcW w:w="850" w:type="dxa"/>
            <w:tcBorders>
              <w:top w:val="nil"/>
              <w:left w:val="nil"/>
              <w:bottom w:val="nil"/>
              <w:right w:val="nil"/>
            </w:tcBorders>
            <w:vAlign w:val="center"/>
          </w:tcPr>
          <w:p w14:paraId="40BD984A" w14:textId="76A754E3" w:rsidR="0023531C" w:rsidRPr="00305D32" w:rsidRDefault="0023531C" w:rsidP="0023531C">
            <w:pPr>
              <w:spacing w:after="0" w:line="240" w:lineRule="auto"/>
              <w:jc w:val="right"/>
              <w:rPr>
                <w:color w:val="000000"/>
                <w:sz w:val="20"/>
                <w:szCs w:val="20"/>
                <w:lang w:val="es-MX"/>
              </w:rPr>
            </w:pPr>
            <w:r w:rsidRPr="00305D32">
              <w:rPr>
                <w:rFonts w:eastAsia="Times New Roman"/>
                <w:color w:val="000000"/>
                <w:sz w:val="20"/>
                <w:szCs w:val="20"/>
                <w:lang w:val="es-MX" w:eastAsia="es-419"/>
              </w:rPr>
              <w:t>9.5</w:t>
            </w:r>
            <w:r w:rsidR="0019290E">
              <w:rPr>
                <w:rFonts w:eastAsia="Times New Roman"/>
                <w:color w:val="000000"/>
                <w:sz w:val="20"/>
                <w:szCs w:val="20"/>
                <w:lang w:val="es-MX" w:eastAsia="es-419"/>
              </w:rPr>
              <w:t xml:space="preserve"> %</w:t>
            </w:r>
          </w:p>
        </w:tc>
        <w:tc>
          <w:tcPr>
            <w:tcW w:w="1106" w:type="dxa"/>
            <w:tcBorders>
              <w:top w:val="nil"/>
              <w:left w:val="nil"/>
              <w:bottom w:val="nil"/>
              <w:right w:val="nil"/>
            </w:tcBorders>
            <w:vAlign w:val="center"/>
          </w:tcPr>
          <w:p w14:paraId="4488322A" w14:textId="512A0895" w:rsidR="0023531C" w:rsidRPr="00305D32" w:rsidRDefault="0023531C" w:rsidP="0023531C">
            <w:pPr>
              <w:spacing w:after="0" w:line="240" w:lineRule="auto"/>
              <w:jc w:val="right"/>
              <w:rPr>
                <w:b/>
                <w:color w:val="000000"/>
                <w:sz w:val="20"/>
                <w:szCs w:val="20"/>
                <w:lang w:val="es-MX"/>
              </w:rPr>
            </w:pPr>
            <w:r w:rsidRPr="00305D32">
              <w:rPr>
                <w:rFonts w:eastAsia="Times New Roman"/>
                <w:b/>
                <w:bCs/>
                <w:color w:val="000000"/>
                <w:sz w:val="20"/>
                <w:szCs w:val="20"/>
                <w:lang w:val="es-MX" w:eastAsia="es-419"/>
              </w:rPr>
              <w:t>-49.4</w:t>
            </w:r>
            <w:r w:rsidR="0019290E">
              <w:rPr>
                <w:rFonts w:eastAsia="Times New Roman"/>
                <w:b/>
                <w:bCs/>
                <w:color w:val="000000"/>
                <w:sz w:val="20"/>
                <w:szCs w:val="20"/>
                <w:lang w:val="es-MX" w:eastAsia="es-419"/>
              </w:rPr>
              <w:t xml:space="preserve"> %</w:t>
            </w:r>
          </w:p>
        </w:tc>
      </w:tr>
      <w:tr w:rsidR="0023531C" w:rsidRPr="00305D32" w14:paraId="0315B98F" w14:textId="77777777" w:rsidTr="00E21385">
        <w:trPr>
          <w:trHeight w:val="341"/>
        </w:trPr>
        <w:tc>
          <w:tcPr>
            <w:tcW w:w="6237" w:type="dxa"/>
            <w:tcBorders>
              <w:top w:val="nil"/>
              <w:left w:val="nil"/>
              <w:bottom w:val="nil"/>
              <w:right w:val="nil"/>
            </w:tcBorders>
            <w:vAlign w:val="center"/>
          </w:tcPr>
          <w:p w14:paraId="707C3959" w14:textId="77777777" w:rsidR="0023531C" w:rsidRPr="00305D32" w:rsidRDefault="0023531C" w:rsidP="0023531C">
            <w:pPr>
              <w:spacing w:after="0" w:line="240" w:lineRule="auto"/>
              <w:ind w:left="67"/>
              <w:jc w:val="left"/>
              <w:rPr>
                <w:color w:val="000000"/>
                <w:sz w:val="20"/>
                <w:szCs w:val="20"/>
                <w:lang w:val="es-MX"/>
              </w:rPr>
            </w:pPr>
            <w:r w:rsidRPr="00305D32">
              <w:rPr>
                <w:color w:val="000000"/>
                <w:sz w:val="20"/>
                <w:szCs w:val="20"/>
                <w:lang w:val="es-MX"/>
              </w:rPr>
              <w:t xml:space="preserve">      22 - Generación, transmisión, distribución y comercialización de energía eléctrica, suministro de agua y de gas natural por ductos al consumidor final</w:t>
            </w:r>
          </w:p>
        </w:tc>
        <w:tc>
          <w:tcPr>
            <w:tcW w:w="993" w:type="dxa"/>
            <w:tcBorders>
              <w:top w:val="nil"/>
              <w:left w:val="nil"/>
              <w:bottom w:val="nil"/>
              <w:right w:val="nil"/>
            </w:tcBorders>
            <w:vAlign w:val="center"/>
          </w:tcPr>
          <w:p w14:paraId="68B108C3" w14:textId="6BA364D7" w:rsidR="0023531C" w:rsidRPr="00305D32" w:rsidRDefault="0023531C" w:rsidP="0023531C">
            <w:pPr>
              <w:spacing w:after="0" w:line="240" w:lineRule="auto"/>
              <w:jc w:val="right"/>
              <w:rPr>
                <w:color w:val="000000"/>
                <w:sz w:val="20"/>
                <w:szCs w:val="20"/>
                <w:lang w:val="es-MX"/>
              </w:rPr>
            </w:pPr>
            <w:r w:rsidRPr="00305D32">
              <w:rPr>
                <w:rFonts w:eastAsia="Times New Roman"/>
                <w:color w:val="000000"/>
                <w:sz w:val="20"/>
                <w:szCs w:val="20"/>
                <w:lang w:val="es-MX" w:eastAsia="es-419"/>
              </w:rPr>
              <w:t>2.1</w:t>
            </w:r>
            <w:r w:rsidR="0019290E">
              <w:rPr>
                <w:rFonts w:eastAsia="Times New Roman"/>
                <w:color w:val="000000"/>
                <w:sz w:val="20"/>
                <w:szCs w:val="20"/>
                <w:lang w:val="es-MX" w:eastAsia="es-419"/>
              </w:rPr>
              <w:t xml:space="preserve"> %</w:t>
            </w:r>
          </w:p>
        </w:tc>
        <w:tc>
          <w:tcPr>
            <w:tcW w:w="850" w:type="dxa"/>
            <w:tcBorders>
              <w:top w:val="nil"/>
              <w:left w:val="nil"/>
              <w:bottom w:val="nil"/>
              <w:right w:val="nil"/>
            </w:tcBorders>
            <w:vAlign w:val="center"/>
          </w:tcPr>
          <w:p w14:paraId="6AA9FD60" w14:textId="6BDD5F1A" w:rsidR="0023531C" w:rsidRPr="00305D32" w:rsidRDefault="0023531C" w:rsidP="0023531C">
            <w:pPr>
              <w:spacing w:after="0" w:line="240" w:lineRule="auto"/>
              <w:jc w:val="right"/>
              <w:rPr>
                <w:color w:val="000000"/>
                <w:sz w:val="20"/>
                <w:szCs w:val="20"/>
                <w:lang w:val="es-MX"/>
              </w:rPr>
            </w:pPr>
            <w:r w:rsidRPr="00305D32">
              <w:rPr>
                <w:rFonts w:eastAsia="Times New Roman"/>
                <w:color w:val="000000"/>
                <w:sz w:val="20"/>
                <w:szCs w:val="20"/>
                <w:lang w:val="es-MX" w:eastAsia="es-419"/>
              </w:rPr>
              <w:t>9.7</w:t>
            </w:r>
            <w:r w:rsidR="0019290E">
              <w:rPr>
                <w:rFonts w:eastAsia="Times New Roman"/>
                <w:color w:val="000000"/>
                <w:sz w:val="20"/>
                <w:szCs w:val="20"/>
                <w:lang w:val="es-MX" w:eastAsia="es-419"/>
              </w:rPr>
              <w:t xml:space="preserve"> %</w:t>
            </w:r>
          </w:p>
        </w:tc>
        <w:tc>
          <w:tcPr>
            <w:tcW w:w="1106" w:type="dxa"/>
            <w:tcBorders>
              <w:top w:val="nil"/>
              <w:left w:val="nil"/>
              <w:bottom w:val="nil"/>
              <w:right w:val="nil"/>
            </w:tcBorders>
            <w:vAlign w:val="center"/>
          </w:tcPr>
          <w:p w14:paraId="166A323B" w14:textId="73507904" w:rsidR="0023531C" w:rsidRPr="00305D32" w:rsidRDefault="0023531C" w:rsidP="0023531C">
            <w:pPr>
              <w:spacing w:after="0" w:line="240" w:lineRule="auto"/>
              <w:jc w:val="right"/>
              <w:rPr>
                <w:b/>
                <w:color w:val="000000"/>
                <w:sz w:val="20"/>
                <w:szCs w:val="20"/>
                <w:lang w:val="es-MX"/>
              </w:rPr>
            </w:pPr>
            <w:r w:rsidRPr="00305D32">
              <w:rPr>
                <w:rFonts w:eastAsia="Times New Roman"/>
                <w:b/>
                <w:bCs/>
                <w:color w:val="000000"/>
                <w:sz w:val="20"/>
                <w:szCs w:val="20"/>
                <w:lang w:val="es-MX" w:eastAsia="es-419"/>
              </w:rPr>
              <w:t>1.2</w:t>
            </w:r>
            <w:r w:rsidR="0019290E">
              <w:rPr>
                <w:rFonts w:eastAsia="Times New Roman"/>
                <w:b/>
                <w:bCs/>
                <w:color w:val="000000"/>
                <w:sz w:val="20"/>
                <w:szCs w:val="20"/>
                <w:lang w:val="es-MX" w:eastAsia="es-419"/>
              </w:rPr>
              <w:t xml:space="preserve"> %</w:t>
            </w:r>
          </w:p>
        </w:tc>
      </w:tr>
      <w:tr w:rsidR="0023531C" w:rsidRPr="00305D32" w14:paraId="0FE2BD59" w14:textId="77777777" w:rsidTr="00CE4442">
        <w:trPr>
          <w:trHeight w:val="82"/>
        </w:trPr>
        <w:tc>
          <w:tcPr>
            <w:tcW w:w="6237" w:type="dxa"/>
            <w:tcBorders>
              <w:top w:val="nil"/>
              <w:left w:val="nil"/>
              <w:bottom w:val="nil"/>
              <w:right w:val="nil"/>
            </w:tcBorders>
            <w:vAlign w:val="center"/>
          </w:tcPr>
          <w:p w14:paraId="737C584C" w14:textId="2CBAFE58" w:rsidR="0023531C" w:rsidRPr="00305D32" w:rsidRDefault="0023531C" w:rsidP="0023531C">
            <w:pPr>
              <w:spacing w:after="0" w:line="240" w:lineRule="auto"/>
              <w:jc w:val="left"/>
              <w:rPr>
                <w:color w:val="000000"/>
                <w:sz w:val="20"/>
                <w:szCs w:val="20"/>
                <w:lang w:val="es-MX"/>
              </w:rPr>
            </w:pPr>
            <w:r w:rsidRPr="00305D32">
              <w:rPr>
                <w:color w:val="000000"/>
                <w:sz w:val="20"/>
                <w:szCs w:val="20"/>
                <w:lang w:val="es-MX"/>
              </w:rPr>
              <w:t xml:space="preserve">      23 </w:t>
            </w:r>
            <w:r w:rsidR="00097B5D">
              <w:rPr>
                <w:color w:val="000000"/>
                <w:sz w:val="20"/>
                <w:szCs w:val="20"/>
                <w:lang w:val="es-MX"/>
              </w:rPr>
              <w:t>–</w:t>
            </w:r>
            <w:r w:rsidRPr="00305D32">
              <w:rPr>
                <w:color w:val="000000"/>
                <w:sz w:val="20"/>
                <w:szCs w:val="20"/>
                <w:lang w:val="es-MX"/>
              </w:rPr>
              <w:t xml:space="preserve"> Construcción</w:t>
            </w:r>
          </w:p>
        </w:tc>
        <w:tc>
          <w:tcPr>
            <w:tcW w:w="993" w:type="dxa"/>
            <w:tcBorders>
              <w:top w:val="nil"/>
              <w:left w:val="nil"/>
              <w:bottom w:val="nil"/>
              <w:right w:val="nil"/>
            </w:tcBorders>
            <w:vAlign w:val="center"/>
          </w:tcPr>
          <w:p w14:paraId="0454420B" w14:textId="2A59E282" w:rsidR="0023531C" w:rsidRPr="00305D32" w:rsidRDefault="0023531C" w:rsidP="0023531C">
            <w:pPr>
              <w:spacing w:after="0" w:line="240" w:lineRule="auto"/>
              <w:jc w:val="right"/>
              <w:rPr>
                <w:color w:val="000000"/>
                <w:sz w:val="20"/>
                <w:szCs w:val="20"/>
                <w:lang w:val="es-MX"/>
              </w:rPr>
            </w:pPr>
            <w:r w:rsidRPr="00305D32">
              <w:rPr>
                <w:rFonts w:eastAsia="Times New Roman"/>
                <w:color w:val="000000"/>
                <w:sz w:val="20"/>
                <w:szCs w:val="20"/>
                <w:lang w:val="es-MX" w:eastAsia="es-419"/>
              </w:rPr>
              <w:t>292.5</w:t>
            </w:r>
            <w:r w:rsidR="0019290E">
              <w:rPr>
                <w:rFonts w:eastAsia="Times New Roman"/>
                <w:color w:val="000000"/>
                <w:sz w:val="20"/>
                <w:szCs w:val="20"/>
                <w:lang w:val="es-MX" w:eastAsia="es-419"/>
              </w:rPr>
              <w:t xml:space="preserve"> %</w:t>
            </w:r>
          </w:p>
        </w:tc>
        <w:tc>
          <w:tcPr>
            <w:tcW w:w="850" w:type="dxa"/>
            <w:tcBorders>
              <w:top w:val="nil"/>
              <w:left w:val="nil"/>
              <w:bottom w:val="nil"/>
              <w:right w:val="nil"/>
            </w:tcBorders>
            <w:vAlign w:val="center"/>
          </w:tcPr>
          <w:p w14:paraId="2F764FBA" w14:textId="78AB60F4" w:rsidR="0023531C" w:rsidRPr="00305D32" w:rsidRDefault="0023531C" w:rsidP="0023531C">
            <w:pPr>
              <w:spacing w:after="0" w:line="240" w:lineRule="auto"/>
              <w:jc w:val="right"/>
              <w:rPr>
                <w:color w:val="000000"/>
                <w:sz w:val="20"/>
                <w:szCs w:val="20"/>
                <w:lang w:val="es-MX"/>
              </w:rPr>
            </w:pPr>
            <w:r w:rsidRPr="00305D32">
              <w:rPr>
                <w:rFonts w:eastAsia="Times New Roman"/>
                <w:color w:val="000000"/>
                <w:sz w:val="20"/>
                <w:szCs w:val="20"/>
                <w:lang w:val="es-MX" w:eastAsia="es-419"/>
              </w:rPr>
              <w:t>-25.3</w:t>
            </w:r>
            <w:r w:rsidR="0019290E">
              <w:rPr>
                <w:rFonts w:eastAsia="Times New Roman"/>
                <w:color w:val="000000"/>
                <w:sz w:val="20"/>
                <w:szCs w:val="20"/>
                <w:lang w:val="es-MX" w:eastAsia="es-419"/>
              </w:rPr>
              <w:t xml:space="preserve"> %</w:t>
            </w:r>
          </w:p>
        </w:tc>
        <w:tc>
          <w:tcPr>
            <w:tcW w:w="1106" w:type="dxa"/>
            <w:tcBorders>
              <w:top w:val="nil"/>
              <w:left w:val="nil"/>
              <w:bottom w:val="nil"/>
              <w:right w:val="nil"/>
            </w:tcBorders>
            <w:vAlign w:val="center"/>
          </w:tcPr>
          <w:p w14:paraId="68DD6118" w14:textId="3BB22394" w:rsidR="0023531C" w:rsidRPr="00305D32" w:rsidRDefault="0023531C" w:rsidP="0023531C">
            <w:pPr>
              <w:spacing w:after="0" w:line="240" w:lineRule="auto"/>
              <w:jc w:val="right"/>
              <w:rPr>
                <w:b/>
                <w:color w:val="000000"/>
                <w:sz w:val="20"/>
                <w:szCs w:val="20"/>
                <w:lang w:val="es-MX"/>
              </w:rPr>
            </w:pPr>
            <w:r w:rsidRPr="00305D32">
              <w:rPr>
                <w:rFonts w:eastAsia="Times New Roman"/>
                <w:b/>
                <w:bCs/>
                <w:color w:val="000000"/>
                <w:sz w:val="20"/>
                <w:szCs w:val="20"/>
                <w:lang w:val="es-MX" w:eastAsia="es-419"/>
              </w:rPr>
              <w:t>-58.8</w:t>
            </w:r>
            <w:r w:rsidR="0019290E">
              <w:rPr>
                <w:rFonts w:eastAsia="Times New Roman"/>
                <w:b/>
                <w:bCs/>
                <w:color w:val="000000"/>
                <w:sz w:val="20"/>
                <w:szCs w:val="20"/>
                <w:lang w:val="es-MX" w:eastAsia="es-419"/>
              </w:rPr>
              <w:t xml:space="preserve"> %</w:t>
            </w:r>
          </w:p>
        </w:tc>
      </w:tr>
      <w:tr w:rsidR="0023531C" w:rsidRPr="00305D32" w14:paraId="36D7972D" w14:textId="77777777" w:rsidTr="00CE4442">
        <w:trPr>
          <w:trHeight w:val="129"/>
        </w:trPr>
        <w:tc>
          <w:tcPr>
            <w:tcW w:w="6237" w:type="dxa"/>
            <w:tcBorders>
              <w:top w:val="nil"/>
              <w:left w:val="nil"/>
              <w:bottom w:val="nil"/>
              <w:right w:val="nil"/>
            </w:tcBorders>
            <w:vAlign w:val="center"/>
          </w:tcPr>
          <w:p w14:paraId="0886BAD4" w14:textId="77777777" w:rsidR="0023531C" w:rsidRPr="00305D32" w:rsidRDefault="0023531C" w:rsidP="0023531C">
            <w:pPr>
              <w:spacing w:after="0" w:line="240" w:lineRule="auto"/>
              <w:jc w:val="left"/>
              <w:rPr>
                <w:color w:val="000000"/>
                <w:sz w:val="20"/>
                <w:szCs w:val="20"/>
                <w:lang w:val="es-MX"/>
              </w:rPr>
            </w:pPr>
            <w:r w:rsidRPr="00305D32">
              <w:rPr>
                <w:color w:val="000000"/>
                <w:sz w:val="20"/>
                <w:szCs w:val="20"/>
                <w:lang w:val="es-MX"/>
              </w:rPr>
              <w:t xml:space="preserve">      31-33 - Industrias manufactureras</w:t>
            </w:r>
          </w:p>
        </w:tc>
        <w:tc>
          <w:tcPr>
            <w:tcW w:w="993" w:type="dxa"/>
            <w:tcBorders>
              <w:top w:val="nil"/>
              <w:left w:val="nil"/>
              <w:bottom w:val="nil"/>
              <w:right w:val="nil"/>
            </w:tcBorders>
            <w:vAlign w:val="center"/>
          </w:tcPr>
          <w:p w14:paraId="33BA1309" w14:textId="29657470" w:rsidR="0023531C" w:rsidRPr="00305D32" w:rsidRDefault="0023531C" w:rsidP="0023531C">
            <w:pPr>
              <w:spacing w:after="0" w:line="240" w:lineRule="auto"/>
              <w:jc w:val="right"/>
              <w:rPr>
                <w:color w:val="000000"/>
                <w:sz w:val="20"/>
                <w:szCs w:val="20"/>
                <w:lang w:val="es-MX"/>
              </w:rPr>
            </w:pPr>
            <w:r w:rsidRPr="00305D32">
              <w:rPr>
                <w:rFonts w:eastAsia="Times New Roman"/>
                <w:color w:val="000000"/>
                <w:sz w:val="20"/>
                <w:szCs w:val="20"/>
                <w:lang w:val="es-MX" w:eastAsia="es-419"/>
              </w:rPr>
              <w:t>7.3</w:t>
            </w:r>
            <w:r w:rsidR="0019290E">
              <w:rPr>
                <w:rFonts w:eastAsia="Times New Roman"/>
                <w:color w:val="000000"/>
                <w:sz w:val="20"/>
                <w:szCs w:val="20"/>
                <w:lang w:val="es-MX" w:eastAsia="es-419"/>
              </w:rPr>
              <w:t xml:space="preserve"> %</w:t>
            </w:r>
          </w:p>
        </w:tc>
        <w:tc>
          <w:tcPr>
            <w:tcW w:w="850" w:type="dxa"/>
            <w:tcBorders>
              <w:top w:val="nil"/>
              <w:left w:val="nil"/>
              <w:bottom w:val="nil"/>
              <w:right w:val="nil"/>
            </w:tcBorders>
            <w:vAlign w:val="center"/>
          </w:tcPr>
          <w:p w14:paraId="047906B5" w14:textId="4E6818C6" w:rsidR="0023531C" w:rsidRPr="00305D32" w:rsidRDefault="0023531C" w:rsidP="0023531C">
            <w:pPr>
              <w:spacing w:after="0" w:line="240" w:lineRule="auto"/>
              <w:jc w:val="right"/>
              <w:rPr>
                <w:color w:val="000000"/>
                <w:sz w:val="20"/>
                <w:szCs w:val="20"/>
                <w:lang w:val="es-MX"/>
              </w:rPr>
            </w:pPr>
            <w:r w:rsidRPr="00305D32">
              <w:rPr>
                <w:rFonts w:eastAsia="Times New Roman"/>
                <w:color w:val="000000"/>
                <w:sz w:val="20"/>
                <w:szCs w:val="20"/>
                <w:lang w:val="es-MX" w:eastAsia="es-419"/>
              </w:rPr>
              <w:t>4.6</w:t>
            </w:r>
            <w:r w:rsidR="0019290E">
              <w:rPr>
                <w:rFonts w:eastAsia="Times New Roman"/>
                <w:color w:val="000000"/>
                <w:sz w:val="20"/>
                <w:szCs w:val="20"/>
                <w:lang w:val="es-MX" w:eastAsia="es-419"/>
              </w:rPr>
              <w:t xml:space="preserve"> %</w:t>
            </w:r>
          </w:p>
        </w:tc>
        <w:tc>
          <w:tcPr>
            <w:tcW w:w="1106" w:type="dxa"/>
            <w:tcBorders>
              <w:top w:val="nil"/>
              <w:left w:val="nil"/>
              <w:bottom w:val="nil"/>
              <w:right w:val="nil"/>
            </w:tcBorders>
            <w:vAlign w:val="center"/>
          </w:tcPr>
          <w:p w14:paraId="3202F757" w14:textId="1CF84748" w:rsidR="0023531C" w:rsidRPr="00305D32" w:rsidRDefault="0023531C" w:rsidP="0023531C">
            <w:pPr>
              <w:spacing w:after="0" w:line="240" w:lineRule="auto"/>
              <w:jc w:val="right"/>
              <w:rPr>
                <w:b/>
                <w:color w:val="000000"/>
                <w:sz w:val="20"/>
                <w:szCs w:val="20"/>
                <w:lang w:val="es-MX"/>
              </w:rPr>
            </w:pPr>
            <w:r w:rsidRPr="00305D32">
              <w:rPr>
                <w:rFonts w:eastAsia="Times New Roman"/>
                <w:b/>
                <w:bCs/>
                <w:color w:val="000000"/>
                <w:sz w:val="20"/>
                <w:szCs w:val="20"/>
                <w:lang w:val="es-MX" w:eastAsia="es-419"/>
              </w:rPr>
              <w:t>-1.6</w:t>
            </w:r>
            <w:r w:rsidR="0019290E">
              <w:rPr>
                <w:rFonts w:eastAsia="Times New Roman"/>
                <w:b/>
                <w:bCs/>
                <w:color w:val="000000"/>
                <w:sz w:val="20"/>
                <w:szCs w:val="20"/>
                <w:lang w:val="es-MX" w:eastAsia="es-419"/>
              </w:rPr>
              <w:t xml:space="preserve"> %</w:t>
            </w:r>
          </w:p>
        </w:tc>
      </w:tr>
      <w:tr w:rsidR="0023531C" w:rsidRPr="00305D32" w14:paraId="3012029F" w14:textId="77777777" w:rsidTr="00CE4442">
        <w:trPr>
          <w:trHeight w:val="188"/>
        </w:trPr>
        <w:tc>
          <w:tcPr>
            <w:tcW w:w="6237" w:type="dxa"/>
            <w:tcBorders>
              <w:top w:val="nil"/>
              <w:left w:val="nil"/>
              <w:bottom w:val="nil"/>
              <w:right w:val="nil"/>
            </w:tcBorders>
            <w:vAlign w:val="center"/>
          </w:tcPr>
          <w:p w14:paraId="07CF79A2" w14:textId="77777777" w:rsidR="0023531C" w:rsidRPr="00305D32" w:rsidRDefault="0023531C" w:rsidP="0023531C">
            <w:pPr>
              <w:spacing w:after="0" w:line="240" w:lineRule="auto"/>
              <w:jc w:val="left"/>
              <w:rPr>
                <w:b/>
                <w:color w:val="000000"/>
                <w:sz w:val="20"/>
                <w:szCs w:val="20"/>
                <w:lang w:val="es-MX"/>
              </w:rPr>
            </w:pPr>
            <w:r w:rsidRPr="00305D32">
              <w:rPr>
                <w:b/>
                <w:color w:val="000000"/>
                <w:sz w:val="20"/>
                <w:szCs w:val="20"/>
                <w:lang w:val="es-MX"/>
              </w:rPr>
              <w:t xml:space="preserve">   Actividades terciarias</w:t>
            </w:r>
          </w:p>
        </w:tc>
        <w:tc>
          <w:tcPr>
            <w:tcW w:w="993" w:type="dxa"/>
            <w:tcBorders>
              <w:top w:val="nil"/>
              <w:left w:val="nil"/>
              <w:bottom w:val="nil"/>
              <w:right w:val="nil"/>
            </w:tcBorders>
            <w:vAlign w:val="center"/>
          </w:tcPr>
          <w:p w14:paraId="3D79FEFD" w14:textId="750ECF94" w:rsidR="0023531C" w:rsidRPr="00305D32" w:rsidRDefault="0023531C" w:rsidP="0023531C">
            <w:pPr>
              <w:spacing w:after="0" w:line="240" w:lineRule="auto"/>
              <w:jc w:val="right"/>
              <w:rPr>
                <w:b/>
                <w:color w:val="000000"/>
                <w:sz w:val="20"/>
                <w:szCs w:val="20"/>
                <w:lang w:val="es-MX"/>
              </w:rPr>
            </w:pPr>
            <w:r w:rsidRPr="00305D32">
              <w:rPr>
                <w:rFonts w:eastAsia="Times New Roman"/>
                <w:b/>
                <w:bCs/>
                <w:color w:val="000000"/>
                <w:sz w:val="20"/>
                <w:szCs w:val="20"/>
                <w:lang w:val="es-MX" w:eastAsia="es-419"/>
              </w:rPr>
              <w:t>-2.1</w:t>
            </w:r>
            <w:r w:rsidR="0019290E">
              <w:rPr>
                <w:rFonts w:eastAsia="Times New Roman"/>
                <w:b/>
                <w:bCs/>
                <w:color w:val="000000"/>
                <w:sz w:val="20"/>
                <w:szCs w:val="20"/>
                <w:lang w:val="es-MX" w:eastAsia="es-419"/>
              </w:rPr>
              <w:t xml:space="preserve"> %</w:t>
            </w:r>
          </w:p>
        </w:tc>
        <w:tc>
          <w:tcPr>
            <w:tcW w:w="850" w:type="dxa"/>
            <w:tcBorders>
              <w:top w:val="nil"/>
              <w:left w:val="nil"/>
              <w:bottom w:val="nil"/>
              <w:right w:val="nil"/>
            </w:tcBorders>
            <w:vAlign w:val="center"/>
          </w:tcPr>
          <w:p w14:paraId="0C380029" w14:textId="77A22145" w:rsidR="0023531C" w:rsidRPr="00305D32" w:rsidRDefault="0023531C" w:rsidP="0023531C">
            <w:pPr>
              <w:spacing w:after="0" w:line="240" w:lineRule="auto"/>
              <w:jc w:val="right"/>
              <w:rPr>
                <w:b/>
                <w:color w:val="000000"/>
                <w:sz w:val="20"/>
                <w:szCs w:val="20"/>
                <w:lang w:val="es-MX"/>
              </w:rPr>
            </w:pPr>
            <w:r w:rsidRPr="00305D32">
              <w:rPr>
                <w:rFonts w:eastAsia="Times New Roman"/>
                <w:b/>
                <w:bCs/>
                <w:color w:val="000000"/>
                <w:sz w:val="20"/>
                <w:szCs w:val="20"/>
                <w:lang w:val="es-MX" w:eastAsia="es-419"/>
              </w:rPr>
              <w:t>1.0</w:t>
            </w:r>
            <w:r w:rsidR="0019290E">
              <w:rPr>
                <w:rFonts w:eastAsia="Times New Roman"/>
                <w:b/>
                <w:bCs/>
                <w:color w:val="000000"/>
                <w:sz w:val="20"/>
                <w:szCs w:val="20"/>
                <w:lang w:val="es-MX" w:eastAsia="es-419"/>
              </w:rPr>
              <w:t xml:space="preserve"> %</w:t>
            </w:r>
          </w:p>
        </w:tc>
        <w:tc>
          <w:tcPr>
            <w:tcW w:w="1106" w:type="dxa"/>
            <w:tcBorders>
              <w:top w:val="nil"/>
              <w:left w:val="nil"/>
              <w:bottom w:val="nil"/>
              <w:right w:val="nil"/>
            </w:tcBorders>
            <w:vAlign w:val="center"/>
          </w:tcPr>
          <w:p w14:paraId="5B6AECF9" w14:textId="275021D2" w:rsidR="0023531C" w:rsidRPr="00305D32" w:rsidRDefault="0023531C" w:rsidP="0023531C">
            <w:pPr>
              <w:spacing w:after="0" w:line="240" w:lineRule="auto"/>
              <w:jc w:val="right"/>
              <w:rPr>
                <w:b/>
                <w:color w:val="000000"/>
                <w:sz w:val="20"/>
                <w:szCs w:val="20"/>
                <w:lang w:val="es-MX"/>
              </w:rPr>
            </w:pPr>
            <w:r w:rsidRPr="00305D32">
              <w:rPr>
                <w:rFonts w:eastAsia="Times New Roman"/>
                <w:b/>
                <w:bCs/>
                <w:color w:val="000000"/>
                <w:sz w:val="20"/>
                <w:szCs w:val="20"/>
                <w:lang w:val="es-MX" w:eastAsia="es-419"/>
              </w:rPr>
              <w:t>2.6</w:t>
            </w:r>
            <w:r w:rsidR="0019290E">
              <w:rPr>
                <w:rFonts w:eastAsia="Times New Roman"/>
                <w:b/>
                <w:bCs/>
                <w:color w:val="000000"/>
                <w:sz w:val="20"/>
                <w:szCs w:val="20"/>
                <w:lang w:val="es-MX" w:eastAsia="es-419"/>
              </w:rPr>
              <w:t xml:space="preserve"> %</w:t>
            </w:r>
          </w:p>
        </w:tc>
      </w:tr>
      <w:tr w:rsidR="0023531C" w:rsidRPr="00305D32" w14:paraId="3DBA83BE" w14:textId="77777777" w:rsidTr="00CE4442">
        <w:trPr>
          <w:trHeight w:val="93"/>
        </w:trPr>
        <w:tc>
          <w:tcPr>
            <w:tcW w:w="6237" w:type="dxa"/>
            <w:tcBorders>
              <w:top w:val="nil"/>
              <w:left w:val="nil"/>
              <w:bottom w:val="nil"/>
              <w:right w:val="nil"/>
            </w:tcBorders>
            <w:vAlign w:val="center"/>
          </w:tcPr>
          <w:p w14:paraId="3DFB5266" w14:textId="7EC4D60D" w:rsidR="0023531C" w:rsidRPr="00305D32" w:rsidRDefault="0023531C" w:rsidP="0023531C">
            <w:pPr>
              <w:spacing w:after="0" w:line="240" w:lineRule="auto"/>
              <w:jc w:val="left"/>
              <w:rPr>
                <w:color w:val="000000"/>
                <w:sz w:val="20"/>
                <w:szCs w:val="20"/>
                <w:lang w:val="es-MX"/>
              </w:rPr>
            </w:pPr>
            <w:r w:rsidRPr="00305D32">
              <w:rPr>
                <w:color w:val="000000"/>
                <w:sz w:val="20"/>
                <w:szCs w:val="20"/>
                <w:lang w:val="es-MX"/>
              </w:rPr>
              <w:t xml:space="preserve">      43-46 </w:t>
            </w:r>
            <w:r w:rsidR="00097B5D">
              <w:rPr>
                <w:color w:val="000000"/>
                <w:sz w:val="20"/>
                <w:szCs w:val="20"/>
                <w:lang w:val="es-MX"/>
              </w:rPr>
              <w:t>–</w:t>
            </w:r>
            <w:r w:rsidRPr="00305D32">
              <w:rPr>
                <w:color w:val="000000"/>
                <w:sz w:val="20"/>
                <w:szCs w:val="20"/>
                <w:lang w:val="es-MX"/>
              </w:rPr>
              <w:t xml:space="preserve"> Comercio</w:t>
            </w:r>
          </w:p>
        </w:tc>
        <w:tc>
          <w:tcPr>
            <w:tcW w:w="993" w:type="dxa"/>
            <w:tcBorders>
              <w:top w:val="nil"/>
              <w:left w:val="nil"/>
              <w:bottom w:val="nil"/>
              <w:right w:val="nil"/>
            </w:tcBorders>
            <w:vAlign w:val="center"/>
          </w:tcPr>
          <w:p w14:paraId="6D94D537" w14:textId="30BBB7E6" w:rsidR="0023531C" w:rsidRPr="00305D32" w:rsidRDefault="0023531C" w:rsidP="0023531C">
            <w:pPr>
              <w:spacing w:after="0" w:line="240" w:lineRule="auto"/>
              <w:jc w:val="right"/>
              <w:rPr>
                <w:color w:val="000000"/>
                <w:sz w:val="20"/>
                <w:szCs w:val="20"/>
                <w:lang w:val="es-MX"/>
              </w:rPr>
            </w:pPr>
            <w:r w:rsidRPr="00305D32">
              <w:rPr>
                <w:rFonts w:eastAsia="Times New Roman"/>
                <w:color w:val="000000"/>
                <w:sz w:val="20"/>
                <w:szCs w:val="20"/>
                <w:lang w:val="es-MX" w:eastAsia="es-419"/>
              </w:rPr>
              <w:t>6.2</w:t>
            </w:r>
            <w:r w:rsidR="0019290E">
              <w:rPr>
                <w:rFonts w:eastAsia="Times New Roman"/>
                <w:color w:val="000000"/>
                <w:sz w:val="20"/>
                <w:szCs w:val="20"/>
                <w:lang w:val="es-MX" w:eastAsia="es-419"/>
              </w:rPr>
              <w:t xml:space="preserve"> %</w:t>
            </w:r>
          </w:p>
        </w:tc>
        <w:tc>
          <w:tcPr>
            <w:tcW w:w="850" w:type="dxa"/>
            <w:tcBorders>
              <w:top w:val="nil"/>
              <w:left w:val="nil"/>
              <w:bottom w:val="nil"/>
              <w:right w:val="nil"/>
            </w:tcBorders>
            <w:vAlign w:val="center"/>
          </w:tcPr>
          <w:p w14:paraId="01C487BC" w14:textId="617D0B22" w:rsidR="0023531C" w:rsidRPr="00305D32" w:rsidRDefault="0023531C" w:rsidP="0023531C">
            <w:pPr>
              <w:spacing w:after="0" w:line="240" w:lineRule="auto"/>
              <w:jc w:val="right"/>
              <w:rPr>
                <w:color w:val="000000"/>
                <w:sz w:val="20"/>
                <w:szCs w:val="20"/>
                <w:lang w:val="es-MX"/>
              </w:rPr>
            </w:pPr>
            <w:r w:rsidRPr="00305D32">
              <w:rPr>
                <w:rFonts w:eastAsia="Times New Roman"/>
                <w:color w:val="000000"/>
                <w:sz w:val="20"/>
                <w:szCs w:val="20"/>
                <w:lang w:val="es-MX" w:eastAsia="es-419"/>
              </w:rPr>
              <w:t>3.3</w:t>
            </w:r>
            <w:r w:rsidR="0019290E">
              <w:rPr>
                <w:rFonts w:eastAsia="Times New Roman"/>
                <w:color w:val="000000"/>
                <w:sz w:val="20"/>
                <w:szCs w:val="20"/>
                <w:lang w:val="es-MX" w:eastAsia="es-419"/>
              </w:rPr>
              <w:t xml:space="preserve"> %</w:t>
            </w:r>
          </w:p>
        </w:tc>
        <w:tc>
          <w:tcPr>
            <w:tcW w:w="1106" w:type="dxa"/>
            <w:tcBorders>
              <w:top w:val="nil"/>
              <w:left w:val="nil"/>
              <w:bottom w:val="nil"/>
              <w:right w:val="nil"/>
            </w:tcBorders>
            <w:vAlign w:val="center"/>
          </w:tcPr>
          <w:p w14:paraId="6B97E85F" w14:textId="2D1C479A" w:rsidR="0023531C" w:rsidRPr="00305D32" w:rsidRDefault="0023531C" w:rsidP="0023531C">
            <w:pPr>
              <w:spacing w:after="0" w:line="240" w:lineRule="auto"/>
              <w:jc w:val="right"/>
              <w:rPr>
                <w:b/>
                <w:color w:val="000000"/>
                <w:sz w:val="20"/>
                <w:szCs w:val="20"/>
                <w:lang w:val="es-MX"/>
              </w:rPr>
            </w:pPr>
            <w:r w:rsidRPr="00305D32">
              <w:rPr>
                <w:rFonts w:eastAsia="Times New Roman"/>
                <w:b/>
                <w:bCs/>
                <w:color w:val="000000"/>
                <w:sz w:val="20"/>
                <w:szCs w:val="20"/>
                <w:lang w:val="es-MX" w:eastAsia="es-419"/>
              </w:rPr>
              <w:t>0.6</w:t>
            </w:r>
            <w:r w:rsidR="0019290E">
              <w:rPr>
                <w:rFonts w:eastAsia="Times New Roman"/>
                <w:b/>
                <w:bCs/>
                <w:color w:val="000000"/>
                <w:sz w:val="20"/>
                <w:szCs w:val="20"/>
                <w:lang w:val="es-MX" w:eastAsia="es-419"/>
              </w:rPr>
              <w:t xml:space="preserve"> %</w:t>
            </w:r>
          </w:p>
        </w:tc>
      </w:tr>
      <w:tr w:rsidR="0023531C" w:rsidRPr="00305D32" w14:paraId="7433054A" w14:textId="77777777" w:rsidTr="00E21385">
        <w:trPr>
          <w:trHeight w:val="341"/>
        </w:trPr>
        <w:tc>
          <w:tcPr>
            <w:tcW w:w="6237" w:type="dxa"/>
            <w:tcBorders>
              <w:top w:val="nil"/>
              <w:left w:val="nil"/>
              <w:bottom w:val="nil"/>
              <w:right w:val="nil"/>
            </w:tcBorders>
            <w:vAlign w:val="center"/>
          </w:tcPr>
          <w:p w14:paraId="375CEAEA" w14:textId="77777777" w:rsidR="0023531C" w:rsidRPr="00305D32" w:rsidRDefault="0023531C" w:rsidP="0023531C">
            <w:pPr>
              <w:spacing w:after="0" w:line="240" w:lineRule="auto"/>
              <w:jc w:val="left"/>
              <w:rPr>
                <w:color w:val="000000"/>
                <w:sz w:val="20"/>
                <w:szCs w:val="20"/>
                <w:lang w:val="es-MX"/>
              </w:rPr>
            </w:pPr>
            <w:r w:rsidRPr="00305D32">
              <w:rPr>
                <w:color w:val="000000"/>
                <w:sz w:val="20"/>
                <w:szCs w:val="20"/>
                <w:lang w:val="es-MX"/>
              </w:rPr>
              <w:t xml:space="preserve">      48-49-51 - Transportes, correos y almacenamiento. Información en medios masivos</w:t>
            </w:r>
          </w:p>
        </w:tc>
        <w:tc>
          <w:tcPr>
            <w:tcW w:w="993" w:type="dxa"/>
            <w:tcBorders>
              <w:top w:val="nil"/>
              <w:left w:val="nil"/>
              <w:bottom w:val="nil"/>
              <w:right w:val="nil"/>
            </w:tcBorders>
            <w:vAlign w:val="center"/>
          </w:tcPr>
          <w:p w14:paraId="02ACD327" w14:textId="0EEB40E1" w:rsidR="0023531C" w:rsidRPr="00305D32" w:rsidRDefault="0023531C" w:rsidP="0023531C">
            <w:pPr>
              <w:spacing w:after="0" w:line="240" w:lineRule="auto"/>
              <w:jc w:val="right"/>
              <w:rPr>
                <w:color w:val="000000"/>
                <w:sz w:val="20"/>
                <w:szCs w:val="20"/>
                <w:lang w:val="es-MX"/>
              </w:rPr>
            </w:pPr>
            <w:r w:rsidRPr="00305D32">
              <w:rPr>
                <w:rFonts w:eastAsia="Times New Roman"/>
                <w:color w:val="000000"/>
                <w:sz w:val="20"/>
                <w:szCs w:val="20"/>
                <w:lang w:val="es-MX" w:eastAsia="es-419"/>
              </w:rPr>
              <w:t>3.2</w:t>
            </w:r>
            <w:r w:rsidR="0019290E">
              <w:rPr>
                <w:rFonts w:eastAsia="Times New Roman"/>
                <w:color w:val="000000"/>
                <w:sz w:val="20"/>
                <w:szCs w:val="20"/>
                <w:lang w:val="es-MX" w:eastAsia="es-419"/>
              </w:rPr>
              <w:t xml:space="preserve"> %</w:t>
            </w:r>
          </w:p>
        </w:tc>
        <w:tc>
          <w:tcPr>
            <w:tcW w:w="850" w:type="dxa"/>
            <w:tcBorders>
              <w:top w:val="nil"/>
              <w:left w:val="nil"/>
              <w:bottom w:val="nil"/>
              <w:right w:val="nil"/>
            </w:tcBorders>
            <w:vAlign w:val="center"/>
          </w:tcPr>
          <w:p w14:paraId="3B2D1EDD" w14:textId="0439499D" w:rsidR="0023531C" w:rsidRPr="00305D32" w:rsidRDefault="0023531C" w:rsidP="0023531C">
            <w:pPr>
              <w:spacing w:after="0" w:line="240" w:lineRule="auto"/>
              <w:jc w:val="right"/>
              <w:rPr>
                <w:color w:val="000000"/>
                <w:sz w:val="20"/>
                <w:szCs w:val="20"/>
                <w:lang w:val="es-MX"/>
              </w:rPr>
            </w:pPr>
            <w:r w:rsidRPr="00305D32">
              <w:rPr>
                <w:rFonts w:eastAsia="Times New Roman"/>
                <w:color w:val="000000"/>
                <w:sz w:val="20"/>
                <w:szCs w:val="20"/>
                <w:lang w:val="es-MX" w:eastAsia="es-419"/>
              </w:rPr>
              <w:t>2.9</w:t>
            </w:r>
            <w:r w:rsidR="0019290E">
              <w:rPr>
                <w:rFonts w:eastAsia="Times New Roman"/>
                <w:color w:val="000000"/>
                <w:sz w:val="20"/>
                <w:szCs w:val="20"/>
                <w:lang w:val="es-MX" w:eastAsia="es-419"/>
              </w:rPr>
              <w:t xml:space="preserve"> %</w:t>
            </w:r>
          </w:p>
        </w:tc>
        <w:tc>
          <w:tcPr>
            <w:tcW w:w="1106" w:type="dxa"/>
            <w:tcBorders>
              <w:top w:val="nil"/>
              <w:left w:val="nil"/>
              <w:bottom w:val="nil"/>
              <w:right w:val="nil"/>
            </w:tcBorders>
            <w:vAlign w:val="center"/>
          </w:tcPr>
          <w:p w14:paraId="4D05D7C2" w14:textId="699FA373" w:rsidR="0023531C" w:rsidRPr="00305D32" w:rsidRDefault="0023531C" w:rsidP="0023531C">
            <w:pPr>
              <w:spacing w:after="0" w:line="240" w:lineRule="auto"/>
              <w:jc w:val="right"/>
              <w:rPr>
                <w:b/>
                <w:color w:val="000000"/>
                <w:sz w:val="20"/>
                <w:szCs w:val="20"/>
                <w:lang w:val="es-MX"/>
              </w:rPr>
            </w:pPr>
            <w:r w:rsidRPr="00305D32">
              <w:rPr>
                <w:rFonts w:eastAsia="Times New Roman"/>
                <w:b/>
                <w:bCs/>
                <w:color w:val="000000"/>
                <w:sz w:val="20"/>
                <w:szCs w:val="20"/>
                <w:lang w:val="es-MX" w:eastAsia="es-419"/>
              </w:rPr>
              <w:t>1.2</w:t>
            </w:r>
            <w:r w:rsidR="0019290E">
              <w:rPr>
                <w:rFonts w:eastAsia="Times New Roman"/>
                <w:b/>
                <w:bCs/>
                <w:color w:val="000000"/>
                <w:sz w:val="20"/>
                <w:szCs w:val="20"/>
                <w:lang w:val="es-MX" w:eastAsia="es-419"/>
              </w:rPr>
              <w:t xml:space="preserve"> %</w:t>
            </w:r>
          </w:p>
        </w:tc>
      </w:tr>
      <w:tr w:rsidR="0023531C" w:rsidRPr="00305D32" w14:paraId="548A78CC" w14:textId="77777777" w:rsidTr="00E21385">
        <w:trPr>
          <w:trHeight w:val="341"/>
        </w:trPr>
        <w:tc>
          <w:tcPr>
            <w:tcW w:w="6237" w:type="dxa"/>
            <w:tcBorders>
              <w:top w:val="nil"/>
              <w:left w:val="nil"/>
              <w:bottom w:val="nil"/>
              <w:right w:val="nil"/>
            </w:tcBorders>
            <w:vAlign w:val="center"/>
          </w:tcPr>
          <w:p w14:paraId="645EE396" w14:textId="77777777" w:rsidR="0023531C" w:rsidRPr="00305D32" w:rsidRDefault="0023531C" w:rsidP="0023531C">
            <w:pPr>
              <w:spacing w:after="0" w:line="240" w:lineRule="auto"/>
              <w:jc w:val="left"/>
              <w:rPr>
                <w:color w:val="000000"/>
                <w:sz w:val="20"/>
                <w:szCs w:val="20"/>
                <w:lang w:val="es-MX"/>
              </w:rPr>
            </w:pPr>
            <w:r w:rsidRPr="00305D32">
              <w:rPr>
                <w:color w:val="000000"/>
                <w:sz w:val="20"/>
                <w:szCs w:val="20"/>
                <w:lang w:val="es-MX"/>
              </w:rPr>
              <w:t xml:space="preserve">      52-53 - Servicios financieros y de seguros. Servicios inmobiliarios y de alquiler de bienes muebles e intangibles</w:t>
            </w:r>
          </w:p>
        </w:tc>
        <w:tc>
          <w:tcPr>
            <w:tcW w:w="993" w:type="dxa"/>
            <w:tcBorders>
              <w:top w:val="nil"/>
              <w:left w:val="nil"/>
              <w:bottom w:val="nil"/>
              <w:right w:val="nil"/>
            </w:tcBorders>
            <w:vAlign w:val="center"/>
          </w:tcPr>
          <w:p w14:paraId="274DED80" w14:textId="584D5C7A" w:rsidR="0023531C" w:rsidRPr="00305D32" w:rsidRDefault="0023531C" w:rsidP="0023531C">
            <w:pPr>
              <w:spacing w:after="0" w:line="240" w:lineRule="auto"/>
              <w:jc w:val="right"/>
              <w:rPr>
                <w:color w:val="000000"/>
                <w:sz w:val="20"/>
                <w:szCs w:val="20"/>
                <w:lang w:val="es-MX"/>
              </w:rPr>
            </w:pPr>
            <w:r w:rsidRPr="00305D32">
              <w:rPr>
                <w:rFonts w:eastAsia="Times New Roman"/>
                <w:color w:val="000000"/>
                <w:sz w:val="20"/>
                <w:szCs w:val="20"/>
                <w:lang w:val="es-MX" w:eastAsia="es-419"/>
              </w:rPr>
              <w:t>5.2</w:t>
            </w:r>
            <w:r w:rsidR="0019290E">
              <w:rPr>
                <w:rFonts w:eastAsia="Times New Roman"/>
                <w:color w:val="000000"/>
                <w:sz w:val="20"/>
                <w:szCs w:val="20"/>
                <w:lang w:val="es-MX" w:eastAsia="es-419"/>
              </w:rPr>
              <w:t xml:space="preserve"> %</w:t>
            </w:r>
          </w:p>
        </w:tc>
        <w:tc>
          <w:tcPr>
            <w:tcW w:w="850" w:type="dxa"/>
            <w:tcBorders>
              <w:top w:val="nil"/>
              <w:left w:val="nil"/>
              <w:bottom w:val="nil"/>
              <w:right w:val="nil"/>
            </w:tcBorders>
            <w:vAlign w:val="center"/>
          </w:tcPr>
          <w:p w14:paraId="739D1293" w14:textId="2A11CCD4" w:rsidR="0023531C" w:rsidRPr="00305D32" w:rsidRDefault="0023531C" w:rsidP="0023531C">
            <w:pPr>
              <w:spacing w:after="0" w:line="240" w:lineRule="auto"/>
              <w:jc w:val="right"/>
              <w:rPr>
                <w:color w:val="000000"/>
                <w:sz w:val="20"/>
                <w:szCs w:val="20"/>
                <w:lang w:val="es-MX"/>
              </w:rPr>
            </w:pPr>
            <w:r w:rsidRPr="00305D32">
              <w:rPr>
                <w:rFonts w:eastAsia="Times New Roman"/>
                <w:color w:val="000000"/>
                <w:sz w:val="20"/>
                <w:szCs w:val="20"/>
                <w:lang w:val="es-MX" w:eastAsia="es-419"/>
              </w:rPr>
              <w:t>2.7</w:t>
            </w:r>
            <w:r w:rsidR="0019290E">
              <w:rPr>
                <w:rFonts w:eastAsia="Times New Roman"/>
                <w:color w:val="000000"/>
                <w:sz w:val="20"/>
                <w:szCs w:val="20"/>
                <w:lang w:val="es-MX" w:eastAsia="es-419"/>
              </w:rPr>
              <w:t xml:space="preserve"> %</w:t>
            </w:r>
          </w:p>
        </w:tc>
        <w:tc>
          <w:tcPr>
            <w:tcW w:w="1106" w:type="dxa"/>
            <w:tcBorders>
              <w:top w:val="nil"/>
              <w:left w:val="nil"/>
              <w:bottom w:val="nil"/>
              <w:right w:val="nil"/>
            </w:tcBorders>
            <w:vAlign w:val="center"/>
          </w:tcPr>
          <w:p w14:paraId="6BDE91C1" w14:textId="74D769FE" w:rsidR="0023531C" w:rsidRPr="00305D32" w:rsidRDefault="0023531C" w:rsidP="0023531C">
            <w:pPr>
              <w:spacing w:after="0" w:line="240" w:lineRule="auto"/>
              <w:jc w:val="right"/>
              <w:rPr>
                <w:b/>
                <w:color w:val="000000"/>
                <w:sz w:val="20"/>
                <w:szCs w:val="20"/>
                <w:lang w:val="es-MX"/>
              </w:rPr>
            </w:pPr>
            <w:r w:rsidRPr="00305D32">
              <w:rPr>
                <w:rFonts w:eastAsia="Times New Roman"/>
                <w:b/>
                <w:bCs/>
                <w:color w:val="000000"/>
                <w:sz w:val="20"/>
                <w:szCs w:val="20"/>
                <w:lang w:val="es-MX" w:eastAsia="es-419"/>
              </w:rPr>
              <w:t>5.0</w:t>
            </w:r>
            <w:r w:rsidR="0019290E">
              <w:rPr>
                <w:rFonts w:eastAsia="Times New Roman"/>
                <w:b/>
                <w:bCs/>
                <w:color w:val="000000"/>
                <w:sz w:val="20"/>
                <w:szCs w:val="20"/>
                <w:lang w:val="es-MX" w:eastAsia="es-419"/>
              </w:rPr>
              <w:t xml:space="preserve"> %</w:t>
            </w:r>
          </w:p>
        </w:tc>
      </w:tr>
      <w:tr w:rsidR="0023531C" w:rsidRPr="00305D32" w14:paraId="7994CAF7" w14:textId="77777777" w:rsidTr="00E21385">
        <w:trPr>
          <w:trHeight w:val="341"/>
        </w:trPr>
        <w:tc>
          <w:tcPr>
            <w:tcW w:w="6237" w:type="dxa"/>
            <w:tcBorders>
              <w:top w:val="nil"/>
              <w:left w:val="nil"/>
              <w:bottom w:val="nil"/>
              <w:right w:val="nil"/>
            </w:tcBorders>
            <w:vAlign w:val="center"/>
          </w:tcPr>
          <w:p w14:paraId="5F49024C" w14:textId="77777777" w:rsidR="0023531C" w:rsidRPr="00305D32" w:rsidRDefault="0023531C" w:rsidP="0023531C">
            <w:pPr>
              <w:spacing w:after="0" w:line="240" w:lineRule="auto"/>
              <w:jc w:val="left"/>
              <w:rPr>
                <w:color w:val="000000"/>
                <w:sz w:val="20"/>
                <w:szCs w:val="20"/>
                <w:lang w:val="es-MX"/>
              </w:rPr>
            </w:pPr>
            <w:r w:rsidRPr="00305D32">
              <w:rPr>
                <w:color w:val="000000"/>
                <w:sz w:val="20"/>
                <w:szCs w:val="20"/>
                <w:lang w:val="es-MX"/>
              </w:rPr>
              <w:t xml:space="preserve">      54-55-56-81 - Servicios profesionales, científicos y técnicos. Corporativos. Servicios de apoyo a los negocios y manejo de residuos y desechos, y servicios de remediación. Otros servicios excepto actividades gubernamentales</w:t>
            </w:r>
          </w:p>
        </w:tc>
        <w:tc>
          <w:tcPr>
            <w:tcW w:w="993" w:type="dxa"/>
            <w:tcBorders>
              <w:top w:val="nil"/>
              <w:left w:val="nil"/>
              <w:bottom w:val="nil"/>
              <w:right w:val="nil"/>
            </w:tcBorders>
            <w:vAlign w:val="center"/>
          </w:tcPr>
          <w:p w14:paraId="0EEA15CC" w14:textId="2CA4273A" w:rsidR="0023531C" w:rsidRPr="00305D32" w:rsidRDefault="0023531C" w:rsidP="0023531C">
            <w:pPr>
              <w:spacing w:after="0" w:line="240" w:lineRule="auto"/>
              <w:jc w:val="right"/>
              <w:rPr>
                <w:color w:val="000000"/>
                <w:sz w:val="20"/>
                <w:szCs w:val="20"/>
                <w:lang w:val="es-MX"/>
              </w:rPr>
            </w:pPr>
            <w:r w:rsidRPr="00305D32">
              <w:rPr>
                <w:rFonts w:eastAsia="Times New Roman"/>
                <w:color w:val="000000"/>
                <w:sz w:val="20"/>
                <w:szCs w:val="20"/>
                <w:lang w:val="es-MX" w:eastAsia="es-419"/>
              </w:rPr>
              <w:t>1.2</w:t>
            </w:r>
            <w:r w:rsidR="0019290E">
              <w:rPr>
                <w:rFonts w:eastAsia="Times New Roman"/>
                <w:color w:val="000000"/>
                <w:sz w:val="20"/>
                <w:szCs w:val="20"/>
                <w:lang w:val="es-MX" w:eastAsia="es-419"/>
              </w:rPr>
              <w:t xml:space="preserve"> %</w:t>
            </w:r>
          </w:p>
        </w:tc>
        <w:tc>
          <w:tcPr>
            <w:tcW w:w="850" w:type="dxa"/>
            <w:tcBorders>
              <w:top w:val="nil"/>
              <w:left w:val="nil"/>
              <w:bottom w:val="nil"/>
              <w:right w:val="nil"/>
            </w:tcBorders>
            <w:vAlign w:val="center"/>
          </w:tcPr>
          <w:p w14:paraId="4552F412" w14:textId="76F68DCF" w:rsidR="0023531C" w:rsidRPr="00305D32" w:rsidRDefault="0023531C" w:rsidP="0023531C">
            <w:pPr>
              <w:spacing w:after="0" w:line="240" w:lineRule="auto"/>
              <w:jc w:val="right"/>
              <w:rPr>
                <w:color w:val="000000"/>
                <w:sz w:val="20"/>
                <w:szCs w:val="20"/>
                <w:lang w:val="es-MX"/>
              </w:rPr>
            </w:pPr>
            <w:r w:rsidRPr="00305D32">
              <w:rPr>
                <w:rFonts w:eastAsia="Times New Roman"/>
                <w:color w:val="000000"/>
                <w:sz w:val="20"/>
                <w:szCs w:val="20"/>
                <w:lang w:val="es-MX" w:eastAsia="es-419"/>
              </w:rPr>
              <w:t>-6.7</w:t>
            </w:r>
            <w:r w:rsidR="0019290E">
              <w:rPr>
                <w:rFonts w:eastAsia="Times New Roman"/>
                <w:color w:val="000000"/>
                <w:sz w:val="20"/>
                <w:szCs w:val="20"/>
                <w:lang w:val="es-MX" w:eastAsia="es-419"/>
              </w:rPr>
              <w:t xml:space="preserve"> %</w:t>
            </w:r>
          </w:p>
        </w:tc>
        <w:tc>
          <w:tcPr>
            <w:tcW w:w="1106" w:type="dxa"/>
            <w:tcBorders>
              <w:top w:val="nil"/>
              <w:left w:val="nil"/>
              <w:bottom w:val="nil"/>
              <w:right w:val="nil"/>
            </w:tcBorders>
            <w:vAlign w:val="center"/>
          </w:tcPr>
          <w:p w14:paraId="1A6A42E3" w14:textId="25155544" w:rsidR="0023531C" w:rsidRPr="00305D32" w:rsidRDefault="0023531C" w:rsidP="0023531C">
            <w:pPr>
              <w:spacing w:after="0" w:line="240" w:lineRule="auto"/>
              <w:jc w:val="right"/>
              <w:rPr>
                <w:b/>
                <w:color w:val="000000"/>
                <w:sz w:val="20"/>
                <w:szCs w:val="20"/>
                <w:lang w:val="es-MX"/>
              </w:rPr>
            </w:pPr>
            <w:r w:rsidRPr="00305D32">
              <w:rPr>
                <w:rFonts w:eastAsia="Times New Roman"/>
                <w:b/>
                <w:bCs/>
                <w:color w:val="000000"/>
                <w:sz w:val="20"/>
                <w:szCs w:val="20"/>
                <w:lang w:val="es-MX" w:eastAsia="es-419"/>
              </w:rPr>
              <w:t>2.3</w:t>
            </w:r>
            <w:r w:rsidR="0019290E">
              <w:rPr>
                <w:rFonts w:eastAsia="Times New Roman"/>
                <w:b/>
                <w:bCs/>
                <w:color w:val="000000"/>
                <w:sz w:val="20"/>
                <w:szCs w:val="20"/>
                <w:lang w:val="es-MX" w:eastAsia="es-419"/>
              </w:rPr>
              <w:t xml:space="preserve"> %</w:t>
            </w:r>
          </w:p>
        </w:tc>
      </w:tr>
      <w:tr w:rsidR="0023531C" w:rsidRPr="00305D32" w14:paraId="36EAF7DF" w14:textId="77777777" w:rsidTr="00E21385">
        <w:trPr>
          <w:trHeight w:val="341"/>
        </w:trPr>
        <w:tc>
          <w:tcPr>
            <w:tcW w:w="6237" w:type="dxa"/>
            <w:tcBorders>
              <w:top w:val="nil"/>
              <w:left w:val="nil"/>
              <w:bottom w:val="nil"/>
              <w:right w:val="nil"/>
            </w:tcBorders>
            <w:vAlign w:val="center"/>
          </w:tcPr>
          <w:p w14:paraId="5C3B5107" w14:textId="77777777" w:rsidR="0023531C" w:rsidRPr="00305D32" w:rsidRDefault="0023531C" w:rsidP="0023531C">
            <w:pPr>
              <w:spacing w:after="0" w:line="240" w:lineRule="auto"/>
              <w:jc w:val="left"/>
              <w:rPr>
                <w:color w:val="000000"/>
                <w:sz w:val="20"/>
                <w:szCs w:val="20"/>
                <w:lang w:val="es-MX"/>
              </w:rPr>
            </w:pPr>
            <w:r w:rsidRPr="00305D32">
              <w:rPr>
                <w:color w:val="000000"/>
                <w:sz w:val="20"/>
                <w:szCs w:val="20"/>
                <w:lang w:val="es-MX"/>
              </w:rPr>
              <w:t xml:space="preserve">      61-62-93 - Servicios educativos. Servicios de salud y de asistencia social. Actividades legislativas, gubernamentales, de impartición de justicia</w:t>
            </w:r>
          </w:p>
        </w:tc>
        <w:tc>
          <w:tcPr>
            <w:tcW w:w="993" w:type="dxa"/>
            <w:tcBorders>
              <w:top w:val="nil"/>
              <w:left w:val="nil"/>
              <w:bottom w:val="nil"/>
              <w:right w:val="nil"/>
            </w:tcBorders>
            <w:vAlign w:val="center"/>
          </w:tcPr>
          <w:p w14:paraId="6AA05793" w14:textId="232A2B73" w:rsidR="0023531C" w:rsidRPr="00305D32" w:rsidRDefault="0023531C" w:rsidP="0023531C">
            <w:pPr>
              <w:spacing w:after="0" w:line="240" w:lineRule="auto"/>
              <w:jc w:val="right"/>
              <w:rPr>
                <w:color w:val="000000"/>
                <w:sz w:val="20"/>
                <w:szCs w:val="20"/>
                <w:lang w:val="es-MX"/>
              </w:rPr>
            </w:pPr>
            <w:r w:rsidRPr="00305D32">
              <w:rPr>
                <w:rFonts w:eastAsia="Times New Roman"/>
                <w:color w:val="000000"/>
                <w:sz w:val="20"/>
                <w:szCs w:val="20"/>
                <w:lang w:val="es-MX" w:eastAsia="es-419"/>
              </w:rPr>
              <w:t>0.6</w:t>
            </w:r>
            <w:r w:rsidR="0019290E">
              <w:rPr>
                <w:rFonts w:eastAsia="Times New Roman"/>
                <w:color w:val="000000"/>
                <w:sz w:val="20"/>
                <w:szCs w:val="20"/>
                <w:lang w:val="es-MX" w:eastAsia="es-419"/>
              </w:rPr>
              <w:t xml:space="preserve"> %</w:t>
            </w:r>
          </w:p>
        </w:tc>
        <w:tc>
          <w:tcPr>
            <w:tcW w:w="850" w:type="dxa"/>
            <w:tcBorders>
              <w:top w:val="nil"/>
              <w:left w:val="nil"/>
              <w:bottom w:val="nil"/>
              <w:right w:val="nil"/>
            </w:tcBorders>
            <w:vAlign w:val="center"/>
          </w:tcPr>
          <w:p w14:paraId="244CA108" w14:textId="3DCEB14C" w:rsidR="0023531C" w:rsidRPr="00305D32" w:rsidRDefault="0023531C" w:rsidP="0023531C">
            <w:pPr>
              <w:spacing w:after="0" w:line="240" w:lineRule="auto"/>
              <w:jc w:val="right"/>
              <w:rPr>
                <w:color w:val="000000"/>
                <w:sz w:val="20"/>
                <w:szCs w:val="20"/>
                <w:lang w:val="es-MX"/>
              </w:rPr>
            </w:pPr>
            <w:r w:rsidRPr="00305D32">
              <w:rPr>
                <w:rFonts w:eastAsia="Times New Roman"/>
                <w:color w:val="000000"/>
                <w:sz w:val="20"/>
                <w:szCs w:val="20"/>
                <w:lang w:val="es-MX" w:eastAsia="es-419"/>
              </w:rPr>
              <w:t>5.5</w:t>
            </w:r>
            <w:r w:rsidR="0019290E">
              <w:rPr>
                <w:rFonts w:eastAsia="Times New Roman"/>
                <w:color w:val="000000"/>
                <w:sz w:val="20"/>
                <w:szCs w:val="20"/>
                <w:lang w:val="es-MX" w:eastAsia="es-419"/>
              </w:rPr>
              <w:t xml:space="preserve"> %</w:t>
            </w:r>
          </w:p>
        </w:tc>
        <w:tc>
          <w:tcPr>
            <w:tcW w:w="1106" w:type="dxa"/>
            <w:tcBorders>
              <w:top w:val="nil"/>
              <w:left w:val="nil"/>
              <w:bottom w:val="nil"/>
              <w:right w:val="nil"/>
            </w:tcBorders>
            <w:vAlign w:val="center"/>
          </w:tcPr>
          <w:p w14:paraId="2ACA88B3" w14:textId="39D0BC62" w:rsidR="0023531C" w:rsidRPr="00305D32" w:rsidRDefault="0023531C" w:rsidP="0023531C">
            <w:pPr>
              <w:spacing w:after="0" w:line="240" w:lineRule="auto"/>
              <w:jc w:val="right"/>
              <w:rPr>
                <w:b/>
                <w:color w:val="000000"/>
                <w:sz w:val="20"/>
                <w:szCs w:val="20"/>
                <w:lang w:val="es-MX"/>
              </w:rPr>
            </w:pPr>
            <w:r w:rsidRPr="00305D32">
              <w:rPr>
                <w:rFonts w:eastAsia="Times New Roman"/>
                <w:b/>
                <w:bCs/>
                <w:color w:val="000000"/>
                <w:sz w:val="20"/>
                <w:szCs w:val="20"/>
                <w:lang w:val="es-MX" w:eastAsia="es-419"/>
              </w:rPr>
              <w:t>7.5</w:t>
            </w:r>
            <w:r w:rsidR="0019290E">
              <w:rPr>
                <w:rFonts w:eastAsia="Times New Roman"/>
                <w:b/>
                <w:bCs/>
                <w:color w:val="000000"/>
                <w:sz w:val="20"/>
                <w:szCs w:val="20"/>
                <w:lang w:val="es-MX" w:eastAsia="es-419"/>
              </w:rPr>
              <w:t xml:space="preserve"> %</w:t>
            </w:r>
          </w:p>
        </w:tc>
      </w:tr>
      <w:tr w:rsidR="0023531C" w:rsidRPr="00305D32" w14:paraId="4F2AFD84" w14:textId="77777777" w:rsidTr="00E21385">
        <w:trPr>
          <w:trHeight w:val="355"/>
        </w:trPr>
        <w:tc>
          <w:tcPr>
            <w:tcW w:w="6237" w:type="dxa"/>
            <w:tcBorders>
              <w:top w:val="nil"/>
              <w:left w:val="nil"/>
              <w:bottom w:val="single" w:sz="12" w:space="0" w:color="000000"/>
              <w:right w:val="nil"/>
            </w:tcBorders>
            <w:vAlign w:val="center"/>
          </w:tcPr>
          <w:p w14:paraId="6F33EC5E" w14:textId="77777777" w:rsidR="0023531C" w:rsidRPr="00305D32" w:rsidRDefault="0023531C" w:rsidP="0023531C">
            <w:pPr>
              <w:spacing w:after="0" w:line="240" w:lineRule="auto"/>
              <w:jc w:val="left"/>
              <w:rPr>
                <w:color w:val="000000"/>
                <w:sz w:val="20"/>
                <w:szCs w:val="20"/>
                <w:lang w:val="es-MX"/>
              </w:rPr>
            </w:pPr>
            <w:r w:rsidRPr="00305D32">
              <w:rPr>
                <w:color w:val="000000"/>
                <w:sz w:val="20"/>
                <w:szCs w:val="20"/>
                <w:lang w:val="es-MX"/>
              </w:rPr>
              <w:t xml:space="preserve">      71-72 - Servicios de esparcimiento culturales y deportivos, y otros servicios recreativos. Servicios de alojamiento temporal y de preparación de alimentos y bebidas </w:t>
            </w:r>
          </w:p>
        </w:tc>
        <w:tc>
          <w:tcPr>
            <w:tcW w:w="993" w:type="dxa"/>
            <w:tcBorders>
              <w:top w:val="nil"/>
              <w:left w:val="nil"/>
              <w:bottom w:val="single" w:sz="12" w:space="0" w:color="000000"/>
              <w:right w:val="nil"/>
            </w:tcBorders>
            <w:vAlign w:val="center"/>
          </w:tcPr>
          <w:p w14:paraId="35FFC17E" w14:textId="4C977392" w:rsidR="0023531C" w:rsidRPr="00305D32" w:rsidRDefault="0023531C" w:rsidP="0023531C">
            <w:pPr>
              <w:spacing w:after="0" w:line="240" w:lineRule="auto"/>
              <w:jc w:val="right"/>
              <w:rPr>
                <w:color w:val="000000"/>
                <w:sz w:val="20"/>
                <w:szCs w:val="20"/>
                <w:lang w:val="es-MX"/>
              </w:rPr>
            </w:pPr>
            <w:r w:rsidRPr="00305D32">
              <w:rPr>
                <w:rFonts w:eastAsia="Times New Roman"/>
                <w:color w:val="000000"/>
                <w:sz w:val="20"/>
                <w:szCs w:val="20"/>
                <w:lang w:val="es-MX" w:eastAsia="es-419"/>
              </w:rPr>
              <w:t>-17.9</w:t>
            </w:r>
            <w:r w:rsidR="0019290E">
              <w:rPr>
                <w:rFonts w:eastAsia="Times New Roman"/>
                <w:color w:val="000000"/>
                <w:sz w:val="20"/>
                <w:szCs w:val="20"/>
                <w:lang w:val="es-MX" w:eastAsia="es-419"/>
              </w:rPr>
              <w:t xml:space="preserve"> %</w:t>
            </w:r>
          </w:p>
        </w:tc>
        <w:tc>
          <w:tcPr>
            <w:tcW w:w="850" w:type="dxa"/>
            <w:tcBorders>
              <w:top w:val="nil"/>
              <w:left w:val="nil"/>
              <w:bottom w:val="single" w:sz="12" w:space="0" w:color="000000"/>
              <w:right w:val="nil"/>
            </w:tcBorders>
            <w:vAlign w:val="center"/>
          </w:tcPr>
          <w:p w14:paraId="2FAED59E" w14:textId="5D2472D3" w:rsidR="0023531C" w:rsidRPr="00305D32" w:rsidRDefault="0023531C" w:rsidP="0023531C">
            <w:pPr>
              <w:spacing w:after="0" w:line="240" w:lineRule="auto"/>
              <w:jc w:val="right"/>
              <w:rPr>
                <w:color w:val="000000"/>
                <w:sz w:val="20"/>
                <w:szCs w:val="20"/>
                <w:lang w:val="es-MX"/>
              </w:rPr>
            </w:pPr>
            <w:r w:rsidRPr="00305D32">
              <w:rPr>
                <w:rFonts w:eastAsia="Times New Roman"/>
                <w:color w:val="000000"/>
                <w:sz w:val="20"/>
                <w:szCs w:val="20"/>
                <w:lang w:val="es-MX" w:eastAsia="es-419"/>
              </w:rPr>
              <w:t>-2.3</w:t>
            </w:r>
            <w:r w:rsidR="0019290E">
              <w:rPr>
                <w:rFonts w:eastAsia="Times New Roman"/>
                <w:color w:val="000000"/>
                <w:sz w:val="20"/>
                <w:szCs w:val="20"/>
                <w:lang w:val="es-MX" w:eastAsia="es-419"/>
              </w:rPr>
              <w:t xml:space="preserve"> %</w:t>
            </w:r>
          </w:p>
        </w:tc>
        <w:tc>
          <w:tcPr>
            <w:tcW w:w="1106" w:type="dxa"/>
            <w:tcBorders>
              <w:top w:val="nil"/>
              <w:left w:val="nil"/>
              <w:bottom w:val="single" w:sz="12" w:space="0" w:color="000000"/>
              <w:right w:val="nil"/>
            </w:tcBorders>
            <w:vAlign w:val="center"/>
          </w:tcPr>
          <w:p w14:paraId="6145D5E1" w14:textId="2D997988" w:rsidR="0023531C" w:rsidRPr="00305D32" w:rsidRDefault="0023531C" w:rsidP="0023531C">
            <w:pPr>
              <w:spacing w:after="0" w:line="240" w:lineRule="auto"/>
              <w:jc w:val="right"/>
              <w:rPr>
                <w:b/>
                <w:bCs/>
                <w:color w:val="000000"/>
                <w:sz w:val="20"/>
                <w:szCs w:val="20"/>
                <w:lang w:val="es-MX"/>
              </w:rPr>
            </w:pPr>
            <w:r w:rsidRPr="00305D32">
              <w:rPr>
                <w:rFonts w:eastAsia="Times New Roman"/>
                <w:b/>
                <w:bCs/>
                <w:color w:val="000000"/>
                <w:sz w:val="20"/>
                <w:szCs w:val="20"/>
                <w:lang w:val="es-MX" w:eastAsia="es-419"/>
              </w:rPr>
              <w:t>0.6</w:t>
            </w:r>
            <w:r w:rsidR="0019290E">
              <w:rPr>
                <w:rFonts w:eastAsia="Times New Roman"/>
                <w:b/>
                <w:bCs/>
                <w:color w:val="000000"/>
                <w:sz w:val="20"/>
                <w:szCs w:val="20"/>
                <w:lang w:val="es-MX" w:eastAsia="es-419"/>
              </w:rPr>
              <w:t xml:space="preserve"> %</w:t>
            </w:r>
          </w:p>
        </w:tc>
      </w:tr>
    </w:tbl>
    <w:p w14:paraId="4D08337F" w14:textId="249233AF" w:rsidR="00AE57F0" w:rsidRPr="00305D32" w:rsidRDefault="00414F7C">
      <w:pPr>
        <w:spacing w:line="240"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base en datos del INEGI (202</w:t>
      </w:r>
      <w:r w:rsidR="00E607F6" w:rsidRPr="00305D32">
        <w:rPr>
          <w:sz w:val="20"/>
          <w:szCs w:val="20"/>
          <w:lang w:val="es-MX"/>
        </w:rPr>
        <w:t>5</w:t>
      </w:r>
      <w:r w:rsidRPr="00305D32">
        <w:rPr>
          <w:sz w:val="20"/>
          <w:szCs w:val="20"/>
          <w:lang w:val="es-MX"/>
        </w:rPr>
        <w:t xml:space="preserve">) </w:t>
      </w:r>
      <w:r w:rsidRPr="00305D32">
        <w:rPr>
          <w:i/>
          <w:sz w:val="20"/>
          <w:szCs w:val="20"/>
          <w:lang w:val="es-MX"/>
        </w:rPr>
        <w:t>Indicador Trimestral de la Actividad Económica Estatal</w:t>
      </w:r>
      <w:r w:rsidRPr="00305D32">
        <w:rPr>
          <w:sz w:val="20"/>
          <w:szCs w:val="20"/>
          <w:lang w:val="es-MX"/>
        </w:rPr>
        <w:t>. Cifras revisadas por el INEGI: 202</w:t>
      </w:r>
      <w:r w:rsidR="001141DA" w:rsidRPr="00305D32">
        <w:rPr>
          <w:sz w:val="20"/>
          <w:szCs w:val="20"/>
          <w:lang w:val="es-MX"/>
        </w:rPr>
        <w:t>3</w:t>
      </w:r>
      <w:r w:rsidRPr="00305D32">
        <w:rPr>
          <w:sz w:val="20"/>
          <w:szCs w:val="20"/>
          <w:lang w:val="es-MX"/>
        </w:rPr>
        <w:t>-202</w:t>
      </w:r>
      <w:r w:rsidR="001141DA" w:rsidRPr="00305D32">
        <w:rPr>
          <w:sz w:val="20"/>
          <w:szCs w:val="20"/>
          <w:lang w:val="es-MX"/>
        </w:rPr>
        <w:t>4</w:t>
      </w:r>
      <w:r w:rsidRPr="00305D32">
        <w:rPr>
          <w:sz w:val="20"/>
          <w:szCs w:val="20"/>
          <w:lang w:val="es-MX"/>
        </w:rPr>
        <w:t>. Cifras preliminares INEGI: 202</w:t>
      </w:r>
      <w:r w:rsidR="001141DA" w:rsidRPr="00305D32">
        <w:rPr>
          <w:sz w:val="20"/>
          <w:szCs w:val="20"/>
          <w:lang w:val="es-MX"/>
        </w:rPr>
        <w:t>5</w:t>
      </w:r>
      <w:r w:rsidRPr="00305D32">
        <w:rPr>
          <w:sz w:val="20"/>
          <w:szCs w:val="20"/>
          <w:lang w:val="es-MX"/>
        </w:rPr>
        <w:t xml:space="preserve"> (*Valor interanual, variación primer trimestre de 202</w:t>
      </w:r>
      <w:r w:rsidR="001141DA" w:rsidRPr="00305D32">
        <w:rPr>
          <w:sz w:val="20"/>
          <w:szCs w:val="20"/>
          <w:lang w:val="es-MX"/>
        </w:rPr>
        <w:t>5</w:t>
      </w:r>
      <w:r w:rsidRPr="00305D32">
        <w:rPr>
          <w:sz w:val="20"/>
          <w:szCs w:val="20"/>
          <w:lang w:val="es-MX"/>
        </w:rPr>
        <w:t xml:space="preserve"> con primer trimestre de 202</w:t>
      </w:r>
      <w:r w:rsidR="001141DA" w:rsidRPr="00305D32">
        <w:rPr>
          <w:sz w:val="20"/>
          <w:szCs w:val="20"/>
          <w:lang w:val="es-MX"/>
        </w:rPr>
        <w:t>4</w:t>
      </w:r>
      <w:r w:rsidRPr="00305D32">
        <w:rPr>
          <w:sz w:val="20"/>
          <w:szCs w:val="20"/>
          <w:lang w:val="es-MX"/>
        </w:rPr>
        <w:t>).</w:t>
      </w:r>
    </w:p>
    <w:p w14:paraId="4D083382" w14:textId="5EE74A4E" w:rsidR="00AE57F0" w:rsidRPr="00305D32" w:rsidRDefault="00414F7C">
      <w:pPr>
        <w:rPr>
          <w:lang w:val="es-MX"/>
        </w:rPr>
      </w:pPr>
      <w:r w:rsidRPr="00305D32">
        <w:rPr>
          <w:lang w:val="es-MX"/>
        </w:rPr>
        <w:lastRenderedPageBreak/>
        <w:t xml:space="preserve">Las actividades terciarias presentaron </w:t>
      </w:r>
      <w:r w:rsidR="005639BA" w:rsidRPr="00305D32">
        <w:rPr>
          <w:lang w:val="es-MX"/>
        </w:rPr>
        <w:t xml:space="preserve">un incremento </w:t>
      </w:r>
      <w:r w:rsidR="00AD75CE">
        <w:rPr>
          <w:lang w:val="es-MX"/>
        </w:rPr>
        <w:t xml:space="preserve">marginal </w:t>
      </w:r>
      <w:r w:rsidRPr="00305D32">
        <w:rPr>
          <w:lang w:val="es-MX"/>
        </w:rPr>
        <w:t>de</w:t>
      </w:r>
      <w:r w:rsidR="005639BA" w:rsidRPr="00305D32">
        <w:rPr>
          <w:lang w:val="es-MX"/>
        </w:rPr>
        <w:t xml:space="preserve"> 1</w:t>
      </w:r>
      <w:r w:rsidR="0019290E">
        <w:rPr>
          <w:lang w:val="es-MX"/>
        </w:rPr>
        <w:t xml:space="preserve"> %</w:t>
      </w:r>
      <w:r w:rsidRPr="00305D32">
        <w:rPr>
          <w:lang w:val="es-MX"/>
        </w:rPr>
        <w:t xml:space="preserve">, motivado </w:t>
      </w:r>
      <w:r w:rsidRPr="00A61707">
        <w:rPr>
          <w:lang w:val="es-MX"/>
        </w:rPr>
        <w:t xml:space="preserve">principalmente por la contracción del sector 71-72 </w:t>
      </w:r>
      <w:r w:rsidR="00AB089E">
        <w:rPr>
          <w:lang w:val="es-MX"/>
        </w:rPr>
        <w:t>“</w:t>
      </w:r>
      <w:r w:rsidRPr="00A61707">
        <w:rPr>
          <w:lang w:val="es-MX"/>
        </w:rPr>
        <w:t>Servicios de esparcimiento culturales y deportivos, y otros servicios recreativos. Servicios de alojamiento temporal y de preparación de alimentos y bebidas</w:t>
      </w:r>
      <w:r w:rsidR="00AB089E">
        <w:rPr>
          <w:lang w:val="es-MX"/>
        </w:rPr>
        <w:t>”</w:t>
      </w:r>
      <w:r w:rsidRPr="00A61707">
        <w:rPr>
          <w:lang w:val="es-MX"/>
        </w:rPr>
        <w:t xml:space="preserve"> </w:t>
      </w:r>
      <w:r w:rsidR="00442C79">
        <w:rPr>
          <w:lang w:val="es-MX"/>
        </w:rPr>
        <w:t>que paso</w:t>
      </w:r>
      <w:r w:rsidRPr="00A61707">
        <w:rPr>
          <w:lang w:val="es-MX"/>
        </w:rPr>
        <w:t xml:space="preserve"> de </w:t>
      </w:r>
      <w:r w:rsidR="000E4BC0" w:rsidRPr="00A61707">
        <w:rPr>
          <w:lang w:val="es-MX"/>
        </w:rPr>
        <w:t>– 17</w:t>
      </w:r>
      <w:r w:rsidRPr="00A61707">
        <w:rPr>
          <w:lang w:val="es-MX"/>
        </w:rPr>
        <w:t>.</w:t>
      </w:r>
      <w:r w:rsidR="000E4BC0" w:rsidRPr="00A61707">
        <w:rPr>
          <w:lang w:val="es-MX"/>
        </w:rPr>
        <w:t>9</w:t>
      </w:r>
      <w:r w:rsidR="0019290E">
        <w:rPr>
          <w:lang w:val="es-MX"/>
        </w:rPr>
        <w:t xml:space="preserve"> %</w:t>
      </w:r>
      <w:r w:rsidRPr="00A61707">
        <w:rPr>
          <w:lang w:val="es-MX"/>
        </w:rPr>
        <w:t xml:space="preserve"> en 202</w:t>
      </w:r>
      <w:r w:rsidR="000E4BC0" w:rsidRPr="00A61707">
        <w:rPr>
          <w:lang w:val="es-MX"/>
        </w:rPr>
        <w:t>3</w:t>
      </w:r>
      <w:r w:rsidRPr="00A61707">
        <w:rPr>
          <w:lang w:val="es-MX"/>
        </w:rPr>
        <w:t xml:space="preserve"> a – </w:t>
      </w:r>
      <w:r w:rsidR="006C7B5F" w:rsidRPr="00A61707">
        <w:rPr>
          <w:lang w:val="es-MX"/>
        </w:rPr>
        <w:t>2</w:t>
      </w:r>
      <w:r w:rsidRPr="00A61707">
        <w:rPr>
          <w:lang w:val="es-MX"/>
        </w:rPr>
        <w:t>.</w:t>
      </w:r>
      <w:r w:rsidR="006C7B5F" w:rsidRPr="00A61707">
        <w:rPr>
          <w:lang w:val="es-MX"/>
        </w:rPr>
        <w:t>3</w:t>
      </w:r>
      <w:r w:rsidR="0019290E">
        <w:rPr>
          <w:lang w:val="es-MX"/>
        </w:rPr>
        <w:t xml:space="preserve"> %</w:t>
      </w:r>
      <w:r w:rsidRPr="00A61707">
        <w:rPr>
          <w:lang w:val="es-MX"/>
        </w:rPr>
        <w:t xml:space="preserve"> en 202</w:t>
      </w:r>
      <w:r w:rsidR="002866B2" w:rsidRPr="00A61707">
        <w:rPr>
          <w:lang w:val="es-MX"/>
        </w:rPr>
        <w:t>4</w:t>
      </w:r>
      <w:r w:rsidRPr="00A61707">
        <w:rPr>
          <w:lang w:val="es-MX"/>
        </w:rPr>
        <w:t>.</w:t>
      </w:r>
    </w:p>
    <w:p w14:paraId="18FFF284" w14:textId="2E02EC4E" w:rsidR="00995FF3" w:rsidRDefault="00995FF3">
      <w:pPr>
        <w:rPr>
          <w:lang w:val="es-MX"/>
        </w:rPr>
      </w:pPr>
      <w:r w:rsidRPr="00305D32">
        <w:rPr>
          <w:lang w:val="es-MX"/>
        </w:rPr>
        <w:t xml:space="preserve">En general, se espera que el crecimiento económico del Estado para 2024 </w:t>
      </w:r>
      <w:r w:rsidR="00FC7B4E">
        <w:rPr>
          <w:lang w:val="es-MX"/>
        </w:rPr>
        <w:t>registre una reducción anual de</w:t>
      </w:r>
      <w:r w:rsidR="00BE6D7D" w:rsidRPr="00305D32">
        <w:rPr>
          <w:lang w:val="es-MX"/>
        </w:rPr>
        <w:t xml:space="preserve"> </w:t>
      </w:r>
      <w:r w:rsidR="005621AD" w:rsidRPr="00305D32">
        <w:rPr>
          <w:lang w:val="es-MX"/>
        </w:rPr>
        <w:t>– 4.4</w:t>
      </w:r>
      <w:r w:rsidR="0019290E">
        <w:rPr>
          <w:lang w:val="es-MX"/>
        </w:rPr>
        <w:t xml:space="preserve"> %</w:t>
      </w:r>
      <w:r w:rsidRPr="00305D32">
        <w:rPr>
          <w:lang w:val="es-MX"/>
        </w:rPr>
        <w:t xml:space="preserve"> anual. </w:t>
      </w:r>
      <w:r w:rsidR="00BE6D7D" w:rsidRPr="00305D32">
        <w:rPr>
          <w:lang w:val="es-MX"/>
        </w:rPr>
        <w:t xml:space="preserve">Mientras </w:t>
      </w:r>
      <w:r w:rsidR="008171E8" w:rsidRPr="00305D32">
        <w:rPr>
          <w:lang w:val="es-MX"/>
        </w:rPr>
        <w:t>que,</w:t>
      </w:r>
      <w:r w:rsidR="00BE6D7D" w:rsidRPr="00305D32">
        <w:rPr>
          <w:lang w:val="es-MX"/>
        </w:rPr>
        <w:t xml:space="preserve"> e</w:t>
      </w:r>
      <w:r w:rsidRPr="00305D32">
        <w:rPr>
          <w:lang w:val="es-MX"/>
        </w:rPr>
        <w:t>n el primer trimestre de 2025</w:t>
      </w:r>
      <w:r w:rsidR="003F0AF5" w:rsidRPr="00305D32">
        <w:rPr>
          <w:lang w:val="es-MX"/>
        </w:rPr>
        <w:t>,</w:t>
      </w:r>
      <w:r w:rsidRPr="00305D32">
        <w:rPr>
          <w:lang w:val="es-MX"/>
        </w:rPr>
        <w:t xml:space="preserve"> </w:t>
      </w:r>
      <w:r w:rsidR="000C539B" w:rsidRPr="00305D32">
        <w:rPr>
          <w:lang w:val="es-MX"/>
        </w:rPr>
        <w:t xml:space="preserve">todas las </w:t>
      </w:r>
      <w:r w:rsidR="0050344F">
        <w:rPr>
          <w:lang w:val="es-MX"/>
        </w:rPr>
        <w:t>a</w:t>
      </w:r>
      <w:r w:rsidR="000C539B" w:rsidRPr="00305D32">
        <w:rPr>
          <w:lang w:val="es-MX"/>
        </w:rPr>
        <w:t xml:space="preserve">ctividades </w:t>
      </w:r>
      <w:r w:rsidR="0050344F">
        <w:rPr>
          <w:lang w:val="es-MX"/>
        </w:rPr>
        <w:t>p</w:t>
      </w:r>
      <w:r w:rsidR="000C539B" w:rsidRPr="00305D32">
        <w:rPr>
          <w:lang w:val="es-MX"/>
        </w:rPr>
        <w:t xml:space="preserve">rimarias y </w:t>
      </w:r>
      <w:r w:rsidR="0050344F">
        <w:rPr>
          <w:lang w:val="es-MX"/>
        </w:rPr>
        <w:t>s</w:t>
      </w:r>
      <w:r w:rsidR="000C539B" w:rsidRPr="00305D32">
        <w:rPr>
          <w:lang w:val="es-MX"/>
        </w:rPr>
        <w:t xml:space="preserve">ecundarias (exceptuando el </w:t>
      </w:r>
      <w:r w:rsidR="002E498B" w:rsidRPr="00305D32">
        <w:rPr>
          <w:lang w:val="es-MX"/>
        </w:rPr>
        <w:t xml:space="preserve">sector </w:t>
      </w:r>
      <w:r w:rsidR="00082804" w:rsidRPr="00305D32">
        <w:rPr>
          <w:lang w:val="es-MX"/>
        </w:rPr>
        <w:t xml:space="preserve">22 </w:t>
      </w:r>
      <w:r w:rsidR="0050344F">
        <w:rPr>
          <w:lang w:val="es-MX"/>
        </w:rPr>
        <w:t>–</w:t>
      </w:r>
      <w:r w:rsidR="00082804" w:rsidRPr="00305D32">
        <w:rPr>
          <w:lang w:val="es-MX"/>
        </w:rPr>
        <w:t xml:space="preserve"> </w:t>
      </w:r>
      <w:r w:rsidR="0050344F">
        <w:rPr>
          <w:lang w:val="es-MX"/>
        </w:rPr>
        <w:t>“</w:t>
      </w:r>
      <w:r w:rsidR="00082804" w:rsidRPr="00305D32">
        <w:rPr>
          <w:lang w:val="es-MX"/>
        </w:rPr>
        <w:t>Generación, transmisión, distribución y comercialización de energía eléctrica, suministro de agua y de gas natural por ductos al consumidor final</w:t>
      </w:r>
      <w:r w:rsidR="009D1F0A">
        <w:rPr>
          <w:lang w:val="es-MX"/>
        </w:rPr>
        <w:t xml:space="preserve">”) </w:t>
      </w:r>
      <w:r w:rsidRPr="00305D32">
        <w:rPr>
          <w:lang w:val="es-MX"/>
        </w:rPr>
        <w:t>present</w:t>
      </w:r>
      <w:r w:rsidR="003F0AF5" w:rsidRPr="00305D32">
        <w:rPr>
          <w:lang w:val="es-MX"/>
        </w:rPr>
        <w:t>aron</w:t>
      </w:r>
      <w:r w:rsidRPr="00305D32">
        <w:rPr>
          <w:lang w:val="es-MX"/>
        </w:rPr>
        <w:t xml:space="preserve"> una </w:t>
      </w:r>
      <w:r w:rsidR="004A2053">
        <w:rPr>
          <w:lang w:val="es-MX"/>
        </w:rPr>
        <w:t>disminución</w:t>
      </w:r>
      <w:r w:rsidRPr="00305D32">
        <w:rPr>
          <w:lang w:val="es-MX"/>
        </w:rPr>
        <w:t xml:space="preserve"> de </w:t>
      </w:r>
      <w:r w:rsidR="008977B7" w:rsidRPr="00305D32">
        <w:rPr>
          <w:lang w:val="es-MX"/>
        </w:rPr>
        <w:t>–</w:t>
      </w:r>
      <w:r w:rsidRPr="00305D32">
        <w:rPr>
          <w:lang w:val="es-MX"/>
        </w:rPr>
        <w:t xml:space="preserve"> </w:t>
      </w:r>
      <w:r w:rsidR="008977B7" w:rsidRPr="00305D32">
        <w:rPr>
          <w:lang w:val="es-MX"/>
        </w:rPr>
        <w:t>16.9</w:t>
      </w:r>
      <w:r w:rsidR="0019290E">
        <w:rPr>
          <w:lang w:val="es-MX"/>
        </w:rPr>
        <w:t xml:space="preserve"> %</w:t>
      </w:r>
      <w:r w:rsidRPr="00305D32">
        <w:rPr>
          <w:lang w:val="es-MX"/>
        </w:rPr>
        <w:t xml:space="preserve"> </w:t>
      </w:r>
      <w:r w:rsidR="008977B7" w:rsidRPr="00305D32">
        <w:rPr>
          <w:lang w:val="es-MX"/>
        </w:rPr>
        <w:t xml:space="preserve">y </w:t>
      </w:r>
      <w:r w:rsidR="00273391" w:rsidRPr="00305D32">
        <w:rPr>
          <w:lang w:val="es-MX"/>
        </w:rPr>
        <w:t>– 51.4</w:t>
      </w:r>
      <w:r w:rsidR="0019290E">
        <w:rPr>
          <w:lang w:val="es-MX"/>
        </w:rPr>
        <w:t xml:space="preserve"> %</w:t>
      </w:r>
      <w:r w:rsidR="00273391" w:rsidRPr="00305D32">
        <w:rPr>
          <w:lang w:val="es-MX"/>
        </w:rPr>
        <w:t xml:space="preserve"> </w:t>
      </w:r>
      <w:r w:rsidR="000633DE" w:rsidRPr="000633DE">
        <w:rPr>
          <w:lang w:val="es-MX"/>
        </w:rPr>
        <w:t>respectivamente, en comparación con el mismo trimestre de 2024.</w:t>
      </w:r>
    </w:p>
    <w:p w14:paraId="23DD272E" w14:textId="3F5E05D0" w:rsidR="00107B13" w:rsidRDefault="00107B13" w:rsidP="00107B13">
      <w:pPr>
        <w:rPr>
          <w:lang w:val="es-MX"/>
        </w:rPr>
      </w:pPr>
      <w:r w:rsidRPr="00305D32">
        <w:rPr>
          <w:lang w:val="es-MX"/>
        </w:rPr>
        <w:t>De 2013 a 2019 el PIBE</w:t>
      </w:r>
      <w:r>
        <w:rPr>
          <w:lang w:val="es-MX"/>
        </w:rPr>
        <w:t>,</w:t>
      </w:r>
      <w:r w:rsidRPr="00305D32">
        <w:rPr>
          <w:lang w:val="es-MX"/>
        </w:rPr>
        <w:t xml:space="preserve"> mostr</w:t>
      </w:r>
      <w:r>
        <w:rPr>
          <w:lang w:val="es-MX"/>
        </w:rPr>
        <w:t>ó</w:t>
      </w:r>
      <w:r w:rsidRPr="00305D32">
        <w:rPr>
          <w:lang w:val="es-MX"/>
        </w:rPr>
        <w:t xml:space="preserve"> un crecimiento </w:t>
      </w:r>
      <w:r>
        <w:rPr>
          <w:lang w:val="es-MX"/>
        </w:rPr>
        <w:t>sostenido, alcanzando</w:t>
      </w:r>
      <w:r w:rsidRPr="00305D32">
        <w:rPr>
          <w:lang w:val="es-MX"/>
        </w:rPr>
        <w:t xml:space="preserve"> un pico en el último año de 376.8 mil millones de pesos. Como consecuencia del COVID-19 a partir de 2020 </w:t>
      </w:r>
      <w:r w:rsidRPr="006145A1">
        <w:rPr>
          <w:lang w:val="es-MX"/>
        </w:rPr>
        <w:t xml:space="preserve">se observó una disminución significativa en su nivel, descendiendo </w:t>
      </w:r>
      <w:r w:rsidRPr="00305D32">
        <w:rPr>
          <w:lang w:val="es-MX"/>
        </w:rPr>
        <w:t xml:space="preserve">a 292.7 mil millones de pesos como se aprecia en la </w:t>
      </w:r>
      <w:r w:rsidRPr="00305D32">
        <w:rPr>
          <w:lang w:val="es-MX"/>
        </w:rPr>
        <w:fldChar w:fldCharType="begin"/>
      </w:r>
      <w:r w:rsidRPr="00305D32">
        <w:rPr>
          <w:lang w:val="es-MX"/>
        </w:rPr>
        <w:instrText xml:space="preserve"> REF _Ref210223150 \h </w:instrText>
      </w:r>
      <w:r w:rsidRPr="00305D32">
        <w:rPr>
          <w:lang w:val="es-MX"/>
        </w:rPr>
      </w:r>
      <w:r w:rsidRPr="00305D32">
        <w:rPr>
          <w:lang w:val="es-MX"/>
        </w:rPr>
        <w:fldChar w:fldCharType="separate"/>
      </w:r>
      <w:r w:rsidR="00ED1F2F" w:rsidRPr="00305D32">
        <w:rPr>
          <w:lang w:val="es-MX"/>
        </w:rPr>
        <w:t xml:space="preserve">Figura </w:t>
      </w:r>
      <w:r w:rsidR="00ED1F2F">
        <w:rPr>
          <w:noProof/>
          <w:lang w:val="es-MX"/>
        </w:rPr>
        <w:t>25</w:t>
      </w:r>
      <w:r w:rsidRPr="00305D32">
        <w:rPr>
          <w:lang w:val="es-MX"/>
        </w:rPr>
        <w:fldChar w:fldCharType="end"/>
      </w:r>
      <w:r w:rsidRPr="00305D32">
        <w:rPr>
          <w:lang w:val="es-MX"/>
        </w:rPr>
        <w:t xml:space="preserve">. </w:t>
      </w:r>
      <w:r w:rsidRPr="00437D9F">
        <w:rPr>
          <w:lang w:val="es-MX"/>
        </w:rPr>
        <w:t>Para el periodo pospandemia (2021- 2023), se observa una recuperación gradual de la economía estatal, con un máximo histórico de 406.2 mil millones de pesos.</w:t>
      </w:r>
    </w:p>
    <w:p w14:paraId="7634CB93" w14:textId="77777777" w:rsidR="00107B13" w:rsidRDefault="00107B13" w:rsidP="00107B13">
      <w:pPr>
        <w:rPr>
          <w:lang w:val="es-MX"/>
        </w:rPr>
      </w:pPr>
      <w:r w:rsidRPr="00305D32">
        <w:rPr>
          <w:lang w:val="es-MX"/>
        </w:rPr>
        <w:t>De acuerdo con l</w:t>
      </w:r>
      <w:r>
        <w:rPr>
          <w:lang w:val="es-MX"/>
        </w:rPr>
        <w:t>as</w:t>
      </w:r>
      <w:r w:rsidRPr="00305D32">
        <w:rPr>
          <w:lang w:val="es-MX"/>
        </w:rPr>
        <w:t xml:space="preserve"> estima</w:t>
      </w:r>
      <w:r>
        <w:rPr>
          <w:lang w:val="es-MX"/>
        </w:rPr>
        <w:t>ciones</w:t>
      </w:r>
      <w:r w:rsidRPr="00305D32">
        <w:rPr>
          <w:lang w:val="es-MX"/>
        </w:rPr>
        <w:t>, para 2024 se espera que el PIB</w:t>
      </w:r>
      <w:r>
        <w:rPr>
          <w:lang w:val="es-MX"/>
        </w:rPr>
        <w:t>E</w:t>
      </w:r>
      <w:r w:rsidRPr="00305D32">
        <w:rPr>
          <w:lang w:val="es-MX"/>
        </w:rPr>
        <w:t xml:space="preserve"> sea </w:t>
      </w:r>
      <w:r>
        <w:rPr>
          <w:lang w:val="es-MX"/>
        </w:rPr>
        <w:t>superior a</w:t>
      </w:r>
      <w:r w:rsidRPr="00305D32">
        <w:rPr>
          <w:lang w:val="es-MX"/>
        </w:rPr>
        <w:t xml:space="preserve"> 390.3 mil millones de pesos, destacando la reducción de las actividades secundarias, donde se estima que decrecerá en 19.2 mil millones de pesos respecto al valor </w:t>
      </w:r>
      <w:r>
        <w:rPr>
          <w:lang w:val="es-MX"/>
        </w:rPr>
        <w:t xml:space="preserve">registrado </w:t>
      </w:r>
      <w:r w:rsidRPr="00305D32">
        <w:rPr>
          <w:lang w:val="es-MX"/>
        </w:rPr>
        <w:t>en 2023, alcanzando un total de 69.3 mil millones de pesos.</w:t>
      </w:r>
    </w:p>
    <w:p w14:paraId="77E83F9B" w14:textId="77777777" w:rsidR="00107B13" w:rsidRDefault="00107B13">
      <w:pPr>
        <w:rPr>
          <w:lang w:val="es-MX"/>
        </w:rPr>
      </w:pPr>
    </w:p>
    <w:p w14:paraId="6D0D01E9" w14:textId="68A4AB41" w:rsidR="00A95FF5" w:rsidRPr="00305D32" w:rsidRDefault="00414F7C" w:rsidP="001013F1">
      <w:pPr>
        <w:pStyle w:val="Descripcin"/>
        <w:jc w:val="center"/>
        <w:rPr>
          <w:b w:val="0"/>
          <w:color w:val="000000"/>
          <w:lang w:val="es-MX"/>
        </w:rPr>
      </w:pPr>
      <w:bookmarkStart w:id="71" w:name="_heading=h.45jfvxd" w:colFirst="0" w:colLast="0"/>
      <w:bookmarkStart w:id="72" w:name="_Ref210223150"/>
      <w:bookmarkEnd w:id="71"/>
      <w:r w:rsidRPr="00305D32">
        <w:rPr>
          <w:lang w:val="es-MX"/>
        </w:rPr>
        <w:lastRenderedPageBreak/>
        <w:t xml:space="preserve">Figura </w:t>
      </w:r>
      <w:r w:rsidR="001013F1" w:rsidRPr="00305D32">
        <w:rPr>
          <w:lang w:val="es-MX"/>
        </w:rPr>
        <w:fldChar w:fldCharType="begin"/>
      </w:r>
      <w:r w:rsidR="001013F1" w:rsidRPr="00305D32">
        <w:rPr>
          <w:lang w:val="es-MX"/>
        </w:rPr>
        <w:instrText xml:space="preserve"> SEQ Figura \* ARABIC </w:instrText>
      </w:r>
      <w:r w:rsidR="001013F1" w:rsidRPr="00305D32">
        <w:rPr>
          <w:lang w:val="es-MX"/>
        </w:rPr>
        <w:fldChar w:fldCharType="separate"/>
      </w:r>
      <w:r w:rsidR="00ED1F2F">
        <w:rPr>
          <w:noProof/>
          <w:lang w:val="es-MX"/>
        </w:rPr>
        <w:t>25</w:t>
      </w:r>
      <w:r w:rsidR="001013F1" w:rsidRPr="00305D32">
        <w:rPr>
          <w:lang w:val="es-MX"/>
        </w:rPr>
        <w:fldChar w:fldCharType="end"/>
      </w:r>
      <w:bookmarkEnd w:id="72"/>
      <w:r w:rsidRPr="00305D32">
        <w:rPr>
          <w:color w:val="000000"/>
          <w:lang w:val="es-MX"/>
        </w:rPr>
        <w:t>. Producto Interno Bruto Estatal de Quintana Roo por gran sector de la actividad económica en miles de millones de pesos a precios de 2018, 2012-202</w:t>
      </w:r>
      <w:r w:rsidR="00D61B60">
        <w:rPr>
          <w:color w:val="000000"/>
          <w:lang w:val="es-MX"/>
        </w:rPr>
        <w:t>5</w:t>
      </w:r>
    </w:p>
    <w:p w14:paraId="630662DF" w14:textId="2899BF5D" w:rsidR="005925C3" w:rsidRPr="00305D32" w:rsidRDefault="007A682D" w:rsidP="00CE4442">
      <w:pPr>
        <w:spacing w:after="0"/>
        <w:jc w:val="center"/>
        <w:rPr>
          <w:lang w:val="es-MX"/>
        </w:rPr>
      </w:pPr>
      <w:r w:rsidRPr="00305D32">
        <w:rPr>
          <w:noProof/>
          <w:lang w:val="es-MX" w:eastAsia="es-MX"/>
        </w:rPr>
        <w:drawing>
          <wp:inline distT="0" distB="0" distL="0" distR="0" wp14:anchorId="2D4F2BF4" wp14:editId="7BA58750">
            <wp:extent cx="5358809" cy="2711302"/>
            <wp:effectExtent l="0" t="0" r="13335" b="13335"/>
            <wp:docPr id="560922438" name="Gráfico 1">
              <a:extLst xmlns:a="http://schemas.openxmlformats.org/drawingml/2006/main">
                <a:ext uri="{FF2B5EF4-FFF2-40B4-BE49-F238E27FC236}">
                  <a16:creationId xmlns:a16="http://schemas.microsoft.com/office/drawing/2014/main" id="{7871F590-180C-402E-BA8B-8864FBB5BF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D083388" w14:textId="191E0BE9" w:rsidR="00AE57F0" w:rsidRPr="00305D32" w:rsidRDefault="00414F7C">
      <w:pPr>
        <w:spacing w:line="240"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base en datos del INEGI (202</w:t>
      </w:r>
      <w:r w:rsidR="00297C96">
        <w:rPr>
          <w:sz w:val="20"/>
          <w:szCs w:val="20"/>
          <w:lang w:val="es-MX"/>
        </w:rPr>
        <w:t>5</w:t>
      </w:r>
      <w:r w:rsidRPr="00305D32">
        <w:rPr>
          <w:sz w:val="20"/>
          <w:szCs w:val="20"/>
          <w:lang w:val="es-MX"/>
        </w:rPr>
        <w:t xml:space="preserve">) </w:t>
      </w:r>
      <w:r w:rsidRPr="00305D32">
        <w:rPr>
          <w:i/>
          <w:sz w:val="20"/>
          <w:szCs w:val="20"/>
          <w:lang w:val="es-MX"/>
        </w:rPr>
        <w:t>Producto Interno Bruto Estatal e Indicador Trimestral de la Actividad Económica Estatal</w:t>
      </w:r>
      <w:r w:rsidRPr="00305D32">
        <w:rPr>
          <w:sz w:val="20"/>
          <w:szCs w:val="20"/>
          <w:lang w:val="es-MX"/>
        </w:rPr>
        <w:t>. Cifras revisadas por el INEGI: 20</w:t>
      </w:r>
      <w:r w:rsidR="00494EB9">
        <w:rPr>
          <w:sz w:val="20"/>
          <w:szCs w:val="20"/>
          <w:lang w:val="es-MX"/>
        </w:rPr>
        <w:t>22</w:t>
      </w:r>
      <w:r w:rsidRPr="00305D32">
        <w:rPr>
          <w:sz w:val="20"/>
          <w:szCs w:val="20"/>
          <w:lang w:val="es-MX"/>
        </w:rPr>
        <w:t>-202</w:t>
      </w:r>
      <w:r w:rsidR="00F572F8">
        <w:rPr>
          <w:sz w:val="20"/>
          <w:szCs w:val="20"/>
          <w:lang w:val="es-MX"/>
        </w:rPr>
        <w:t>3</w:t>
      </w:r>
      <w:r w:rsidRPr="00305D32">
        <w:rPr>
          <w:sz w:val="20"/>
          <w:szCs w:val="20"/>
          <w:lang w:val="es-MX"/>
        </w:rPr>
        <w:t>. Cifras estimadas: 202</w:t>
      </w:r>
      <w:r w:rsidR="009727BA">
        <w:rPr>
          <w:sz w:val="20"/>
          <w:szCs w:val="20"/>
          <w:lang w:val="es-MX"/>
        </w:rPr>
        <w:t>4</w:t>
      </w:r>
      <w:r w:rsidRPr="00305D32">
        <w:rPr>
          <w:sz w:val="20"/>
          <w:szCs w:val="20"/>
          <w:lang w:val="es-MX"/>
        </w:rPr>
        <w:t>. Cifras proyectadas: 202</w:t>
      </w:r>
      <w:r w:rsidR="009727BA">
        <w:rPr>
          <w:sz w:val="20"/>
          <w:szCs w:val="20"/>
          <w:lang w:val="es-MX"/>
        </w:rPr>
        <w:t>5</w:t>
      </w:r>
      <w:r w:rsidRPr="00305D32">
        <w:rPr>
          <w:sz w:val="20"/>
          <w:szCs w:val="20"/>
          <w:lang w:val="es-MX"/>
        </w:rPr>
        <w:t>.</w:t>
      </w:r>
    </w:p>
    <w:p w14:paraId="4D083389" w14:textId="209E9E83" w:rsidR="00AE57F0" w:rsidRDefault="00E105D2">
      <w:pPr>
        <w:rPr>
          <w:lang w:val="es-MX"/>
        </w:rPr>
      </w:pPr>
      <w:r w:rsidRPr="00305D32">
        <w:rPr>
          <w:lang w:val="es-MX"/>
        </w:rPr>
        <w:t>Tanto p</w:t>
      </w:r>
      <w:r w:rsidR="00414F7C" w:rsidRPr="00305D32">
        <w:rPr>
          <w:lang w:val="es-MX"/>
        </w:rPr>
        <w:t>ara 202</w:t>
      </w:r>
      <w:r w:rsidR="002075DF" w:rsidRPr="00305D32">
        <w:rPr>
          <w:lang w:val="es-MX"/>
        </w:rPr>
        <w:t>3</w:t>
      </w:r>
      <w:r w:rsidR="00414F7C" w:rsidRPr="00305D32">
        <w:rPr>
          <w:lang w:val="es-MX"/>
        </w:rPr>
        <w:t xml:space="preserve"> como para 202</w:t>
      </w:r>
      <w:r w:rsidR="002075DF" w:rsidRPr="00305D32">
        <w:rPr>
          <w:lang w:val="es-MX"/>
        </w:rPr>
        <w:t>4</w:t>
      </w:r>
      <w:r w:rsidR="00414F7C" w:rsidRPr="00305D32">
        <w:rPr>
          <w:lang w:val="es-MX"/>
        </w:rPr>
        <w:t xml:space="preserve"> la distribución porcentual en la concentración de las actividades económicas </w:t>
      </w:r>
      <w:r w:rsidR="00FA4105">
        <w:rPr>
          <w:lang w:val="es-MX"/>
        </w:rPr>
        <w:t xml:space="preserve">se mantiene </w:t>
      </w:r>
      <w:r w:rsidR="00414F7C" w:rsidRPr="00305D32">
        <w:rPr>
          <w:lang w:val="es-MX"/>
        </w:rPr>
        <w:t>muy similar</w:t>
      </w:r>
      <w:r w:rsidR="00FA4105">
        <w:rPr>
          <w:lang w:val="es-MX"/>
        </w:rPr>
        <w:t>,</w:t>
      </w:r>
      <w:r w:rsidR="00414F7C" w:rsidRPr="00305D32">
        <w:rPr>
          <w:lang w:val="es-MX"/>
        </w:rPr>
        <w:t xml:space="preserve"> </w:t>
      </w:r>
      <w:r w:rsidR="0061344A" w:rsidRPr="00305D32">
        <w:rPr>
          <w:lang w:val="es-MX"/>
        </w:rPr>
        <w:t xml:space="preserve">con mínimas </w:t>
      </w:r>
      <w:r w:rsidR="00414F7C" w:rsidRPr="00305D32">
        <w:rPr>
          <w:lang w:val="es-MX"/>
        </w:rPr>
        <w:t>variaciones</w:t>
      </w:r>
      <w:r w:rsidR="00EA73EB">
        <w:rPr>
          <w:lang w:val="es-MX"/>
        </w:rPr>
        <w:t>,</w:t>
      </w:r>
      <w:r w:rsidR="00414F7C" w:rsidRPr="00305D32">
        <w:rPr>
          <w:lang w:val="es-MX"/>
        </w:rPr>
        <w:t xml:space="preserve"> como se observa en la </w:t>
      </w:r>
      <w:r w:rsidR="001013F1" w:rsidRPr="00305D32">
        <w:rPr>
          <w:lang w:val="es-MX"/>
        </w:rPr>
        <w:fldChar w:fldCharType="begin"/>
      </w:r>
      <w:r w:rsidR="001013F1" w:rsidRPr="00305D32">
        <w:rPr>
          <w:lang w:val="es-MX"/>
        </w:rPr>
        <w:instrText xml:space="preserve"> REF _Ref210223196 \h </w:instrText>
      </w:r>
      <w:r w:rsidR="001013F1" w:rsidRPr="00305D32">
        <w:rPr>
          <w:lang w:val="es-MX"/>
        </w:rPr>
      </w:r>
      <w:r w:rsidR="001013F1" w:rsidRPr="00305D32">
        <w:rPr>
          <w:lang w:val="es-MX"/>
        </w:rPr>
        <w:fldChar w:fldCharType="separate"/>
      </w:r>
      <w:r w:rsidR="00ED1F2F" w:rsidRPr="00305D32">
        <w:rPr>
          <w:lang w:val="es-MX"/>
        </w:rPr>
        <w:t xml:space="preserve">Tabla </w:t>
      </w:r>
      <w:r w:rsidR="00ED1F2F">
        <w:rPr>
          <w:noProof/>
          <w:lang w:val="es-MX"/>
        </w:rPr>
        <w:t>7</w:t>
      </w:r>
      <w:r w:rsidR="001013F1" w:rsidRPr="00305D32">
        <w:rPr>
          <w:lang w:val="es-MX"/>
        </w:rPr>
        <w:fldChar w:fldCharType="end"/>
      </w:r>
      <w:r w:rsidR="00EA73EB">
        <w:rPr>
          <w:lang w:val="es-MX"/>
        </w:rPr>
        <w:t>.</w:t>
      </w:r>
      <w:r w:rsidR="00414F7C" w:rsidRPr="00305D32">
        <w:rPr>
          <w:lang w:val="es-MX"/>
        </w:rPr>
        <w:t xml:space="preserve"> </w:t>
      </w:r>
      <w:r w:rsidR="00EA73EB">
        <w:rPr>
          <w:lang w:val="es-MX"/>
        </w:rPr>
        <w:t>C</w:t>
      </w:r>
      <w:r w:rsidR="00414F7C" w:rsidRPr="00305D32">
        <w:rPr>
          <w:lang w:val="es-MX"/>
        </w:rPr>
        <w:t xml:space="preserve">abe resaltar que aproximadamente el </w:t>
      </w:r>
      <w:r w:rsidR="00937DC3" w:rsidRPr="00305D32">
        <w:rPr>
          <w:lang w:val="es-MX"/>
        </w:rPr>
        <w:t>74</w:t>
      </w:r>
      <w:r w:rsidR="00414F7C" w:rsidRPr="00305D32">
        <w:rPr>
          <w:lang w:val="es-MX"/>
        </w:rPr>
        <w:t>.</w:t>
      </w:r>
      <w:r w:rsidR="00937DC3" w:rsidRPr="00305D32">
        <w:rPr>
          <w:lang w:val="es-MX"/>
        </w:rPr>
        <w:t>95</w:t>
      </w:r>
      <w:r w:rsidR="0019290E">
        <w:rPr>
          <w:lang w:val="es-MX"/>
        </w:rPr>
        <w:t xml:space="preserve"> %</w:t>
      </w:r>
      <w:r w:rsidR="00414F7C" w:rsidRPr="00305D32">
        <w:rPr>
          <w:lang w:val="es-MX"/>
        </w:rPr>
        <w:t xml:space="preserve"> de la producción proviene las actividades terciarias.</w:t>
      </w:r>
    </w:p>
    <w:p w14:paraId="1981CE72" w14:textId="77777777" w:rsidR="00107B13" w:rsidRPr="00305D32" w:rsidRDefault="00107B13" w:rsidP="00107B13">
      <w:pPr>
        <w:rPr>
          <w:lang w:val="es-MX"/>
        </w:rPr>
      </w:pPr>
      <w:r w:rsidRPr="00E2006E">
        <w:rPr>
          <w:lang w:val="es-MX"/>
        </w:rPr>
        <w:t>Las actividades primarias, integradas por los sectores de agricultura, ganadería, caza, pesca y explotación forestal, representan el 0.64</w:t>
      </w:r>
      <w:r>
        <w:rPr>
          <w:lang w:val="es-MX"/>
        </w:rPr>
        <w:t xml:space="preserve"> %</w:t>
      </w:r>
      <w:r w:rsidRPr="00E2006E">
        <w:rPr>
          <w:lang w:val="es-MX"/>
        </w:rPr>
        <w:t xml:space="preserve"> de acuerdo con los datos proyectados para 2025.</w:t>
      </w:r>
      <w:r>
        <w:rPr>
          <w:lang w:val="es-MX"/>
        </w:rPr>
        <w:t xml:space="preserve"> </w:t>
      </w:r>
      <w:r w:rsidRPr="00E2006E">
        <w:rPr>
          <w:lang w:val="es-MX"/>
        </w:rPr>
        <w:t>Cabe mencionar que esta participación disminuyó respecto a 2024, pasando de 0.69</w:t>
      </w:r>
      <w:r>
        <w:rPr>
          <w:lang w:val="es-MX"/>
        </w:rPr>
        <w:t xml:space="preserve"> %</w:t>
      </w:r>
      <w:r w:rsidRPr="00E2006E">
        <w:rPr>
          <w:lang w:val="es-MX"/>
        </w:rPr>
        <w:t xml:space="preserve"> a 0.64</w:t>
      </w:r>
      <w:r>
        <w:rPr>
          <w:lang w:val="es-MX"/>
        </w:rPr>
        <w:t xml:space="preserve"> %</w:t>
      </w:r>
      <w:r w:rsidRPr="00E2006E">
        <w:rPr>
          <w:lang w:val="es-MX"/>
        </w:rPr>
        <w:t xml:space="preserve"> en 2025.</w:t>
      </w:r>
    </w:p>
    <w:p w14:paraId="23D9B7D8" w14:textId="77777777" w:rsidR="00107B13" w:rsidRPr="00305D32" w:rsidRDefault="00107B13" w:rsidP="00107B13">
      <w:pPr>
        <w:rPr>
          <w:lang w:val="es-MX"/>
        </w:rPr>
      </w:pPr>
      <w:r w:rsidRPr="000754B3">
        <w:rPr>
          <w:lang w:val="es-MX"/>
        </w:rPr>
        <w:t>Las actividades secundarias también muestran una reducción significativa en su proporción dentro del PIBE en 2025 respecto a 2024, pasando de 17.76</w:t>
      </w:r>
      <w:r>
        <w:rPr>
          <w:lang w:val="es-MX"/>
        </w:rPr>
        <w:t xml:space="preserve"> %</w:t>
      </w:r>
      <w:r w:rsidRPr="000754B3">
        <w:rPr>
          <w:lang w:val="es-MX"/>
        </w:rPr>
        <w:t xml:space="preserve"> a 10.08</w:t>
      </w:r>
      <w:r>
        <w:rPr>
          <w:lang w:val="es-MX"/>
        </w:rPr>
        <w:t xml:space="preserve"> %</w:t>
      </w:r>
      <w:r w:rsidRPr="000754B3">
        <w:rPr>
          <w:lang w:val="es-MX"/>
        </w:rPr>
        <w:t xml:space="preserve"> </w:t>
      </w:r>
      <w:r w:rsidRPr="000754B3">
        <w:rPr>
          <w:lang w:val="es-MX"/>
        </w:rPr>
        <w:lastRenderedPageBreak/>
        <w:t>respectivamente. En contraste, las actividades terciarias registran un aumento considerable, al pasar de 74.95</w:t>
      </w:r>
      <w:r>
        <w:rPr>
          <w:lang w:val="es-MX"/>
        </w:rPr>
        <w:t xml:space="preserve"> %</w:t>
      </w:r>
      <w:r w:rsidRPr="000754B3">
        <w:rPr>
          <w:lang w:val="es-MX"/>
        </w:rPr>
        <w:t xml:space="preserve"> a 82.69</w:t>
      </w:r>
      <w:r>
        <w:rPr>
          <w:lang w:val="es-MX"/>
        </w:rPr>
        <w:t xml:space="preserve"> %</w:t>
      </w:r>
      <w:r w:rsidRPr="000754B3">
        <w:rPr>
          <w:lang w:val="es-MX"/>
        </w:rPr>
        <w:t xml:space="preserve"> en el mismo periodo. Esta disminución es consecuencia de la estabilización en las actividades del sector construcción, que reflejan un retorno a los niveles previos a la ejecución del Tren Maya</w:t>
      </w:r>
      <w:r w:rsidRPr="00305D32">
        <w:rPr>
          <w:lang w:val="es-MX"/>
        </w:rPr>
        <w:t xml:space="preserve">. </w:t>
      </w:r>
    </w:p>
    <w:p w14:paraId="4D08338A" w14:textId="38E8C2FB" w:rsidR="00AE57F0" w:rsidRPr="00305D32" w:rsidRDefault="00414F7C" w:rsidP="001013F1">
      <w:pPr>
        <w:pStyle w:val="Descripcin"/>
        <w:jc w:val="center"/>
        <w:rPr>
          <w:b w:val="0"/>
          <w:color w:val="000000"/>
          <w:lang w:val="es-MX"/>
        </w:rPr>
      </w:pPr>
      <w:bookmarkStart w:id="73" w:name="_heading=h.2koq656" w:colFirst="0" w:colLast="0"/>
      <w:bookmarkStart w:id="74" w:name="_Ref210223196"/>
      <w:bookmarkEnd w:id="73"/>
      <w:r w:rsidRPr="00305D32">
        <w:rPr>
          <w:lang w:val="es-MX"/>
        </w:rPr>
        <w:t xml:space="preserve">Tabla </w:t>
      </w:r>
      <w:r w:rsidR="001013F1" w:rsidRPr="00305D32">
        <w:rPr>
          <w:lang w:val="es-MX"/>
        </w:rPr>
        <w:fldChar w:fldCharType="begin"/>
      </w:r>
      <w:r w:rsidR="001013F1" w:rsidRPr="00305D32">
        <w:rPr>
          <w:lang w:val="es-MX"/>
        </w:rPr>
        <w:instrText xml:space="preserve"> SEQ Tabla \* ARABIC </w:instrText>
      </w:r>
      <w:r w:rsidR="001013F1" w:rsidRPr="00305D32">
        <w:rPr>
          <w:lang w:val="es-MX"/>
        </w:rPr>
        <w:fldChar w:fldCharType="separate"/>
      </w:r>
      <w:r w:rsidR="00ED1F2F">
        <w:rPr>
          <w:noProof/>
          <w:lang w:val="es-MX"/>
        </w:rPr>
        <w:t>7</w:t>
      </w:r>
      <w:r w:rsidR="001013F1" w:rsidRPr="00305D32">
        <w:rPr>
          <w:lang w:val="es-MX"/>
        </w:rPr>
        <w:fldChar w:fldCharType="end"/>
      </w:r>
      <w:bookmarkEnd w:id="74"/>
      <w:r w:rsidRPr="00305D32">
        <w:rPr>
          <w:color w:val="000000"/>
          <w:lang w:val="es-MX"/>
        </w:rPr>
        <w:t>. Composición porcentual del Producto Interno Bruto Estatal de Quintana Roo en miles de millones de pesos a precios de 2018, 201</w:t>
      </w:r>
      <w:r w:rsidR="00067E9C" w:rsidRPr="00305D32">
        <w:rPr>
          <w:color w:val="000000"/>
          <w:lang w:val="es-MX"/>
        </w:rPr>
        <w:t>8</w:t>
      </w:r>
      <w:r w:rsidRPr="00305D32">
        <w:rPr>
          <w:color w:val="000000"/>
          <w:lang w:val="es-MX"/>
        </w:rPr>
        <w:t>-</w:t>
      </w:r>
      <w:r w:rsidR="006E1AC3" w:rsidRPr="00305D32">
        <w:rPr>
          <w:color w:val="000000"/>
          <w:lang w:val="es-MX"/>
        </w:rPr>
        <w:t>202</w:t>
      </w:r>
      <w:r w:rsidR="00431ED4" w:rsidRPr="00305D32">
        <w:rPr>
          <w:color w:val="000000"/>
          <w:lang w:val="es-MX"/>
        </w:rPr>
        <w:t>5</w:t>
      </w:r>
    </w:p>
    <w:tbl>
      <w:tblPr>
        <w:tblStyle w:val="a5"/>
        <w:tblW w:w="9121" w:type="dxa"/>
        <w:tblInd w:w="0" w:type="dxa"/>
        <w:tblBorders>
          <w:top w:val="single" w:sz="4" w:space="0" w:color="000000"/>
          <w:bottom w:val="single" w:sz="4" w:space="0" w:color="000000"/>
        </w:tblBorders>
        <w:tblLayout w:type="fixed"/>
        <w:tblLook w:val="0400" w:firstRow="0" w:lastRow="0" w:firstColumn="0" w:lastColumn="0" w:noHBand="0" w:noVBand="1"/>
      </w:tblPr>
      <w:tblGrid>
        <w:gridCol w:w="2127"/>
        <w:gridCol w:w="992"/>
        <w:gridCol w:w="850"/>
        <w:gridCol w:w="851"/>
        <w:gridCol w:w="850"/>
        <w:gridCol w:w="851"/>
        <w:gridCol w:w="850"/>
        <w:gridCol w:w="851"/>
        <w:gridCol w:w="899"/>
      </w:tblGrid>
      <w:tr w:rsidR="00A16B01" w:rsidRPr="00305D32" w14:paraId="71EC216C" w14:textId="77777777" w:rsidTr="00C95943">
        <w:trPr>
          <w:trHeight w:val="462"/>
        </w:trPr>
        <w:tc>
          <w:tcPr>
            <w:tcW w:w="2127" w:type="dxa"/>
            <w:tcBorders>
              <w:top w:val="single" w:sz="4" w:space="0" w:color="000000"/>
              <w:bottom w:val="single" w:sz="4" w:space="0" w:color="000000"/>
            </w:tcBorders>
            <w:vAlign w:val="center"/>
          </w:tcPr>
          <w:p w14:paraId="28167970" w14:textId="77777777" w:rsidR="00A16B01" w:rsidRPr="00305D32" w:rsidRDefault="00A16B01">
            <w:pPr>
              <w:spacing w:after="0" w:line="240" w:lineRule="auto"/>
              <w:jc w:val="center"/>
              <w:rPr>
                <w:b/>
                <w:sz w:val="18"/>
                <w:szCs w:val="18"/>
                <w:lang w:val="es-MX"/>
              </w:rPr>
            </w:pPr>
          </w:p>
        </w:tc>
        <w:tc>
          <w:tcPr>
            <w:tcW w:w="992" w:type="dxa"/>
            <w:tcBorders>
              <w:top w:val="single" w:sz="4" w:space="0" w:color="000000"/>
              <w:bottom w:val="single" w:sz="4" w:space="0" w:color="000000"/>
            </w:tcBorders>
            <w:vAlign w:val="center"/>
          </w:tcPr>
          <w:p w14:paraId="013D8F24" w14:textId="5EF3CA44" w:rsidR="00A16B01" w:rsidRPr="00305D32" w:rsidRDefault="00A16B01">
            <w:pPr>
              <w:spacing w:after="0" w:line="240" w:lineRule="auto"/>
              <w:jc w:val="center"/>
              <w:rPr>
                <w:b/>
                <w:color w:val="000000"/>
                <w:sz w:val="18"/>
                <w:szCs w:val="18"/>
                <w:lang w:val="es-MX"/>
              </w:rPr>
            </w:pPr>
            <w:r w:rsidRPr="00305D32">
              <w:rPr>
                <w:b/>
                <w:color w:val="000000"/>
                <w:sz w:val="18"/>
                <w:szCs w:val="18"/>
                <w:lang w:val="es-MX"/>
              </w:rPr>
              <w:t>201</w:t>
            </w:r>
            <w:r w:rsidR="004E65D4" w:rsidRPr="00305D32">
              <w:rPr>
                <w:b/>
                <w:color w:val="000000"/>
                <w:sz w:val="18"/>
                <w:szCs w:val="18"/>
                <w:lang w:val="es-MX"/>
              </w:rPr>
              <w:t>8</w:t>
            </w:r>
          </w:p>
        </w:tc>
        <w:tc>
          <w:tcPr>
            <w:tcW w:w="850" w:type="dxa"/>
            <w:tcBorders>
              <w:top w:val="single" w:sz="4" w:space="0" w:color="000000"/>
              <w:bottom w:val="single" w:sz="4" w:space="0" w:color="000000"/>
            </w:tcBorders>
            <w:vAlign w:val="center"/>
          </w:tcPr>
          <w:p w14:paraId="31A8F633" w14:textId="224AAB56" w:rsidR="00A16B01" w:rsidRPr="00305D32" w:rsidRDefault="00A16B01">
            <w:pPr>
              <w:spacing w:after="0" w:line="240" w:lineRule="auto"/>
              <w:jc w:val="center"/>
              <w:rPr>
                <w:b/>
                <w:color w:val="000000"/>
                <w:sz w:val="18"/>
                <w:szCs w:val="18"/>
                <w:lang w:val="es-MX"/>
              </w:rPr>
            </w:pPr>
            <w:r w:rsidRPr="00305D32">
              <w:rPr>
                <w:b/>
                <w:color w:val="000000"/>
                <w:sz w:val="18"/>
                <w:szCs w:val="18"/>
                <w:lang w:val="es-MX"/>
              </w:rPr>
              <w:t>201</w:t>
            </w:r>
            <w:r w:rsidR="004E65D4" w:rsidRPr="00305D32">
              <w:rPr>
                <w:b/>
                <w:color w:val="000000"/>
                <w:sz w:val="18"/>
                <w:szCs w:val="18"/>
                <w:lang w:val="es-MX"/>
              </w:rPr>
              <w:t>9</w:t>
            </w:r>
          </w:p>
        </w:tc>
        <w:tc>
          <w:tcPr>
            <w:tcW w:w="851" w:type="dxa"/>
            <w:tcBorders>
              <w:top w:val="single" w:sz="4" w:space="0" w:color="000000"/>
              <w:bottom w:val="single" w:sz="4" w:space="0" w:color="000000"/>
            </w:tcBorders>
            <w:vAlign w:val="center"/>
          </w:tcPr>
          <w:p w14:paraId="39F9DD1E" w14:textId="08365606" w:rsidR="00A16B01" w:rsidRPr="00305D32" w:rsidRDefault="00A16B01">
            <w:pPr>
              <w:spacing w:after="0" w:line="240" w:lineRule="auto"/>
              <w:jc w:val="center"/>
              <w:rPr>
                <w:b/>
                <w:color w:val="000000"/>
                <w:sz w:val="18"/>
                <w:szCs w:val="18"/>
                <w:lang w:val="es-MX"/>
              </w:rPr>
            </w:pPr>
            <w:r w:rsidRPr="00305D32">
              <w:rPr>
                <w:b/>
                <w:color w:val="000000"/>
                <w:sz w:val="18"/>
                <w:szCs w:val="18"/>
                <w:lang w:val="es-MX"/>
              </w:rPr>
              <w:t>20</w:t>
            </w:r>
            <w:r w:rsidR="004E65D4" w:rsidRPr="00305D32">
              <w:rPr>
                <w:b/>
                <w:color w:val="000000"/>
                <w:sz w:val="18"/>
                <w:szCs w:val="18"/>
                <w:lang w:val="es-MX"/>
              </w:rPr>
              <w:t>20</w:t>
            </w:r>
          </w:p>
        </w:tc>
        <w:tc>
          <w:tcPr>
            <w:tcW w:w="850" w:type="dxa"/>
            <w:tcBorders>
              <w:top w:val="single" w:sz="4" w:space="0" w:color="000000"/>
              <w:bottom w:val="single" w:sz="4" w:space="0" w:color="000000"/>
            </w:tcBorders>
            <w:vAlign w:val="center"/>
          </w:tcPr>
          <w:p w14:paraId="41A49E07" w14:textId="2D4D6135" w:rsidR="00A16B01" w:rsidRPr="00305D32" w:rsidRDefault="00A16B01">
            <w:pPr>
              <w:spacing w:after="0" w:line="240" w:lineRule="auto"/>
              <w:jc w:val="center"/>
              <w:rPr>
                <w:b/>
                <w:color w:val="000000"/>
                <w:sz w:val="18"/>
                <w:szCs w:val="18"/>
                <w:lang w:val="es-MX"/>
              </w:rPr>
            </w:pPr>
            <w:r w:rsidRPr="00305D32">
              <w:rPr>
                <w:b/>
                <w:color w:val="000000"/>
                <w:sz w:val="18"/>
                <w:szCs w:val="18"/>
                <w:lang w:val="es-MX"/>
              </w:rPr>
              <w:t>202</w:t>
            </w:r>
            <w:r w:rsidR="004E65D4" w:rsidRPr="00305D32">
              <w:rPr>
                <w:b/>
                <w:color w:val="000000"/>
                <w:sz w:val="18"/>
                <w:szCs w:val="18"/>
                <w:lang w:val="es-MX"/>
              </w:rPr>
              <w:t>1</w:t>
            </w:r>
          </w:p>
        </w:tc>
        <w:tc>
          <w:tcPr>
            <w:tcW w:w="851" w:type="dxa"/>
            <w:tcBorders>
              <w:top w:val="single" w:sz="4" w:space="0" w:color="000000"/>
              <w:bottom w:val="single" w:sz="4" w:space="0" w:color="000000"/>
            </w:tcBorders>
            <w:vAlign w:val="center"/>
          </w:tcPr>
          <w:p w14:paraId="634F57B2" w14:textId="14A08620" w:rsidR="00A16B01" w:rsidRPr="00305D32" w:rsidRDefault="00A16B01">
            <w:pPr>
              <w:spacing w:after="0" w:line="240" w:lineRule="auto"/>
              <w:jc w:val="center"/>
              <w:rPr>
                <w:b/>
                <w:color w:val="000000"/>
                <w:sz w:val="18"/>
                <w:szCs w:val="18"/>
                <w:lang w:val="es-MX"/>
              </w:rPr>
            </w:pPr>
            <w:r w:rsidRPr="00305D32">
              <w:rPr>
                <w:b/>
                <w:color w:val="000000"/>
                <w:sz w:val="18"/>
                <w:szCs w:val="18"/>
                <w:lang w:val="es-MX"/>
              </w:rPr>
              <w:t>202</w:t>
            </w:r>
            <w:r w:rsidR="004E65D4" w:rsidRPr="00305D32">
              <w:rPr>
                <w:b/>
                <w:color w:val="000000"/>
                <w:sz w:val="18"/>
                <w:szCs w:val="18"/>
                <w:lang w:val="es-MX"/>
              </w:rPr>
              <w:t>2</w:t>
            </w:r>
          </w:p>
        </w:tc>
        <w:tc>
          <w:tcPr>
            <w:tcW w:w="850" w:type="dxa"/>
            <w:tcBorders>
              <w:top w:val="single" w:sz="4" w:space="0" w:color="000000"/>
              <w:bottom w:val="single" w:sz="4" w:space="0" w:color="000000"/>
            </w:tcBorders>
            <w:vAlign w:val="center"/>
          </w:tcPr>
          <w:p w14:paraId="75E429BE" w14:textId="37FDD2F7" w:rsidR="00A16B01" w:rsidRPr="00305D32" w:rsidRDefault="00A16B01">
            <w:pPr>
              <w:spacing w:after="0" w:line="240" w:lineRule="auto"/>
              <w:jc w:val="center"/>
              <w:rPr>
                <w:b/>
                <w:color w:val="000000"/>
                <w:sz w:val="18"/>
                <w:szCs w:val="18"/>
                <w:lang w:val="es-MX"/>
              </w:rPr>
            </w:pPr>
            <w:r w:rsidRPr="00305D32">
              <w:rPr>
                <w:b/>
                <w:color w:val="000000"/>
                <w:sz w:val="18"/>
                <w:szCs w:val="18"/>
                <w:lang w:val="es-MX"/>
              </w:rPr>
              <w:t>202</w:t>
            </w:r>
            <w:r w:rsidR="004E65D4" w:rsidRPr="00305D32">
              <w:rPr>
                <w:b/>
                <w:color w:val="000000"/>
                <w:sz w:val="18"/>
                <w:szCs w:val="18"/>
                <w:lang w:val="es-MX"/>
              </w:rPr>
              <w:t>3</w:t>
            </w:r>
          </w:p>
        </w:tc>
        <w:tc>
          <w:tcPr>
            <w:tcW w:w="851" w:type="dxa"/>
            <w:tcBorders>
              <w:top w:val="single" w:sz="4" w:space="0" w:color="000000"/>
              <w:bottom w:val="single" w:sz="4" w:space="0" w:color="000000"/>
            </w:tcBorders>
            <w:vAlign w:val="center"/>
          </w:tcPr>
          <w:p w14:paraId="4D22554F" w14:textId="6F0C0C62" w:rsidR="00A16B01" w:rsidRPr="00305D32" w:rsidRDefault="00A16B01">
            <w:pPr>
              <w:spacing w:after="0" w:line="240" w:lineRule="auto"/>
              <w:jc w:val="center"/>
              <w:rPr>
                <w:b/>
                <w:color w:val="000000"/>
                <w:sz w:val="18"/>
                <w:szCs w:val="18"/>
                <w:lang w:val="es-MX"/>
              </w:rPr>
            </w:pPr>
            <w:r w:rsidRPr="00305D32">
              <w:rPr>
                <w:b/>
                <w:color w:val="000000"/>
                <w:sz w:val="18"/>
                <w:szCs w:val="18"/>
                <w:lang w:val="es-MX"/>
              </w:rPr>
              <w:t>202</w:t>
            </w:r>
            <w:r w:rsidR="004E65D4" w:rsidRPr="00305D32">
              <w:rPr>
                <w:b/>
                <w:color w:val="000000"/>
                <w:sz w:val="18"/>
                <w:szCs w:val="18"/>
                <w:lang w:val="es-MX"/>
              </w:rPr>
              <w:t>4</w:t>
            </w:r>
            <w:r w:rsidRPr="00305D32">
              <w:rPr>
                <w:b/>
                <w:color w:val="000000"/>
                <w:sz w:val="18"/>
                <w:szCs w:val="18"/>
                <w:lang w:val="es-MX"/>
              </w:rPr>
              <w:t>E</w:t>
            </w:r>
          </w:p>
        </w:tc>
        <w:tc>
          <w:tcPr>
            <w:tcW w:w="899" w:type="dxa"/>
            <w:tcBorders>
              <w:top w:val="single" w:sz="4" w:space="0" w:color="000000"/>
              <w:bottom w:val="single" w:sz="4" w:space="0" w:color="000000"/>
            </w:tcBorders>
            <w:vAlign w:val="center"/>
          </w:tcPr>
          <w:p w14:paraId="392F9822" w14:textId="19495260" w:rsidR="00A16B01" w:rsidRPr="00305D32" w:rsidRDefault="00A16B01">
            <w:pPr>
              <w:spacing w:after="0" w:line="240" w:lineRule="auto"/>
              <w:jc w:val="center"/>
              <w:rPr>
                <w:b/>
                <w:color w:val="000000"/>
                <w:sz w:val="18"/>
                <w:szCs w:val="18"/>
                <w:lang w:val="es-MX"/>
              </w:rPr>
            </w:pPr>
            <w:r w:rsidRPr="00305D32">
              <w:rPr>
                <w:b/>
                <w:color w:val="000000"/>
                <w:sz w:val="18"/>
                <w:szCs w:val="18"/>
                <w:lang w:val="es-MX"/>
              </w:rPr>
              <w:t>202</w:t>
            </w:r>
            <w:r w:rsidR="004E65D4" w:rsidRPr="00305D32">
              <w:rPr>
                <w:b/>
                <w:color w:val="000000"/>
                <w:sz w:val="18"/>
                <w:szCs w:val="18"/>
                <w:lang w:val="es-MX"/>
              </w:rPr>
              <w:t>5</w:t>
            </w:r>
            <w:r w:rsidRPr="00305D32">
              <w:rPr>
                <w:b/>
                <w:color w:val="000000"/>
                <w:sz w:val="18"/>
                <w:szCs w:val="18"/>
                <w:lang w:val="es-MX"/>
              </w:rPr>
              <w:t>P</w:t>
            </w:r>
          </w:p>
        </w:tc>
      </w:tr>
      <w:tr w:rsidR="009863CF" w:rsidRPr="00305D32" w14:paraId="048D33E3" w14:textId="77777777" w:rsidTr="00C95943">
        <w:trPr>
          <w:trHeight w:val="360"/>
        </w:trPr>
        <w:tc>
          <w:tcPr>
            <w:tcW w:w="2127" w:type="dxa"/>
            <w:tcBorders>
              <w:top w:val="single" w:sz="4" w:space="0" w:color="000000"/>
            </w:tcBorders>
            <w:vAlign w:val="center"/>
          </w:tcPr>
          <w:p w14:paraId="0ACB1A9B" w14:textId="77777777" w:rsidR="009863CF" w:rsidRPr="00305D32" w:rsidRDefault="009863CF" w:rsidP="009863CF">
            <w:pPr>
              <w:spacing w:after="0" w:line="240" w:lineRule="auto"/>
              <w:jc w:val="left"/>
              <w:rPr>
                <w:color w:val="000000"/>
                <w:sz w:val="18"/>
                <w:szCs w:val="18"/>
                <w:lang w:val="es-MX"/>
              </w:rPr>
            </w:pPr>
            <w:r w:rsidRPr="00305D32">
              <w:rPr>
                <w:color w:val="000000"/>
                <w:sz w:val="18"/>
                <w:szCs w:val="18"/>
                <w:lang w:val="es-MX"/>
              </w:rPr>
              <w:t>Total</w:t>
            </w:r>
          </w:p>
        </w:tc>
        <w:tc>
          <w:tcPr>
            <w:tcW w:w="992" w:type="dxa"/>
            <w:tcBorders>
              <w:top w:val="single" w:sz="4" w:space="0" w:color="000000"/>
            </w:tcBorders>
          </w:tcPr>
          <w:p w14:paraId="2CC87537" w14:textId="06E9CF76" w:rsidR="009863CF" w:rsidRPr="00305D32" w:rsidRDefault="009863CF" w:rsidP="00C95943">
            <w:pPr>
              <w:spacing w:after="0" w:line="240" w:lineRule="auto"/>
              <w:jc w:val="right"/>
              <w:rPr>
                <w:color w:val="000000"/>
                <w:sz w:val="18"/>
                <w:szCs w:val="18"/>
                <w:lang w:val="es-MX"/>
              </w:rPr>
            </w:pPr>
            <w:r w:rsidRPr="00305D32">
              <w:rPr>
                <w:sz w:val="18"/>
                <w:szCs w:val="18"/>
                <w:lang w:val="es-MX"/>
              </w:rPr>
              <w:t>100</w:t>
            </w:r>
            <w:r w:rsidR="0019290E">
              <w:rPr>
                <w:sz w:val="18"/>
                <w:szCs w:val="18"/>
                <w:lang w:val="es-MX"/>
              </w:rPr>
              <w:t xml:space="preserve"> %</w:t>
            </w:r>
          </w:p>
        </w:tc>
        <w:tc>
          <w:tcPr>
            <w:tcW w:w="850" w:type="dxa"/>
            <w:tcBorders>
              <w:top w:val="single" w:sz="4" w:space="0" w:color="000000"/>
            </w:tcBorders>
          </w:tcPr>
          <w:p w14:paraId="21458EB5" w14:textId="73C88621" w:rsidR="009863CF" w:rsidRPr="00305D32" w:rsidRDefault="009863CF" w:rsidP="00C95943">
            <w:pPr>
              <w:spacing w:after="0" w:line="240" w:lineRule="auto"/>
              <w:jc w:val="right"/>
              <w:rPr>
                <w:color w:val="000000"/>
                <w:sz w:val="18"/>
                <w:szCs w:val="18"/>
                <w:lang w:val="es-MX"/>
              </w:rPr>
            </w:pPr>
            <w:r w:rsidRPr="00305D32">
              <w:rPr>
                <w:sz w:val="18"/>
                <w:szCs w:val="18"/>
                <w:lang w:val="es-MX"/>
              </w:rPr>
              <w:t>100</w:t>
            </w:r>
            <w:r w:rsidR="0019290E">
              <w:rPr>
                <w:sz w:val="18"/>
                <w:szCs w:val="18"/>
                <w:lang w:val="es-MX"/>
              </w:rPr>
              <w:t xml:space="preserve"> %</w:t>
            </w:r>
          </w:p>
        </w:tc>
        <w:tc>
          <w:tcPr>
            <w:tcW w:w="851" w:type="dxa"/>
            <w:tcBorders>
              <w:top w:val="single" w:sz="4" w:space="0" w:color="000000"/>
            </w:tcBorders>
          </w:tcPr>
          <w:p w14:paraId="0480736D" w14:textId="074070FF" w:rsidR="009863CF" w:rsidRPr="00305D32" w:rsidRDefault="009863CF" w:rsidP="00C95943">
            <w:pPr>
              <w:spacing w:after="0" w:line="240" w:lineRule="auto"/>
              <w:jc w:val="right"/>
              <w:rPr>
                <w:color w:val="000000"/>
                <w:sz w:val="18"/>
                <w:szCs w:val="18"/>
                <w:lang w:val="es-MX"/>
              </w:rPr>
            </w:pPr>
            <w:r w:rsidRPr="00305D32">
              <w:rPr>
                <w:sz w:val="18"/>
                <w:szCs w:val="18"/>
                <w:lang w:val="es-MX"/>
              </w:rPr>
              <w:t>100</w:t>
            </w:r>
            <w:r w:rsidR="0019290E">
              <w:rPr>
                <w:sz w:val="18"/>
                <w:szCs w:val="18"/>
                <w:lang w:val="es-MX"/>
              </w:rPr>
              <w:t xml:space="preserve"> %</w:t>
            </w:r>
          </w:p>
        </w:tc>
        <w:tc>
          <w:tcPr>
            <w:tcW w:w="850" w:type="dxa"/>
            <w:tcBorders>
              <w:top w:val="single" w:sz="4" w:space="0" w:color="000000"/>
            </w:tcBorders>
          </w:tcPr>
          <w:p w14:paraId="4ED8BC84" w14:textId="62517CA6" w:rsidR="009863CF" w:rsidRPr="00305D32" w:rsidRDefault="009863CF" w:rsidP="00C95943">
            <w:pPr>
              <w:spacing w:after="0" w:line="240" w:lineRule="auto"/>
              <w:jc w:val="right"/>
              <w:rPr>
                <w:color w:val="000000"/>
                <w:sz w:val="18"/>
                <w:szCs w:val="18"/>
                <w:lang w:val="es-MX"/>
              </w:rPr>
            </w:pPr>
            <w:r w:rsidRPr="00305D32">
              <w:rPr>
                <w:sz w:val="18"/>
                <w:szCs w:val="18"/>
                <w:lang w:val="es-MX"/>
              </w:rPr>
              <w:t>100</w:t>
            </w:r>
            <w:r w:rsidR="0019290E">
              <w:rPr>
                <w:sz w:val="18"/>
                <w:szCs w:val="18"/>
                <w:lang w:val="es-MX"/>
              </w:rPr>
              <w:t xml:space="preserve"> %</w:t>
            </w:r>
          </w:p>
        </w:tc>
        <w:tc>
          <w:tcPr>
            <w:tcW w:w="851" w:type="dxa"/>
            <w:tcBorders>
              <w:top w:val="single" w:sz="4" w:space="0" w:color="000000"/>
            </w:tcBorders>
          </w:tcPr>
          <w:p w14:paraId="6BC4FC53" w14:textId="746157A4" w:rsidR="009863CF" w:rsidRPr="00305D32" w:rsidRDefault="009863CF" w:rsidP="00C95943">
            <w:pPr>
              <w:spacing w:after="0" w:line="240" w:lineRule="auto"/>
              <w:jc w:val="right"/>
              <w:rPr>
                <w:color w:val="000000"/>
                <w:sz w:val="18"/>
                <w:szCs w:val="18"/>
                <w:lang w:val="es-MX"/>
              </w:rPr>
            </w:pPr>
            <w:r w:rsidRPr="00305D32">
              <w:rPr>
                <w:sz w:val="18"/>
                <w:szCs w:val="18"/>
                <w:lang w:val="es-MX"/>
              </w:rPr>
              <w:t>100</w:t>
            </w:r>
            <w:r w:rsidR="0019290E">
              <w:rPr>
                <w:sz w:val="18"/>
                <w:szCs w:val="18"/>
                <w:lang w:val="es-MX"/>
              </w:rPr>
              <w:t xml:space="preserve"> %</w:t>
            </w:r>
          </w:p>
        </w:tc>
        <w:tc>
          <w:tcPr>
            <w:tcW w:w="850" w:type="dxa"/>
            <w:tcBorders>
              <w:top w:val="single" w:sz="4" w:space="0" w:color="000000"/>
            </w:tcBorders>
          </w:tcPr>
          <w:p w14:paraId="7F10FD53" w14:textId="2DE4B31A" w:rsidR="009863CF" w:rsidRPr="00305D32" w:rsidRDefault="009863CF" w:rsidP="00C95943">
            <w:pPr>
              <w:spacing w:after="0" w:line="240" w:lineRule="auto"/>
              <w:jc w:val="right"/>
              <w:rPr>
                <w:color w:val="000000"/>
                <w:sz w:val="18"/>
                <w:szCs w:val="18"/>
                <w:lang w:val="es-MX"/>
              </w:rPr>
            </w:pPr>
            <w:r w:rsidRPr="00305D32">
              <w:rPr>
                <w:sz w:val="18"/>
                <w:szCs w:val="18"/>
                <w:lang w:val="es-MX"/>
              </w:rPr>
              <w:t>100</w:t>
            </w:r>
            <w:r w:rsidR="0019290E">
              <w:rPr>
                <w:sz w:val="18"/>
                <w:szCs w:val="18"/>
                <w:lang w:val="es-MX"/>
              </w:rPr>
              <w:t xml:space="preserve"> %</w:t>
            </w:r>
          </w:p>
        </w:tc>
        <w:tc>
          <w:tcPr>
            <w:tcW w:w="851" w:type="dxa"/>
            <w:tcBorders>
              <w:top w:val="single" w:sz="4" w:space="0" w:color="000000"/>
            </w:tcBorders>
          </w:tcPr>
          <w:p w14:paraId="49D35F0D" w14:textId="5619FFE9" w:rsidR="009863CF" w:rsidRPr="00305D32" w:rsidRDefault="009863CF" w:rsidP="00C95943">
            <w:pPr>
              <w:spacing w:after="0" w:line="240" w:lineRule="auto"/>
              <w:jc w:val="right"/>
              <w:rPr>
                <w:color w:val="000000"/>
                <w:sz w:val="18"/>
                <w:szCs w:val="18"/>
                <w:lang w:val="es-MX"/>
              </w:rPr>
            </w:pPr>
            <w:r w:rsidRPr="00305D32">
              <w:rPr>
                <w:sz w:val="18"/>
                <w:szCs w:val="18"/>
                <w:lang w:val="es-MX"/>
              </w:rPr>
              <w:t>100</w:t>
            </w:r>
            <w:r w:rsidR="0019290E">
              <w:rPr>
                <w:sz w:val="18"/>
                <w:szCs w:val="18"/>
                <w:lang w:val="es-MX"/>
              </w:rPr>
              <w:t xml:space="preserve"> %</w:t>
            </w:r>
          </w:p>
        </w:tc>
        <w:tc>
          <w:tcPr>
            <w:tcW w:w="899" w:type="dxa"/>
            <w:tcBorders>
              <w:top w:val="single" w:sz="4" w:space="0" w:color="000000"/>
            </w:tcBorders>
          </w:tcPr>
          <w:p w14:paraId="4CF23FFA" w14:textId="22D88835" w:rsidR="009863CF" w:rsidRPr="00305D32" w:rsidRDefault="009863CF" w:rsidP="00C95943">
            <w:pPr>
              <w:spacing w:after="0" w:line="240" w:lineRule="auto"/>
              <w:jc w:val="right"/>
              <w:rPr>
                <w:color w:val="000000"/>
                <w:sz w:val="18"/>
                <w:szCs w:val="18"/>
                <w:lang w:val="es-MX"/>
              </w:rPr>
            </w:pPr>
            <w:r w:rsidRPr="00305D32">
              <w:rPr>
                <w:sz w:val="18"/>
                <w:szCs w:val="18"/>
                <w:lang w:val="es-MX"/>
              </w:rPr>
              <w:t>100</w:t>
            </w:r>
            <w:r w:rsidR="0019290E">
              <w:rPr>
                <w:sz w:val="18"/>
                <w:szCs w:val="18"/>
                <w:lang w:val="es-MX"/>
              </w:rPr>
              <w:t xml:space="preserve"> %</w:t>
            </w:r>
          </w:p>
        </w:tc>
      </w:tr>
      <w:tr w:rsidR="009863CF" w:rsidRPr="00305D32" w14:paraId="3388F12C" w14:textId="77777777" w:rsidTr="00C95943">
        <w:trPr>
          <w:trHeight w:val="360"/>
        </w:trPr>
        <w:tc>
          <w:tcPr>
            <w:tcW w:w="2127" w:type="dxa"/>
            <w:vAlign w:val="center"/>
          </w:tcPr>
          <w:p w14:paraId="380C4BAE" w14:textId="77777777" w:rsidR="009863CF" w:rsidRPr="00305D32" w:rsidRDefault="009863CF" w:rsidP="009863CF">
            <w:pPr>
              <w:spacing w:after="0" w:line="240" w:lineRule="auto"/>
              <w:jc w:val="left"/>
              <w:rPr>
                <w:color w:val="000000"/>
                <w:sz w:val="18"/>
                <w:szCs w:val="18"/>
                <w:lang w:val="es-MX"/>
              </w:rPr>
            </w:pPr>
            <w:r w:rsidRPr="00305D32">
              <w:rPr>
                <w:color w:val="000000"/>
                <w:sz w:val="18"/>
                <w:szCs w:val="18"/>
                <w:lang w:val="es-MX"/>
              </w:rPr>
              <w:t>Actividades primarias</w:t>
            </w:r>
          </w:p>
        </w:tc>
        <w:tc>
          <w:tcPr>
            <w:tcW w:w="992" w:type="dxa"/>
          </w:tcPr>
          <w:p w14:paraId="4AC01F3D" w14:textId="3553B21C" w:rsidR="009863CF" w:rsidRPr="00305D32" w:rsidRDefault="009863CF" w:rsidP="00C95943">
            <w:pPr>
              <w:spacing w:after="0" w:line="240" w:lineRule="auto"/>
              <w:jc w:val="right"/>
              <w:rPr>
                <w:color w:val="000000"/>
                <w:sz w:val="18"/>
                <w:szCs w:val="18"/>
                <w:lang w:val="es-MX"/>
              </w:rPr>
            </w:pPr>
            <w:r w:rsidRPr="00305D32">
              <w:rPr>
                <w:sz w:val="18"/>
                <w:szCs w:val="18"/>
                <w:lang w:val="es-MX"/>
              </w:rPr>
              <w:t>0.89</w:t>
            </w:r>
            <w:r w:rsidR="0019290E">
              <w:rPr>
                <w:sz w:val="18"/>
                <w:szCs w:val="18"/>
                <w:lang w:val="es-MX"/>
              </w:rPr>
              <w:t xml:space="preserve"> %</w:t>
            </w:r>
          </w:p>
        </w:tc>
        <w:tc>
          <w:tcPr>
            <w:tcW w:w="850" w:type="dxa"/>
          </w:tcPr>
          <w:p w14:paraId="477B3682" w14:textId="701BB7C4" w:rsidR="009863CF" w:rsidRPr="00305D32" w:rsidRDefault="009863CF" w:rsidP="00C95943">
            <w:pPr>
              <w:spacing w:after="0" w:line="240" w:lineRule="auto"/>
              <w:jc w:val="right"/>
              <w:rPr>
                <w:color w:val="000000"/>
                <w:sz w:val="18"/>
                <w:szCs w:val="18"/>
                <w:lang w:val="es-MX"/>
              </w:rPr>
            </w:pPr>
            <w:r w:rsidRPr="00305D32">
              <w:rPr>
                <w:sz w:val="18"/>
                <w:szCs w:val="18"/>
                <w:lang w:val="es-MX"/>
              </w:rPr>
              <w:t>0.73</w:t>
            </w:r>
            <w:r w:rsidR="0019290E">
              <w:rPr>
                <w:sz w:val="18"/>
                <w:szCs w:val="18"/>
                <w:lang w:val="es-MX"/>
              </w:rPr>
              <w:t xml:space="preserve"> %</w:t>
            </w:r>
          </w:p>
        </w:tc>
        <w:tc>
          <w:tcPr>
            <w:tcW w:w="851" w:type="dxa"/>
          </w:tcPr>
          <w:p w14:paraId="5CE700C7" w14:textId="47A6C30B" w:rsidR="009863CF" w:rsidRPr="00305D32" w:rsidRDefault="009863CF" w:rsidP="00C95943">
            <w:pPr>
              <w:spacing w:after="0" w:line="240" w:lineRule="auto"/>
              <w:jc w:val="right"/>
              <w:rPr>
                <w:color w:val="000000"/>
                <w:sz w:val="18"/>
                <w:szCs w:val="18"/>
                <w:lang w:val="es-MX"/>
              </w:rPr>
            </w:pPr>
            <w:r w:rsidRPr="00305D32">
              <w:rPr>
                <w:sz w:val="18"/>
                <w:szCs w:val="18"/>
                <w:lang w:val="es-MX"/>
              </w:rPr>
              <w:t>0.87</w:t>
            </w:r>
            <w:r w:rsidR="0019290E">
              <w:rPr>
                <w:sz w:val="18"/>
                <w:szCs w:val="18"/>
                <w:lang w:val="es-MX"/>
              </w:rPr>
              <w:t xml:space="preserve"> %</w:t>
            </w:r>
          </w:p>
        </w:tc>
        <w:tc>
          <w:tcPr>
            <w:tcW w:w="850" w:type="dxa"/>
          </w:tcPr>
          <w:p w14:paraId="2515AD2F" w14:textId="7450947B" w:rsidR="009863CF" w:rsidRPr="00305D32" w:rsidRDefault="009863CF" w:rsidP="00C95943">
            <w:pPr>
              <w:spacing w:after="0" w:line="240" w:lineRule="auto"/>
              <w:jc w:val="right"/>
              <w:rPr>
                <w:color w:val="000000"/>
                <w:sz w:val="18"/>
                <w:szCs w:val="18"/>
                <w:lang w:val="es-MX"/>
              </w:rPr>
            </w:pPr>
            <w:r w:rsidRPr="00305D32">
              <w:rPr>
                <w:sz w:val="18"/>
                <w:szCs w:val="18"/>
                <w:lang w:val="es-MX"/>
              </w:rPr>
              <w:t>1.07</w:t>
            </w:r>
            <w:r w:rsidR="0019290E">
              <w:rPr>
                <w:sz w:val="18"/>
                <w:szCs w:val="18"/>
                <w:lang w:val="es-MX"/>
              </w:rPr>
              <w:t xml:space="preserve"> %</w:t>
            </w:r>
          </w:p>
        </w:tc>
        <w:tc>
          <w:tcPr>
            <w:tcW w:w="851" w:type="dxa"/>
          </w:tcPr>
          <w:p w14:paraId="4BA1A436" w14:textId="58207221" w:rsidR="009863CF" w:rsidRPr="00305D32" w:rsidRDefault="009863CF" w:rsidP="00C95943">
            <w:pPr>
              <w:spacing w:after="0" w:line="240" w:lineRule="auto"/>
              <w:jc w:val="right"/>
              <w:rPr>
                <w:color w:val="000000"/>
                <w:sz w:val="18"/>
                <w:szCs w:val="18"/>
                <w:lang w:val="es-MX"/>
              </w:rPr>
            </w:pPr>
            <w:r w:rsidRPr="00305D32">
              <w:rPr>
                <w:sz w:val="18"/>
                <w:szCs w:val="18"/>
                <w:lang w:val="es-MX"/>
              </w:rPr>
              <w:t>0.99</w:t>
            </w:r>
            <w:r w:rsidR="0019290E">
              <w:rPr>
                <w:sz w:val="18"/>
                <w:szCs w:val="18"/>
                <w:lang w:val="es-MX"/>
              </w:rPr>
              <w:t xml:space="preserve"> %</w:t>
            </w:r>
          </w:p>
        </w:tc>
        <w:tc>
          <w:tcPr>
            <w:tcW w:w="850" w:type="dxa"/>
          </w:tcPr>
          <w:p w14:paraId="1325980B" w14:textId="4C0F0DA8" w:rsidR="009863CF" w:rsidRPr="00305D32" w:rsidRDefault="009863CF" w:rsidP="00C95943">
            <w:pPr>
              <w:spacing w:after="0" w:line="240" w:lineRule="auto"/>
              <w:jc w:val="right"/>
              <w:rPr>
                <w:color w:val="000000"/>
                <w:sz w:val="18"/>
                <w:szCs w:val="18"/>
                <w:lang w:val="es-MX"/>
              </w:rPr>
            </w:pPr>
            <w:r w:rsidRPr="00305D32">
              <w:rPr>
                <w:sz w:val="18"/>
                <w:szCs w:val="18"/>
                <w:lang w:val="es-MX"/>
              </w:rPr>
              <w:t>0.81</w:t>
            </w:r>
            <w:r w:rsidR="0019290E">
              <w:rPr>
                <w:sz w:val="18"/>
                <w:szCs w:val="18"/>
                <w:lang w:val="es-MX"/>
              </w:rPr>
              <w:t xml:space="preserve"> %</w:t>
            </w:r>
          </w:p>
        </w:tc>
        <w:tc>
          <w:tcPr>
            <w:tcW w:w="851" w:type="dxa"/>
          </w:tcPr>
          <w:p w14:paraId="24468B1B" w14:textId="24BF9A83" w:rsidR="009863CF" w:rsidRPr="00305D32" w:rsidRDefault="009863CF" w:rsidP="00C95943">
            <w:pPr>
              <w:spacing w:after="0" w:line="240" w:lineRule="auto"/>
              <w:jc w:val="right"/>
              <w:rPr>
                <w:color w:val="000000"/>
                <w:sz w:val="18"/>
                <w:szCs w:val="18"/>
                <w:highlight w:val="green"/>
                <w:lang w:val="es-MX"/>
              </w:rPr>
            </w:pPr>
            <w:r w:rsidRPr="00305D32">
              <w:rPr>
                <w:sz w:val="18"/>
                <w:szCs w:val="18"/>
                <w:lang w:val="es-MX"/>
              </w:rPr>
              <w:t>0.69</w:t>
            </w:r>
            <w:r w:rsidR="0019290E">
              <w:rPr>
                <w:sz w:val="18"/>
                <w:szCs w:val="18"/>
                <w:lang w:val="es-MX"/>
              </w:rPr>
              <w:t xml:space="preserve"> %</w:t>
            </w:r>
          </w:p>
        </w:tc>
        <w:tc>
          <w:tcPr>
            <w:tcW w:w="899" w:type="dxa"/>
          </w:tcPr>
          <w:p w14:paraId="41534B9F" w14:textId="7B8D7ACE" w:rsidR="009863CF" w:rsidRPr="00305D32" w:rsidRDefault="009863CF" w:rsidP="00C95943">
            <w:pPr>
              <w:spacing w:after="0" w:line="240" w:lineRule="auto"/>
              <w:jc w:val="right"/>
              <w:rPr>
                <w:color w:val="000000"/>
                <w:sz w:val="18"/>
                <w:szCs w:val="18"/>
                <w:highlight w:val="green"/>
                <w:lang w:val="es-MX"/>
              </w:rPr>
            </w:pPr>
            <w:r w:rsidRPr="00305D32">
              <w:rPr>
                <w:sz w:val="18"/>
                <w:szCs w:val="18"/>
                <w:lang w:val="es-MX"/>
              </w:rPr>
              <w:t>0.64</w:t>
            </w:r>
            <w:r w:rsidR="0019290E">
              <w:rPr>
                <w:sz w:val="18"/>
                <w:szCs w:val="18"/>
                <w:lang w:val="es-MX"/>
              </w:rPr>
              <w:t xml:space="preserve"> %</w:t>
            </w:r>
          </w:p>
        </w:tc>
      </w:tr>
      <w:tr w:rsidR="009863CF" w:rsidRPr="00305D32" w14:paraId="4F552344" w14:textId="77777777" w:rsidTr="00C95943">
        <w:trPr>
          <w:trHeight w:val="360"/>
        </w:trPr>
        <w:tc>
          <w:tcPr>
            <w:tcW w:w="2127" w:type="dxa"/>
            <w:vAlign w:val="center"/>
          </w:tcPr>
          <w:p w14:paraId="2798F9BB" w14:textId="77777777" w:rsidR="009863CF" w:rsidRPr="00305D32" w:rsidRDefault="009863CF" w:rsidP="009863CF">
            <w:pPr>
              <w:spacing w:after="0" w:line="240" w:lineRule="auto"/>
              <w:jc w:val="left"/>
              <w:rPr>
                <w:color w:val="000000"/>
                <w:sz w:val="18"/>
                <w:szCs w:val="18"/>
                <w:lang w:val="es-MX"/>
              </w:rPr>
            </w:pPr>
            <w:r w:rsidRPr="00305D32">
              <w:rPr>
                <w:color w:val="000000"/>
                <w:sz w:val="18"/>
                <w:szCs w:val="18"/>
                <w:lang w:val="es-MX"/>
              </w:rPr>
              <w:t>Actividades secundarias</w:t>
            </w:r>
          </w:p>
        </w:tc>
        <w:tc>
          <w:tcPr>
            <w:tcW w:w="992" w:type="dxa"/>
          </w:tcPr>
          <w:p w14:paraId="32B13F1F" w14:textId="76C96F30" w:rsidR="009863CF" w:rsidRPr="00305D32" w:rsidRDefault="009863CF" w:rsidP="00C95943">
            <w:pPr>
              <w:spacing w:after="0" w:line="240" w:lineRule="auto"/>
              <w:jc w:val="right"/>
              <w:rPr>
                <w:color w:val="000000"/>
                <w:sz w:val="18"/>
                <w:szCs w:val="18"/>
                <w:lang w:val="es-MX"/>
              </w:rPr>
            </w:pPr>
            <w:r w:rsidRPr="00305D32">
              <w:rPr>
                <w:sz w:val="18"/>
                <w:szCs w:val="18"/>
                <w:lang w:val="es-MX"/>
              </w:rPr>
              <w:t>10.66</w:t>
            </w:r>
            <w:r w:rsidR="0019290E">
              <w:rPr>
                <w:sz w:val="18"/>
                <w:szCs w:val="18"/>
                <w:lang w:val="es-MX"/>
              </w:rPr>
              <w:t xml:space="preserve"> %</w:t>
            </w:r>
          </w:p>
        </w:tc>
        <w:tc>
          <w:tcPr>
            <w:tcW w:w="850" w:type="dxa"/>
          </w:tcPr>
          <w:p w14:paraId="54CF46FA" w14:textId="3DA59046" w:rsidR="009863CF" w:rsidRPr="00305D32" w:rsidRDefault="009863CF" w:rsidP="00C95943">
            <w:pPr>
              <w:spacing w:after="0" w:line="240" w:lineRule="auto"/>
              <w:jc w:val="right"/>
              <w:rPr>
                <w:color w:val="000000"/>
                <w:sz w:val="18"/>
                <w:szCs w:val="18"/>
                <w:lang w:val="es-MX"/>
              </w:rPr>
            </w:pPr>
            <w:r w:rsidRPr="00305D32">
              <w:rPr>
                <w:sz w:val="18"/>
                <w:szCs w:val="18"/>
                <w:lang w:val="es-MX"/>
              </w:rPr>
              <w:t>11.27</w:t>
            </w:r>
            <w:r w:rsidR="0019290E">
              <w:rPr>
                <w:sz w:val="18"/>
                <w:szCs w:val="18"/>
                <w:lang w:val="es-MX"/>
              </w:rPr>
              <w:t xml:space="preserve"> %</w:t>
            </w:r>
          </w:p>
        </w:tc>
        <w:tc>
          <w:tcPr>
            <w:tcW w:w="851" w:type="dxa"/>
          </w:tcPr>
          <w:p w14:paraId="2EE2BFEF" w14:textId="79C74AE2" w:rsidR="009863CF" w:rsidRPr="00305D32" w:rsidRDefault="009863CF" w:rsidP="00C95943">
            <w:pPr>
              <w:spacing w:after="0" w:line="240" w:lineRule="auto"/>
              <w:jc w:val="right"/>
              <w:rPr>
                <w:color w:val="000000"/>
                <w:sz w:val="18"/>
                <w:szCs w:val="18"/>
                <w:lang w:val="es-MX"/>
              </w:rPr>
            </w:pPr>
            <w:r w:rsidRPr="00305D32">
              <w:rPr>
                <w:sz w:val="18"/>
                <w:szCs w:val="18"/>
                <w:lang w:val="es-MX"/>
              </w:rPr>
              <w:t>11.43</w:t>
            </w:r>
            <w:r w:rsidR="0019290E">
              <w:rPr>
                <w:sz w:val="18"/>
                <w:szCs w:val="18"/>
                <w:lang w:val="es-MX"/>
              </w:rPr>
              <w:t xml:space="preserve"> %</w:t>
            </w:r>
          </w:p>
        </w:tc>
        <w:tc>
          <w:tcPr>
            <w:tcW w:w="850" w:type="dxa"/>
          </w:tcPr>
          <w:p w14:paraId="4BEA08DE" w14:textId="666D53CD" w:rsidR="009863CF" w:rsidRPr="00305D32" w:rsidRDefault="009863CF" w:rsidP="00C95943">
            <w:pPr>
              <w:spacing w:after="0" w:line="240" w:lineRule="auto"/>
              <w:jc w:val="right"/>
              <w:rPr>
                <w:color w:val="000000"/>
                <w:sz w:val="18"/>
                <w:szCs w:val="18"/>
                <w:lang w:val="es-MX"/>
              </w:rPr>
            </w:pPr>
            <w:r w:rsidRPr="00305D32">
              <w:rPr>
                <w:sz w:val="18"/>
                <w:szCs w:val="18"/>
                <w:lang w:val="es-MX"/>
              </w:rPr>
              <w:t>8.62</w:t>
            </w:r>
            <w:r w:rsidR="0019290E">
              <w:rPr>
                <w:sz w:val="18"/>
                <w:szCs w:val="18"/>
                <w:lang w:val="es-MX"/>
              </w:rPr>
              <w:t xml:space="preserve"> %</w:t>
            </w:r>
          </w:p>
        </w:tc>
        <w:tc>
          <w:tcPr>
            <w:tcW w:w="851" w:type="dxa"/>
          </w:tcPr>
          <w:p w14:paraId="6C630CB4" w14:textId="032E6749" w:rsidR="009863CF" w:rsidRPr="00305D32" w:rsidRDefault="009863CF" w:rsidP="00C95943">
            <w:pPr>
              <w:spacing w:after="0" w:line="240" w:lineRule="auto"/>
              <w:jc w:val="right"/>
              <w:rPr>
                <w:color w:val="000000"/>
                <w:sz w:val="18"/>
                <w:szCs w:val="18"/>
                <w:lang w:val="es-MX"/>
              </w:rPr>
            </w:pPr>
            <w:r w:rsidRPr="00305D32">
              <w:rPr>
                <w:sz w:val="18"/>
                <w:szCs w:val="18"/>
                <w:lang w:val="es-MX"/>
              </w:rPr>
              <w:t>8.86</w:t>
            </w:r>
            <w:r w:rsidR="0019290E">
              <w:rPr>
                <w:sz w:val="18"/>
                <w:szCs w:val="18"/>
                <w:lang w:val="es-MX"/>
              </w:rPr>
              <w:t xml:space="preserve"> %</w:t>
            </w:r>
          </w:p>
        </w:tc>
        <w:tc>
          <w:tcPr>
            <w:tcW w:w="850" w:type="dxa"/>
          </w:tcPr>
          <w:p w14:paraId="2EEB5059" w14:textId="118046C7" w:rsidR="009863CF" w:rsidRPr="00305D32" w:rsidRDefault="009863CF" w:rsidP="00C95943">
            <w:pPr>
              <w:spacing w:after="0" w:line="240" w:lineRule="auto"/>
              <w:jc w:val="right"/>
              <w:rPr>
                <w:color w:val="000000"/>
                <w:sz w:val="18"/>
                <w:szCs w:val="18"/>
                <w:lang w:val="es-MX"/>
              </w:rPr>
            </w:pPr>
            <w:r w:rsidRPr="00305D32">
              <w:rPr>
                <w:sz w:val="18"/>
                <w:szCs w:val="18"/>
                <w:lang w:val="es-MX"/>
              </w:rPr>
              <w:t>21.79</w:t>
            </w:r>
            <w:r w:rsidR="0019290E">
              <w:rPr>
                <w:sz w:val="18"/>
                <w:szCs w:val="18"/>
                <w:lang w:val="es-MX"/>
              </w:rPr>
              <w:t xml:space="preserve"> %</w:t>
            </w:r>
          </w:p>
        </w:tc>
        <w:tc>
          <w:tcPr>
            <w:tcW w:w="851" w:type="dxa"/>
          </w:tcPr>
          <w:p w14:paraId="14764305" w14:textId="74F63BC7" w:rsidR="009863CF" w:rsidRPr="00305D32" w:rsidRDefault="009863CF" w:rsidP="00C95943">
            <w:pPr>
              <w:spacing w:after="0" w:line="240" w:lineRule="auto"/>
              <w:jc w:val="right"/>
              <w:rPr>
                <w:color w:val="000000"/>
                <w:sz w:val="18"/>
                <w:szCs w:val="18"/>
                <w:lang w:val="es-MX"/>
              </w:rPr>
            </w:pPr>
            <w:r w:rsidRPr="00305D32">
              <w:rPr>
                <w:sz w:val="18"/>
                <w:szCs w:val="18"/>
                <w:lang w:val="es-MX"/>
              </w:rPr>
              <w:t>17.76</w:t>
            </w:r>
            <w:r w:rsidR="0019290E">
              <w:rPr>
                <w:sz w:val="18"/>
                <w:szCs w:val="18"/>
                <w:lang w:val="es-MX"/>
              </w:rPr>
              <w:t xml:space="preserve"> %</w:t>
            </w:r>
          </w:p>
        </w:tc>
        <w:tc>
          <w:tcPr>
            <w:tcW w:w="899" w:type="dxa"/>
          </w:tcPr>
          <w:p w14:paraId="17F5E4BF" w14:textId="786FE5D6" w:rsidR="009863CF" w:rsidRPr="00305D32" w:rsidRDefault="009863CF" w:rsidP="00C95943">
            <w:pPr>
              <w:spacing w:after="0" w:line="240" w:lineRule="auto"/>
              <w:jc w:val="right"/>
              <w:rPr>
                <w:color w:val="000000"/>
                <w:sz w:val="18"/>
                <w:szCs w:val="18"/>
                <w:lang w:val="es-MX"/>
              </w:rPr>
            </w:pPr>
            <w:r w:rsidRPr="00305D32">
              <w:rPr>
                <w:sz w:val="18"/>
                <w:szCs w:val="18"/>
                <w:lang w:val="es-MX"/>
              </w:rPr>
              <w:t>10.08</w:t>
            </w:r>
            <w:r w:rsidR="0019290E">
              <w:rPr>
                <w:sz w:val="18"/>
                <w:szCs w:val="18"/>
                <w:lang w:val="es-MX"/>
              </w:rPr>
              <w:t xml:space="preserve"> %</w:t>
            </w:r>
          </w:p>
        </w:tc>
      </w:tr>
      <w:tr w:rsidR="009863CF" w:rsidRPr="00305D32" w14:paraId="7C4D00EC" w14:textId="77777777" w:rsidTr="00C95943">
        <w:trPr>
          <w:trHeight w:val="360"/>
        </w:trPr>
        <w:tc>
          <w:tcPr>
            <w:tcW w:w="2127" w:type="dxa"/>
            <w:vAlign w:val="center"/>
          </w:tcPr>
          <w:p w14:paraId="1036C42B" w14:textId="77777777" w:rsidR="009863CF" w:rsidRPr="00305D32" w:rsidRDefault="009863CF" w:rsidP="009863CF">
            <w:pPr>
              <w:spacing w:after="0" w:line="240" w:lineRule="auto"/>
              <w:jc w:val="left"/>
              <w:rPr>
                <w:color w:val="000000"/>
                <w:sz w:val="18"/>
                <w:szCs w:val="18"/>
                <w:lang w:val="es-MX"/>
              </w:rPr>
            </w:pPr>
            <w:r w:rsidRPr="00305D32">
              <w:rPr>
                <w:color w:val="000000"/>
                <w:sz w:val="18"/>
                <w:szCs w:val="18"/>
                <w:lang w:val="es-MX"/>
              </w:rPr>
              <w:t>Actividades terciarias</w:t>
            </w:r>
          </w:p>
        </w:tc>
        <w:tc>
          <w:tcPr>
            <w:tcW w:w="992" w:type="dxa"/>
          </w:tcPr>
          <w:p w14:paraId="20105EA5" w14:textId="3135F8C5" w:rsidR="009863CF" w:rsidRPr="00305D32" w:rsidRDefault="009863CF" w:rsidP="00C95943">
            <w:pPr>
              <w:spacing w:after="0" w:line="240" w:lineRule="auto"/>
              <w:jc w:val="right"/>
              <w:rPr>
                <w:color w:val="000000"/>
                <w:sz w:val="18"/>
                <w:szCs w:val="18"/>
                <w:lang w:val="es-MX"/>
              </w:rPr>
            </w:pPr>
            <w:r w:rsidRPr="00305D32">
              <w:rPr>
                <w:sz w:val="18"/>
                <w:szCs w:val="18"/>
                <w:lang w:val="es-MX"/>
              </w:rPr>
              <w:t>81.42</w:t>
            </w:r>
            <w:r w:rsidR="0019290E">
              <w:rPr>
                <w:sz w:val="18"/>
                <w:szCs w:val="18"/>
                <w:lang w:val="es-MX"/>
              </w:rPr>
              <w:t xml:space="preserve"> %</w:t>
            </w:r>
          </w:p>
        </w:tc>
        <w:tc>
          <w:tcPr>
            <w:tcW w:w="850" w:type="dxa"/>
          </w:tcPr>
          <w:p w14:paraId="2F0B9C2F" w14:textId="44DF3BCD" w:rsidR="009863CF" w:rsidRPr="00305D32" w:rsidRDefault="009863CF" w:rsidP="00C95943">
            <w:pPr>
              <w:spacing w:after="0" w:line="240" w:lineRule="auto"/>
              <w:jc w:val="right"/>
              <w:rPr>
                <w:color w:val="000000"/>
                <w:sz w:val="18"/>
                <w:szCs w:val="18"/>
                <w:lang w:val="es-MX"/>
              </w:rPr>
            </w:pPr>
            <w:r w:rsidRPr="00305D32">
              <w:rPr>
                <w:sz w:val="18"/>
                <w:szCs w:val="18"/>
                <w:lang w:val="es-MX"/>
              </w:rPr>
              <w:t>81.06</w:t>
            </w:r>
            <w:r w:rsidR="0019290E">
              <w:rPr>
                <w:sz w:val="18"/>
                <w:szCs w:val="18"/>
                <w:lang w:val="es-MX"/>
              </w:rPr>
              <w:t xml:space="preserve"> %</w:t>
            </w:r>
          </w:p>
        </w:tc>
        <w:tc>
          <w:tcPr>
            <w:tcW w:w="851" w:type="dxa"/>
          </w:tcPr>
          <w:p w14:paraId="6B739269" w14:textId="58B228A1" w:rsidR="009863CF" w:rsidRPr="00305D32" w:rsidRDefault="009863CF" w:rsidP="00C95943">
            <w:pPr>
              <w:spacing w:after="0" w:line="240" w:lineRule="auto"/>
              <w:jc w:val="right"/>
              <w:rPr>
                <w:color w:val="000000"/>
                <w:sz w:val="18"/>
                <w:szCs w:val="18"/>
                <w:lang w:val="es-MX"/>
              </w:rPr>
            </w:pPr>
            <w:r w:rsidRPr="00305D32">
              <w:rPr>
                <w:sz w:val="18"/>
                <w:szCs w:val="18"/>
                <w:lang w:val="es-MX"/>
              </w:rPr>
              <w:t>81.79</w:t>
            </w:r>
            <w:r w:rsidR="0019290E">
              <w:rPr>
                <w:sz w:val="18"/>
                <w:szCs w:val="18"/>
                <w:lang w:val="es-MX"/>
              </w:rPr>
              <w:t xml:space="preserve"> %</w:t>
            </w:r>
          </w:p>
        </w:tc>
        <w:tc>
          <w:tcPr>
            <w:tcW w:w="850" w:type="dxa"/>
          </w:tcPr>
          <w:p w14:paraId="4BC4B018" w14:textId="7A694707" w:rsidR="009863CF" w:rsidRPr="00305D32" w:rsidRDefault="009863CF" w:rsidP="00C95943">
            <w:pPr>
              <w:spacing w:after="0" w:line="240" w:lineRule="auto"/>
              <w:jc w:val="right"/>
              <w:rPr>
                <w:color w:val="000000"/>
                <w:sz w:val="18"/>
                <w:szCs w:val="18"/>
                <w:lang w:val="es-MX"/>
              </w:rPr>
            </w:pPr>
            <w:r w:rsidRPr="00305D32">
              <w:rPr>
                <w:sz w:val="18"/>
                <w:szCs w:val="18"/>
                <w:lang w:val="es-MX"/>
              </w:rPr>
              <w:t>83.53</w:t>
            </w:r>
            <w:r w:rsidR="0019290E">
              <w:rPr>
                <w:sz w:val="18"/>
                <w:szCs w:val="18"/>
                <w:lang w:val="es-MX"/>
              </w:rPr>
              <w:t xml:space="preserve"> %</w:t>
            </w:r>
          </w:p>
        </w:tc>
        <w:tc>
          <w:tcPr>
            <w:tcW w:w="851" w:type="dxa"/>
          </w:tcPr>
          <w:p w14:paraId="53A45C90" w14:textId="50D831E5" w:rsidR="009863CF" w:rsidRPr="00305D32" w:rsidRDefault="009863CF" w:rsidP="00C95943">
            <w:pPr>
              <w:spacing w:after="0" w:line="240" w:lineRule="auto"/>
              <w:jc w:val="right"/>
              <w:rPr>
                <w:color w:val="000000"/>
                <w:sz w:val="18"/>
                <w:szCs w:val="18"/>
                <w:lang w:val="es-MX"/>
              </w:rPr>
            </w:pPr>
            <w:r w:rsidRPr="00305D32">
              <w:rPr>
                <w:sz w:val="18"/>
                <w:szCs w:val="18"/>
                <w:lang w:val="es-MX"/>
              </w:rPr>
              <w:t>82.85</w:t>
            </w:r>
            <w:r w:rsidR="0019290E">
              <w:rPr>
                <w:sz w:val="18"/>
                <w:szCs w:val="18"/>
                <w:lang w:val="es-MX"/>
              </w:rPr>
              <w:t xml:space="preserve"> %</w:t>
            </w:r>
          </w:p>
        </w:tc>
        <w:tc>
          <w:tcPr>
            <w:tcW w:w="850" w:type="dxa"/>
          </w:tcPr>
          <w:p w14:paraId="637FE3F7" w14:textId="23949904" w:rsidR="009863CF" w:rsidRPr="00305D32" w:rsidRDefault="009863CF" w:rsidP="00C95943">
            <w:pPr>
              <w:spacing w:after="0" w:line="240" w:lineRule="auto"/>
              <w:jc w:val="right"/>
              <w:rPr>
                <w:color w:val="000000"/>
                <w:sz w:val="18"/>
                <w:szCs w:val="18"/>
                <w:lang w:val="es-MX"/>
              </w:rPr>
            </w:pPr>
            <w:r w:rsidRPr="00305D32">
              <w:rPr>
                <w:sz w:val="18"/>
                <w:szCs w:val="18"/>
                <w:lang w:val="es-MX"/>
              </w:rPr>
              <w:t>71.27</w:t>
            </w:r>
            <w:r w:rsidR="0019290E">
              <w:rPr>
                <w:sz w:val="18"/>
                <w:szCs w:val="18"/>
                <w:lang w:val="es-MX"/>
              </w:rPr>
              <w:t xml:space="preserve"> %</w:t>
            </w:r>
          </w:p>
        </w:tc>
        <w:tc>
          <w:tcPr>
            <w:tcW w:w="851" w:type="dxa"/>
          </w:tcPr>
          <w:p w14:paraId="3C596AE6" w14:textId="36807B85" w:rsidR="009863CF" w:rsidRPr="00305D32" w:rsidRDefault="009863CF" w:rsidP="00C95943">
            <w:pPr>
              <w:spacing w:after="0" w:line="240" w:lineRule="auto"/>
              <w:jc w:val="right"/>
              <w:rPr>
                <w:color w:val="000000"/>
                <w:sz w:val="18"/>
                <w:szCs w:val="18"/>
                <w:lang w:val="es-MX"/>
              </w:rPr>
            </w:pPr>
            <w:r w:rsidRPr="00305D32">
              <w:rPr>
                <w:sz w:val="18"/>
                <w:szCs w:val="18"/>
                <w:lang w:val="es-MX"/>
              </w:rPr>
              <w:t>74.95</w:t>
            </w:r>
            <w:r w:rsidR="0019290E">
              <w:rPr>
                <w:sz w:val="18"/>
                <w:szCs w:val="18"/>
                <w:lang w:val="es-MX"/>
              </w:rPr>
              <w:t xml:space="preserve"> %</w:t>
            </w:r>
          </w:p>
        </w:tc>
        <w:tc>
          <w:tcPr>
            <w:tcW w:w="899" w:type="dxa"/>
          </w:tcPr>
          <w:p w14:paraId="4D66D02C" w14:textId="3AD753AF" w:rsidR="009863CF" w:rsidRPr="00305D32" w:rsidRDefault="009863CF" w:rsidP="00C95943">
            <w:pPr>
              <w:spacing w:after="0" w:line="240" w:lineRule="auto"/>
              <w:jc w:val="right"/>
              <w:rPr>
                <w:color w:val="000000"/>
                <w:sz w:val="18"/>
                <w:szCs w:val="18"/>
                <w:lang w:val="es-MX"/>
              </w:rPr>
            </w:pPr>
            <w:r w:rsidRPr="00305D32">
              <w:rPr>
                <w:sz w:val="18"/>
                <w:szCs w:val="18"/>
                <w:lang w:val="es-MX"/>
              </w:rPr>
              <w:t>82.69</w:t>
            </w:r>
            <w:r w:rsidR="0019290E">
              <w:rPr>
                <w:sz w:val="18"/>
                <w:szCs w:val="18"/>
                <w:lang w:val="es-MX"/>
              </w:rPr>
              <w:t xml:space="preserve"> %</w:t>
            </w:r>
          </w:p>
        </w:tc>
      </w:tr>
      <w:tr w:rsidR="009863CF" w:rsidRPr="00305D32" w14:paraId="38DA431B" w14:textId="77777777" w:rsidTr="00C95943">
        <w:trPr>
          <w:trHeight w:val="360"/>
        </w:trPr>
        <w:tc>
          <w:tcPr>
            <w:tcW w:w="2127" w:type="dxa"/>
            <w:vAlign w:val="center"/>
          </w:tcPr>
          <w:p w14:paraId="31294EE1" w14:textId="77777777" w:rsidR="009863CF" w:rsidRPr="00305D32" w:rsidRDefault="009863CF" w:rsidP="009863CF">
            <w:pPr>
              <w:spacing w:after="0" w:line="240" w:lineRule="auto"/>
              <w:jc w:val="left"/>
              <w:rPr>
                <w:color w:val="000000"/>
                <w:sz w:val="18"/>
                <w:szCs w:val="18"/>
                <w:lang w:val="es-MX"/>
              </w:rPr>
            </w:pPr>
            <w:r w:rsidRPr="00305D32">
              <w:rPr>
                <w:color w:val="000000"/>
                <w:sz w:val="18"/>
                <w:szCs w:val="18"/>
                <w:lang w:val="es-MX"/>
              </w:rPr>
              <w:t>Impuestos sobre los productos, netos</w:t>
            </w:r>
          </w:p>
        </w:tc>
        <w:tc>
          <w:tcPr>
            <w:tcW w:w="992" w:type="dxa"/>
          </w:tcPr>
          <w:p w14:paraId="18C3CC02" w14:textId="5B3E9FC9" w:rsidR="009863CF" w:rsidRPr="00305D32" w:rsidRDefault="009863CF" w:rsidP="00C95943">
            <w:pPr>
              <w:spacing w:after="0" w:line="240" w:lineRule="auto"/>
              <w:jc w:val="right"/>
              <w:rPr>
                <w:color w:val="000000"/>
                <w:sz w:val="18"/>
                <w:szCs w:val="18"/>
                <w:lang w:val="es-MX"/>
              </w:rPr>
            </w:pPr>
            <w:r w:rsidRPr="00305D32">
              <w:rPr>
                <w:sz w:val="18"/>
                <w:szCs w:val="18"/>
                <w:lang w:val="es-MX"/>
              </w:rPr>
              <w:t>7.04</w:t>
            </w:r>
            <w:r w:rsidR="0019290E">
              <w:rPr>
                <w:sz w:val="18"/>
                <w:szCs w:val="18"/>
                <w:lang w:val="es-MX"/>
              </w:rPr>
              <w:t xml:space="preserve"> %</w:t>
            </w:r>
          </w:p>
        </w:tc>
        <w:tc>
          <w:tcPr>
            <w:tcW w:w="850" w:type="dxa"/>
          </w:tcPr>
          <w:p w14:paraId="2A761A08" w14:textId="5CA32785" w:rsidR="009863CF" w:rsidRPr="00305D32" w:rsidRDefault="009863CF" w:rsidP="00C95943">
            <w:pPr>
              <w:spacing w:after="0" w:line="240" w:lineRule="auto"/>
              <w:jc w:val="right"/>
              <w:rPr>
                <w:color w:val="000000"/>
                <w:sz w:val="18"/>
                <w:szCs w:val="18"/>
                <w:lang w:val="es-MX"/>
              </w:rPr>
            </w:pPr>
            <w:r w:rsidRPr="00305D32">
              <w:rPr>
                <w:sz w:val="18"/>
                <w:szCs w:val="18"/>
                <w:lang w:val="es-MX"/>
              </w:rPr>
              <w:t>6.94</w:t>
            </w:r>
            <w:r w:rsidR="0019290E">
              <w:rPr>
                <w:sz w:val="18"/>
                <w:szCs w:val="18"/>
                <w:lang w:val="es-MX"/>
              </w:rPr>
              <w:t xml:space="preserve"> %</w:t>
            </w:r>
          </w:p>
        </w:tc>
        <w:tc>
          <w:tcPr>
            <w:tcW w:w="851" w:type="dxa"/>
          </w:tcPr>
          <w:p w14:paraId="0FD16C51" w14:textId="213621AA" w:rsidR="009863CF" w:rsidRPr="00305D32" w:rsidRDefault="009863CF" w:rsidP="00C95943">
            <w:pPr>
              <w:spacing w:after="0" w:line="240" w:lineRule="auto"/>
              <w:jc w:val="right"/>
              <w:rPr>
                <w:color w:val="000000"/>
                <w:sz w:val="18"/>
                <w:szCs w:val="18"/>
                <w:lang w:val="es-MX"/>
              </w:rPr>
            </w:pPr>
            <w:r w:rsidRPr="00305D32">
              <w:rPr>
                <w:sz w:val="18"/>
                <w:szCs w:val="18"/>
                <w:lang w:val="es-MX"/>
              </w:rPr>
              <w:t>5.91</w:t>
            </w:r>
            <w:r w:rsidR="0019290E">
              <w:rPr>
                <w:sz w:val="18"/>
                <w:szCs w:val="18"/>
                <w:lang w:val="es-MX"/>
              </w:rPr>
              <w:t xml:space="preserve"> %</w:t>
            </w:r>
          </w:p>
        </w:tc>
        <w:tc>
          <w:tcPr>
            <w:tcW w:w="850" w:type="dxa"/>
          </w:tcPr>
          <w:p w14:paraId="703516DF" w14:textId="4E75EF53" w:rsidR="009863CF" w:rsidRPr="00305D32" w:rsidRDefault="009863CF" w:rsidP="00C95943">
            <w:pPr>
              <w:spacing w:after="0" w:line="240" w:lineRule="auto"/>
              <w:jc w:val="right"/>
              <w:rPr>
                <w:color w:val="000000"/>
                <w:sz w:val="18"/>
                <w:szCs w:val="18"/>
                <w:lang w:val="es-MX"/>
              </w:rPr>
            </w:pPr>
            <w:r w:rsidRPr="00305D32">
              <w:rPr>
                <w:sz w:val="18"/>
                <w:szCs w:val="18"/>
                <w:lang w:val="es-MX"/>
              </w:rPr>
              <w:t>6.78</w:t>
            </w:r>
            <w:r w:rsidR="0019290E">
              <w:rPr>
                <w:sz w:val="18"/>
                <w:szCs w:val="18"/>
                <w:lang w:val="es-MX"/>
              </w:rPr>
              <w:t xml:space="preserve"> %</w:t>
            </w:r>
          </w:p>
        </w:tc>
        <w:tc>
          <w:tcPr>
            <w:tcW w:w="851" w:type="dxa"/>
          </w:tcPr>
          <w:p w14:paraId="3FBB52BC" w14:textId="34E1A44E" w:rsidR="009863CF" w:rsidRPr="00305D32" w:rsidRDefault="009863CF" w:rsidP="00C95943">
            <w:pPr>
              <w:spacing w:after="0" w:line="240" w:lineRule="auto"/>
              <w:jc w:val="right"/>
              <w:rPr>
                <w:color w:val="000000"/>
                <w:sz w:val="18"/>
                <w:szCs w:val="18"/>
                <w:lang w:val="es-MX"/>
              </w:rPr>
            </w:pPr>
            <w:r w:rsidRPr="00305D32">
              <w:rPr>
                <w:sz w:val="18"/>
                <w:szCs w:val="18"/>
                <w:lang w:val="es-MX"/>
              </w:rPr>
              <w:t>7.30</w:t>
            </w:r>
            <w:r w:rsidR="0019290E">
              <w:rPr>
                <w:sz w:val="18"/>
                <w:szCs w:val="18"/>
                <w:lang w:val="es-MX"/>
              </w:rPr>
              <w:t xml:space="preserve"> %</w:t>
            </w:r>
          </w:p>
        </w:tc>
        <w:tc>
          <w:tcPr>
            <w:tcW w:w="850" w:type="dxa"/>
          </w:tcPr>
          <w:p w14:paraId="1061DB87" w14:textId="0B421DDB" w:rsidR="009863CF" w:rsidRPr="00305D32" w:rsidRDefault="009863CF" w:rsidP="00C95943">
            <w:pPr>
              <w:spacing w:after="0" w:line="240" w:lineRule="auto"/>
              <w:jc w:val="right"/>
              <w:rPr>
                <w:color w:val="000000"/>
                <w:sz w:val="18"/>
                <w:szCs w:val="18"/>
                <w:lang w:val="es-MX"/>
              </w:rPr>
            </w:pPr>
            <w:r w:rsidRPr="00305D32">
              <w:rPr>
                <w:sz w:val="18"/>
                <w:szCs w:val="18"/>
                <w:lang w:val="es-MX"/>
              </w:rPr>
              <w:t>6.14</w:t>
            </w:r>
            <w:r w:rsidR="0019290E">
              <w:rPr>
                <w:sz w:val="18"/>
                <w:szCs w:val="18"/>
                <w:lang w:val="es-MX"/>
              </w:rPr>
              <w:t xml:space="preserve"> %</w:t>
            </w:r>
          </w:p>
        </w:tc>
        <w:tc>
          <w:tcPr>
            <w:tcW w:w="851" w:type="dxa"/>
          </w:tcPr>
          <w:p w14:paraId="152F8CBB" w14:textId="06147C08" w:rsidR="009863CF" w:rsidRPr="00305D32" w:rsidRDefault="009863CF" w:rsidP="00C95943">
            <w:pPr>
              <w:spacing w:after="0" w:line="240" w:lineRule="auto"/>
              <w:jc w:val="right"/>
              <w:rPr>
                <w:color w:val="000000"/>
                <w:sz w:val="18"/>
                <w:szCs w:val="18"/>
                <w:lang w:val="es-MX"/>
              </w:rPr>
            </w:pPr>
            <w:r w:rsidRPr="00305D32">
              <w:rPr>
                <w:sz w:val="18"/>
                <w:szCs w:val="18"/>
                <w:lang w:val="es-MX"/>
              </w:rPr>
              <w:t>6.61</w:t>
            </w:r>
            <w:r w:rsidR="0019290E">
              <w:rPr>
                <w:sz w:val="18"/>
                <w:szCs w:val="18"/>
                <w:lang w:val="es-MX"/>
              </w:rPr>
              <w:t xml:space="preserve"> %</w:t>
            </w:r>
          </w:p>
        </w:tc>
        <w:tc>
          <w:tcPr>
            <w:tcW w:w="899" w:type="dxa"/>
          </w:tcPr>
          <w:p w14:paraId="5C36AEBC" w14:textId="68638879" w:rsidR="009863CF" w:rsidRPr="00305D32" w:rsidRDefault="009863CF" w:rsidP="00C95943">
            <w:pPr>
              <w:spacing w:after="0" w:line="240" w:lineRule="auto"/>
              <w:jc w:val="right"/>
              <w:rPr>
                <w:color w:val="000000"/>
                <w:sz w:val="18"/>
                <w:szCs w:val="18"/>
                <w:lang w:val="es-MX"/>
              </w:rPr>
            </w:pPr>
            <w:r w:rsidRPr="00305D32">
              <w:rPr>
                <w:sz w:val="18"/>
                <w:szCs w:val="18"/>
                <w:lang w:val="es-MX"/>
              </w:rPr>
              <w:t>6.59</w:t>
            </w:r>
            <w:r w:rsidR="0019290E">
              <w:rPr>
                <w:sz w:val="18"/>
                <w:szCs w:val="18"/>
                <w:lang w:val="es-MX"/>
              </w:rPr>
              <w:t xml:space="preserve"> %</w:t>
            </w:r>
          </w:p>
        </w:tc>
      </w:tr>
    </w:tbl>
    <w:p w14:paraId="4D0833C7" w14:textId="39FCEA32" w:rsidR="00AE57F0" w:rsidRPr="00305D32" w:rsidRDefault="00414F7C">
      <w:pPr>
        <w:spacing w:line="240"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base en datos del INEGI (202</w:t>
      </w:r>
      <w:r w:rsidR="004E65D4" w:rsidRPr="00305D32">
        <w:rPr>
          <w:sz w:val="20"/>
          <w:szCs w:val="20"/>
          <w:lang w:val="es-MX"/>
        </w:rPr>
        <w:t>5</w:t>
      </w:r>
      <w:r w:rsidRPr="00305D32">
        <w:rPr>
          <w:sz w:val="20"/>
          <w:szCs w:val="20"/>
          <w:lang w:val="es-MX"/>
        </w:rPr>
        <w:t xml:space="preserve">) </w:t>
      </w:r>
      <w:r w:rsidRPr="00305D32">
        <w:rPr>
          <w:i/>
          <w:sz w:val="20"/>
          <w:szCs w:val="20"/>
          <w:lang w:val="es-MX"/>
        </w:rPr>
        <w:t>Producto Interno Bruto Estatal e Indicador Trimestral de la Actividad Económica Estatal</w:t>
      </w:r>
      <w:r w:rsidRPr="00305D32">
        <w:rPr>
          <w:sz w:val="20"/>
          <w:szCs w:val="20"/>
          <w:lang w:val="es-MX"/>
        </w:rPr>
        <w:t>. Cifras revisadas INEGI: 20</w:t>
      </w:r>
      <w:r w:rsidR="00C95943">
        <w:rPr>
          <w:sz w:val="20"/>
          <w:szCs w:val="20"/>
          <w:lang w:val="es-MX"/>
        </w:rPr>
        <w:t>22</w:t>
      </w:r>
      <w:r w:rsidRPr="00305D32">
        <w:rPr>
          <w:sz w:val="20"/>
          <w:szCs w:val="20"/>
          <w:lang w:val="es-MX"/>
        </w:rPr>
        <w:t>-</w:t>
      </w:r>
      <w:r w:rsidR="006E1AC3" w:rsidRPr="00305D32">
        <w:rPr>
          <w:sz w:val="20"/>
          <w:szCs w:val="20"/>
          <w:lang w:val="es-MX"/>
        </w:rPr>
        <w:t>202</w:t>
      </w:r>
      <w:r w:rsidR="00A969BA" w:rsidRPr="00305D32">
        <w:rPr>
          <w:sz w:val="20"/>
          <w:szCs w:val="20"/>
          <w:lang w:val="es-MX"/>
        </w:rPr>
        <w:t>3</w:t>
      </w:r>
      <w:r w:rsidR="006E1AC3" w:rsidRPr="00305D32">
        <w:rPr>
          <w:sz w:val="20"/>
          <w:szCs w:val="20"/>
          <w:lang w:val="es-MX"/>
        </w:rPr>
        <w:t>.</w:t>
      </w:r>
      <w:r w:rsidRPr="00305D32">
        <w:rPr>
          <w:sz w:val="20"/>
          <w:szCs w:val="20"/>
          <w:lang w:val="es-MX"/>
        </w:rPr>
        <w:t xml:space="preserve"> Cifras estimadas: </w:t>
      </w:r>
      <w:r w:rsidR="006E1AC3" w:rsidRPr="00305D32">
        <w:rPr>
          <w:sz w:val="20"/>
          <w:szCs w:val="20"/>
          <w:lang w:val="es-MX"/>
        </w:rPr>
        <w:t>202</w:t>
      </w:r>
      <w:r w:rsidR="002E1150" w:rsidRPr="00305D32">
        <w:rPr>
          <w:sz w:val="20"/>
          <w:szCs w:val="20"/>
          <w:lang w:val="es-MX"/>
        </w:rPr>
        <w:t>4</w:t>
      </w:r>
      <w:r w:rsidR="006E1AC3" w:rsidRPr="00305D32">
        <w:rPr>
          <w:sz w:val="20"/>
          <w:szCs w:val="20"/>
          <w:lang w:val="es-MX"/>
        </w:rPr>
        <w:t>.</w:t>
      </w:r>
      <w:r w:rsidRPr="00305D32">
        <w:rPr>
          <w:sz w:val="20"/>
          <w:szCs w:val="20"/>
          <w:lang w:val="es-MX"/>
        </w:rPr>
        <w:t xml:space="preserve"> Cifras proyectadas: </w:t>
      </w:r>
      <w:r w:rsidR="006E1AC3" w:rsidRPr="00305D32">
        <w:rPr>
          <w:sz w:val="20"/>
          <w:szCs w:val="20"/>
          <w:lang w:val="es-MX"/>
        </w:rPr>
        <w:t>202</w:t>
      </w:r>
      <w:r w:rsidR="002E1150" w:rsidRPr="00305D32">
        <w:rPr>
          <w:sz w:val="20"/>
          <w:szCs w:val="20"/>
          <w:lang w:val="es-MX"/>
        </w:rPr>
        <w:t>5</w:t>
      </w:r>
      <w:r w:rsidR="006E1AC3" w:rsidRPr="00305D32">
        <w:rPr>
          <w:sz w:val="20"/>
          <w:szCs w:val="20"/>
          <w:lang w:val="es-MX"/>
        </w:rPr>
        <w:t>.</w:t>
      </w:r>
    </w:p>
    <w:p w14:paraId="4D0833CA" w14:textId="7004745B" w:rsidR="00AE57F0" w:rsidRPr="00305D32" w:rsidRDefault="00C243D0">
      <w:pPr>
        <w:rPr>
          <w:lang w:val="es-MX"/>
        </w:rPr>
      </w:pPr>
      <w:r w:rsidRPr="00C243D0">
        <w:rPr>
          <w:lang w:val="es-MX"/>
        </w:rPr>
        <w:t>La composición del PIBE por sector de actividad económica ha mostrado estabilidad relativa entre 2017</w:t>
      </w:r>
      <w:r w:rsidR="003E041D">
        <w:rPr>
          <w:lang w:val="es-MX"/>
        </w:rPr>
        <w:t xml:space="preserve"> </w:t>
      </w:r>
      <w:r w:rsidRPr="00C243D0">
        <w:rPr>
          <w:lang w:val="es-MX"/>
        </w:rPr>
        <w:t>y 2019, donde las actividades primarias representaron valores inferiores al 1</w:t>
      </w:r>
      <w:r w:rsidR="0019290E">
        <w:rPr>
          <w:lang w:val="es-MX"/>
        </w:rPr>
        <w:t xml:space="preserve"> %</w:t>
      </w:r>
      <w:r w:rsidRPr="00C243D0">
        <w:rPr>
          <w:lang w:val="es-MX"/>
        </w:rPr>
        <w:t>, mientras que las actividades secundarias se han mantenido alrededor del 10</w:t>
      </w:r>
      <w:r w:rsidR="0019290E">
        <w:rPr>
          <w:lang w:val="es-MX"/>
        </w:rPr>
        <w:t xml:space="preserve"> %</w:t>
      </w:r>
      <w:r w:rsidRPr="00C243D0">
        <w:rPr>
          <w:lang w:val="es-MX"/>
        </w:rPr>
        <w:t>, exceptuando los años 2023 y 2024 que coinciden con la construcción de los megaproyectos federales. Para 2025 ha regresado su participación al valor de 10</w:t>
      </w:r>
      <w:r w:rsidR="0019290E">
        <w:rPr>
          <w:lang w:val="es-MX"/>
        </w:rPr>
        <w:t xml:space="preserve"> %</w:t>
      </w:r>
      <w:r w:rsidRPr="00C243D0">
        <w:rPr>
          <w:lang w:val="es-MX"/>
        </w:rPr>
        <w:t xml:space="preserve"> reflejando una normalización de la estructura productiva estatal.</w:t>
      </w:r>
    </w:p>
    <w:p w14:paraId="16F77FD2" w14:textId="3C675D2C" w:rsidR="005443B9" w:rsidRPr="00305D32" w:rsidRDefault="00BD3561" w:rsidP="005443B9">
      <w:pPr>
        <w:rPr>
          <w:lang w:val="es-MX"/>
        </w:rPr>
      </w:pPr>
      <w:bookmarkStart w:id="75" w:name="_heading=h.zu0gcz" w:colFirst="0" w:colLast="0"/>
      <w:bookmarkEnd w:id="75"/>
      <w:r w:rsidRPr="00BD3561">
        <w:rPr>
          <w:lang w:val="es-MX"/>
        </w:rPr>
        <w:t xml:space="preserve">Bajo un entorno de un crecimiento económico sostenido que permita al Estado retomar la inercia previa a la pandemia, la reforma fiscal recientemente implementada requiere un seguimiento puntual que fortalezca los ingresos públicos estatales mediante la actualización de tarifas impositivas, procurando que no afecten la actividad económica local. Al mismo tiempo, dichas medidas deben aprovechar las </w:t>
      </w:r>
      <w:r w:rsidRPr="00BD3561">
        <w:rPr>
          <w:lang w:val="es-MX"/>
        </w:rPr>
        <w:lastRenderedPageBreak/>
        <w:t>características de la economía del Estado y fomentar las contribuciones orientadas al bienestar social y la salud pública.</w:t>
      </w:r>
    </w:p>
    <w:p w14:paraId="0E1D1F4E" w14:textId="58F2C6A7" w:rsidR="005443B9" w:rsidRPr="00305D32" w:rsidRDefault="0095263E" w:rsidP="005443B9">
      <w:pPr>
        <w:rPr>
          <w:lang w:val="es-MX"/>
        </w:rPr>
      </w:pPr>
      <w:r w:rsidRPr="0095263E">
        <w:rPr>
          <w:lang w:val="es-MX"/>
        </w:rPr>
        <w:t>Si bien Quintana Roo ya es de las entidades federativas con mayor monto de ingresos propios como proporción de los ingresos totales, el fortalecimiento de su Hacienda Pública se vuelve un factor necesario para evitar que, ante coyunturas como las ocurridas en 2020, tengan impactos profundos en las finanzas estatales como los observados. Una mayor independencia fiscal, así como la diversificación de la economía, acciones que sólo se lograrán teniendo mayor capacidad de inversión y ejecución eficaz de política pública encaminada al crecimiento y desarrollo social y económico, mismas que permitirán al Estado un fortalecimiento fiscal que posibilite aplicar políticas contra</w:t>
      </w:r>
      <w:r>
        <w:rPr>
          <w:lang w:val="es-MX"/>
        </w:rPr>
        <w:t>-</w:t>
      </w:r>
      <w:r w:rsidRPr="0095263E">
        <w:rPr>
          <w:lang w:val="es-MX"/>
        </w:rPr>
        <w:t>cíclicas en épocas de recesión o desaceleración económica.</w:t>
      </w:r>
    </w:p>
    <w:p w14:paraId="4826C37A" w14:textId="59A0B0E0" w:rsidR="005443B9" w:rsidRPr="00305D32" w:rsidRDefault="005443B9" w:rsidP="005443B9">
      <w:pPr>
        <w:rPr>
          <w:lang w:val="es-MX"/>
        </w:rPr>
      </w:pPr>
      <w:r w:rsidRPr="00305D32">
        <w:rPr>
          <w:lang w:val="es-MX"/>
        </w:rPr>
        <w:t xml:space="preserve">Asimismo, es importante resaltar que el Eje principal de la política que seguirá el Plan </w:t>
      </w:r>
      <w:r w:rsidR="00803156">
        <w:rPr>
          <w:lang w:val="es-MX"/>
        </w:rPr>
        <w:t xml:space="preserve">Estatal </w:t>
      </w:r>
      <w:r w:rsidRPr="00305D32">
        <w:rPr>
          <w:lang w:val="es-MX"/>
        </w:rPr>
        <w:t xml:space="preserve">de Desarrollo 2022–2027 es el apoyo a los más desprotegidos, una política que requiere, dentro de las varias aristas que seguirá, una visión de redistribución </w:t>
      </w:r>
      <w:r w:rsidR="003E611A">
        <w:rPr>
          <w:lang w:val="es-MX"/>
        </w:rPr>
        <w:t xml:space="preserve">equitativa </w:t>
      </w:r>
      <w:r w:rsidRPr="00305D32">
        <w:rPr>
          <w:lang w:val="es-MX"/>
        </w:rPr>
        <w:t xml:space="preserve">de la riqueza, que haga partícipes a </w:t>
      </w:r>
      <w:r w:rsidR="00C85BAC">
        <w:rPr>
          <w:lang w:val="es-MX"/>
        </w:rPr>
        <w:t>todas las personas</w:t>
      </w:r>
      <w:r w:rsidRPr="00305D32">
        <w:rPr>
          <w:lang w:val="es-MX"/>
        </w:rPr>
        <w:t xml:space="preserve"> del Estado de la riqueza, productividad y desarrollo económico con el que cuenta Quintana Roo; es decir, que nadie se quede atrás del desarrollo social que alcanzará el Estado.</w:t>
      </w:r>
    </w:p>
    <w:p w14:paraId="67B68BCB" w14:textId="6A7E7CF3" w:rsidR="004D0387" w:rsidRPr="00305D32" w:rsidRDefault="004D0387">
      <w:pPr>
        <w:rPr>
          <w:lang w:val="es-MX"/>
        </w:rPr>
      </w:pPr>
      <w:r w:rsidRPr="00305D32">
        <w:rPr>
          <w:lang w:val="es-MX"/>
        </w:rPr>
        <w:t>Por ello</w:t>
      </w:r>
      <w:r w:rsidR="005443B9" w:rsidRPr="00305D32">
        <w:rPr>
          <w:lang w:val="es-MX"/>
        </w:rPr>
        <w:t>,</w:t>
      </w:r>
      <w:r w:rsidRPr="00305D32">
        <w:rPr>
          <w:lang w:val="es-MX"/>
        </w:rPr>
        <w:t xml:space="preserve"> los </w:t>
      </w:r>
      <w:r w:rsidR="009E5400">
        <w:rPr>
          <w:lang w:val="es-MX"/>
        </w:rPr>
        <w:t>p</w:t>
      </w:r>
      <w:r w:rsidRPr="00305D32">
        <w:rPr>
          <w:lang w:val="es-MX"/>
        </w:rPr>
        <w:t xml:space="preserve">aquetes </w:t>
      </w:r>
      <w:r w:rsidR="009E5400">
        <w:rPr>
          <w:lang w:val="es-MX"/>
        </w:rPr>
        <w:t>e</w:t>
      </w:r>
      <w:r w:rsidRPr="00305D32">
        <w:rPr>
          <w:lang w:val="es-MX"/>
        </w:rPr>
        <w:t>conómicos 2023</w:t>
      </w:r>
      <w:r w:rsidR="00F413C1" w:rsidRPr="00305D32">
        <w:rPr>
          <w:lang w:val="es-MX"/>
        </w:rPr>
        <w:t>, 2024</w:t>
      </w:r>
      <w:r w:rsidR="005443B9" w:rsidRPr="00305D32">
        <w:rPr>
          <w:lang w:val="es-MX"/>
        </w:rPr>
        <w:t xml:space="preserve"> </w:t>
      </w:r>
      <w:r w:rsidR="00BC7BC8" w:rsidRPr="00305D32">
        <w:rPr>
          <w:lang w:val="es-MX"/>
        </w:rPr>
        <w:t xml:space="preserve">y </w:t>
      </w:r>
      <w:r w:rsidR="005443B9" w:rsidRPr="00305D32">
        <w:rPr>
          <w:lang w:val="es-MX"/>
        </w:rPr>
        <w:t>202</w:t>
      </w:r>
      <w:r w:rsidR="00F413C1" w:rsidRPr="00305D32">
        <w:rPr>
          <w:lang w:val="es-MX"/>
        </w:rPr>
        <w:t>5</w:t>
      </w:r>
      <w:r w:rsidRPr="00305D32">
        <w:rPr>
          <w:lang w:val="es-MX"/>
        </w:rPr>
        <w:t xml:space="preserve"> contemplaron medidas tributarias que fortalecieron la </w:t>
      </w:r>
      <w:r w:rsidR="0026603E">
        <w:rPr>
          <w:lang w:val="es-MX"/>
        </w:rPr>
        <w:t>H</w:t>
      </w:r>
      <w:r w:rsidRPr="00305D32">
        <w:rPr>
          <w:lang w:val="es-MX"/>
        </w:rPr>
        <w:t xml:space="preserve">acienda </w:t>
      </w:r>
      <w:r w:rsidR="0026603E">
        <w:rPr>
          <w:lang w:val="es-MX"/>
        </w:rPr>
        <w:t>E</w:t>
      </w:r>
      <w:r w:rsidRPr="00305D32">
        <w:rPr>
          <w:lang w:val="es-MX"/>
        </w:rPr>
        <w:t xml:space="preserve">statal, </w:t>
      </w:r>
      <w:r w:rsidR="00750C8D" w:rsidRPr="00750C8D">
        <w:rPr>
          <w:lang w:val="es-MX"/>
        </w:rPr>
        <w:t>con una visión de distribución del desarrollo económico en favor de la aplicación de políticas que beneficien a los sectores con menor ingreso y que encaminen al Estado hacia la recuperación de los niveles previos a la pandemia en materia de desarrollo social y económico. Para el Paquete Económico 2026</w:t>
      </w:r>
      <w:r w:rsidRPr="00305D32">
        <w:rPr>
          <w:lang w:val="es-MX"/>
        </w:rPr>
        <w:t xml:space="preserve"> </w:t>
      </w:r>
      <w:r w:rsidR="00150802" w:rsidRPr="00150802">
        <w:rPr>
          <w:lang w:val="es-MX"/>
        </w:rPr>
        <w:t>se busca mantener este esquema de crecimiento económico incluyente, con un énfasis en favorecer a la población con menores ingresos.</w:t>
      </w:r>
    </w:p>
    <w:p w14:paraId="4D0833D0" w14:textId="77777777" w:rsidR="00AE57F0" w:rsidRPr="00475C22" w:rsidRDefault="00414F7C">
      <w:pPr>
        <w:pStyle w:val="Ttulo2"/>
        <w:numPr>
          <w:ilvl w:val="1"/>
          <w:numId w:val="3"/>
        </w:numPr>
        <w:rPr>
          <w:lang w:val="es-MX"/>
        </w:rPr>
      </w:pPr>
      <w:r w:rsidRPr="00475C22">
        <w:rPr>
          <w:lang w:val="es-MX"/>
        </w:rPr>
        <w:lastRenderedPageBreak/>
        <w:t>Sector turístico</w:t>
      </w:r>
    </w:p>
    <w:p w14:paraId="4D0833D1" w14:textId="68356781" w:rsidR="00AE57F0" w:rsidRPr="00305D32" w:rsidRDefault="00414F7C">
      <w:pPr>
        <w:rPr>
          <w:lang w:val="es-MX"/>
        </w:rPr>
      </w:pPr>
      <w:r w:rsidRPr="00305D32">
        <w:rPr>
          <w:lang w:val="es-MX"/>
        </w:rPr>
        <w:t xml:space="preserve">Quintana Roo es la entidad </w:t>
      </w:r>
      <w:r w:rsidR="009711A7">
        <w:rPr>
          <w:lang w:val="es-MX"/>
        </w:rPr>
        <w:t xml:space="preserve">federativa </w:t>
      </w:r>
      <w:r w:rsidRPr="00305D32">
        <w:rPr>
          <w:lang w:val="es-MX"/>
        </w:rPr>
        <w:t>con mayor afluencia turística en el país, por lo que</w:t>
      </w:r>
      <w:r w:rsidR="00B474B6">
        <w:rPr>
          <w:lang w:val="es-MX"/>
        </w:rPr>
        <w:t xml:space="preserve"> </w:t>
      </w:r>
      <w:r w:rsidR="009711A7">
        <w:rPr>
          <w:lang w:val="es-MX"/>
        </w:rPr>
        <w:t>el monitoreo de</w:t>
      </w:r>
      <w:r w:rsidRPr="00305D32">
        <w:rPr>
          <w:lang w:val="es-MX"/>
        </w:rPr>
        <w:t xml:space="preserve"> sus indicadores permite </w:t>
      </w:r>
      <w:r w:rsidR="00B474B6">
        <w:rPr>
          <w:lang w:val="es-MX"/>
        </w:rPr>
        <w:t>conocer la evolución del</w:t>
      </w:r>
      <w:r w:rsidRPr="00305D32">
        <w:rPr>
          <w:lang w:val="es-MX"/>
        </w:rPr>
        <w:t xml:space="preserve"> sector, el cual es de vital importancia </w:t>
      </w:r>
      <w:r w:rsidR="007C7A0A">
        <w:rPr>
          <w:lang w:val="es-MX"/>
        </w:rPr>
        <w:t>para la economía estatal</w:t>
      </w:r>
      <w:r w:rsidRPr="00305D32">
        <w:rPr>
          <w:lang w:val="es-MX"/>
        </w:rPr>
        <w:t xml:space="preserve">. En este sentido, es importante resaltar que el </w:t>
      </w:r>
      <w:r w:rsidR="00237F79">
        <w:rPr>
          <w:lang w:val="es-MX"/>
        </w:rPr>
        <w:t>E</w:t>
      </w:r>
      <w:r w:rsidRPr="00305D32">
        <w:rPr>
          <w:lang w:val="es-MX"/>
        </w:rPr>
        <w:t xml:space="preserve">stado cuenta con </w:t>
      </w:r>
      <w:r w:rsidR="00237F79">
        <w:rPr>
          <w:lang w:val="es-MX"/>
        </w:rPr>
        <w:t xml:space="preserve">cuatro </w:t>
      </w:r>
      <w:r w:rsidRPr="00305D32">
        <w:rPr>
          <w:lang w:val="es-MX"/>
        </w:rPr>
        <w:t>aeropuertos internacionales ubicados en la</w:t>
      </w:r>
      <w:r w:rsidR="00F60555">
        <w:rPr>
          <w:lang w:val="es-MX"/>
        </w:rPr>
        <w:t>s</w:t>
      </w:r>
      <w:r w:rsidRPr="00305D32">
        <w:rPr>
          <w:lang w:val="es-MX"/>
        </w:rPr>
        <w:t xml:space="preserve"> ciudad</w:t>
      </w:r>
      <w:r w:rsidR="00F60555">
        <w:rPr>
          <w:lang w:val="es-MX"/>
        </w:rPr>
        <w:t>es</w:t>
      </w:r>
      <w:r w:rsidRPr="00305D32">
        <w:rPr>
          <w:lang w:val="es-MX"/>
        </w:rPr>
        <w:t xml:space="preserve"> de Cancún, Cozumel, Tulum y Chetumal, los cuales conectan a Quintana Roo con el resto del país y </w:t>
      </w:r>
      <w:r w:rsidR="00F60555">
        <w:rPr>
          <w:lang w:val="es-MX"/>
        </w:rPr>
        <w:t>con destinos internacionales</w:t>
      </w:r>
      <w:r w:rsidRPr="00305D32">
        <w:rPr>
          <w:lang w:val="es-MX"/>
        </w:rPr>
        <w:t xml:space="preserve">, </w:t>
      </w:r>
      <w:r w:rsidR="00330BB1">
        <w:rPr>
          <w:lang w:val="es-MX"/>
        </w:rPr>
        <w:t xml:space="preserve">impulsando </w:t>
      </w:r>
      <w:r w:rsidRPr="00305D32">
        <w:rPr>
          <w:lang w:val="es-MX"/>
        </w:rPr>
        <w:t xml:space="preserve">un mayor dinamismo </w:t>
      </w:r>
      <w:r w:rsidR="00330BB1">
        <w:rPr>
          <w:lang w:val="es-MX"/>
        </w:rPr>
        <w:t xml:space="preserve">económico, </w:t>
      </w:r>
      <w:r w:rsidRPr="00305D32">
        <w:rPr>
          <w:lang w:val="es-MX"/>
        </w:rPr>
        <w:t>tanto en el turismo como en las comunicaciones.</w:t>
      </w:r>
    </w:p>
    <w:p w14:paraId="4D0833D2" w14:textId="0FAFD7C0" w:rsidR="00AE57F0" w:rsidRPr="00305D32" w:rsidRDefault="00414F7C">
      <w:pPr>
        <w:rPr>
          <w:lang w:val="es-MX"/>
        </w:rPr>
      </w:pPr>
      <w:r w:rsidRPr="00305D32">
        <w:rPr>
          <w:lang w:val="es-MX"/>
        </w:rPr>
        <w:t xml:space="preserve">En la </w:t>
      </w:r>
      <w:r w:rsidR="001C196C" w:rsidRPr="00305D32">
        <w:rPr>
          <w:lang w:val="es-MX"/>
        </w:rPr>
        <w:fldChar w:fldCharType="begin"/>
      </w:r>
      <w:r w:rsidR="001C196C" w:rsidRPr="00305D32">
        <w:rPr>
          <w:lang w:val="es-MX"/>
        </w:rPr>
        <w:instrText xml:space="preserve"> REF _Ref210223334 \h </w:instrText>
      </w:r>
      <w:r w:rsidR="001C196C" w:rsidRPr="00305D32">
        <w:rPr>
          <w:lang w:val="es-MX"/>
        </w:rPr>
      </w:r>
      <w:r w:rsidR="001C196C" w:rsidRPr="00305D32">
        <w:rPr>
          <w:lang w:val="es-MX"/>
        </w:rPr>
        <w:fldChar w:fldCharType="separate"/>
      </w:r>
      <w:r w:rsidR="00ED1F2F" w:rsidRPr="00305D32">
        <w:rPr>
          <w:lang w:val="es-MX"/>
        </w:rPr>
        <w:t xml:space="preserve">Tabla </w:t>
      </w:r>
      <w:r w:rsidR="00ED1F2F">
        <w:rPr>
          <w:noProof/>
          <w:lang w:val="es-MX"/>
        </w:rPr>
        <w:t>8</w:t>
      </w:r>
      <w:r w:rsidR="001C196C" w:rsidRPr="00305D32">
        <w:rPr>
          <w:lang w:val="es-MX"/>
        </w:rPr>
        <w:fldChar w:fldCharType="end"/>
      </w:r>
      <w:r w:rsidRPr="00305D32">
        <w:rPr>
          <w:lang w:val="es-MX"/>
        </w:rPr>
        <w:t xml:space="preserve"> se presenta la evolución de la llegada de pasajeros al Aeropuerto Internacional de Cancún de enero a agosto de 202</w:t>
      </w:r>
      <w:r w:rsidR="00397EFA" w:rsidRPr="00305D32">
        <w:rPr>
          <w:lang w:val="es-MX"/>
        </w:rPr>
        <w:t>5</w:t>
      </w:r>
      <w:r w:rsidR="00794C6A">
        <w:rPr>
          <w:lang w:val="es-MX"/>
        </w:rPr>
        <w:t>. Se</w:t>
      </w:r>
      <w:r w:rsidRPr="00305D32">
        <w:rPr>
          <w:lang w:val="es-MX"/>
        </w:rPr>
        <w:t xml:space="preserve"> observa que la mayoría de los pasajeros que arriban </w:t>
      </w:r>
      <w:r w:rsidR="00F44CD3">
        <w:rPr>
          <w:lang w:val="es-MX"/>
        </w:rPr>
        <w:t>son de origen</w:t>
      </w:r>
      <w:r w:rsidRPr="00305D32">
        <w:rPr>
          <w:lang w:val="es-MX"/>
        </w:rPr>
        <w:t xml:space="preserve"> internacional ya que </w:t>
      </w:r>
      <w:r w:rsidR="00DF1306">
        <w:rPr>
          <w:lang w:val="es-MX"/>
        </w:rPr>
        <w:t>se registraron</w:t>
      </w:r>
      <w:r w:rsidRPr="00305D32">
        <w:rPr>
          <w:lang w:val="es-MX"/>
        </w:rPr>
        <w:t xml:space="preserve"> 1</w:t>
      </w:r>
      <w:r w:rsidR="006A35A2" w:rsidRPr="00305D32">
        <w:rPr>
          <w:lang w:val="es-MX"/>
        </w:rPr>
        <w:t>3</w:t>
      </w:r>
      <w:r w:rsidRPr="00305D32">
        <w:rPr>
          <w:lang w:val="es-MX"/>
        </w:rPr>
        <w:t>,</w:t>
      </w:r>
      <w:r w:rsidR="006A35A2" w:rsidRPr="00305D32">
        <w:rPr>
          <w:lang w:val="es-MX"/>
        </w:rPr>
        <w:t>776</w:t>
      </w:r>
      <w:r w:rsidRPr="00305D32">
        <w:rPr>
          <w:lang w:val="es-MX"/>
        </w:rPr>
        <w:t>,</w:t>
      </w:r>
      <w:r w:rsidR="006A35A2" w:rsidRPr="00305D32">
        <w:rPr>
          <w:lang w:val="es-MX"/>
        </w:rPr>
        <w:t>406</w:t>
      </w:r>
      <w:r w:rsidRPr="00305D32">
        <w:rPr>
          <w:lang w:val="es-MX"/>
        </w:rPr>
        <w:t xml:space="preserve"> pasajeros internacionales y 6,</w:t>
      </w:r>
      <w:r w:rsidR="00A928B1" w:rsidRPr="00305D32">
        <w:rPr>
          <w:lang w:val="es-MX"/>
        </w:rPr>
        <w:t>662</w:t>
      </w:r>
      <w:r w:rsidRPr="00305D32">
        <w:rPr>
          <w:lang w:val="es-MX"/>
        </w:rPr>
        <w:t>,0</w:t>
      </w:r>
      <w:r w:rsidR="00A928B1" w:rsidRPr="00305D32">
        <w:rPr>
          <w:lang w:val="es-MX"/>
        </w:rPr>
        <w:t>46</w:t>
      </w:r>
      <w:r w:rsidRPr="00305D32">
        <w:rPr>
          <w:lang w:val="es-MX"/>
        </w:rPr>
        <w:t xml:space="preserve"> pasajeros nacionales.</w:t>
      </w:r>
    </w:p>
    <w:p w14:paraId="4D0833D3" w14:textId="76FA50A9" w:rsidR="00AE57F0" w:rsidRPr="00305D32" w:rsidRDefault="00414F7C" w:rsidP="001C196C">
      <w:pPr>
        <w:pStyle w:val="Descripcin"/>
        <w:jc w:val="center"/>
        <w:rPr>
          <w:color w:val="000000"/>
          <w:lang w:val="es-MX"/>
        </w:rPr>
      </w:pPr>
      <w:bookmarkStart w:id="76" w:name="_heading=h.3jtnz0s" w:colFirst="0" w:colLast="0"/>
      <w:bookmarkStart w:id="77" w:name="_Ref210223334"/>
      <w:bookmarkEnd w:id="76"/>
      <w:r w:rsidRPr="00305D32">
        <w:rPr>
          <w:lang w:val="es-MX"/>
        </w:rPr>
        <w:t xml:space="preserve">Tabla </w:t>
      </w:r>
      <w:r w:rsidR="001C196C" w:rsidRPr="00305D32">
        <w:rPr>
          <w:lang w:val="es-MX"/>
        </w:rPr>
        <w:fldChar w:fldCharType="begin"/>
      </w:r>
      <w:r w:rsidR="001C196C" w:rsidRPr="00305D32">
        <w:rPr>
          <w:lang w:val="es-MX"/>
        </w:rPr>
        <w:instrText xml:space="preserve"> SEQ Tabla \* ARABIC </w:instrText>
      </w:r>
      <w:r w:rsidR="001C196C" w:rsidRPr="00305D32">
        <w:rPr>
          <w:lang w:val="es-MX"/>
        </w:rPr>
        <w:fldChar w:fldCharType="separate"/>
      </w:r>
      <w:r w:rsidR="00ED1F2F">
        <w:rPr>
          <w:noProof/>
          <w:lang w:val="es-MX"/>
        </w:rPr>
        <w:t>8</w:t>
      </w:r>
      <w:r w:rsidR="001C196C" w:rsidRPr="00305D32">
        <w:rPr>
          <w:lang w:val="es-MX"/>
        </w:rPr>
        <w:fldChar w:fldCharType="end"/>
      </w:r>
      <w:bookmarkEnd w:id="77"/>
      <w:r w:rsidRPr="00305D32">
        <w:rPr>
          <w:color w:val="000000"/>
          <w:lang w:val="es-MX"/>
        </w:rPr>
        <w:t>. Pasajeros nacionales y extranjeros que llegaron al aeropuerto de Cancún, 202</w:t>
      </w:r>
      <w:r w:rsidR="00375B68" w:rsidRPr="00305D32">
        <w:rPr>
          <w:color w:val="000000"/>
          <w:lang w:val="es-MX"/>
        </w:rPr>
        <w:t>3</w:t>
      </w:r>
      <w:r w:rsidRPr="00305D32">
        <w:rPr>
          <w:color w:val="000000"/>
          <w:lang w:val="es-MX"/>
        </w:rPr>
        <w:t>-202</w:t>
      </w:r>
      <w:r w:rsidR="000D0DE3" w:rsidRPr="00305D32">
        <w:rPr>
          <w:color w:val="000000"/>
          <w:lang w:val="es-MX"/>
        </w:rPr>
        <w:t>4</w:t>
      </w:r>
      <w:r w:rsidRPr="00305D32">
        <w:rPr>
          <w:color w:val="000000"/>
          <w:lang w:val="es-MX"/>
        </w:rPr>
        <w:t xml:space="preserve"> y enero-agosto 202</w:t>
      </w:r>
      <w:r w:rsidR="009E4A88" w:rsidRPr="00305D32">
        <w:rPr>
          <w:color w:val="000000"/>
          <w:lang w:val="es-MX"/>
        </w:rPr>
        <w:t>5</w:t>
      </w:r>
    </w:p>
    <w:tbl>
      <w:tblPr>
        <w:tblStyle w:val="a6"/>
        <w:tblW w:w="8682" w:type="dxa"/>
        <w:jc w:val="center"/>
        <w:tblInd w:w="0" w:type="dxa"/>
        <w:tblLayout w:type="fixed"/>
        <w:tblLook w:val="0400" w:firstRow="0" w:lastRow="0" w:firstColumn="0" w:lastColumn="0" w:noHBand="0" w:noVBand="1"/>
      </w:tblPr>
      <w:tblGrid>
        <w:gridCol w:w="2169"/>
        <w:gridCol w:w="2169"/>
        <w:gridCol w:w="2169"/>
        <w:gridCol w:w="2175"/>
      </w:tblGrid>
      <w:tr w:rsidR="00AE57F0" w:rsidRPr="00305D32" w14:paraId="4D0833D8" w14:textId="77777777" w:rsidTr="009470D0">
        <w:trPr>
          <w:trHeight w:val="178"/>
          <w:tblHeader/>
          <w:jc w:val="center"/>
        </w:trPr>
        <w:tc>
          <w:tcPr>
            <w:tcW w:w="2169" w:type="dxa"/>
            <w:tcBorders>
              <w:top w:val="single" w:sz="12" w:space="0" w:color="000000"/>
              <w:left w:val="nil"/>
              <w:bottom w:val="single" w:sz="12" w:space="0" w:color="000000"/>
              <w:right w:val="nil"/>
            </w:tcBorders>
            <w:vAlign w:val="center"/>
          </w:tcPr>
          <w:p w14:paraId="4D0833D4" w14:textId="77777777"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Periodo</w:t>
            </w:r>
          </w:p>
        </w:tc>
        <w:tc>
          <w:tcPr>
            <w:tcW w:w="2169" w:type="dxa"/>
            <w:tcBorders>
              <w:top w:val="single" w:sz="12" w:space="0" w:color="000000"/>
              <w:left w:val="nil"/>
              <w:bottom w:val="single" w:sz="12" w:space="0" w:color="000000"/>
              <w:right w:val="nil"/>
            </w:tcBorders>
            <w:vAlign w:val="center"/>
          </w:tcPr>
          <w:p w14:paraId="4D0833D5" w14:textId="77777777"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Nacional</w:t>
            </w:r>
          </w:p>
        </w:tc>
        <w:tc>
          <w:tcPr>
            <w:tcW w:w="2169" w:type="dxa"/>
            <w:tcBorders>
              <w:top w:val="single" w:sz="12" w:space="0" w:color="000000"/>
              <w:left w:val="nil"/>
              <w:bottom w:val="single" w:sz="12" w:space="0" w:color="000000"/>
              <w:right w:val="nil"/>
            </w:tcBorders>
            <w:vAlign w:val="center"/>
          </w:tcPr>
          <w:p w14:paraId="4D0833D6" w14:textId="77777777"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Internacional</w:t>
            </w:r>
          </w:p>
        </w:tc>
        <w:tc>
          <w:tcPr>
            <w:tcW w:w="2175" w:type="dxa"/>
            <w:tcBorders>
              <w:top w:val="single" w:sz="12" w:space="0" w:color="000000"/>
              <w:left w:val="nil"/>
              <w:bottom w:val="single" w:sz="12" w:space="0" w:color="000000"/>
              <w:right w:val="nil"/>
            </w:tcBorders>
            <w:vAlign w:val="center"/>
          </w:tcPr>
          <w:p w14:paraId="4D0833D7" w14:textId="77777777"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Total</w:t>
            </w:r>
          </w:p>
        </w:tc>
      </w:tr>
      <w:tr w:rsidR="00AE57F0" w:rsidRPr="00305D32" w14:paraId="4D0833DA" w14:textId="77777777" w:rsidTr="009470D0">
        <w:trPr>
          <w:trHeight w:val="210"/>
          <w:jc w:val="center"/>
        </w:trPr>
        <w:tc>
          <w:tcPr>
            <w:tcW w:w="8682" w:type="dxa"/>
            <w:gridSpan w:val="4"/>
            <w:tcBorders>
              <w:top w:val="single" w:sz="12" w:space="0" w:color="000000"/>
              <w:left w:val="nil"/>
              <w:bottom w:val="single" w:sz="4" w:space="0" w:color="auto"/>
              <w:right w:val="nil"/>
            </w:tcBorders>
            <w:vAlign w:val="center"/>
          </w:tcPr>
          <w:p w14:paraId="4D0833D9" w14:textId="77777777"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Anual</w:t>
            </w:r>
          </w:p>
        </w:tc>
      </w:tr>
      <w:tr w:rsidR="00A80862" w:rsidRPr="00305D32" w14:paraId="4D0833DF" w14:textId="77777777" w:rsidTr="009470D0">
        <w:trPr>
          <w:trHeight w:val="357"/>
          <w:jc w:val="center"/>
        </w:trPr>
        <w:tc>
          <w:tcPr>
            <w:tcW w:w="2169" w:type="dxa"/>
            <w:tcBorders>
              <w:top w:val="single" w:sz="4" w:space="0" w:color="auto"/>
              <w:left w:val="nil"/>
              <w:bottom w:val="nil"/>
              <w:right w:val="nil"/>
            </w:tcBorders>
            <w:vAlign w:val="center"/>
          </w:tcPr>
          <w:p w14:paraId="4D0833DB" w14:textId="7FC8B788" w:rsidR="00A80862" w:rsidRPr="00305D32" w:rsidRDefault="00A80862" w:rsidP="00A80862">
            <w:pPr>
              <w:spacing w:after="0" w:line="240" w:lineRule="auto"/>
              <w:jc w:val="center"/>
              <w:rPr>
                <w:color w:val="000000"/>
                <w:sz w:val="20"/>
                <w:szCs w:val="20"/>
                <w:lang w:val="es-MX"/>
              </w:rPr>
            </w:pPr>
            <w:r w:rsidRPr="00305D32">
              <w:rPr>
                <w:color w:val="000000"/>
                <w:sz w:val="20"/>
                <w:szCs w:val="20"/>
                <w:lang w:val="es-MX"/>
              </w:rPr>
              <w:t>202</w:t>
            </w:r>
            <w:r w:rsidR="00A13914" w:rsidRPr="00305D32">
              <w:rPr>
                <w:color w:val="000000"/>
                <w:sz w:val="20"/>
                <w:szCs w:val="20"/>
                <w:lang w:val="es-MX"/>
              </w:rPr>
              <w:t>3</w:t>
            </w:r>
          </w:p>
        </w:tc>
        <w:tc>
          <w:tcPr>
            <w:tcW w:w="2169" w:type="dxa"/>
            <w:tcBorders>
              <w:top w:val="single" w:sz="4" w:space="0" w:color="auto"/>
              <w:left w:val="nil"/>
              <w:bottom w:val="nil"/>
              <w:right w:val="nil"/>
            </w:tcBorders>
            <w:vAlign w:val="center"/>
          </w:tcPr>
          <w:p w14:paraId="4D0833DC" w14:textId="029F5EBD" w:rsidR="00A80862" w:rsidRPr="00305D32" w:rsidRDefault="00A80862" w:rsidP="00747EA8">
            <w:pPr>
              <w:spacing w:after="0" w:line="240" w:lineRule="auto"/>
              <w:jc w:val="center"/>
              <w:rPr>
                <w:color w:val="000000"/>
                <w:sz w:val="20"/>
                <w:szCs w:val="20"/>
                <w:lang w:val="es-MX"/>
              </w:rPr>
            </w:pPr>
            <w:r w:rsidRPr="00305D32">
              <w:rPr>
                <w:sz w:val="20"/>
                <w:szCs w:val="20"/>
                <w:lang w:val="es-MX"/>
              </w:rPr>
              <w:t>11,842,217</w:t>
            </w:r>
          </w:p>
        </w:tc>
        <w:tc>
          <w:tcPr>
            <w:tcW w:w="2169" w:type="dxa"/>
            <w:tcBorders>
              <w:top w:val="single" w:sz="4" w:space="0" w:color="auto"/>
              <w:left w:val="nil"/>
              <w:bottom w:val="nil"/>
              <w:right w:val="nil"/>
            </w:tcBorders>
            <w:vAlign w:val="center"/>
          </w:tcPr>
          <w:p w14:paraId="4D0833DD" w14:textId="69CB87BB" w:rsidR="00A80862" w:rsidRPr="00305D32" w:rsidRDefault="00A80862" w:rsidP="00747EA8">
            <w:pPr>
              <w:spacing w:after="0" w:line="240" w:lineRule="auto"/>
              <w:jc w:val="center"/>
              <w:rPr>
                <w:color w:val="000000"/>
                <w:sz w:val="20"/>
                <w:szCs w:val="20"/>
                <w:lang w:val="es-MX"/>
              </w:rPr>
            </w:pPr>
            <w:r w:rsidRPr="00305D32">
              <w:rPr>
                <w:sz w:val="20"/>
                <w:szCs w:val="20"/>
                <w:lang w:val="es-MX"/>
              </w:rPr>
              <w:t>20,908,196</w:t>
            </w:r>
          </w:p>
        </w:tc>
        <w:tc>
          <w:tcPr>
            <w:tcW w:w="2175" w:type="dxa"/>
            <w:tcBorders>
              <w:top w:val="single" w:sz="4" w:space="0" w:color="auto"/>
              <w:left w:val="nil"/>
              <w:bottom w:val="nil"/>
              <w:right w:val="nil"/>
            </w:tcBorders>
            <w:vAlign w:val="center"/>
          </w:tcPr>
          <w:p w14:paraId="4D0833DE" w14:textId="1ABA2FE2" w:rsidR="00A80862" w:rsidRPr="00305D32" w:rsidRDefault="00A80862" w:rsidP="00747EA8">
            <w:pPr>
              <w:spacing w:after="0" w:line="240" w:lineRule="auto"/>
              <w:jc w:val="center"/>
              <w:rPr>
                <w:color w:val="000000"/>
                <w:sz w:val="20"/>
                <w:szCs w:val="20"/>
                <w:lang w:val="es-MX"/>
              </w:rPr>
            </w:pPr>
            <w:r w:rsidRPr="00305D32">
              <w:rPr>
                <w:sz w:val="20"/>
                <w:szCs w:val="20"/>
                <w:lang w:val="es-MX"/>
              </w:rPr>
              <w:t>32,750,413</w:t>
            </w:r>
          </w:p>
        </w:tc>
      </w:tr>
      <w:tr w:rsidR="00A80862" w:rsidRPr="00305D32" w14:paraId="4D0833E4" w14:textId="77777777" w:rsidTr="009470D0">
        <w:trPr>
          <w:trHeight w:val="357"/>
          <w:jc w:val="center"/>
        </w:trPr>
        <w:tc>
          <w:tcPr>
            <w:tcW w:w="2169" w:type="dxa"/>
            <w:tcBorders>
              <w:top w:val="nil"/>
              <w:left w:val="nil"/>
              <w:bottom w:val="single" w:sz="4" w:space="0" w:color="auto"/>
              <w:right w:val="nil"/>
            </w:tcBorders>
            <w:vAlign w:val="center"/>
          </w:tcPr>
          <w:p w14:paraId="4D0833E0" w14:textId="7737C02C" w:rsidR="00A80862" w:rsidRPr="00305D32" w:rsidRDefault="00A80862" w:rsidP="00A80862">
            <w:pPr>
              <w:spacing w:after="0" w:line="240" w:lineRule="auto"/>
              <w:jc w:val="center"/>
              <w:rPr>
                <w:color w:val="000000"/>
                <w:sz w:val="20"/>
                <w:szCs w:val="20"/>
                <w:lang w:val="es-MX"/>
              </w:rPr>
            </w:pPr>
            <w:r w:rsidRPr="00305D32">
              <w:rPr>
                <w:color w:val="000000"/>
                <w:sz w:val="20"/>
                <w:szCs w:val="20"/>
                <w:lang w:val="es-MX"/>
              </w:rPr>
              <w:t>202</w:t>
            </w:r>
            <w:r w:rsidR="00A13914" w:rsidRPr="00305D32">
              <w:rPr>
                <w:color w:val="000000"/>
                <w:sz w:val="20"/>
                <w:szCs w:val="20"/>
                <w:lang w:val="es-MX"/>
              </w:rPr>
              <w:t>4</w:t>
            </w:r>
          </w:p>
        </w:tc>
        <w:tc>
          <w:tcPr>
            <w:tcW w:w="2169" w:type="dxa"/>
            <w:tcBorders>
              <w:top w:val="nil"/>
              <w:left w:val="nil"/>
              <w:bottom w:val="single" w:sz="4" w:space="0" w:color="auto"/>
              <w:right w:val="nil"/>
            </w:tcBorders>
            <w:vAlign w:val="center"/>
          </w:tcPr>
          <w:p w14:paraId="4D0833E1" w14:textId="68781C49" w:rsidR="00A80862" w:rsidRPr="00305D32" w:rsidRDefault="00A80862" w:rsidP="00747EA8">
            <w:pPr>
              <w:spacing w:after="0" w:line="240" w:lineRule="auto"/>
              <w:jc w:val="center"/>
              <w:rPr>
                <w:color w:val="000000"/>
                <w:sz w:val="20"/>
                <w:szCs w:val="20"/>
                <w:lang w:val="es-MX"/>
              </w:rPr>
            </w:pPr>
            <w:r w:rsidRPr="00305D32">
              <w:rPr>
                <w:sz w:val="20"/>
                <w:szCs w:val="20"/>
                <w:lang w:val="es-MX"/>
              </w:rPr>
              <w:t>10,236,245</w:t>
            </w:r>
          </w:p>
        </w:tc>
        <w:tc>
          <w:tcPr>
            <w:tcW w:w="2169" w:type="dxa"/>
            <w:tcBorders>
              <w:top w:val="nil"/>
              <w:left w:val="nil"/>
              <w:bottom w:val="single" w:sz="4" w:space="0" w:color="auto"/>
              <w:right w:val="nil"/>
            </w:tcBorders>
            <w:vAlign w:val="center"/>
          </w:tcPr>
          <w:p w14:paraId="4D0833E2" w14:textId="161606A9" w:rsidR="00A80862" w:rsidRPr="00305D32" w:rsidRDefault="00A80862" w:rsidP="00747EA8">
            <w:pPr>
              <w:spacing w:after="0" w:line="240" w:lineRule="auto"/>
              <w:jc w:val="center"/>
              <w:rPr>
                <w:color w:val="000000"/>
                <w:sz w:val="20"/>
                <w:szCs w:val="20"/>
                <w:lang w:val="es-MX"/>
              </w:rPr>
            </w:pPr>
            <w:r w:rsidRPr="00305D32">
              <w:rPr>
                <w:sz w:val="20"/>
                <w:szCs w:val="20"/>
                <w:lang w:val="es-MX"/>
              </w:rPr>
              <w:t>20,175,568</w:t>
            </w:r>
          </w:p>
        </w:tc>
        <w:tc>
          <w:tcPr>
            <w:tcW w:w="2175" w:type="dxa"/>
            <w:tcBorders>
              <w:top w:val="nil"/>
              <w:left w:val="nil"/>
              <w:bottom w:val="single" w:sz="4" w:space="0" w:color="auto"/>
              <w:right w:val="nil"/>
            </w:tcBorders>
            <w:vAlign w:val="center"/>
          </w:tcPr>
          <w:p w14:paraId="4D0833E3" w14:textId="31251A7A" w:rsidR="00A80862" w:rsidRPr="00305D32" w:rsidRDefault="00A80862" w:rsidP="00747EA8">
            <w:pPr>
              <w:spacing w:after="0" w:line="240" w:lineRule="auto"/>
              <w:jc w:val="center"/>
              <w:rPr>
                <w:color w:val="000000"/>
                <w:sz w:val="20"/>
                <w:szCs w:val="20"/>
                <w:lang w:val="es-MX"/>
              </w:rPr>
            </w:pPr>
            <w:r w:rsidRPr="00305D32">
              <w:rPr>
                <w:sz w:val="20"/>
                <w:szCs w:val="20"/>
                <w:lang w:val="es-MX"/>
              </w:rPr>
              <w:t>30,411,813</w:t>
            </w:r>
          </w:p>
        </w:tc>
      </w:tr>
      <w:tr w:rsidR="00AE57F0" w:rsidRPr="00305D32" w14:paraId="4D0833E8" w14:textId="77777777" w:rsidTr="009470D0">
        <w:trPr>
          <w:trHeight w:val="231"/>
          <w:jc w:val="center"/>
        </w:trPr>
        <w:tc>
          <w:tcPr>
            <w:tcW w:w="8682" w:type="dxa"/>
            <w:gridSpan w:val="4"/>
            <w:tcBorders>
              <w:top w:val="single" w:sz="4" w:space="0" w:color="auto"/>
              <w:left w:val="nil"/>
              <w:bottom w:val="single" w:sz="4" w:space="0" w:color="auto"/>
              <w:right w:val="nil"/>
            </w:tcBorders>
            <w:vAlign w:val="center"/>
          </w:tcPr>
          <w:p w14:paraId="4D0833E7" w14:textId="5BD52BF1"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 xml:space="preserve">Enero </w:t>
            </w:r>
            <w:r w:rsidR="00A13914" w:rsidRPr="00305D32">
              <w:rPr>
                <w:b/>
                <w:color w:val="000000"/>
                <w:sz w:val="20"/>
                <w:szCs w:val="20"/>
                <w:lang w:val="es-MX"/>
              </w:rPr>
              <w:t>–</w:t>
            </w:r>
            <w:r w:rsidRPr="00305D32">
              <w:rPr>
                <w:b/>
                <w:color w:val="000000"/>
                <w:sz w:val="20"/>
                <w:szCs w:val="20"/>
                <w:lang w:val="es-MX"/>
              </w:rPr>
              <w:t xml:space="preserve"> Agosto</w:t>
            </w:r>
          </w:p>
        </w:tc>
      </w:tr>
      <w:tr w:rsidR="00747EA8" w:rsidRPr="00305D32" w14:paraId="4D0833ED" w14:textId="77777777" w:rsidTr="009470D0">
        <w:trPr>
          <w:trHeight w:val="357"/>
          <w:jc w:val="center"/>
        </w:trPr>
        <w:tc>
          <w:tcPr>
            <w:tcW w:w="2169" w:type="dxa"/>
            <w:tcBorders>
              <w:top w:val="single" w:sz="4" w:space="0" w:color="auto"/>
              <w:left w:val="nil"/>
              <w:bottom w:val="nil"/>
              <w:right w:val="nil"/>
            </w:tcBorders>
            <w:vAlign w:val="center"/>
          </w:tcPr>
          <w:p w14:paraId="4D0833E9" w14:textId="695114BA" w:rsidR="00747EA8" w:rsidRPr="00305D32" w:rsidRDefault="00747EA8" w:rsidP="00747EA8">
            <w:pPr>
              <w:spacing w:after="0" w:line="240" w:lineRule="auto"/>
              <w:jc w:val="center"/>
              <w:rPr>
                <w:color w:val="000000"/>
                <w:sz w:val="20"/>
                <w:szCs w:val="20"/>
                <w:lang w:val="es-MX"/>
              </w:rPr>
            </w:pPr>
            <w:r w:rsidRPr="00305D32">
              <w:rPr>
                <w:color w:val="000000"/>
                <w:sz w:val="20"/>
                <w:szCs w:val="20"/>
                <w:lang w:val="es-MX"/>
              </w:rPr>
              <w:t>202</w:t>
            </w:r>
            <w:r w:rsidR="00FD02F5" w:rsidRPr="00305D32">
              <w:rPr>
                <w:color w:val="000000"/>
                <w:sz w:val="20"/>
                <w:szCs w:val="20"/>
                <w:lang w:val="es-MX"/>
              </w:rPr>
              <w:t>3</w:t>
            </w:r>
          </w:p>
        </w:tc>
        <w:tc>
          <w:tcPr>
            <w:tcW w:w="2169" w:type="dxa"/>
            <w:tcBorders>
              <w:top w:val="single" w:sz="4" w:space="0" w:color="auto"/>
              <w:left w:val="nil"/>
              <w:bottom w:val="nil"/>
              <w:right w:val="nil"/>
            </w:tcBorders>
            <w:vAlign w:val="center"/>
          </w:tcPr>
          <w:p w14:paraId="4D0833EA" w14:textId="45A13F55" w:rsidR="00747EA8" w:rsidRPr="00305D32" w:rsidRDefault="00747EA8" w:rsidP="00747EA8">
            <w:pPr>
              <w:spacing w:after="0" w:line="240" w:lineRule="auto"/>
              <w:jc w:val="center"/>
              <w:rPr>
                <w:color w:val="000000"/>
                <w:sz w:val="20"/>
                <w:szCs w:val="20"/>
                <w:lang w:val="es-MX"/>
              </w:rPr>
            </w:pPr>
            <w:r w:rsidRPr="00305D32">
              <w:rPr>
                <w:sz w:val="20"/>
                <w:szCs w:val="20"/>
                <w:lang w:val="es-MX"/>
              </w:rPr>
              <w:t>7,875,338</w:t>
            </w:r>
          </w:p>
        </w:tc>
        <w:tc>
          <w:tcPr>
            <w:tcW w:w="2169" w:type="dxa"/>
            <w:tcBorders>
              <w:top w:val="single" w:sz="4" w:space="0" w:color="auto"/>
              <w:left w:val="nil"/>
              <w:bottom w:val="nil"/>
              <w:right w:val="nil"/>
            </w:tcBorders>
            <w:vAlign w:val="center"/>
          </w:tcPr>
          <w:p w14:paraId="4D0833EB" w14:textId="75CFF0CB" w:rsidR="00747EA8" w:rsidRPr="00305D32" w:rsidRDefault="00747EA8" w:rsidP="00747EA8">
            <w:pPr>
              <w:spacing w:after="0" w:line="240" w:lineRule="auto"/>
              <w:jc w:val="center"/>
              <w:rPr>
                <w:color w:val="000000"/>
                <w:sz w:val="20"/>
                <w:szCs w:val="20"/>
                <w:lang w:val="es-MX"/>
              </w:rPr>
            </w:pPr>
            <w:r w:rsidRPr="00305D32">
              <w:rPr>
                <w:sz w:val="20"/>
                <w:szCs w:val="20"/>
                <w:lang w:val="es-MX"/>
              </w:rPr>
              <w:t>14,570,431</w:t>
            </w:r>
          </w:p>
        </w:tc>
        <w:tc>
          <w:tcPr>
            <w:tcW w:w="2175" w:type="dxa"/>
            <w:tcBorders>
              <w:top w:val="single" w:sz="4" w:space="0" w:color="auto"/>
              <w:left w:val="nil"/>
              <w:bottom w:val="nil"/>
              <w:right w:val="nil"/>
            </w:tcBorders>
            <w:vAlign w:val="center"/>
          </w:tcPr>
          <w:p w14:paraId="4D0833EC" w14:textId="7C69F7C4" w:rsidR="00747EA8" w:rsidRPr="00305D32" w:rsidRDefault="00747EA8" w:rsidP="00747EA8">
            <w:pPr>
              <w:spacing w:after="0" w:line="240" w:lineRule="auto"/>
              <w:jc w:val="center"/>
              <w:rPr>
                <w:color w:val="000000"/>
                <w:sz w:val="20"/>
                <w:szCs w:val="20"/>
                <w:lang w:val="es-MX"/>
              </w:rPr>
            </w:pPr>
            <w:r w:rsidRPr="00305D32">
              <w:rPr>
                <w:sz w:val="20"/>
                <w:szCs w:val="20"/>
                <w:lang w:val="es-MX"/>
              </w:rPr>
              <w:t>22,445,769</w:t>
            </w:r>
          </w:p>
        </w:tc>
      </w:tr>
      <w:tr w:rsidR="00747EA8" w:rsidRPr="00305D32" w14:paraId="4D0833F2" w14:textId="77777777" w:rsidTr="00747EA8">
        <w:trPr>
          <w:trHeight w:val="357"/>
          <w:jc w:val="center"/>
        </w:trPr>
        <w:tc>
          <w:tcPr>
            <w:tcW w:w="2169" w:type="dxa"/>
            <w:tcBorders>
              <w:top w:val="nil"/>
              <w:left w:val="nil"/>
              <w:bottom w:val="nil"/>
              <w:right w:val="nil"/>
            </w:tcBorders>
            <w:vAlign w:val="center"/>
          </w:tcPr>
          <w:p w14:paraId="4D0833EE" w14:textId="7F96369C" w:rsidR="00747EA8" w:rsidRPr="00305D32" w:rsidRDefault="00747EA8" w:rsidP="00747EA8">
            <w:pPr>
              <w:spacing w:after="0" w:line="240" w:lineRule="auto"/>
              <w:jc w:val="center"/>
              <w:rPr>
                <w:color w:val="000000"/>
                <w:sz w:val="20"/>
                <w:szCs w:val="20"/>
                <w:lang w:val="es-MX"/>
              </w:rPr>
            </w:pPr>
            <w:r w:rsidRPr="00305D32">
              <w:rPr>
                <w:color w:val="000000"/>
                <w:sz w:val="20"/>
                <w:szCs w:val="20"/>
                <w:lang w:val="es-MX"/>
              </w:rPr>
              <w:t>202</w:t>
            </w:r>
            <w:r w:rsidR="00FD02F5" w:rsidRPr="00305D32">
              <w:rPr>
                <w:color w:val="000000"/>
                <w:sz w:val="20"/>
                <w:szCs w:val="20"/>
                <w:lang w:val="es-MX"/>
              </w:rPr>
              <w:t>4</w:t>
            </w:r>
          </w:p>
        </w:tc>
        <w:tc>
          <w:tcPr>
            <w:tcW w:w="2169" w:type="dxa"/>
            <w:tcBorders>
              <w:top w:val="nil"/>
              <w:left w:val="nil"/>
              <w:bottom w:val="nil"/>
              <w:right w:val="nil"/>
            </w:tcBorders>
            <w:vAlign w:val="center"/>
          </w:tcPr>
          <w:p w14:paraId="4D0833EF" w14:textId="791A2314" w:rsidR="00747EA8" w:rsidRPr="00305D32" w:rsidRDefault="00747EA8" w:rsidP="00747EA8">
            <w:pPr>
              <w:spacing w:after="0" w:line="240" w:lineRule="auto"/>
              <w:jc w:val="center"/>
              <w:rPr>
                <w:color w:val="000000"/>
                <w:sz w:val="20"/>
                <w:szCs w:val="20"/>
                <w:lang w:val="es-MX"/>
              </w:rPr>
            </w:pPr>
            <w:r w:rsidRPr="00305D32">
              <w:rPr>
                <w:sz w:val="20"/>
                <w:szCs w:val="20"/>
                <w:lang w:val="es-MX"/>
              </w:rPr>
              <w:t>6,789,074</w:t>
            </w:r>
          </w:p>
        </w:tc>
        <w:tc>
          <w:tcPr>
            <w:tcW w:w="2169" w:type="dxa"/>
            <w:tcBorders>
              <w:top w:val="nil"/>
              <w:left w:val="nil"/>
              <w:bottom w:val="nil"/>
              <w:right w:val="nil"/>
            </w:tcBorders>
            <w:vAlign w:val="center"/>
          </w:tcPr>
          <w:p w14:paraId="4D0833F0" w14:textId="4AB832DC" w:rsidR="00747EA8" w:rsidRPr="00305D32" w:rsidRDefault="00747EA8" w:rsidP="00747EA8">
            <w:pPr>
              <w:spacing w:after="0" w:line="240" w:lineRule="auto"/>
              <w:jc w:val="center"/>
              <w:rPr>
                <w:color w:val="000000"/>
                <w:sz w:val="20"/>
                <w:szCs w:val="20"/>
                <w:lang w:val="es-MX"/>
              </w:rPr>
            </w:pPr>
            <w:r w:rsidRPr="00305D32">
              <w:rPr>
                <w:sz w:val="20"/>
                <w:szCs w:val="20"/>
                <w:lang w:val="es-MX"/>
              </w:rPr>
              <w:t>14,425,550</w:t>
            </w:r>
          </w:p>
        </w:tc>
        <w:tc>
          <w:tcPr>
            <w:tcW w:w="2175" w:type="dxa"/>
            <w:tcBorders>
              <w:top w:val="nil"/>
              <w:left w:val="nil"/>
              <w:bottom w:val="nil"/>
              <w:right w:val="nil"/>
            </w:tcBorders>
            <w:vAlign w:val="center"/>
          </w:tcPr>
          <w:p w14:paraId="4D0833F1" w14:textId="3E0AB1C1" w:rsidR="00747EA8" w:rsidRPr="00305D32" w:rsidRDefault="00747EA8" w:rsidP="00747EA8">
            <w:pPr>
              <w:spacing w:after="0" w:line="240" w:lineRule="auto"/>
              <w:jc w:val="center"/>
              <w:rPr>
                <w:color w:val="000000"/>
                <w:sz w:val="20"/>
                <w:szCs w:val="20"/>
                <w:lang w:val="es-MX"/>
              </w:rPr>
            </w:pPr>
            <w:r w:rsidRPr="00305D32">
              <w:rPr>
                <w:sz w:val="20"/>
                <w:szCs w:val="20"/>
                <w:lang w:val="es-MX"/>
              </w:rPr>
              <w:t>21,214,624</w:t>
            </w:r>
          </w:p>
        </w:tc>
      </w:tr>
      <w:tr w:rsidR="00747EA8" w:rsidRPr="00305D32" w14:paraId="4D0833F7" w14:textId="77777777" w:rsidTr="00747EA8">
        <w:trPr>
          <w:trHeight w:val="372"/>
          <w:jc w:val="center"/>
        </w:trPr>
        <w:tc>
          <w:tcPr>
            <w:tcW w:w="2169" w:type="dxa"/>
            <w:tcBorders>
              <w:top w:val="nil"/>
              <w:left w:val="nil"/>
              <w:bottom w:val="single" w:sz="12" w:space="0" w:color="000000"/>
              <w:right w:val="nil"/>
            </w:tcBorders>
            <w:vAlign w:val="center"/>
          </w:tcPr>
          <w:p w14:paraId="4D0833F3" w14:textId="3BD5394A" w:rsidR="00747EA8" w:rsidRPr="00305D32" w:rsidRDefault="00747EA8" w:rsidP="00747EA8">
            <w:pPr>
              <w:spacing w:after="0" w:line="240" w:lineRule="auto"/>
              <w:jc w:val="center"/>
              <w:rPr>
                <w:color w:val="000000"/>
                <w:sz w:val="20"/>
                <w:szCs w:val="20"/>
                <w:lang w:val="es-MX"/>
              </w:rPr>
            </w:pPr>
            <w:r w:rsidRPr="00305D32">
              <w:rPr>
                <w:color w:val="000000"/>
                <w:sz w:val="20"/>
                <w:szCs w:val="20"/>
                <w:lang w:val="es-MX"/>
              </w:rPr>
              <w:t>202</w:t>
            </w:r>
            <w:r w:rsidR="00FD02F5" w:rsidRPr="00305D32">
              <w:rPr>
                <w:color w:val="000000"/>
                <w:sz w:val="20"/>
                <w:szCs w:val="20"/>
                <w:lang w:val="es-MX"/>
              </w:rPr>
              <w:t>5</w:t>
            </w:r>
          </w:p>
        </w:tc>
        <w:tc>
          <w:tcPr>
            <w:tcW w:w="2169" w:type="dxa"/>
            <w:tcBorders>
              <w:top w:val="nil"/>
              <w:left w:val="nil"/>
              <w:bottom w:val="single" w:sz="12" w:space="0" w:color="000000"/>
              <w:right w:val="nil"/>
            </w:tcBorders>
            <w:vAlign w:val="center"/>
          </w:tcPr>
          <w:p w14:paraId="4D0833F4" w14:textId="540D4A93" w:rsidR="00747EA8" w:rsidRPr="00305D32" w:rsidRDefault="00747EA8" w:rsidP="00747EA8">
            <w:pPr>
              <w:spacing w:after="0" w:line="240" w:lineRule="auto"/>
              <w:jc w:val="center"/>
              <w:rPr>
                <w:color w:val="000000"/>
                <w:sz w:val="20"/>
                <w:szCs w:val="20"/>
                <w:lang w:val="es-MX"/>
              </w:rPr>
            </w:pPr>
            <w:r w:rsidRPr="00305D32">
              <w:rPr>
                <w:sz w:val="20"/>
                <w:szCs w:val="20"/>
                <w:lang w:val="es-MX"/>
              </w:rPr>
              <w:t>6,662,046</w:t>
            </w:r>
          </w:p>
        </w:tc>
        <w:tc>
          <w:tcPr>
            <w:tcW w:w="2169" w:type="dxa"/>
            <w:tcBorders>
              <w:top w:val="nil"/>
              <w:left w:val="nil"/>
              <w:bottom w:val="single" w:sz="12" w:space="0" w:color="000000"/>
              <w:right w:val="nil"/>
            </w:tcBorders>
            <w:vAlign w:val="center"/>
          </w:tcPr>
          <w:p w14:paraId="4D0833F5" w14:textId="28F0EAEC" w:rsidR="00747EA8" w:rsidRPr="00305D32" w:rsidRDefault="00747EA8" w:rsidP="00747EA8">
            <w:pPr>
              <w:spacing w:after="0" w:line="240" w:lineRule="auto"/>
              <w:jc w:val="center"/>
              <w:rPr>
                <w:color w:val="000000"/>
                <w:sz w:val="20"/>
                <w:szCs w:val="20"/>
                <w:lang w:val="es-MX"/>
              </w:rPr>
            </w:pPr>
            <w:r w:rsidRPr="00305D32">
              <w:rPr>
                <w:sz w:val="20"/>
                <w:szCs w:val="20"/>
                <w:lang w:val="es-MX"/>
              </w:rPr>
              <w:t>13,776,406</w:t>
            </w:r>
          </w:p>
        </w:tc>
        <w:tc>
          <w:tcPr>
            <w:tcW w:w="2175" w:type="dxa"/>
            <w:tcBorders>
              <w:top w:val="nil"/>
              <w:left w:val="nil"/>
              <w:bottom w:val="single" w:sz="12" w:space="0" w:color="000000"/>
              <w:right w:val="nil"/>
            </w:tcBorders>
            <w:vAlign w:val="center"/>
          </w:tcPr>
          <w:p w14:paraId="4D0833F6" w14:textId="36A188CA" w:rsidR="00747EA8" w:rsidRPr="00305D32" w:rsidRDefault="00747EA8" w:rsidP="00747EA8">
            <w:pPr>
              <w:spacing w:after="0" w:line="240" w:lineRule="auto"/>
              <w:jc w:val="center"/>
              <w:rPr>
                <w:color w:val="000000"/>
                <w:sz w:val="20"/>
                <w:szCs w:val="20"/>
                <w:lang w:val="es-MX"/>
              </w:rPr>
            </w:pPr>
            <w:r w:rsidRPr="00305D32">
              <w:rPr>
                <w:sz w:val="20"/>
                <w:szCs w:val="20"/>
                <w:lang w:val="es-MX"/>
              </w:rPr>
              <w:t>20,438,452</w:t>
            </w:r>
          </w:p>
        </w:tc>
      </w:tr>
    </w:tbl>
    <w:p w14:paraId="4D0833F8" w14:textId="76092309" w:rsidR="00AE57F0" w:rsidRPr="00305D32" w:rsidRDefault="00414F7C">
      <w:pPr>
        <w:spacing w:line="240"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base en datos de Aeropuertos del Sureste (ASUR, 202</w:t>
      </w:r>
      <w:r w:rsidR="00747EA8" w:rsidRPr="00305D32">
        <w:rPr>
          <w:sz w:val="20"/>
          <w:szCs w:val="20"/>
          <w:lang w:val="es-MX"/>
        </w:rPr>
        <w:t>5</w:t>
      </w:r>
      <w:r w:rsidRPr="00305D32">
        <w:rPr>
          <w:sz w:val="20"/>
          <w:szCs w:val="20"/>
          <w:lang w:val="es-MX"/>
        </w:rPr>
        <w:t xml:space="preserve">) </w:t>
      </w:r>
      <w:r w:rsidRPr="00305D32">
        <w:rPr>
          <w:i/>
          <w:sz w:val="20"/>
          <w:szCs w:val="20"/>
          <w:lang w:val="es-MX"/>
        </w:rPr>
        <w:t>Inversionistas, Tráfico de pasajeros.</w:t>
      </w:r>
    </w:p>
    <w:p w14:paraId="4D0833F9" w14:textId="4EF81707" w:rsidR="00AE57F0" w:rsidRDefault="00414F7C">
      <w:pPr>
        <w:rPr>
          <w:lang w:val="es-MX"/>
        </w:rPr>
      </w:pPr>
      <w:r w:rsidRPr="00305D32">
        <w:rPr>
          <w:lang w:val="es-MX"/>
        </w:rPr>
        <w:t>De acuerdo con la</w:t>
      </w:r>
      <w:r w:rsidR="005952B9">
        <w:rPr>
          <w:lang w:val="es-MX"/>
        </w:rPr>
        <w:t xml:space="preserve"> </w:t>
      </w:r>
      <w:r w:rsidR="005952B9">
        <w:rPr>
          <w:lang w:val="es-MX"/>
        </w:rPr>
        <w:fldChar w:fldCharType="begin"/>
      </w:r>
      <w:r w:rsidR="005952B9">
        <w:rPr>
          <w:lang w:val="es-MX"/>
        </w:rPr>
        <w:instrText xml:space="preserve"> REF _Ref212043846 \h </w:instrText>
      </w:r>
      <w:r w:rsidR="005952B9">
        <w:rPr>
          <w:lang w:val="es-MX"/>
        </w:rPr>
      </w:r>
      <w:r w:rsidR="005952B9">
        <w:rPr>
          <w:lang w:val="es-MX"/>
        </w:rPr>
        <w:fldChar w:fldCharType="separate"/>
      </w:r>
      <w:r w:rsidR="00ED1F2F" w:rsidRPr="00305D32">
        <w:rPr>
          <w:lang w:val="es-MX"/>
        </w:rPr>
        <w:t xml:space="preserve">Figura </w:t>
      </w:r>
      <w:r w:rsidR="00ED1F2F">
        <w:rPr>
          <w:noProof/>
          <w:lang w:val="es-MX"/>
        </w:rPr>
        <w:t>26</w:t>
      </w:r>
      <w:r w:rsidR="005952B9">
        <w:rPr>
          <w:lang w:val="es-MX"/>
        </w:rPr>
        <w:fldChar w:fldCharType="end"/>
      </w:r>
      <w:r w:rsidR="004C2494">
        <w:rPr>
          <w:lang w:val="es-MX"/>
        </w:rPr>
        <w:t xml:space="preserve"> </w:t>
      </w:r>
      <w:r w:rsidR="00762507">
        <w:rPr>
          <w:lang w:val="es-MX"/>
        </w:rPr>
        <w:t xml:space="preserve"> </w:t>
      </w:r>
      <w:r w:rsidRPr="00305D32">
        <w:rPr>
          <w:lang w:val="es-MX"/>
        </w:rPr>
        <w:t>durante 202</w:t>
      </w:r>
      <w:r w:rsidR="00CF7AA8" w:rsidRPr="00305D32">
        <w:rPr>
          <w:lang w:val="es-MX"/>
        </w:rPr>
        <w:t>4</w:t>
      </w:r>
      <w:r w:rsidRPr="00305D32">
        <w:rPr>
          <w:lang w:val="es-MX"/>
        </w:rPr>
        <w:t xml:space="preserve"> se observó </w:t>
      </w:r>
      <w:r w:rsidR="002C20E0" w:rsidRPr="00305D32">
        <w:rPr>
          <w:lang w:val="es-MX"/>
        </w:rPr>
        <w:t xml:space="preserve">una reducción </w:t>
      </w:r>
      <w:r w:rsidRPr="00305D32">
        <w:rPr>
          <w:lang w:val="es-MX"/>
        </w:rPr>
        <w:t>en el número de turistas que llegan a la entidad</w:t>
      </w:r>
      <w:r w:rsidR="005E0F48" w:rsidRPr="00305D32">
        <w:rPr>
          <w:lang w:val="es-MX"/>
        </w:rPr>
        <w:t>;</w:t>
      </w:r>
      <w:r w:rsidRPr="00305D32">
        <w:rPr>
          <w:lang w:val="es-MX"/>
        </w:rPr>
        <w:t xml:space="preserve"> los pasajeros nacionales tuvieron un</w:t>
      </w:r>
      <w:r w:rsidR="00285E80" w:rsidRPr="00305D32">
        <w:rPr>
          <w:lang w:val="es-MX"/>
        </w:rPr>
        <w:t xml:space="preserve">a reducción </w:t>
      </w:r>
      <w:r w:rsidRPr="00305D32">
        <w:rPr>
          <w:lang w:val="es-MX"/>
        </w:rPr>
        <w:t xml:space="preserve">de </w:t>
      </w:r>
      <w:r w:rsidR="00285E80" w:rsidRPr="00305D32">
        <w:rPr>
          <w:lang w:val="es-MX"/>
        </w:rPr>
        <w:t>13</w:t>
      </w:r>
      <w:r w:rsidRPr="00305D32">
        <w:rPr>
          <w:lang w:val="es-MX"/>
        </w:rPr>
        <w:t>.</w:t>
      </w:r>
      <w:r w:rsidR="00285E80" w:rsidRPr="00305D32">
        <w:rPr>
          <w:lang w:val="es-MX"/>
        </w:rPr>
        <w:t>56</w:t>
      </w:r>
      <w:r w:rsidR="0019290E">
        <w:rPr>
          <w:lang w:val="es-MX"/>
        </w:rPr>
        <w:t xml:space="preserve"> %</w:t>
      </w:r>
      <w:r w:rsidRPr="00305D32">
        <w:rPr>
          <w:lang w:val="es-MX"/>
        </w:rPr>
        <w:t xml:space="preserve"> y los internacionales un</w:t>
      </w:r>
      <w:r w:rsidR="004B3B54" w:rsidRPr="00305D32">
        <w:rPr>
          <w:lang w:val="es-MX"/>
        </w:rPr>
        <w:t xml:space="preserve">a reducción </w:t>
      </w:r>
      <w:r w:rsidRPr="00305D32">
        <w:rPr>
          <w:lang w:val="es-MX"/>
        </w:rPr>
        <w:t xml:space="preserve">de </w:t>
      </w:r>
      <w:r w:rsidR="005E0F48" w:rsidRPr="00305D32">
        <w:rPr>
          <w:lang w:val="es-MX"/>
        </w:rPr>
        <w:t>3</w:t>
      </w:r>
      <w:r w:rsidRPr="00305D32">
        <w:rPr>
          <w:lang w:val="es-MX"/>
        </w:rPr>
        <w:t>.</w:t>
      </w:r>
      <w:r w:rsidR="005E0F48" w:rsidRPr="00305D32">
        <w:rPr>
          <w:lang w:val="es-MX"/>
        </w:rPr>
        <w:t>5</w:t>
      </w:r>
      <w:r w:rsidR="0019290E">
        <w:rPr>
          <w:lang w:val="es-MX"/>
        </w:rPr>
        <w:t xml:space="preserve"> %</w:t>
      </w:r>
      <w:r w:rsidRPr="00305D32">
        <w:rPr>
          <w:lang w:val="es-MX"/>
        </w:rPr>
        <w:t xml:space="preserve">, en total </w:t>
      </w:r>
      <w:r w:rsidR="00B84732" w:rsidRPr="00305D32">
        <w:rPr>
          <w:lang w:val="es-MX"/>
        </w:rPr>
        <w:t xml:space="preserve">la disminución </w:t>
      </w:r>
      <w:r w:rsidRPr="00305D32">
        <w:rPr>
          <w:lang w:val="es-MX"/>
        </w:rPr>
        <w:t>fue de 7.</w:t>
      </w:r>
      <w:r w:rsidR="00B84732" w:rsidRPr="00305D32">
        <w:rPr>
          <w:lang w:val="es-MX"/>
        </w:rPr>
        <w:t>14</w:t>
      </w:r>
      <w:r w:rsidR="0019290E">
        <w:rPr>
          <w:lang w:val="es-MX"/>
        </w:rPr>
        <w:t xml:space="preserve"> %</w:t>
      </w:r>
      <w:r w:rsidR="002A63B6" w:rsidRPr="00305D32">
        <w:rPr>
          <w:lang w:val="es-MX"/>
        </w:rPr>
        <w:t xml:space="preserve"> equivalentes a 2.3 millones de turistas</w:t>
      </w:r>
      <w:r w:rsidRPr="00305D32">
        <w:rPr>
          <w:lang w:val="es-MX"/>
        </w:rPr>
        <w:t xml:space="preserve">. En comparación con el mismo </w:t>
      </w:r>
      <w:r w:rsidRPr="00305D32">
        <w:rPr>
          <w:lang w:val="es-MX"/>
        </w:rPr>
        <w:lastRenderedPageBreak/>
        <w:t>periodo del año anterior (enero-agosto), en 202</w:t>
      </w:r>
      <w:r w:rsidR="000309F4" w:rsidRPr="00305D32">
        <w:rPr>
          <w:lang w:val="es-MX"/>
        </w:rPr>
        <w:t>5</w:t>
      </w:r>
      <w:r w:rsidRPr="00305D32">
        <w:rPr>
          <w:lang w:val="es-MX"/>
        </w:rPr>
        <w:t xml:space="preserve"> se observa decrecimiento de los turistas nacionales de -1.</w:t>
      </w:r>
      <w:r w:rsidR="00A55A84" w:rsidRPr="00305D32">
        <w:rPr>
          <w:lang w:val="es-MX"/>
        </w:rPr>
        <w:t>87</w:t>
      </w:r>
      <w:r w:rsidR="0019290E">
        <w:rPr>
          <w:lang w:val="es-MX"/>
        </w:rPr>
        <w:t xml:space="preserve"> %</w:t>
      </w:r>
      <w:r w:rsidRPr="00305D32">
        <w:rPr>
          <w:lang w:val="es-MX"/>
        </w:rPr>
        <w:t xml:space="preserve"> y también de los internacionales -</w:t>
      </w:r>
      <w:r w:rsidR="003A1A48" w:rsidRPr="00305D32">
        <w:rPr>
          <w:lang w:val="es-MX"/>
        </w:rPr>
        <w:t>4</w:t>
      </w:r>
      <w:r w:rsidRPr="00305D32">
        <w:rPr>
          <w:lang w:val="es-MX"/>
        </w:rPr>
        <w:t>.</w:t>
      </w:r>
      <w:r w:rsidR="003A1A48" w:rsidRPr="00305D32">
        <w:rPr>
          <w:lang w:val="es-MX"/>
        </w:rPr>
        <w:t>5</w:t>
      </w:r>
      <w:r w:rsidR="0019290E">
        <w:rPr>
          <w:lang w:val="es-MX"/>
        </w:rPr>
        <w:t xml:space="preserve"> %</w:t>
      </w:r>
      <w:r w:rsidRPr="00305D32">
        <w:rPr>
          <w:lang w:val="es-MX"/>
        </w:rPr>
        <w:t xml:space="preserve"> que llegaron al aeropuerto de Cancún. Este decrecimiento puede ser explicado por la apertura </w:t>
      </w:r>
      <w:r w:rsidR="003A1A48" w:rsidRPr="00305D32">
        <w:rPr>
          <w:lang w:val="es-MX"/>
        </w:rPr>
        <w:t xml:space="preserve">y consolidación </w:t>
      </w:r>
      <w:r w:rsidRPr="00305D32">
        <w:rPr>
          <w:lang w:val="es-MX"/>
        </w:rPr>
        <w:t>del aeropuerto internacional de Tulum.</w:t>
      </w:r>
    </w:p>
    <w:p w14:paraId="4D0833FA" w14:textId="3A15089A" w:rsidR="00AE57F0" w:rsidRPr="00305D32" w:rsidRDefault="00414F7C" w:rsidP="001C196C">
      <w:pPr>
        <w:pStyle w:val="Descripcin"/>
        <w:jc w:val="center"/>
        <w:rPr>
          <w:color w:val="000000"/>
          <w:lang w:val="es-MX"/>
        </w:rPr>
      </w:pPr>
      <w:bookmarkStart w:id="78" w:name="_heading=h.1yyy98l" w:colFirst="0" w:colLast="0"/>
      <w:bookmarkStart w:id="79" w:name="_Ref212043846"/>
      <w:bookmarkEnd w:id="78"/>
      <w:r w:rsidRPr="00305D32">
        <w:rPr>
          <w:lang w:val="es-MX"/>
        </w:rPr>
        <w:t xml:space="preserve">Figura </w:t>
      </w:r>
      <w:r w:rsidR="001C196C" w:rsidRPr="00305D32">
        <w:rPr>
          <w:lang w:val="es-MX"/>
        </w:rPr>
        <w:fldChar w:fldCharType="begin"/>
      </w:r>
      <w:r w:rsidR="001C196C" w:rsidRPr="00305D32">
        <w:rPr>
          <w:lang w:val="es-MX"/>
        </w:rPr>
        <w:instrText xml:space="preserve"> SEQ Figura \* ARABIC </w:instrText>
      </w:r>
      <w:r w:rsidR="001C196C" w:rsidRPr="00305D32">
        <w:rPr>
          <w:lang w:val="es-MX"/>
        </w:rPr>
        <w:fldChar w:fldCharType="separate"/>
      </w:r>
      <w:r w:rsidR="00ED1F2F">
        <w:rPr>
          <w:noProof/>
          <w:lang w:val="es-MX"/>
        </w:rPr>
        <w:t>26</w:t>
      </w:r>
      <w:r w:rsidR="001C196C" w:rsidRPr="00305D32">
        <w:rPr>
          <w:lang w:val="es-MX"/>
        </w:rPr>
        <w:fldChar w:fldCharType="end"/>
      </w:r>
      <w:bookmarkEnd w:id="79"/>
      <w:r w:rsidRPr="00305D32">
        <w:rPr>
          <w:color w:val="000000"/>
          <w:lang w:val="es-MX"/>
        </w:rPr>
        <w:t>. Pasajeros nacionales y extranjeros que llegaron al aeropuerto de Cancún, 202</w:t>
      </w:r>
      <w:r w:rsidR="000D0DE3" w:rsidRPr="00305D32">
        <w:rPr>
          <w:color w:val="000000"/>
          <w:lang w:val="es-MX"/>
        </w:rPr>
        <w:t>3</w:t>
      </w:r>
      <w:r w:rsidRPr="00305D32">
        <w:rPr>
          <w:color w:val="000000"/>
          <w:lang w:val="es-MX"/>
        </w:rPr>
        <w:t>-202</w:t>
      </w:r>
      <w:r w:rsidR="000D0DE3" w:rsidRPr="00305D32">
        <w:rPr>
          <w:color w:val="000000"/>
          <w:lang w:val="es-MX"/>
        </w:rPr>
        <w:t>4</w:t>
      </w:r>
      <w:r w:rsidRPr="00305D32">
        <w:rPr>
          <w:color w:val="000000"/>
          <w:lang w:val="es-MX"/>
        </w:rPr>
        <w:t xml:space="preserve"> y enero-agosto 202</w:t>
      </w:r>
      <w:r w:rsidR="000D0DE3" w:rsidRPr="00305D32">
        <w:rPr>
          <w:color w:val="000000"/>
          <w:lang w:val="es-MX"/>
        </w:rPr>
        <w:t>5</w:t>
      </w:r>
    </w:p>
    <w:p w14:paraId="45AC7D0F" w14:textId="77777777" w:rsidR="005952B9" w:rsidRDefault="00CF7AA8" w:rsidP="005952B9">
      <w:pPr>
        <w:keepNext/>
        <w:tabs>
          <w:tab w:val="left" w:pos="5812"/>
        </w:tabs>
        <w:spacing w:after="0"/>
        <w:jc w:val="center"/>
      </w:pPr>
      <w:r w:rsidRPr="00305D32">
        <w:rPr>
          <w:noProof/>
          <w:lang w:val="es-MX" w:eastAsia="es-MX"/>
        </w:rPr>
        <w:drawing>
          <wp:inline distT="0" distB="0" distL="0" distR="0" wp14:anchorId="0005AFC4" wp14:editId="3B2F9F53">
            <wp:extent cx="5610860" cy="2505075"/>
            <wp:effectExtent l="0" t="0" r="8890" b="9525"/>
            <wp:docPr id="765478165" name="Gráfico 1">
              <a:extLst xmlns:a="http://schemas.openxmlformats.org/drawingml/2006/main">
                <a:ext uri="{FF2B5EF4-FFF2-40B4-BE49-F238E27FC236}">
                  <a16:creationId xmlns:a16="http://schemas.microsoft.com/office/drawing/2014/main" id="{D10EFF87-9B2A-43F9-BD79-A5B81FB25B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D0833FC" w14:textId="1999991F" w:rsidR="00AE57F0" w:rsidRPr="00305D32" w:rsidRDefault="00414F7C">
      <w:pPr>
        <w:spacing w:line="240"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base en datos de Aeropuertos del Sureste (ASUR, 202</w:t>
      </w:r>
      <w:r w:rsidR="00DA7C46" w:rsidRPr="00305D32">
        <w:rPr>
          <w:sz w:val="20"/>
          <w:szCs w:val="20"/>
          <w:lang w:val="es-MX"/>
        </w:rPr>
        <w:t>5</w:t>
      </w:r>
      <w:r w:rsidRPr="00305D32">
        <w:rPr>
          <w:sz w:val="20"/>
          <w:szCs w:val="20"/>
          <w:lang w:val="es-MX"/>
        </w:rPr>
        <w:t xml:space="preserve">) </w:t>
      </w:r>
      <w:r w:rsidRPr="00305D32">
        <w:rPr>
          <w:i/>
          <w:sz w:val="20"/>
          <w:szCs w:val="20"/>
          <w:lang w:val="es-MX"/>
        </w:rPr>
        <w:t>Inversionistas, Tráfico de pasajeros.</w:t>
      </w:r>
    </w:p>
    <w:p w14:paraId="203C777C" w14:textId="42F5DB3A" w:rsidR="00C47636" w:rsidRDefault="00EE0699">
      <w:pPr>
        <w:rPr>
          <w:lang w:val="es-MX"/>
        </w:rPr>
      </w:pPr>
      <w:r w:rsidRPr="00EE0699">
        <w:rPr>
          <w:lang w:val="es-MX"/>
        </w:rPr>
        <w:t>El Aeropuerto Internacional de Cozumel es el segundo con mayor actividad en la entidad. En 2024, el número de pasajeros internacionales que arribaron ascendieron a 462,365, mientras que los pasajeros nacionales ascendieron a 250,593, estos últimos con un crecimiento de 22.84</w:t>
      </w:r>
      <w:r w:rsidR="0019290E">
        <w:rPr>
          <w:lang w:val="es-MX"/>
        </w:rPr>
        <w:t xml:space="preserve"> %</w:t>
      </w:r>
      <w:r w:rsidRPr="00EE0699">
        <w:rPr>
          <w:lang w:val="es-MX"/>
        </w:rPr>
        <w:t>. Para 2025 se observa una reducción en la llegada de pasajeros internacionales de -22.02</w:t>
      </w:r>
      <w:r w:rsidR="0019290E">
        <w:rPr>
          <w:lang w:val="es-MX"/>
        </w:rPr>
        <w:t xml:space="preserve"> %</w:t>
      </w:r>
      <w:r w:rsidRPr="00EE0699">
        <w:rPr>
          <w:lang w:val="es-MX"/>
        </w:rPr>
        <w:t>, mientras que los pasajeros nacionales registran un incremento de 7.66</w:t>
      </w:r>
      <w:r w:rsidR="0019290E">
        <w:rPr>
          <w:lang w:val="es-MX"/>
        </w:rPr>
        <w:t xml:space="preserve"> %</w:t>
      </w:r>
      <w:r w:rsidRPr="00EE0699">
        <w:rPr>
          <w:lang w:val="es-MX"/>
        </w:rPr>
        <w:t>. En el avance total con corte a agosto de 2025, se reporta una disminución de 12.87</w:t>
      </w:r>
      <w:r w:rsidR="0019290E">
        <w:rPr>
          <w:lang w:val="es-MX"/>
        </w:rPr>
        <w:t xml:space="preserve"> %</w:t>
      </w:r>
      <w:r w:rsidRPr="00EE0699">
        <w:rPr>
          <w:lang w:val="es-MX"/>
        </w:rPr>
        <w:t xml:space="preserve"> en el total de pasajeros en el Aeropuerto Internacional de Cozumel, mostrando un mayor dinamismo el turismo nacional.</w:t>
      </w:r>
    </w:p>
    <w:p w14:paraId="4D0833FE" w14:textId="6729C82F" w:rsidR="00AE57F0" w:rsidRPr="00305D32" w:rsidRDefault="00414F7C" w:rsidP="00321252">
      <w:pPr>
        <w:pStyle w:val="Descripcin"/>
        <w:keepNext/>
        <w:jc w:val="center"/>
        <w:rPr>
          <w:lang w:val="es-MX"/>
        </w:rPr>
      </w:pPr>
      <w:r w:rsidRPr="00305D32">
        <w:rPr>
          <w:lang w:val="es-MX"/>
        </w:rPr>
        <w:lastRenderedPageBreak/>
        <w:t xml:space="preserve">Tabla </w:t>
      </w:r>
      <w:r w:rsidR="00321252" w:rsidRPr="00305D32">
        <w:rPr>
          <w:lang w:val="es-MX"/>
        </w:rPr>
        <w:fldChar w:fldCharType="begin"/>
      </w:r>
      <w:r w:rsidR="00321252" w:rsidRPr="00305D32">
        <w:rPr>
          <w:lang w:val="es-MX"/>
        </w:rPr>
        <w:instrText xml:space="preserve"> SEQ Tabla \* ARABIC </w:instrText>
      </w:r>
      <w:r w:rsidR="00321252" w:rsidRPr="00305D32">
        <w:rPr>
          <w:lang w:val="es-MX"/>
        </w:rPr>
        <w:fldChar w:fldCharType="separate"/>
      </w:r>
      <w:r w:rsidR="00ED1F2F">
        <w:rPr>
          <w:noProof/>
          <w:lang w:val="es-MX"/>
        </w:rPr>
        <w:t>9</w:t>
      </w:r>
      <w:r w:rsidR="00321252" w:rsidRPr="00305D32">
        <w:rPr>
          <w:lang w:val="es-MX"/>
        </w:rPr>
        <w:fldChar w:fldCharType="end"/>
      </w:r>
      <w:r w:rsidRPr="00305D32">
        <w:rPr>
          <w:color w:val="000000"/>
          <w:lang w:val="es-MX"/>
        </w:rPr>
        <w:t>. Pasajeros nacionales y extranjeros que llegaron al aeropuerto de Cozumel, 202</w:t>
      </w:r>
      <w:r w:rsidR="000F4452" w:rsidRPr="00305D32">
        <w:rPr>
          <w:color w:val="000000"/>
          <w:lang w:val="es-MX"/>
        </w:rPr>
        <w:t>3</w:t>
      </w:r>
      <w:r w:rsidRPr="00305D32">
        <w:rPr>
          <w:color w:val="000000"/>
          <w:lang w:val="es-MX"/>
        </w:rPr>
        <w:t>-202</w:t>
      </w:r>
      <w:r w:rsidR="000F4452" w:rsidRPr="00305D32">
        <w:rPr>
          <w:color w:val="000000"/>
          <w:lang w:val="es-MX"/>
        </w:rPr>
        <w:t>4</w:t>
      </w:r>
      <w:r w:rsidRPr="00305D32">
        <w:rPr>
          <w:color w:val="000000"/>
          <w:lang w:val="es-MX"/>
        </w:rPr>
        <w:t xml:space="preserve"> y enero-agosto 202</w:t>
      </w:r>
      <w:r w:rsidR="000F4452" w:rsidRPr="00305D32">
        <w:rPr>
          <w:color w:val="000000"/>
          <w:lang w:val="es-MX"/>
        </w:rPr>
        <w:t>5</w:t>
      </w:r>
    </w:p>
    <w:tbl>
      <w:tblPr>
        <w:tblStyle w:val="a7"/>
        <w:tblW w:w="8260" w:type="dxa"/>
        <w:jc w:val="center"/>
        <w:tblInd w:w="0" w:type="dxa"/>
        <w:tblLayout w:type="fixed"/>
        <w:tblLook w:val="0400" w:firstRow="0" w:lastRow="0" w:firstColumn="0" w:lastColumn="0" w:noHBand="0" w:noVBand="1"/>
      </w:tblPr>
      <w:tblGrid>
        <w:gridCol w:w="2064"/>
        <w:gridCol w:w="2064"/>
        <w:gridCol w:w="2064"/>
        <w:gridCol w:w="2068"/>
      </w:tblGrid>
      <w:tr w:rsidR="00AE57F0" w:rsidRPr="00305D32" w14:paraId="4D083403" w14:textId="77777777" w:rsidTr="00C47636">
        <w:trPr>
          <w:trHeight w:val="20"/>
          <w:jc w:val="center"/>
        </w:trPr>
        <w:tc>
          <w:tcPr>
            <w:tcW w:w="2064" w:type="dxa"/>
            <w:tcBorders>
              <w:top w:val="single" w:sz="12" w:space="0" w:color="000000"/>
              <w:left w:val="nil"/>
              <w:bottom w:val="single" w:sz="12" w:space="0" w:color="000000"/>
              <w:right w:val="nil"/>
            </w:tcBorders>
            <w:vAlign w:val="center"/>
          </w:tcPr>
          <w:p w14:paraId="4D0833FF" w14:textId="77777777" w:rsidR="00AE57F0" w:rsidRPr="00305D32" w:rsidRDefault="00414F7C" w:rsidP="002E46A1">
            <w:pPr>
              <w:spacing w:after="0" w:line="240" w:lineRule="auto"/>
              <w:jc w:val="center"/>
              <w:rPr>
                <w:b/>
                <w:color w:val="000000"/>
                <w:sz w:val="20"/>
                <w:szCs w:val="20"/>
                <w:lang w:val="es-MX"/>
              </w:rPr>
            </w:pPr>
            <w:r w:rsidRPr="00305D32">
              <w:rPr>
                <w:b/>
                <w:color w:val="000000"/>
                <w:sz w:val="20"/>
                <w:szCs w:val="20"/>
                <w:lang w:val="es-MX"/>
              </w:rPr>
              <w:t>Periodo</w:t>
            </w:r>
          </w:p>
        </w:tc>
        <w:tc>
          <w:tcPr>
            <w:tcW w:w="2064" w:type="dxa"/>
            <w:tcBorders>
              <w:top w:val="single" w:sz="12" w:space="0" w:color="000000"/>
              <w:left w:val="nil"/>
              <w:bottom w:val="single" w:sz="12" w:space="0" w:color="000000"/>
              <w:right w:val="nil"/>
            </w:tcBorders>
            <w:vAlign w:val="center"/>
          </w:tcPr>
          <w:p w14:paraId="4D083400" w14:textId="77777777"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Nacional</w:t>
            </w:r>
          </w:p>
        </w:tc>
        <w:tc>
          <w:tcPr>
            <w:tcW w:w="2064" w:type="dxa"/>
            <w:tcBorders>
              <w:top w:val="single" w:sz="12" w:space="0" w:color="000000"/>
              <w:left w:val="nil"/>
              <w:bottom w:val="single" w:sz="12" w:space="0" w:color="000000"/>
              <w:right w:val="nil"/>
            </w:tcBorders>
            <w:vAlign w:val="center"/>
          </w:tcPr>
          <w:p w14:paraId="4D083401" w14:textId="77777777"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Internacional</w:t>
            </w:r>
          </w:p>
        </w:tc>
        <w:tc>
          <w:tcPr>
            <w:tcW w:w="2068" w:type="dxa"/>
            <w:tcBorders>
              <w:top w:val="single" w:sz="12" w:space="0" w:color="000000"/>
              <w:left w:val="nil"/>
              <w:bottom w:val="single" w:sz="12" w:space="0" w:color="000000"/>
              <w:right w:val="nil"/>
            </w:tcBorders>
            <w:vAlign w:val="center"/>
          </w:tcPr>
          <w:p w14:paraId="4D083402" w14:textId="77777777"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Total</w:t>
            </w:r>
          </w:p>
        </w:tc>
      </w:tr>
      <w:tr w:rsidR="00AE57F0" w:rsidRPr="00305D32" w14:paraId="4D083405" w14:textId="77777777" w:rsidTr="00C47636">
        <w:trPr>
          <w:trHeight w:val="20"/>
          <w:jc w:val="center"/>
        </w:trPr>
        <w:tc>
          <w:tcPr>
            <w:tcW w:w="8260" w:type="dxa"/>
            <w:gridSpan w:val="4"/>
            <w:tcBorders>
              <w:top w:val="single" w:sz="12" w:space="0" w:color="000000"/>
              <w:left w:val="nil"/>
              <w:bottom w:val="single" w:sz="4" w:space="0" w:color="000000"/>
              <w:right w:val="nil"/>
            </w:tcBorders>
            <w:vAlign w:val="center"/>
          </w:tcPr>
          <w:p w14:paraId="4D083404" w14:textId="77777777"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Anual</w:t>
            </w:r>
          </w:p>
        </w:tc>
      </w:tr>
      <w:tr w:rsidR="003902DF" w:rsidRPr="00305D32" w14:paraId="4D08340A" w14:textId="77777777" w:rsidTr="00C47636">
        <w:trPr>
          <w:trHeight w:val="20"/>
          <w:jc w:val="center"/>
        </w:trPr>
        <w:tc>
          <w:tcPr>
            <w:tcW w:w="2064" w:type="dxa"/>
            <w:tcBorders>
              <w:top w:val="single" w:sz="4" w:space="0" w:color="000000"/>
              <w:left w:val="nil"/>
              <w:bottom w:val="nil"/>
              <w:right w:val="nil"/>
            </w:tcBorders>
            <w:vAlign w:val="center"/>
          </w:tcPr>
          <w:p w14:paraId="4D083406" w14:textId="3CD02E23" w:rsidR="003902DF" w:rsidRPr="00305D32" w:rsidRDefault="003902DF" w:rsidP="003902DF">
            <w:pPr>
              <w:spacing w:after="0" w:line="240" w:lineRule="auto"/>
              <w:jc w:val="center"/>
              <w:rPr>
                <w:color w:val="000000"/>
                <w:sz w:val="20"/>
                <w:szCs w:val="20"/>
                <w:lang w:val="es-MX"/>
              </w:rPr>
            </w:pPr>
            <w:r w:rsidRPr="00305D32">
              <w:rPr>
                <w:color w:val="000000"/>
                <w:sz w:val="20"/>
                <w:szCs w:val="20"/>
                <w:lang w:val="es-MX"/>
              </w:rPr>
              <w:t>202</w:t>
            </w:r>
            <w:r w:rsidR="002E7103" w:rsidRPr="00305D32">
              <w:rPr>
                <w:color w:val="000000"/>
                <w:sz w:val="20"/>
                <w:szCs w:val="20"/>
                <w:lang w:val="es-MX"/>
              </w:rPr>
              <w:t>3</w:t>
            </w:r>
          </w:p>
        </w:tc>
        <w:tc>
          <w:tcPr>
            <w:tcW w:w="2064" w:type="dxa"/>
            <w:tcBorders>
              <w:top w:val="single" w:sz="4" w:space="0" w:color="000000"/>
              <w:left w:val="nil"/>
              <w:bottom w:val="nil"/>
              <w:right w:val="nil"/>
            </w:tcBorders>
            <w:vAlign w:val="center"/>
          </w:tcPr>
          <w:p w14:paraId="4D083407" w14:textId="56F0C2EA" w:rsidR="003902DF" w:rsidRPr="00305D32" w:rsidRDefault="003902DF" w:rsidP="003902DF">
            <w:pPr>
              <w:spacing w:after="0" w:line="240" w:lineRule="auto"/>
              <w:jc w:val="center"/>
              <w:rPr>
                <w:color w:val="000000"/>
                <w:sz w:val="20"/>
                <w:szCs w:val="20"/>
                <w:lang w:val="es-MX"/>
              </w:rPr>
            </w:pPr>
            <w:r w:rsidRPr="00305D32">
              <w:rPr>
                <w:sz w:val="20"/>
                <w:szCs w:val="20"/>
                <w:lang w:val="es-MX"/>
              </w:rPr>
              <w:t>203,999</w:t>
            </w:r>
          </w:p>
        </w:tc>
        <w:tc>
          <w:tcPr>
            <w:tcW w:w="2064" w:type="dxa"/>
            <w:tcBorders>
              <w:top w:val="single" w:sz="4" w:space="0" w:color="000000"/>
              <w:left w:val="nil"/>
              <w:bottom w:val="nil"/>
              <w:right w:val="nil"/>
            </w:tcBorders>
            <w:vAlign w:val="center"/>
          </w:tcPr>
          <w:p w14:paraId="4D083408" w14:textId="5A4E5696" w:rsidR="003902DF" w:rsidRPr="00305D32" w:rsidRDefault="003902DF" w:rsidP="003902DF">
            <w:pPr>
              <w:spacing w:after="0" w:line="240" w:lineRule="auto"/>
              <w:jc w:val="center"/>
              <w:rPr>
                <w:color w:val="000000"/>
                <w:sz w:val="20"/>
                <w:szCs w:val="20"/>
                <w:lang w:val="es-MX"/>
              </w:rPr>
            </w:pPr>
            <w:r w:rsidRPr="00305D32">
              <w:rPr>
                <w:sz w:val="20"/>
                <w:szCs w:val="20"/>
                <w:lang w:val="es-MX"/>
              </w:rPr>
              <w:t>473,504</w:t>
            </w:r>
          </w:p>
        </w:tc>
        <w:tc>
          <w:tcPr>
            <w:tcW w:w="2068" w:type="dxa"/>
            <w:tcBorders>
              <w:top w:val="single" w:sz="4" w:space="0" w:color="000000"/>
              <w:left w:val="nil"/>
              <w:bottom w:val="nil"/>
              <w:right w:val="nil"/>
            </w:tcBorders>
            <w:vAlign w:val="center"/>
          </w:tcPr>
          <w:p w14:paraId="4D083409" w14:textId="1EF5FB11" w:rsidR="003902DF" w:rsidRPr="00305D32" w:rsidRDefault="003902DF" w:rsidP="003902DF">
            <w:pPr>
              <w:spacing w:after="0" w:line="240" w:lineRule="auto"/>
              <w:jc w:val="center"/>
              <w:rPr>
                <w:color w:val="000000"/>
                <w:sz w:val="20"/>
                <w:szCs w:val="20"/>
                <w:lang w:val="es-MX"/>
              </w:rPr>
            </w:pPr>
            <w:r w:rsidRPr="00305D32">
              <w:rPr>
                <w:sz w:val="20"/>
                <w:szCs w:val="20"/>
                <w:lang w:val="es-MX"/>
              </w:rPr>
              <w:t>667,503</w:t>
            </w:r>
          </w:p>
        </w:tc>
      </w:tr>
      <w:tr w:rsidR="003902DF" w:rsidRPr="00305D32" w14:paraId="4D08340F" w14:textId="77777777" w:rsidTr="00C47636">
        <w:trPr>
          <w:trHeight w:val="20"/>
          <w:jc w:val="center"/>
        </w:trPr>
        <w:tc>
          <w:tcPr>
            <w:tcW w:w="2064" w:type="dxa"/>
            <w:tcBorders>
              <w:top w:val="nil"/>
              <w:left w:val="nil"/>
              <w:bottom w:val="single" w:sz="4" w:space="0" w:color="000000"/>
              <w:right w:val="nil"/>
            </w:tcBorders>
            <w:vAlign w:val="center"/>
          </w:tcPr>
          <w:p w14:paraId="4D08340B" w14:textId="605935AA" w:rsidR="003902DF" w:rsidRPr="00305D32" w:rsidRDefault="003902DF" w:rsidP="003902DF">
            <w:pPr>
              <w:spacing w:after="0" w:line="240" w:lineRule="auto"/>
              <w:jc w:val="center"/>
              <w:rPr>
                <w:color w:val="000000"/>
                <w:sz w:val="20"/>
                <w:szCs w:val="20"/>
                <w:lang w:val="es-MX"/>
              </w:rPr>
            </w:pPr>
            <w:r w:rsidRPr="00305D32">
              <w:rPr>
                <w:color w:val="000000"/>
                <w:sz w:val="20"/>
                <w:szCs w:val="20"/>
                <w:lang w:val="es-MX"/>
              </w:rPr>
              <w:t>202</w:t>
            </w:r>
            <w:r w:rsidR="002E7103" w:rsidRPr="00305D32">
              <w:rPr>
                <w:color w:val="000000"/>
                <w:sz w:val="20"/>
                <w:szCs w:val="20"/>
                <w:lang w:val="es-MX"/>
              </w:rPr>
              <w:t>4</w:t>
            </w:r>
          </w:p>
        </w:tc>
        <w:tc>
          <w:tcPr>
            <w:tcW w:w="2064" w:type="dxa"/>
            <w:tcBorders>
              <w:top w:val="nil"/>
              <w:left w:val="nil"/>
              <w:bottom w:val="single" w:sz="4" w:space="0" w:color="000000"/>
              <w:right w:val="nil"/>
            </w:tcBorders>
            <w:vAlign w:val="center"/>
          </w:tcPr>
          <w:p w14:paraId="4D08340C" w14:textId="6454ED7D" w:rsidR="003902DF" w:rsidRPr="00305D32" w:rsidRDefault="003902DF" w:rsidP="003902DF">
            <w:pPr>
              <w:spacing w:after="0" w:line="240" w:lineRule="auto"/>
              <w:jc w:val="center"/>
              <w:rPr>
                <w:color w:val="000000"/>
                <w:sz w:val="20"/>
                <w:szCs w:val="20"/>
                <w:lang w:val="es-MX"/>
              </w:rPr>
            </w:pPr>
            <w:r w:rsidRPr="00305D32">
              <w:rPr>
                <w:sz w:val="20"/>
                <w:szCs w:val="20"/>
                <w:lang w:val="es-MX"/>
              </w:rPr>
              <w:t>250,593</w:t>
            </w:r>
          </w:p>
        </w:tc>
        <w:tc>
          <w:tcPr>
            <w:tcW w:w="2064" w:type="dxa"/>
            <w:tcBorders>
              <w:top w:val="nil"/>
              <w:left w:val="nil"/>
              <w:bottom w:val="single" w:sz="4" w:space="0" w:color="000000"/>
              <w:right w:val="nil"/>
            </w:tcBorders>
            <w:vAlign w:val="center"/>
          </w:tcPr>
          <w:p w14:paraId="4D08340D" w14:textId="765F705D" w:rsidR="003902DF" w:rsidRPr="00305D32" w:rsidRDefault="003902DF" w:rsidP="003902DF">
            <w:pPr>
              <w:spacing w:after="0" w:line="240" w:lineRule="auto"/>
              <w:jc w:val="center"/>
              <w:rPr>
                <w:color w:val="000000"/>
                <w:sz w:val="20"/>
                <w:szCs w:val="20"/>
                <w:lang w:val="es-MX"/>
              </w:rPr>
            </w:pPr>
            <w:r w:rsidRPr="00305D32">
              <w:rPr>
                <w:sz w:val="20"/>
                <w:szCs w:val="20"/>
                <w:lang w:val="es-MX"/>
              </w:rPr>
              <w:t>462,365</w:t>
            </w:r>
          </w:p>
        </w:tc>
        <w:tc>
          <w:tcPr>
            <w:tcW w:w="2068" w:type="dxa"/>
            <w:tcBorders>
              <w:top w:val="nil"/>
              <w:left w:val="nil"/>
              <w:bottom w:val="single" w:sz="4" w:space="0" w:color="000000"/>
              <w:right w:val="nil"/>
            </w:tcBorders>
            <w:vAlign w:val="center"/>
          </w:tcPr>
          <w:p w14:paraId="4D08340E" w14:textId="66266BEB" w:rsidR="003902DF" w:rsidRPr="00305D32" w:rsidRDefault="003902DF" w:rsidP="003902DF">
            <w:pPr>
              <w:spacing w:after="0" w:line="240" w:lineRule="auto"/>
              <w:jc w:val="center"/>
              <w:rPr>
                <w:color w:val="000000"/>
                <w:sz w:val="20"/>
                <w:szCs w:val="20"/>
                <w:lang w:val="es-MX"/>
              </w:rPr>
            </w:pPr>
            <w:r w:rsidRPr="00305D32">
              <w:rPr>
                <w:sz w:val="20"/>
                <w:szCs w:val="20"/>
                <w:lang w:val="es-MX"/>
              </w:rPr>
              <w:t>712,958</w:t>
            </w:r>
          </w:p>
        </w:tc>
      </w:tr>
      <w:tr w:rsidR="00AE57F0" w:rsidRPr="00305D32" w14:paraId="4D083411" w14:textId="77777777" w:rsidTr="00C47636">
        <w:trPr>
          <w:trHeight w:val="20"/>
          <w:jc w:val="center"/>
        </w:trPr>
        <w:tc>
          <w:tcPr>
            <w:tcW w:w="8260" w:type="dxa"/>
            <w:gridSpan w:val="4"/>
            <w:tcBorders>
              <w:top w:val="single" w:sz="4" w:space="0" w:color="000000"/>
              <w:left w:val="nil"/>
              <w:bottom w:val="single" w:sz="4" w:space="0" w:color="000000"/>
              <w:right w:val="nil"/>
            </w:tcBorders>
            <w:vAlign w:val="center"/>
          </w:tcPr>
          <w:p w14:paraId="4D083410" w14:textId="77777777"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Enero - Agosto</w:t>
            </w:r>
          </w:p>
        </w:tc>
      </w:tr>
      <w:tr w:rsidR="003902DF" w:rsidRPr="00305D32" w14:paraId="4D083416" w14:textId="77777777" w:rsidTr="00C47636">
        <w:trPr>
          <w:trHeight w:val="20"/>
          <w:jc w:val="center"/>
        </w:trPr>
        <w:tc>
          <w:tcPr>
            <w:tcW w:w="2064" w:type="dxa"/>
            <w:tcBorders>
              <w:top w:val="single" w:sz="4" w:space="0" w:color="000000"/>
              <w:left w:val="nil"/>
              <w:bottom w:val="nil"/>
              <w:right w:val="nil"/>
            </w:tcBorders>
            <w:vAlign w:val="center"/>
          </w:tcPr>
          <w:p w14:paraId="4D083412" w14:textId="3AAF2827" w:rsidR="003902DF" w:rsidRPr="00305D32" w:rsidRDefault="003902DF" w:rsidP="003902DF">
            <w:pPr>
              <w:spacing w:after="0" w:line="240" w:lineRule="auto"/>
              <w:jc w:val="center"/>
              <w:rPr>
                <w:color w:val="000000"/>
                <w:sz w:val="20"/>
                <w:szCs w:val="20"/>
                <w:lang w:val="es-MX"/>
              </w:rPr>
            </w:pPr>
            <w:r w:rsidRPr="00305D32">
              <w:rPr>
                <w:color w:val="000000"/>
                <w:sz w:val="20"/>
                <w:szCs w:val="20"/>
                <w:lang w:val="es-MX"/>
              </w:rPr>
              <w:t>202</w:t>
            </w:r>
            <w:r w:rsidR="002E7103" w:rsidRPr="00305D32">
              <w:rPr>
                <w:color w:val="000000"/>
                <w:sz w:val="20"/>
                <w:szCs w:val="20"/>
                <w:lang w:val="es-MX"/>
              </w:rPr>
              <w:t>3</w:t>
            </w:r>
          </w:p>
        </w:tc>
        <w:tc>
          <w:tcPr>
            <w:tcW w:w="2064" w:type="dxa"/>
            <w:tcBorders>
              <w:top w:val="single" w:sz="4" w:space="0" w:color="000000"/>
              <w:left w:val="nil"/>
              <w:bottom w:val="nil"/>
              <w:right w:val="nil"/>
            </w:tcBorders>
            <w:vAlign w:val="center"/>
          </w:tcPr>
          <w:p w14:paraId="4D083413" w14:textId="6451FEE4" w:rsidR="003902DF" w:rsidRPr="00305D32" w:rsidRDefault="003902DF" w:rsidP="003902DF">
            <w:pPr>
              <w:spacing w:after="0" w:line="240" w:lineRule="auto"/>
              <w:jc w:val="center"/>
              <w:rPr>
                <w:color w:val="000000"/>
                <w:sz w:val="20"/>
                <w:szCs w:val="20"/>
                <w:lang w:val="es-MX"/>
              </w:rPr>
            </w:pPr>
            <w:r w:rsidRPr="00305D32">
              <w:rPr>
                <w:sz w:val="20"/>
                <w:szCs w:val="20"/>
                <w:lang w:val="es-MX"/>
              </w:rPr>
              <w:t>126,653</w:t>
            </w:r>
          </w:p>
        </w:tc>
        <w:tc>
          <w:tcPr>
            <w:tcW w:w="2064" w:type="dxa"/>
            <w:tcBorders>
              <w:top w:val="single" w:sz="4" w:space="0" w:color="000000"/>
              <w:left w:val="nil"/>
              <w:bottom w:val="nil"/>
              <w:right w:val="nil"/>
            </w:tcBorders>
            <w:vAlign w:val="center"/>
          </w:tcPr>
          <w:p w14:paraId="4D083414" w14:textId="4845AAED" w:rsidR="003902DF" w:rsidRPr="00305D32" w:rsidRDefault="003902DF" w:rsidP="003902DF">
            <w:pPr>
              <w:spacing w:after="0" w:line="240" w:lineRule="auto"/>
              <w:jc w:val="center"/>
              <w:rPr>
                <w:color w:val="000000"/>
                <w:sz w:val="20"/>
                <w:szCs w:val="20"/>
                <w:lang w:val="es-MX"/>
              </w:rPr>
            </w:pPr>
            <w:r w:rsidRPr="00305D32">
              <w:rPr>
                <w:sz w:val="20"/>
                <w:szCs w:val="20"/>
                <w:lang w:val="es-MX"/>
              </w:rPr>
              <w:t>338,117</w:t>
            </w:r>
          </w:p>
        </w:tc>
        <w:tc>
          <w:tcPr>
            <w:tcW w:w="2068" w:type="dxa"/>
            <w:tcBorders>
              <w:top w:val="single" w:sz="4" w:space="0" w:color="000000"/>
              <w:left w:val="nil"/>
              <w:bottom w:val="nil"/>
              <w:right w:val="nil"/>
            </w:tcBorders>
            <w:vAlign w:val="center"/>
          </w:tcPr>
          <w:p w14:paraId="4D083415" w14:textId="2D044904" w:rsidR="003902DF" w:rsidRPr="00305D32" w:rsidRDefault="003902DF" w:rsidP="003902DF">
            <w:pPr>
              <w:spacing w:after="0" w:line="240" w:lineRule="auto"/>
              <w:jc w:val="center"/>
              <w:rPr>
                <w:color w:val="000000"/>
                <w:sz w:val="20"/>
                <w:szCs w:val="20"/>
                <w:lang w:val="es-MX"/>
              </w:rPr>
            </w:pPr>
            <w:r w:rsidRPr="00305D32">
              <w:rPr>
                <w:sz w:val="20"/>
                <w:szCs w:val="20"/>
                <w:lang w:val="es-MX"/>
              </w:rPr>
              <w:t>464,770</w:t>
            </w:r>
          </w:p>
        </w:tc>
      </w:tr>
      <w:tr w:rsidR="003902DF" w:rsidRPr="00305D32" w14:paraId="4D08341B" w14:textId="77777777" w:rsidTr="00C47636">
        <w:trPr>
          <w:trHeight w:val="20"/>
          <w:jc w:val="center"/>
        </w:trPr>
        <w:tc>
          <w:tcPr>
            <w:tcW w:w="2064" w:type="dxa"/>
            <w:tcBorders>
              <w:top w:val="nil"/>
              <w:left w:val="nil"/>
              <w:bottom w:val="nil"/>
              <w:right w:val="nil"/>
            </w:tcBorders>
            <w:vAlign w:val="center"/>
          </w:tcPr>
          <w:p w14:paraId="4D083417" w14:textId="72B9D740" w:rsidR="003902DF" w:rsidRPr="00305D32" w:rsidRDefault="003902DF" w:rsidP="003902DF">
            <w:pPr>
              <w:spacing w:after="0" w:line="240" w:lineRule="auto"/>
              <w:jc w:val="center"/>
              <w:rPr>
                <w:color w:val="000000"/>
                <w:sz w:val="20"/>
                <w:szCs w:val="20"/>
                <w:lang w:val="es-MX"/>
              </w:rPr>
            </w:pPr>
            <w:r w:rsidRPr="00305D32">
              <w:rPr>
                <w:color w:val="000000"/>
                <w:sz w:val="20"/>
                <w:szCs w:val="20"/>
                <w:lang w:val="es-MX"/>
              </w:rPr>
              <w:t>202</w:t>
            </w:r>
            <w:r w:rsidR="002E7103" w:rsidRPr="00305D32">
              <w:rPr>
                <w:color w:val="000000"/>
                <w:sz w:val="20"/>
                <w:szCs w:val="20"/>
                <w:lang w:val="es-MX"/>
              </w:rPr>
              <w:t>4</w:t>
            </w:r>
          </w:p>
        </w:tc>
        <w:tc>
          <w:tcPr>
            <w:tcW w:w="2064" w:type="dxa"/>
            <w:tcBorders>
              <w:top w:val="nil"/>
              <w:left w:val="nil"/>
              <w:bottom w:val="nil"/>
              <w:right w:val="nil"/>
            </w:tcBorders>
            <w:vAlign w:val="center"/>
          </w:tcPr>
          <w:p w14:paraId="4D083418" w14:textId="65273FBF" w:rsidR="003902DF" w:rsidRPr="00305D32" w:rsidRDefault="003902DF" w:rsidP="003902DF">
            <w:pPr>
              <w:spacing w:after="0" w:line="240" w:lineRule="auto"/>
              <w:jc w:val="center"/>
              <w:rPr>
                <w:color w:val="000000"/>
                <w:sz w:val="20"/>
                <w:szCs w:val="20"/>
                <w:lang w:val="es-MX"/>
              </w:rPr>
            </w:pPr>
            <w:r w:rsidRPr="00305D32">
              <w:rPr>
                <w:sz w:val="20"/>
                <w:szCs w:val="20"/>
                <w:lang w:val="es-MX"/>
              </w:rPr>
              <w:t>162,270</w:t>
            </w:r>
          </w:p>
        </w:tc>
        <w:tc>
          <w:tcPr>
            <w:tcW w:w="2064" w:type="dxa"/>
            <w:tcBorders>
              <w:top w:val="nil"/>
              <w:left w:val="nil"/>
              <w:bottom w:val="nil"/>
              <w:right w:val="nil"/>
            </w:tcBorders>
            <w:vAlign w:val="center"/>
          </w:tcPr>
          <w:p w14:paraId="4D083419" w14:textId="0AF68623" w:rsidR="003902DF" w:rsidRPr="00305D32" w:rsidRDefault="003902DF" w:rsidP="003902DF">
            <w:pPr>
              <w:spacing w:after="0" w:line="240" w:lineRule="auto"/>
              <w:jc w:val="center"/>
              <w:rPr>
                <w:color w:val="000000"/>
                <w:sz w:val="20"/>
                <w:szCs w:val="20"/>
                <w:lang w:val="es-MX"/>
              </w:rPr>
            </w:pPr>
            <w:r w:rsidRPr="00305D32">
              <w:rPr>
                <w:sz w:val="20"/>
                <w:szCs w:val="20"/>
                <w:lang w:val="es-MX"/>
              </w:rPr>
              <w:t>364,170</w:t>
            </w:r>
          </w:p>
        </w:tc>
        <w:tc>
          <w:tcPr>
            <w:tcW w:w="2068" w:type="dxa"/>
            <w:tcBorders>
              <w:top w:val="nil"/>
              <w:left w:val="nil"/>
              <w:bottom w:val="nil"/>
              <w:right w:val="nil"/>
            </w:tcBorders>
            <w:vAlign w:val="center"/>
          </w:tcPr>
          <w:p w14:paraId="4D08341A" w14:textId="327DB867" w:rsidR="003902DF" w:rsidRPr="00305D32" w:rsidRDefault="003902DF" w:rsidP="003902DF">
            <w:pPr>
              <w:spacing w:after="0" w:line="240" w:lineRule="auto"/>
              <w:jc w:val="center"/>
              <w:rPr>
                <w:color w:val="000000"/>
                <w:sz w:val="20"/>
                <w:szCs w:val="20"/>
                <w:lang w:val="es-MX"/>
              </w:rPr>
            </w:pPr>
            <w:r w:rsidRPr="00305D32">
              <w:rPr>
                <w:sz w:val="20"/>
                <w:szCs w:val="20"/>
                <w:lang w:val="es-MX"/>
              </w:rPr>
              <w:t>526,440</w:t>
            </w:r>
          </w:p>
        </w:tc>
      </w:tr>
      <w:tr w:rsidR="003902DF" w:rsidRPr="00305D32" w14:paraId="4D083420" w14:textId="77777777" w:rsidTr="00C47636">
        <w:trPr>
          <w:trHeight w:val="20"/>
          <w:jc w:val="center"/>
        </w:trPr>
        <w:tc>
          <w:tcPr>
            <w:tcW w:w="2064" w:type="dxa"/>
            <w:tcBorders>
              <w:top w:val="nil"/>
              <w:left w:val="nil"/>
              <w:bottom w:val="single" w:sz="12" w:space="0" w:color="000000"/>
              <w:right w:val="nil"/>
            </w:tcBorders>
            <w:vAlign w:val="center"/>
          </w:tcPr>
          <w:p w14:paraId="4D08341C" w14:textId="7B9032D6" w:rsidR="003902DF" w:rsidRPr="00305D32" w:rsidRDefault="003902DF" w:rsidP="003902DF">
            <w:pPr>
              <w:spacing w:after="0" w:line="240" w:lineRule="auto"/>
              <w:jc w:val="center"/>
              <w:rPr>
                <w:color w:val="000000"/>
                <w:sz w:val="20"/>
                <w:szCs w:val="20"/>
                <w:lang w:val="es-MX"/>
              </w:rPr>
            </w:pPr>
            <w:r w:rsidRPr="00305D32">
              <w:rPr>
                <w:color w:val="000000"/>
                <w:sz w:val="20"/>
                <w:szCs w:val="20"/>
                <w:lang w:val="es-MX"/>
              </w:rPr>
              <w:t>202</w:t>
            </w:r>
            <w:r w:rsidR="002E7103" w:rsidRPr="00305D32">
              <w:rPr>
                <w:color w:val="000000"/>
                <w:sz w:val="20"/>
                <w:szCs w:val="20"/>
                <w:lang w:val="es-MX"/>
              </w:rPr>
              <w:t>5</w:t>
            </w:r>
          </w:p>
        </w:tc>
        <w:tc>
          <w:tcPr>
            <w:tcW w:w="2064" w:type="dxa"/>
            <w:tcBorders>
              <w:top w:val="nil"/>
              <w:left w:val="nil"/>
              <w:bottom w:val="single" w:sz="12" w:space="0" w:color="000000"/>
              <w:right w:val="nil"/>
            </w:tcBorders>
            <w:vAlign w:val="center"/>
          </w:tcPr>
          <w:p w14:paraId="4D08341D" w14:textId="63A6FF52" w:rsidR="003902DF" w:rsidRPr="00305D32" w:rsidRDefault="003902DF" w:rsidP="003902DF">
            <w:pPr>
              <w:spacing w:after="0" w:line="240" w:lineRule="auto"/>
              <w:jc w:val="center"/>
              <w:rPr>
                <w:color w:val="000000"/>
                <w:sz w:val="20"/>
                <w:szCs w:val="20"/>
                <w:lang w:val="es-MX"/>
              </w:rPr>
            </w:pPr>
            <w:r w:rsidRPr="00305D32">
              <w:rPr>
                <w:sz w:val="20"/>
                <w:szCs w:val="20"/>
                <w:lang w:val="es-MX"/>
              </w:rPr>
              <w:t>174,704</w:t>
            </w:r>
          </w:p>
        </w:tc>
        <w:tc>
          <w:tcPr>
            <w:tcW w:w="2064" w:type="dxa"/>
            <w:tcBorders>
              <w:top w:val="nil"/>
              <w:left w:val="nil"/>
              <w:bottom w:val="single" w:sz="12" w:space="0" w:color="000000"/>
              <w:right w:val="nil"/>
            </w:tcBorders>
            <w:vAlign w:val="center"/>
          </w:tcPr>
          <w:p w14:paraId="4D08341E" w14:textId="7AD0BE04" w:rsidR="003902DF" w:rsidRPr="00305D32" w:rsidRDefault="003902DF" w:rsidP="003902DF">
            <w:pPr>
              <w:spacing w:after="0" w:line="240" w:lineRule="auto"/>
              <w:jc w:val="center"/>
              <w:rPr>
                <w:color w:val="000000"/>
                <w:sz w:val="20"/>
                <w:szCs w:val="20"/>
                <w:lang w:val="es-MX"/>
              </w:rPr>
            </w:pPr>
            <w:r w:rsidRPr="00305D32">
              <w:rPr>
                <w:sz w:val="20"/>
                <w:szCs w:val="20"/>
                <w:lang w:val="es-MX"/>
              </w:rPr>
              <w:t>283,973</w:t>
            </w:r>
          </w:p>
        </w:tc>
        <w:tc>
          <w:tcPr>
            <w:tcW w:w="2068" w:type="dxa"/>
            <w:tcBorders>
              <w:top w:val="nil"/>
              <w:left w:val="nil"/>
              <w:bottom w:val="single" w:sz="12" w:space="0" w:color="000000"/>
              <w:right w:val="nil"/>
            </w:tcBorders>
            <w:vAlign w:val="center"/>
          </w:tcPr>
          <w:p w14:paraId="4D08341F" w14:textId="3DD59A5A" w:rsidR="003902DF" w:rsidRPr="00305D32" w:rsidRDefault="003902DF" w:rsidP="003902DF">
            <w:pPr>
              <w:spacing w:after="0" w:line="240" w:lineRule="auto"/>
              <w:jc w:val="center"/>
              <w:rPr>
                <w:color w:val="000000"/>
                <w:sz w:val="20"/>
                <w:szCs w:val="20"/>
                <w:lang w:val="es-MX"/>
              </w:rPr>
            </w:pPr>
            <w:r w:rsidRPr="00305D32">
              <w:rPr>
                <w:sz w:val="20"/>
                <w:szCs w:val="20"/>
                <w:lang w:val="es-MX"/>
              </w:rPr>
              <w:t>458,677</w:t>
            </w:r>
          </w:p>
        </w:tc>
      </w:tr>
    </w:tbl>
    <w:p w14:paraId="4D083421" w14:textId="6CE20566" w:rsidR="00AE57F0" w:rsidRPr="00305D32" w:rsidRDefault="00414F7C">
      <w:pPr>
        <w:spacing w:line="240" w:lineRule="auto"/>
        <w:jc w:val="center"/>
        <w:rPr>
          <w:i/>
          <w:sz w:val="20"/>
          <w:szCs w:val="20"/>
          <w:lang w:val="es-MX"/>
        </w:rPr>
      </w:pPr>
      <w:r w:rsidRPr="00305D32">
        <w:rPr>
          <w:sz w:val="20"/>
          <w:szCs w:val="20"/>
          <w:lang w:val="es-MX"/>
        </w:rPr>
        <w:t>Fuente: Elaboración de la Subsecretaría de Análisis Económico y Finanzas Públicas de la Secretaría de Finanzas y Planeación, con base en datos de Aeropuertos del Sureste (ASUR, 202</w:t>
      </w:r>
      <w:r w:rsidR="000F76FD" w:rsidRPr="00305D32">
        <w:rPr>
          <w:sz w:val="20"/>
          <w:szCs w:val="20"/>
          <w:lang w:val="es-MX"/>
        </w:rPr>
        <w:t>5</w:t>
      </w:r>
      <w:r w:rsidRPr="00305D32">
        <w:rPr>
          <w:sz w:val="20"/>
          <w:szCs w:val="20"/>
          <w:lang w:val="es-MX"/>
        </w:rPr>
        <w:t xml:space="preserve">) </w:t>
      </w:r>
      <w:r w:rsidRPr="00305D32">
        <w:rPr>
          <w:i/>
          <w:sz w:val="20"/>
          <w:szCs w:val="20"/>
          <w:lang w:val="es-MX"/>
        </w:rPr>
        <w:t>Inversionistas, Tráfico de pasajeros.</w:t>
      </w:r>
    </w:p>
    <w:p w14:paraId="4D083423" w14:textId="1D0C0A47" w:rsidR="00AE57F0" w:rsidRPr="00305D32" w:rsidRDefault="003B5874">
      <w:pPr>
        <w:rPr>
          <w:lang w:val="es-MX"/>
        </w:rPr>
      </w:pPr>
      <w:r w:rsidRPr="003B5874">
        <w:rPr>
          <w:lang w:val="es-MX"/>
        </w:rPr>
        <w:t>Los pasajeros totales en el Aeropuerto Internacional de Cozumel crecieron consideradamente de 2023 a 2024, al pasar de 667,503 a 712,958 pasajeros, lo que representa un incremento de 6.81</w:t>
      </w:r>
      <w:r w:rsidR="0019290E">
        <w:rPr>
          <w:lang w:val="es-MX"/>
        </w:rPr>
        <w:t xml:space="preserve"> %</w:t>
      </w:r>
      <w:r w:rsidRPr="003B5874">
        <w:rPr>
          <w:lang w:val="es-MX"/>
        </w:rPr>
        <w:t>. Para 2025 se observa un menor dinamismo en el avance registrado de enero a agosto, en comparación con el mismo periodo de 2023 y 2024</w:t>
      </w:r>
      <w:r w:rsidR="00414F7C" w:rsidRPr="00305D32">
        <w:rPr>
          <w:lang w:val="es-MX"/>
        </w:rPr>
        <w:t>.</w:t>
      </w:r>
    </w:p>
    <w:p w14:paraId="4D083426" w14:textId="58BA0ECA" w:rsidR="00AE57F0" w:rsidRPr="00305D32" w:rsidRDefault="00414F7C" w:rsidP="00321252">
      <w:pPr>
        <w:pStyle w:val="Descripcin"/>
        <w:jc w:val="center"/>
        <w:rPr>
          <w:lang w:val="es-MX"/>
        </w:rPr>
      </w:pPr>
      <w:bookmarkStart w:id="80" w:name="_heading=h.4iylrwe" w:colFirst="0" w:colLast="0"/>
      <w:bookmarkStart w:id="81" w:name="_Ref210290664"/>
      <w:bookmarkEnd w:id="80"/>
      <w:r w:rsidRPr="00305D32">
        <w:rPr>
          <w:lang w:val="es-MX"/>
        </w:rPr>
        <w:t xml:space="preserve">Figura </w:t>
      </w:r>
      <w:r w:rsidR="00321252" w:rsidRPr="00305D32">
        <w:rPr>
          <w:lang w:val="es-MX"/>
        </w:rPr>
        <w:fldChar w:fldCharType="begin"/>
      </w:r>
      <w:r w:rsidR="00321252" w:rsidRPr="00305D32">
        <w:rPr>
          <w:lang w:val="es-MX"/>
        </w:rPr>
        <w:instrText xml:space="preserve"> SEQ Figura \* ARABIC </w:instrText>
      </w:r>
      <w:r w:rsidR="00321252" w:rsidRPr="00305D32">
        <w:rPr>
          <w:lang w:val="es-MX"/>
        </w:rPr>
        <w:fldChar w:fldCharType="separate"/>
      </w:r>
      <w:r w:rsidR="00ED1F2F">
        <w:rPr>
          <w:noProof/>
          <w:lang w:val="es-MX"/>
        </w:rPr>
        <w:t>27</w:t>
      </w:r>
      <w:r w:rsidR="00321252" w:rsidRPr="00305D32">
        <w:rPr>
          <w:lang w:val="es-MX"/>
        </w:rPr>
        <w:fldChar w:fldCharType="end"/>
      </w:r>
      <w:bookmarkEnd w:id="81"/>
      <w:r w:rsidRPr="00305D32">
        <w:rPr>
          <w:color w:val="000000"/>
          <w:lang w:val="es-MX"/>
        </w:rPr>
        <w:t>. Pasajeros nacionales y extranjeros que arribaron al aeropuerto de Cozumel, 202</w:t>
      </w:r>
      <w:r w:rsidR="00863644" w:rsidRPr="00305D32">
        <w:rPr>
          <w:color w:val="000000"/>
          <w:lang w:val="es-MX"/>
        </w:rPr>
        <w:t>3</w:t>
      </w:r>
      <w:r w:rsidRPr="00305D32">
        <w:rPr>
          <w:color w:val="000000"/>
          <w:lang w:val="es-MX"/>
        </w:rPr>
        <w:t>-202</w:t>
      </w:r>
      <w:r w:rsidR="00863644" w:rsidRPr="00305D32">
        <w:rPr>
          <w:color w:val="000000"/>
          <w:lang w:val="es-MX"/>
        </w:rPr>
        <w:t>4</w:t>
      </w:r>
      <w:r w:rsidRPr="00305D32">
        <w:rPr>
          <w:color w:val="000000"/>
          <w:lang w:val="es-MX"/>
        </w:rPr>
        <w:t xml:space="preserve"> y enero-agosto 202</w:t>
      </w:r>
      <w:r w:rsidR="00863644" w:rsidRPr="00305D32">
        <w:rPr>
          <w:color w:val="000000"/>
          <w:lang w:val="es-MX"/>
        </w:rPr>
        <w:t>5</w:t>
      </w:r>
    </w:p>
    <w:p w14:paraId="042B97D3" w14:textId="33EE3157" w:rsidR="00863644" w:rsidRPr="00305D32" w:rsidRDefault="00863644" w:rsidP="009470D0">
      <w:pPr>
        <w:spacing w:after="0"/>
        <w:jc w:val="center"/>
        <w:rPr>
          <w:lang w:val="es-MX"/>
        </w:rPr>
      </w:pPr>
      <w:r w:rsidRPr="00305D32">
        <w:rPr>
          <w:noProof/>
          <w:lang w:val="es-MX" w:eastAsia="es-MX"/>
        </w:rPr>
        <w:drawing>
          <wp:inline distT="0" distB="0" distL="0" distR="0" wp14:anchorId="53E794B8" wp14:editId="40FA9A53">
            <wp:extent cx="4877435" cy="2218414"/>
            <wp:effectExtent l="0" t="0" r="18415" b="10795"/>
            <wp:docPr id="1043882092" name="Gráfico 1">
              <a:extLst xmlns:a="http://schemas.openxmlformats.org/drawingml/2006/main">
                <a:ext uri="{FF2B5EF4-FFF2-40B4-BE49-F238E27FC236}">
                  <a16:creationId xmlns:a16="http://schemas.microsoft.com/office/drawing/2014/main" id="{AB3C2B64-60A0-4762-BA40-0F3ED34152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D083428" w14:textId="1D8A0A60" w:rsidR="00AE57F0" w:rsidRPr="00305D32" w:rsidRDefault="00414F7C">
      <w:pPr>
        <w:spacing w:line="240"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base en datos de Aeropuertos del Sureste (ASUR, 202</w:t>
      </w:r>
      <w:r w:rsidR="00863644" w:rsidRPr="00305D32">
        <w:rPr>
          <w:sz w:val="20"/>
          <w:szCs w:val="20"/>
          <w:lang w:val="es-MX"/>
        </w:rPr>
        <w:t>5</w:t>
      </w:r>
      <w:r w:rsidRPr="00305D32">
        <w:rPr>
          <w:sz w:val="20"/>
          <w:szCs w:val="20"/>
          <w:lang w:val="es-MX"/>
        </w:rPr>
        <w:t xml:space="preserve">) </w:t>
      </w:r>
      <w:r w:rsidRPr="00305D32">
        <w:rPr>
          <w:i/>
          <w:sz w:val="20"/>
          <w:szCs w:val="20"/>
          <w:lang w:val="es-MX"/>
        </w:rPr>
        <w:t>Inversionistas, Tráfico de pasajeros.</w:t>
      </w:r>
    </w:p>
    <w:p w14:paraId="60CE7040" w14:textId="2E094809" w:rsidR="006014B7" w:rsidRPr="006014B7" w:rsidRDefault="006014B7" w:rsidP="006014B7">
      <w:pPr>
        <w:rPr>
          <w:lang w:val="es-MX"/>
        </w:rPr>
      </w:pPr>
      <w:r w:rsidRPr="006014B7">
        <w:rPr>
          <w:lang w:val="es-MX"/>
        </w:rPr>
        <w:lastRenderedPageBreak/>
        <w:t>En términos generales, el Aeropuerto Internacional de Chetumal registró en 2023 un total de 335,088 pasajeros. En 2024 esta cifra aumentó a 433,527 pasajeros lo que representa un incremento de 29.38</w:t>
      </w:r>
      <w:r w:rsidR="0019290E">
        <w:rPr>
          <w:lang w:val="es-MX"/>
        </w:rPr>
        <w:t xml:space="preserve"> %</w:t>
      </w:r>
      <w:r w:rsidRPr="006014B7">
        <w:rPr>
          <w:lang w:val="es-MX"/>
        </w:rPr>
        <w:t>. En comparación con el periodo enero-agosto de 2025, los datos muestran un aumento de 0.72</w:t>
      </w:r>
      <w:r w:rsidR="0019290E">
        <w:rPr>
          <w:lang w:val="es-MX"/>
        </w:rPr>
        <w:t xml:space="preserve"> %</w:t>
      </w:r>
      <w:r w:rsidRPr="006014B7">
        <w:rPr>
          <w:lang w:val="es-MX"/>
        </w:rPr>
        <w:t xml:space="preserve"> en la llegada de pasajeros nacionales en 0.72</w:t>
      </w:r>
      <w:r w:rsidR="0019290E">
        <w:rPr>
          <w:lang w:val="es-MX"/>
        </w:rPr>
        <w:t xml:space="preserve"> %</w:t>
      </w:r>
      <w:r w:rsidRPr="006014B7">
        <w:rPr>
          <w:lang w:val="es-MX"/>
        </w:rPr>
        <w:t xml:space="preserve"> </w:t>
      </w:r>
      <w:r w:rsidR="003E041D">
        <w:rPr>
          <w:lang w:val="es-MX"/>
        </w:rPr>
        <w:t>al pasar</w:t>
      </w:r>
      <w:r w:rsidRPr="006014B7">
        <w:rPr>
          <w:lang w:val="es-MX"/>
        </w:rPr>
        <w:t xml:space="preserve"> de 285,439 en 2024 a 287,507 en 2025.</w:t>
      </w:r>
    </w:p>
    <w:p w14:paraId="5E3A9346" w14:textId="235F88EE" w:rsidR="006014B7" w:rsidRPr="00305D32" w:rsidRDefault="006014B7" w:rsidP="006014B7">
      <w:pPr>
        <w:rPr>
          <w:lang w:val="es-MX"/>
        </w:rPr>
      </w:pPr>
      <w:r w:rsidRPr="006014B7">
        <w:rPr>
          <w:lang w:val="es-MX"/>
        </w:rPr>
        <w:t>En el Aeropuerto Internacional de Tulum ha presentado un notable dinamismo desde su apertura en diciembre de 2023, alcanzando cifras superiores a las del aeropuerto de la capital del Estado, debido a su mayor capacidad operativa. En el periodo de enero a agosto de 2025, este aeropuerto recibió 389,399 pasajeros nacionales y 493,909 pasajeros internacionales.</w:t>
      </w:r>
    </w:p>
    <w:p w14:paraId="4D08342C" w14:textId="6533FEAF" w:rsidR="00AE57F0" w:rsidRPr="00305D32" w:rsidRDefault="00414F7C" w:rsidP="003B4238">
      <w:pPr>
        <w:pStyle w:val="Descripcin"/>
        <w:keepNext/>
        <w:jc w:val="center"/>
        <w:rPr>
          <w:lang w:val="es-MX"/>
        </w:rPr>
      </w:pPr>
      <w:r w:rsidRPr="00305D32">
        <w:rPr>
          <w:lang w:val="es-MX"/>
        </w:rPr>
        <w:t xml:space="preserve">Tabla </w:t>
      </w:r>
      <w:r w:rsidR="003B4238" w:rsidRPr="00305D32">
        <w:rPr>
          <w:lang w:val="es-MX"/>
        </w:rPr>
        <w:fldChar w:fldCharType="begin"/>
      </w:r>
      <w:r w:rsidR="003B4238" w:rsidRPr="00305D32">
        <w:rPr>
          <w:lang w:val="es-MX"/>
        </w:rPr>
        <w:instrText xml:space="preserve"> SEQ Tabla \* ARABIC </w:instrText>
      </w:r>
      <w:r w:rsidR="003B4238" w:rsidRPr="00305D32">
        <w:rPr>
          <w:lang w:val="es-MX"/>
        </w:rPr>
        <w:fldChar w:fldCharType="separate"/>
      </w:r>
      <w:r w:rsidR="00ED1F2F">
        <w:rPr>
          <w:noProof/>
          <w:lang w:val="es-MX"/>
        </w:rPr>
        <w:t>10</w:t>
      </w:r>
      <w:r w:rsidR="003B4238" w:rsidRPr="00305D32">
        <w:rPr>
          <w:lang w:val="es-MX"/>
        </w:rPr>
        <w:fldChar w:fldCharType="end"/>
      </w:r>
      <w:r w:rsidR="003B4238" w:rsidRPr="00305D32">
        <w:rPr>
          <w:lang w:val="es-MX"/>
        </w:rPr>
        <w:t>.</w:t>
      </w:r>
      <w:r w:rsidRPr="00305D32">
        <w:rPr>
          <w:lang w:val="es-MX"/>
        </w:rPr>
        <w:t xml:space="preserve"> </w:t>
      </w:r>
      <w:r w:rsidRPr="00305D32">
        <w:rPr>
          <w:color w:val="000000"/>
          <w:lang w:val="es-MX"/>
        </w:rPr>
        <w:t>Pasajeros nacionales que arribaron al aeropuerto de Chetumal y Tulum, 202</w:t>
      </w:r>
      <w:r w:rsidR="00E50D30" w:rsidRPr="00305D32">
        <w:rPr>
          <w:color w:val="000000"/>
          <w:lang w:val="es-MX"/>
        </w:rPr>
        <w:t>3</w:t>
      </w:r>
      <w:r w:rsidRPr="00305D32">
        <w:rPr>
          <w:color w:val="000000"/>
          <w:lang w:val="es-MX"/>
        </w:rPr>
        <w:t>-202</w:t>
      </w:r>
      <w:r w:rsidR="00E50D30" w:rsidRPr="00305D32">
        <w:rPr>
          <w:color w:val="000000"/>
          <w:lang w:val="es-MX"/>
        </w:rPr>
        <w:t>4</w:t>
      </w:r>
      <w:r w:rsidRPr="00305D32">
        <w:rPr>
          <w:color w:val="000000"/>
          <w:lang w:val="es-MX"/>
        </w:rPr>
        <w:t xml:space="preserve"> y enero-</w:t>
      </w:r>
      <w:r w:rsidR="00E50D30" w:rsidRPr="00305D32">
        <w:rPr>
          <w:color w:val="000000"/>
          <w:lang w:val="es-MX"/>
        </w:rPr>
        <w:t xml:space="preserve">agosto </w:t>
      </w:r>
      <w:r w:rsidRPr="00305D32">
        <w:rPr>
          <w:color w:val="000000"/>
          <w:lang w:val="es-MX"/>
        </w:rPr>
        <w:t>202</w:t>
      </w:r>
      <w:r w:rsidR="00E50D30" w:rsidRPr="00305D32">
        <w:rPr>
          <w:color w:val="000000"/>
          <w:lang w:val="es-MX"/>
        </w:rPr>
        <w:t>5</w:t>
      </w:r>
    </w:p>
    <w:tbl>
      <w:tblPr>
        <w:tblStyle w:val="a8"/>
        <w:tblW w:w="8807" w:type="dxa"/>
        <w:tblInd w:w="0" w:type="dxa"/>
        <w:tblLayout w:type="fixed"/>
        <w:tblLook w:val="0400" w:firstRow="0" w:lastRow="0" w:firstColumn="0" w:lastColumn="0" w:noHBand="0" w:noVBand="1"/>
      </w:tblPr>
      <w:tblGrid>
        <w:gridCol w:w="1750"/>
        <w:gridCol w:w="1750"/>
        <w:gridCol w:w="1750"/>
        <w:gridCol w:w="1806"/>
        <w:gridCol w:w="1751"/>
      </w:tblGrid>
      <w:tr w:rsidR="00AE57F0" w:rsidRPr="00305D32" w14:paraId="4D083432" w14:textId="77777777" w:rsidTr="000F5A59">
        <w:trPr>
          <w:trHeight w:val="258"/>
          <w:tblHeader/>
        </w:trPr>
        <w:tc>
          <w:tcPr>
            <w:tcW w:w="1750" w:type="dxa"/>
            <w:tcBorders>
              <w:top w:val="single" w:sz="12" w:space="0" w:color="auto"/>
              <w:left w:val="nil"/>
              <w:bottom w:val="single" w:sz="12" w:space="0" w:color="auto"/>
              <w:right w:val="nil"/>
            </w:tcBorders>
            <w:vAlign w:val="center"/>
          </w:tcPr>
          <w:p w14:paraId="4D08342D" w14:textId="77777777" w:rsidR="00AE57F0" w:rsidRPr="00305D32" w:rsidRDefault="00414F7C" w:rsidP="000F5A59">
            <w:pPr>
              <w:spacing w:after="0" w:line="240" w:lineRule="auto"/>
              <w:jc w:val="center"/>
              <w:rPr>
                <w:b/>
                <w:bCs/>
                <w:color w:val="000000"/>
                <w:sz w:val="22"/>
                <w:szCs w:val="22"/>
                <w:lang w:val="es-MX"/>
              </w:rPr>
            </w:pPr>
            <w:r w:rsidRPr="00305D32">
              <w:rPr>
                <w:b/>
                <w:bCs/>
                <w:color w:val="000000"/>
                <w:sz w:val="22"/>
                <w:szCs w:val="22"/>
                <w:lang w:val="es-MX"/>
              </w:rPr>
              <w:t>Aeropuerto</w:t>
            </w:r>
          </w:p>
        </w:tc>
        <w:tc>
          <w:tcPr>
            <w:tcW w:w="1750" w:type="dxa"/>
            <w:tcBorders>
              <w:top w:val="single" w:sz="12" w:space="0" w:color="auto"/>
              <w:left w:val="nil"/>
              <w:bottom w:val="single" w:sz="12" w:space="0" w:color="auto"/>
              <w:right w:val="nil"/>
            </w:tcBorders>
            <w:vAlign w:val="center"/>
          </w:tcPr>
          <w:p w14:paraId="4D08342E" w14:textId="77777777" w:rsidR="00AE57F0" w:rsidRPr="00305D32" w:rsidRDefault="00414F7C" w:rsidP="000F5A59">
            <w:pPr>
              <w:spacing w:after="0" w:line="240" w:lineRule="auto"/>
              <w:jc w:val="center"/>
              <w:rPr>
                <w:b/>
                <w:bCs/>
                <w:color w:val="000000"/>
                <w:sz w:val="22"/>
                <w:szCs w:val="22"/>
                <w:lang w:val="es-MX"/>
              </w:rPr>
            </w:pPr>
            <w:r w:rsidRPr="00305D32">
              <w:rPr>
                <w:b/>
                <w:bCs/>
                <w:color w:val="000000"/>
                <w:sz w:val="22"/>
                <w:szCs w:val="22"/>
                <w:lang w:val="es-MX"/>
              </w:rPr>
              <w:t>Periodo</w:t>
            </w:r>
          </w:p>
        </w:tc>
        <w:tc>
          <w:tcPr>
            <w:tcW w:w="1750" w:type="dxa"/>
            <w:tcBorders>
              <w:top w:val="single" w:sz="12" w:space="0" w:color="auto"/>
              <w:left w:val="nil"/>
              <w:bottom w:val="single" w:sz="12" w:space="0" w:color="auto"/>
              <w:right w:val="nil"/>
            </w:tcBorders>
            <w:vAlign w:val="center"/>
          </w:tcPr>
          <w:p w14:paraId="4D08342F" w14:textId="77777777" w:rsidR="00AE57F0" w:rsidRPr="00305D32" w:rsidRDefault="00414F7C" w:rsidP="000F5A59">
            <w:pPr>
              <w:spacing w:after="0" w:line="240" w:lineRule="auto"/>
              <w:jc w:val="center"/>
              <w:rPr>
                <w:b/>
                <w:bCs/>
                <w:color w:val="000000"/>
                <w:sz w:val="22"/>
                <w:szCs w:val="22"/>
                <w:lang w:val="es-MX"/>
              </w:rPr>
            </w:pPr>
            <w:r w:rsidRPr="00305D32">
              <w:rPr>
                <w:b/>
                <w:bCs/>
                <w:color w:val="000000"/>
                <w:sz w:val="22"/>
                <w:szCs w:val="22"/>
                <w:lang w:val="es-MX"/>
              </w:rPr>
              <w:t>Nacional</w:t>
            </w:r>
          </w:p>
        </w:tc>
        <w:tc>
          <w:tcPr>
            <w:tcW w:w="1806" w:type="dxa"/>
            <w:tcBorders>
              <w:top w:val="single" w:sz="12" w:space="0" w:color="auto"/>
              <w:left w:val="nil"/>
              <w:bottom w:val="single" w:sz="12" w:space="0" w:color="auto"/>
              <w:right w:val="nil"/>
            </w:tcBorders>
            <w:vAlign w:val="center"/>
          </w:tcPr>
          <w:p w14:paraId="4D083430" w14:textId="77777777" w:rsidR="00AE57F0" w:rsidRPr="00305D32" w:rsidRDefault="00414F7C" w:rsidP="000F5A59">
            <w:pPr>
              <w:spacing w:after="0" w:line="240" w:lineRule="auto"/>
              <w:jc w:val="center"/>
              <w:rPr>
                <w:b/>
                <w:bCs/>
                <w:color w:val="000000"/>
                <w:sz w:val="22"/>
                <w:szCs w:val="22"/>
                <w:lang w:val="es-MX"/>
              </w:rPr>
            </w:pPr>
            <w:r w:rsidRPr="00305D32">
              <w:rPr>
                <w:b/>
                <w:bCs/>
                <w:color w:val="000000"/>
                <w:sz w:val="22"/>
                <w:szCs w:val="22"/>
                <w:lang w:val="es-MX"/>
              </w:rPr>
              <w:t>Internacional</w:t>
            </w:r>
          </w:p>
        </w:tc>
        <w:tc>
          <w:tcPr>
            <w:tcW w:w="1751" w:type="dxa"/>
            <w:tcBorders>
              <w:top w:val="single" w:sz="12" w:space="0" w:color="auto"/>
              <w:left w:val="nil"/>
              <w:bottom w:val="single" w:sz="4" w:space="0" w:color="000000"/>
              <w:right w:val="nil"/>
            </w:tcBorders>
            <w:vAlign w:val="center"/>
          </w:tcPr>
          <w:p w14:paraId="4D083431" w14:textId="77777777" w:rsidR="00AE57F0" w:rsidRPr="00305D32" w:rsidRDefault="00414F7C" w:rsidP="000F5A59">
            <w:pPr>
              <w:spacing w:after="0" w:line="240" w:lineRule="auto"/>
              <w:jc w:val="center"/>
              <w:rPr>
                <w:b/>
                <w:bCs/>
                <w:color w:val="000000"/>
                <w:sz w:val="22"/>
                <w:szCs w:val="22"/>
                <w:lang w:val="es-MX"/>
              </w:rPr>
            </w:pPr>
            <w:r w:rsidRPr="00305D32">
              <w:rPr>
                <w:b/>
                <w:bCs/>
                <w:color w:val="000000"/>
                <w:sz w:val="22"/>
                <w:szCs w:val="22"/>
                <w:lang w:val="es-MX"/>
              </w:rPr>
              <w:t>Total</w:t>
            </w:r>
          </w:p>
        </w:tc>
      </w:tr>
      <w:tr w:rsidR="00AE57F0" w:rsidRPr="00305D32" w14:paraId="4D083434" w14:textId="77777777" w:rsidTr="000F5A59">
        <w:trPr>
          <w:trHeight w:val="258"/>
          <w:tblHeader/>
        </w:trPr>
        <w:tc>
          <w:tcPr>
            <w:tcW w:w="8807" w:type="dxa"/>
            <w:gridSpan w:val="5"/>
            <w:tcBorders>
              <w:top w:val="single" w:sz="12" w:space="0" w:color="auto"/>
              <w:left w:val="nil"/>
              <w:bottom w:val="single" w:sz="4" w:space="0" w:color="000000"/>
              <w:right w:val="nil"/>
            </w:tcBorders>
            <w:vAlign w:val="bottom"/>
          </w:tcPr>
          <w:p w14:paraId="4D083433" w14:textId="77777777" w:rsidR="00AE57F0" w:rsidRPr="00305D32" w:rsidRDefault="00414F7C">
            <w:pPr>
              <w:spacing w:after="0" w:line="240" w:lineRule="auto"/>
              <w:jc w:val="center"/>
              <w:rPr>
                <w:b/>
                <w:bCs/>
                <w:color w:val="000000"/>
                <w:sz w:val="22"/>
                <w:szCs w:val="22"/>
                <w:lang w:val="es-MX"/>
              </w:rPr>
            </w:pPr>
            <w:r w:rsidRPr="00305D32">
              <w:rPr>
                <w:b/>
                <w:bCs/>
                <w:color w:val="000000"/>
                <w:sz w:val="22"/>
                <w:szCs w:val="22"/>
                <w:lang w:val="es-MX"/>
              </w:rPr>
              <w:t>Anual</w:t>
            </w:r>
          </w:p>
        </w:tc>
      </w:tr>
      <w:tr w:rsidR="0083011D" w:rsidRPr="00305D32" w14:paraId="4D08343A" w14:textId="77777777" w:rsidTr="00586D55">
        <w:trPr>
          <w:trHeight w:val="258"/>
        </w:trPr>
        <w:tc>
          <w:tcPr>
            <w:tcW w:w="1750" w:type="dxa"/>
            <w:vMerge w:val="restart"/>
            <w:tcBorders>
              <w:top w:val="nil"/>
              <w:left w:val="nil"/>
              <w:bottom w:val="nil"/>
              <w:right w:val="nil"/>
            </w:tcBorders>
            <w:vAlign w:val="center"/>
          </w:tcPr>
          <w:p w14:paraId="4D083435" w14:textId="77777777" w:rsidR="0083011D" w:rsidRPr="00305D32" w:rsidRDefault="0083011D" w:rsidP="0083011D">
            <w:pPr>
              <w:spacing w:after="0" w:line="240" w:lineRule="auto"/>
              <w:jc w:val="center"/>
              <w:rPr>
                <w:color w:val="000000"/>
                <w:sz w:val="22"/>
                <w:szCs w:val="22"/>
                <w:lang w:val="es-MX"/>
              </w:rPr>
            </w:pPr>
            <w:r w:rsidRPr="00305D32">
              <w:rPr>
                <w:color w:val="000000"/>
                <w:sz w:val="22"/>
                <w:szCs w:val="22"/>
                <w:lang w:val="es-MX"/>
              </w:rPr>
              <w:t>Chetumal</w:t>
            </w:r>
          </w:p>
        </w:tc>
        <w:tc>
          <w:tcPr>
            <w:tcW w:w="1750" w:type="dxa"/>
            <w:tcBorders>
              <w:top w:val="nil"/>
              <w:left w:val="nil"/>
              <w:bottom w:val="nil"/>
              <w:right w:val="nil"/>
            </w:tcBorders>
            <w:vAlign w:val="bottom"/>
          </w:tcPr>
          <w:p w14:paraId="4D083436" w14:textId="6A2B533E" w:rsidR="0083011D" w:rsidRPr="00305D32" w:rsidRDefault="0083011D" w:rsidP="0083011D">
            <w:pPr>
              <w:spacing w:after="0" w:line="240" w:lineRule="auto"/>
              <w:jc w:val="right"/>
              <w:rPr>
                <w:color w:val="000000"/>
                <w:sz w:val="22"/>
                <w:szCs w:val="22"/>
                <w:lang w:val="es-MX"/>
              </w:rPr>
            </w:pPr>
            <w:r w:rsidRPr="00305D32">
              <w:rPr>
                <w:color w:val="000000"/>
                <w:sz w:val="22"/>
                <w:szCs w:val="22"/>
                <w:lang w:val="es-MX"/>
              </w:rPr>
              <w:t>202</w:t>
            </w:r>
            <w:r w:rsidR="009C137B" w:rsidRPr="00305D32">
              <w:rPr>
                <w:color w:val="000000"/>
                <w:sz w:val="22"/>
                <w:szCs w:val="22"/>
                <w:lang w:val="es-MX"/>
              </w:rPr>
              <w:t>3</w:t>
            </w:r>
          </w:p>
        </w:tc>
        <w:tc>
          <w:tcPr>
            <w:tcW w:w="1750" w:type="dxa"/>
            <w:tcBorders>
              <w:top w:val="nil"/>
              <w:left w:val="nil"/>
              <w:bottom w:val="nil"/>
              <w:right w:val="nil"/>
            </w:tcBorders>
            <w:vAlign w:val="center"/>
          </w:tcPr>
          <w:p w14:paraId="4D083437" w14:textId="1190FFA0" w:rsidR="0083011D" w:rsidRPr="00305D32" w:rsidRDefault="0083011D" w:rsidP="009470D0">
            <w:pPr>
              <w:spacing w:after="0" w:line="240" w:lineRule="auto"/>
              <w:jc w:val="right"/>
              <w:rPr>
                <w:color w:val="000000"/>
                <w:sz w:val="22"/>
                <w:szCs w:val="22"/>
                <w:lang w:val="es-MX"/>
              </w:rPr>
            </w:pPr>
            <w:r w:rsidRPr="00305D32">
              <w:rPr>
                <w:sz w:val="22"/>
                <w:szCs w:val="22"/>
                <w:lang w:val="es-MX"/>
              </w:rPr>
              <w:t>333,112</w:t>
            </w:r>
          </w:p>
        </w:tc>
        <w:tc>
          <w:tcPr>
            <w:tcW w:w="1806" w:type="dxa"/>
            <w:tcBorders>
              <w:top w:val="nil"/>
              <w:left w:val="nil"/>
              <w:bottom w:val="nil"/>
              <w:right w:val="nil"/>
            </w:tcBorders>
            <w:vAlign w:val="center"/>
          </w:tcPr>
          <w:p w14:paraId="4D083438" w14:textId="0530E83A" w:rsidR="0083011D" w:rsidRPr="00305D32" w:rsidRDefault="0083011D" w:rsidP="009470D0">
            <w:pPr>
              <w:spacing w:after="0" w:line="240" w:lineRule="auto"/>
              <w:jc w:val="right"/>
              <w:rPr>
                <w:color w:val="000000"/>
                <w:sz w:val="22"/>
                <w:szCs w:val="22"/>
                <w:lang w:val="es-MX"/>
              </w:rPr>
            </w:pPr>
            <w:r w:rsidRPr="00305D32">
              <w:rPr>
                <w:sz w:val="22"/>
                <w:szCs w:val="22"/>
                <w:lang w:val="es-MX"/>
              </w:rPr>
              <w:t>1,976</w:t>
            </w:r>
          </w:p>
        </w:tc>
        <w:tc>
          <w:tcPr>
            <w:tcW w:w="1751" w:type="dxa"/>
            <w:tcBorders>
              <w:top w:val="nil"/>
              <w:left w:val="nil"/>
              <w:bottom w:val="nil"/>
              <w:right w:val="nil"/>
            </w:tcBorders>
            <w:vAlign w:val="center"/>
          </w:tcPr>
          <w:p w14:paraId="4D083439" w14:textId="670E2CC5" w:rsidR="0083011D" w:rsidRPr="00305D32" w:rsidRDefault="0083011D" w:rsidP="009470D0">
            <w:pPr>
              <w:spacing w:after="0" w:line="240" w:lineRule="auto"/>
              <w:jc w:val="right"/>
              <w:rPr>
                <w:color w:val="000000"/>
                <w:sz w:val="22"/>
                <w:szCs w:val="22"/>
                <w:lang w:val="es-MX"/>
              </w:rPr>
            </w:pPr>
            <w:r w:rsidRPr="00305D32">
              <w:rPr>
                <w:sz w:val="22"/>
                <w:szCs w:val="22"/>
                <w:lang w:val="es-MX"/>
              </w:rPr>
              <w:t>335,088</w:t>
            </w:r>
          </w:p>
        </w:tc>
      </w:tr>
      <w:tr w:rsidR="0083011D" w:rsidRPr="00305D32" w14:paraId="4D083440" w14:textId="77777777" w:rsidTr="00586D55">
        <w:trPr>
          <w:trHeight w:val="258"/>
        </w:trPr>
        <w:tc>
          <w:tcPr>
            <w:tcW w:w="1750" w:type="dxa"/>
            <w:vMerge/>
            <w:tcBorders>
              <w:top w:val="nil"/>
              <w:left w:val="nil"/>
              <w:bottom w:val="nil"/>
              <w:right w:val="nil"/>
            </w:tcBorders>
            <w:vAlign w:val="center"/>
          </w:tcPr>
          <w:p w14:paraId="4D08343B" w14:textId="77777777" w:rsidR="0083011D" w:rsidRPr="00305D32" w:rsidRDefault="0083011D" w:rsidP="0083011D">
            <w:pPr>
              <w:widowControl w:val="0"/>
              <w:pBdr>
                <w:top w:val="nil"/>
                <w:left w:val="nil"/>
                <w:bottom w:val="nil"/>
                <w:right w:val="nil"/>
                <w:between w:val="nil"/>
              </w:pBdr>
              <w:spacing w:after="0" w:line="276" w:lineRule="auto"/>
              <w:jc w:val="left"/>
              <w:rPr>
                <w:color w:val="000000"/>
                <w:sz w:val="22"/>
                <w:szCs w:val="22"/>
                <w:lang w:val="es-MX"/>
              </w:rPr>
            </w:pPr>
          </w:p>
        </w:tc>
        <w:tc>
          <w:tcPr>
            <w:tcW w:w="1750" w:type="dxa"/>
            <w:tcBorders>
              <w:top w:val="nil"/>
              <w:left w:val="nil"/>
              <w:bottom w:val="nil"/>
              <w:right w:val="nil"/>
            </w:tcBorders>
            <w:vAlign w:val="bottom"/>
          </w:tcPr>
          <w:p w14:paraId="4D08343C" w14:textId="036F78F1" w:rsidR="0083011D" w:rsidRPr="00305D32" w:rsidRDefault="0083011D" w:rsidP="0083011D">
            <w:pPr>
              <w:spacing w:after="0" w:line="240" w:lineRule="auto"/>
              <w:jc w:val="right"/>
              <w:rPr>
                <w:color w:val="000000"/>
                <w:sz w:val="22"/>
                <w:szCs w:val="22"/>
                <w:lang w:val="es-MX"/>
              </w:rPr>
            </w:pPr>
            <w:r w:rsidRPr="00305D32">
              <w:rPr>
                <w:color w:val="000000"/>
                <w:sz w:val="22"/>
                <w:szCs w:val="22"/>
                <w:lang w:val="es-MX"/>
              </w:rPr>
              <w:t>202</w:t>
            </w:r>
            <w:r w:rsidR="009C137B" w:rsidRPr="00305D32">
              <w:rPr>
                <w:color w:val="000000"/>
                <w:sz w:val="22"/>
                <w:szCs w:val="22"/>
                <w:lang w:val="es-MX"/>
              </w:rPr>
              <w:t>4</w:t>
            </w:r>
          </w:p>
        </w:tc>
        <w:tc>
          <w:tcPr>
            <w:tcW w:w="1750" w:type="dxa"/>
            <w:tcBorders>
              <w:top w:val="nil"/>
              <w:left w:val="nil"/>
              <w:bottom w:val="nil"/>
              <w:right w:val="nil"/>
            </w:tcBorders>
            <w:vAlign w:val="center"/>
          </w:tcPr>
          <w:p w14:paraId="4D08343D" w14:textId="7CAF82FA" w:rsidR="0083011D" w:rsidRPr="00305D32" w:rsidRDefault="0083011D" w:rsidP="009470D0">
            <w:pPr>
              <w:spacing w:after="0" w:line="240" w:lineRule="auto"/>
              <w:jc w:val="right"/>
              <w:rPr>
                <w:color w:val="000000"/>
                <w:sz w:val="22"/>
                <w:szCs w:val="22"/>
                <w:lang w:val="es-MX"/>
              </w:rPr>
            </w:pPr>
            <w:r w:rsidRPr="00305D32">
              <w:rPr>
                <w:sz w:val="22"/>
                <w:szCs w:val="22"/>
                <w:lang w:val="es-MX"/>
              </w:rPr>
              <w:t>432,751</w:t>
            </w:r>
          </w:p>
        </w:tc>
        <w:tc>
          <w:tcPr>
            <w:tcW w:w="1806" w:type="dxa"/>
            <w:tcBorders>
              <w:top w:val="nil"/>
              <w:left w:val="nil"/>
              <w:bottom w:val="nil"/>
              <w:right w:val="nil"/>
            </w:tcBorders>
            <w:vAlign w:val="center"/>
          </w:tcPr>
          <w:p w14:paraId="4D08343E" w14:textId="722CF568" w:rsidR="0083011D" w:rsidRPr="00305D32" w:rsidRDefault="0083011D" w:rsidP="009470D0">
            <w:pPr>
              <w:spacing w:after="0" w:line="240" w:lineRule="auto"/>
              <w:jc w:val="right"/>
              <w:rPr>
                <w:color w:val="000000"/>
                <w:sz w:val="22"/>
                <w:szCs w:val="22"/>
                <w:lang w:val="es-MX"/>
              </w:rPr>
            </w:pPr>
            <w:r w:rsidRPr="00305D32">
              <w:rPr>
                <w:sz w:val="22"/>
                <w:szCs w:val="22"/>
                <w:lang w:val="es-MX"/>
              </w:rPr>
              <w:t>776</w:t>
            </w:r>
          </w:p>
        </w:tc>
        <w:tc>
          <w:tcPr>
            <w:tcW w:w="1751" w:type="dxa"/>
            <w:tcBorders>
              <w:top w:val="nil"/>
              <w:left w:val="nil"/>
              <w:bottom w:val="nil"/>
              <w:right w:val="nil"/>
            </w:tcBorders>
            <w:vAlign w:val="center"/>
          </w:tcPr>
          <w:p w14:paraId="4D08343F" w14:textId="4FBE42E3" w:rsidR="0083011D" w:rsidRPr="00305D32" w:rsidRDefault="0083011D" w:rsidP="009470D0">
            <w:pPr>
              <w:spacing w:after="0" w:line="240" w:lineRule="auto"/>
              <w:jc w:val="right"/>
              <w:rPr>
                <w:color w:val="000000"/>
                <w:sz w:val="22"/>
                <w:szCs w:val="22"/>
                <w:lang w:val="es-MX"/>
              </w:rPr>
            </w:pPr>
            <w:r w:rsidRPr="00305D32">
              <w:rPr>
                <w:sz w:val="22"/>
                <w:szCs w:val="22"/>
                <w:lang w:val="es-MX"/>
              </w:rPr>
              <w:t>433,527</w:t>
            </w:r>
          </w:p>
        </w:tc>
      </w:tr>
      <w:tr w:rsidR="00586D55" w:rsidRPr="00305D32" w14:paraId="4D083446" w14:textId="77777777" w:rsidTr="00B910BE">
        <w:trPr>
          <w:trHeight w:val="258"/>
        </w:trPr>
        <w:tc>
          <w:tcPr>
            <w:tcW w:w="1750" w:type="dxa"/>
            <w:vMerge w:val="restart"/>
            <w:tcBorders>
              <w:top w:val="nil"/>
              <w:left w:val="nil"/>
              <w:right w:val="nil"/>
            </w:tcBorders>
            <w:vAlign w:val="center"/>
          </w:tcPr>
          <w:p w14:paraId="4D083441" w14:textId="77777777" w:rsidR="00586D55" w:rsidRPr="00305D32" w:rsidRDefault="00586D55" w:rsidP="00B910BE">
            <w:pPr>
              <w:spacing w:after="0" w:line="240" w:lineRule="auto"/>
              <w:jc w:val="center"/>
              <w:rPr>
                <w:color w:val="000000"/>
                <w:sz w:val="22"/>
                <w:szCs w:val="22"/>
                <w:lang w:val="es-MX"/>
              </w:rPr>
            </w:pPr>
            <w:r w:rsidRPr="00305D32">
              <w:rPr>
                <w:color w:val="000000"/>
                <w:sz w:val="22"/>
                <w:szCs w:val="22"/>
                <w:lang w:val="es-MX"/>
              </w:rPr>
              <w:t>Tulum</w:t>
            </w:r>
          </w:p>
        </w:tc>
        <w:tc>
          <w:tcPr>
            <w:tcW w:w="1750" w:type="dxa"/>
            <w:tcBorders>
              <w:top w:val="nil"/>
              <w:left w:val="nil"/>
              <w:bottom w:val="nil"/>
              <w:right w:val="nil"/>
            </w:tcBorders>
            <w:vAlign w:val="bottom"/>
          </w:tcPr>
          <w:p w14:paraId="4D083442" w14:textId="77777777" w:rsidR="00586D55" w:rsidRPr="00305D32" w:rsidRDefault="00586D55" w:rsidP="00586D55">
            <w:pPr>
              <w:spacing w:after="0" w:line="240" w:lineRule="auto"/>
              <w:jc w:val="right"/>
              <w:rPr>
                <w:color w:val="000000"/>
                <w:sz w:val="22"/>
                <w:szCs w:val="22"/>
                <w:lang w:val="es-MX"/>
              </w:rPr>
            </w:pPr>
            <w:r w:rsidRPr="00305D32">
              <w:rPr>
                <w:color w:val="000000"/>
                <w:sz w:val="22"/>
                <w:szCs w:val="22"/>
                <w:lang w:val="es-MX"/>
              </w:rPr>
              <w:t>2023*</w:t>
            </w:r>
          </w:p>
        </w:tc>
        <w:tc>
          <w:tcPr>
            <w:tcW w:w="1750" w:type="dxa"/>
            <w:tcBorders>
              <w:top w:val="nil"/>
              <w:left w:val="nil"/>
              <w:bottom w:val="nil"/>
              <w:right w:val="nil"/>
            </w:tcBorders>
            <w:vAlign w:val="center"/>
          </w:tcPr>
          <w:p w14:paraId="4D083443" w14:textId="3F772DCC" w:rsidR="00586D55" w:rsidRPr="00305D32" w:rsidRDefault="00586D55" w:rsidP="009470D0">
            <w:pPr>
              <w:spacing w:after="0" w:line="240" w:lineRule="auto"/>
              <w:jc w:val="right"/>
              <w:rPr>
                <w:color w:val="000000"/>
                <w:sz w:val="22"/>
                <w:szCs w:val="22"/>
                <w:lang w:val="es-MX"/>
              </w:rPr>
            </w:pPr>
            <w:r w:rsidRPr="00305D32">
              <w:rPr>
                <w:sz w:val="22"/>
                <w:szCs w:val="22"/>
                <w:lang w:val="es-MX"/>
              </w:rPr>
              <w:t>39,768</w:t>
            </w:r>
          </w:p>
        </w:tc>
        <w:tc>
          <w:tcPr>
            <w:tcW w:w="1806" w:type="dxa"/>
            <w:tcBorders>
              <w:top w:val="nil"/>
              <w:left w:val="nil"/>
              <w:bottom w:val="nil"/>
              <w:right w:val="nil"/>
            </w:tcBorders>
            <w:vAlign w:val="center"/>
          </w:tcPr>
          <w:p w14:paraId="4D083444" w14:textId="3E1B8088" w:rsidR="00586D55" w:rsidRPr="00305D32" w:rsidRDefault="00586D55" w:rsidP="009470D0">
            <w:pPr>
              <w:spacing w:after="0" w:line="240" w:lineRule="auto"/>
              <w:jc w:val="right"/>
              <w:rPr>
                <w:color w:val="000000"/>
                <w:sz w:val="22"/>
                <w:szCs w:val="22"/>
                <w:lang w:val="es-MX"/>
              </w:rPr>
            </w:pPr>
            <w:r w:rsidRPr="00305D32">
              <w:rPr>
                <w:sz w:val="22"/>
                <w:szCs w:val="22"/>
                <w:lang w:val="es-MX"/>
              </w:rPr>
              <w:t>-</w:t>
            </w:r>
          </w:p>
        </w:tc>
        <w:tc>
          <w:tcPr>
            <w:tcW w:w="1751" w:type="dxa"/>
            <w:tcBorders>
              <w:top w:val="nil"/>
              <w:left w:val="nil"/>
              <w:bottom w:val="nil"/>
              <w:right w:val="nil"/>
            </w:tcBorders>
            <w:vAlign w:val="center"/>
          </w:tcPr>
          <w:p w14:paraId="4D083445" w14:textId="745BA491" w:rsidR="00586D55" w:rsidRPr="00305D32" w:rsidRDefault="00586D55" w:rsidP="009470D0">
            <w:pPr>
              <w:spacing w:after="0" w:line="240" w:lineRule="auto"/>
              <w:jc w:val="right"/>
              <w:rPr>
                <w:color w:val="000000"/>
                <w:sz w:val="22"/>
                <w:szCs w:val="22"/>
                <w:lang w:val="es-MX"/>
              </w:rPr>
            </w:pPr>
            <w:r w:rsidRPr="00305D32">
              <w:rPr>
                <w:sz w:val="22"/>
                <w:szCs w:val="22"/>
                <w:lang w:val="es-MX"/>
              </w:rPr>
              <w:t>39,768</w:t>
            </w:r>
          </w:p>
        </w:tc>
      </w:tr>
      <w:tr w:rsidR="00586D55" w:rsidRPr="00305D32" w14:paraId="0980F88F" w14:textId="77777777" w:rsidTr="00586D55">
        <w:trPr>
          <w:trHeight w:val="258"/>
        </w:trPr>
        <w:tc>
          <w:tcPr>
            <w:tcW w:w="1750" w:type="dxa"/>
            <w:vMerge/>
            <w:tcBorders>
              <w:left w:val="nil"/>
              <w:bottom w:val="nil"/>
              <w:right w:val="nil"/>
            </w:tcBorders>
            <w:vAlign w:val="bottom"/>
          </w:tcPr>
          <w:p w14:paraId="1E6BC949" w14:textId="77777777" w:rsidR="00586D55" w:rsidRPr="00305D32" w:rsidRDefault="00586D55" w:rsidP="00586D55">
            <w:pPr>
              <w:spacing w:after="0" w:line="240" w:lineRule="auto"/>
              <w:jc w:val="center"/>
              <w:rPr>
                <w:color w:val="000000"/>
                <w:sz w:val="22"/>
                <w:szCs w:val="22"/>
                <w:lang w:val="es-MX"/>
              </w:rPr>
            </w:pPr>
          </w:p>
        </w:tc>
        <w:tc>
          <w:tcPr>
            <w:tcW w:w="1750" w:type="dxa"/>
            <w:tcBorders>
              <w:top w:val="nil"/>
              <w:left w:val="nil"/>
              <w:bottom w:val="nil"/>
              <w:right w:val="nil"/>
            </w:tcBorders>
            <w:vAlign w:val="bottom"/>
          </w:tcPr>
          <w:p w14:paraId="2815AE9E" w14:textId="28542B33" w:rsidR="00586D55" w:rsidRPr="00305D32" w:rsidRDefault="00586D55" w:rsidP="00586D55">
            <w:pPr>
              <w:spacing w:after="0" w:line="240" w:lineRule="auto"/>
              <w:jc w:val="right"/>
              <w:rPr>
                <w:color w:val="000000"/>
                <w:sz w:val="22"/>
                <w:szCs w:val="22"/>
                <w:lang w:val="es-MX"/>
              </w:rPr>
            </w:pPr>
            <w:r w:rsidRPr="00305D32">
              <w:rPr>
                <w:color w:val="000000"/>
                <w:sz w:val="22"/>
                <w:szCs w:val="22"/>
                <w:lang w:val="es-MX"/>
              </w:rPr>
              <w:t>2024</w:t>
            </w:r>
          </w:p>
        </w:tc>
        <w:tc>
          <w:tcPr>
            <w:tcW w:w="1750" w:type="dxa"/>
            <w:tcBorders>
              <w:top w:val="nil"/>
              <w:left w:val="nil"/>
              <w:bottom w:val="nil"/>
              <w:right w:val="nil"/>
            </w:tcBorders>
            <w:vAlign w:val="center"/>
          </w:tcPr>
          <w:p w14:paraId="62D8A69B" w14:textId="7D2B0E2C" w:rsidR="00586D55" w:rsidRPr="00305D32" w:rsidRDefault="00586D55" w:rsidP="009470D0">
            <w:pPr>
              <w:spacing w:after="0" w:line="240" w:lineRule="auto"/>
              <w:jc w:val="right"/>
              <w:rPr>
                <w:color w:val="000000"/>
                <w:sz w:val="22"/>
                <w:szCs w:val="22"/>
                <w:lang w:val="es-MX"/>
              </w:rPr>
            </w:pPr>
            <w:r w:rsidRPr="00305D32">
              <w:rPr>
                <w:sz w:val="22"/>
                <w:szCs w:val="22"/>
                <w:lang w:val="es-MX"/>
              </w:rPr>
              <w:t>605,622</w:t>
            </w:r>
          </w:p>
        </w:tc>
        <w:tc>
          <w:tcPr>
            <w:tcW w:w="1806" w:type="dxa"/>
            <w:tcBorders>
              <w:top w:val="nil"/>
              <w:left w:val="nil"/>
              <w:bottom w:val="nil"/>
              <w:right w:val="nil"/>
            </w:tcBorders>
            <w:vAlign w:val="center"/>
          </w:tcPr>
          <w:p w14:paraId="2C7C85E4" w14:textId="58FADACF" w:rsidR="00586D55" w:rsidRPr="00305D32" w:rsidRDefault="00586D55" w:rsidP="009470D0">
            <w:pPr>
              <w:spacing w:after="0" w:line="240" w:lineRule="auto"/>
              <w:jc w:val="right"/>
              <w:rPr>
                <w:color w:val="000000"/>
                <w:sz w:val="22"/>
                <w:szCs w:val="22"/>
                <w:lang w:val="es-MX"/>
              </w:rPr>
            </w:pPr>
            <w:r w:rsidRPr="00305D32">
              <w:rPr>
                <w:sz w:val="22"/>
                <w:szCs w:val="22"/>
                <w:lang w:val="es-MX"/>
              </w:rPr>
              <w:t>631,626</w:t>
            </w:r>
          </w:p>
        </w:tc>
        <w:tc>
          <w:tcPr>
            <w:tcW w:w="1751" w:type="dxa"/>
            <w:tcBorders>
              <w:top w:val="nil"/>
              <w:left w:val="nil"/>
              <w:bottom w:val="nil"/>
              <w:right w:val="nil"/>
            </w:tcBorders>
            <w:vAlign w:val="center"/>
          </w:tcPr>
          <w:p w14:paraId="40293FCA" w14:textId="3394F795" w:rsidR="00586D55" w:rsidRPr="00305D32" w:rsidRDefault="00586D55" w:rsidP="009470D0">
            <w:pPr>
              <w:spacing w:after="0" w:line="240" w:lineRule="auto"/>
              <w:jc w:val="right"/>
              <w:rPr>
                <w:color w:val="000000"/>
                <w:sz w:val="22"/>
                <w:szCs w:val="22"/>
                <w:lang w:val="es-MX"/>
              </w:rPr>
            </w:pPr>
            <w:r w:rsidRPr="00305D32">
              <w:rPr>
                <w:sz w:val="22"/>
                <w:szCs w:val="22"/>
                <w:lang w:val="es-MX"/>
              </w:rPr>
              <w:t>1,237,248</w:t>
            </w:r>
          </w:p>
        </w:tc>
      </w:tr>
      <w:tr w:rsidR="00AE57F0" w:rsidRPr="00305D32" w14:paraId="4D083448" w14:textId="77777777">
        <w:trPr>
          <w:trHeight w:val="258"/>
        </w:trPr>
        <w:tc>
          <w:tcPr>
            <w:tcW w:w="8807" w:type="dxa"/>
            <w:gridSpan w:val="5"/>
            <w:tcBorders>
              <w:top w:val="single" w:sz="4" w:space="0" w:color="000000"/>
              <w:left w:val="nil"/>
              <w:bottom w:val="single" w:sz="4" w:space="0" w:color="000000"/>
              <w:right w:val="nil"/>
            </w:tcBorders>
            <w:vAlign w:val="bottom"/>
          </w:tcPr>
          <w:p w14:paraId="4D083447" w14:textId="638DF4C3" w:rsidR="00AE57F0" w:rsidRPr="00305D32" w:rsidRDefault="00414F7C" w:rsidP="009470D0">
            <w:pPr>
              <w:spacing w:after="0" w:line="240" w:lineRule="auto"/>
              <w:jc w:val="center"/>
              <w:rPr>
                <w:b/>
                <w:bCs/>
                <w:color w:val="000000"/>
                <w:sz w:val="22"/>
                <w:szCs w:val="22"/>
                <w:lang w:val="es-MX"/>
              </w:rPr>
            </w:pPr>
            <w:r w:rsidRPr="00305D32">
              <w:rPr>
                <w:b/>
                <w:bCs/>
                <w:color w:val="000000"/>
                <w:sz w:val="22"/>
                <w:szCs w:val="22"/>
                <w:lang w:val="es-MX"/>
              </w:rPr>
              <w:t>Enero</w:t>
            </w:r>
            <w:r w:rsidR="000F5A59" w:rsidRPr="00305D32">
              <w:rPr>
                <w:b/>
                <w:bCs/>
                <w:color w:val="000000"/>
                <w:sz w:val="22"/>
                <w:szCs w:val="22"/>
                <w:lang w:val="es-MX"/>
              </w:rPr>
              <w:t xml:space="preserve"> – Agosto</w:t>
            </w:r>
          </w:p>
        </w:tc>
      </w:tr>
      <w:tr w:rsidR="00A41120" w:rsidRPr="00305D32" w14:paraId="4D08344E" w14:textId="77777777" w:rsidTr="00E50D30">
        <w:trPr>
          <w:trHeight w:val="258"/>
        </w:trPr>
        <w:tc>
          <w:tcPr>
            <w:tcW w:w="1750" w:type="dxa"/>
            <w:vMerge w:val="restart"/>
            <w:tcBorders>
              <w:top w:val="nil"/>
              <w:left w:val="nil"/>
              <w:bottom w:val="nil"/>
              <w:right w:val="nil"/>
            </w:tcBorders>
            <w:vAlign w:val="center"/>
          </w:tcPr>
          <w:p w14:paraId="4D083449" w14:textId="77777777" w:rsidR="00A41120" w:rsidRPr="00305D32" w:rsidRDefault="00A41120" w:rsidP="00A41120">
            <w:pPr>
              <w:spacing w:after="0" w:line="240" w:lineRule="auto"/>
              <w:jc w:val="center"/>
              <w:rPr>
                <w:color w:val="000000"/>
                <w:sz w:val="22"/>
                <w:szCs w:val="22"/>
                <w:lang w:val="es-MX"/>
              </w:rPr>
            </w:pPr>
            <w:r w:rsidRPr="00305D32">
              <w:rPr>
                <w:color w:val="000000"/>
                <w:sz w:val="22"/>
                <w:szCs w:val="22"/>
                <w:lang w:val="es-MX"/>
              </w:rPr>
              <w:t>Chetumal</w:t>
            </w:r>
          </w:p>
        </w:tc>
        <w:tc>
          <w:tcPr>
            <w:tcW w:w="1750" w:type="dxa"/>
            <w:tcBorders>
              <w:top w:val="nil"/>
              <w:left w:val="nil"/>
              <w:bottom w:val="nil"/>
              <w:right w:val="nil"/>
            </w:tcBorders>
            <w:vAlign w:val="bottom"/>
          </w:tcPr>
          <w:p w14:paraId="4D08344A" w14:textId="083D27F1" w:rsidR="00A41120" w:rsidRPr="00305D32" w:rsidRDefault="00A41120" w:rsidP="00A41120">
            <w:pPr>
              <w:spacing w:after="0" w:line="240" w:lineRule="auto"/>
              <w:jc w:val="right"/>
              <w:rPr>
                <w:color w:val="000000"/>
                <w:sz w:val="22"/>
                <w:szCs w:val="22"/>
                <w:lang w:val="es-MX"/>
              </w:rPr>
            </w:pPr>
            <w:r w:rsidRPr="00305D32">
              <w:rPr>
                <w:color w:val="000000"/>
                <w:sz w:val="22"/>
                <w:szCs w:val="22"/>
                <w:lang w:val="es-MX"/>
              </w:rPr>
              <w:t>2023</w:t>
            </w:r>
          </w:p>
        </w:tc>
        <w:tc>
          <w:tcPr>
            <w:tcW w:w="1750" w:type="dxa"/>
            <w:tcBorders>
              <w:top w:val="nil"/>
              <w:left w:val="nil"/>
              <w:bottom w:val="nil"/>
              <w:right w:val="nil"/>
            </w:tcBorders>
            <w:vAlign w:val="center"/>
          </w:tcPr>
          <w:p w14:paraId="4D08344B" w14:textId="08520EA9" w:rsidR="00A41120" w:rsidRPr="00305D32" w:rsidRDefault="00A41120" w:rsidP="009470D0">
            <w:pPr>
              <w:spacing w:after="0" w:line="240" w:lineRule="auto"/>
              <w:jc w:val="right"/>
              <w:rPr>
                <w:color w:val="000000"/>
                <w:sz w:val="22"/>
                <w:szCs w:val="22"/>
                <w:lang w:val="es-MX"/>
              </w:rPr>
            </w:pPr>
            <w:r w:rsidRPr="00305D32">
              <w:rPr>
                <w:sz w:val="22"/>
                <w:szCs w:val="22"/>
                <w:lang w:val="es-MX"/>
              </w:rPr>
              <w:t>218,974</w:t>
            </w:r>
          </w:p>
        </w:tc>
        <w:tc>
          <w:tcPr>
            <w:tcW w:w="1806" w:type="dxa"/>
            <w:tcBorders>
              <w:top w:val="nil"/>
              <w:left w:val="nil"/>
              <w:bottom w:val="nil"/>
              <w:right w:val="nil"/>
            </w:tcBorders>
            <w:vAlign w:val="center"/>
          </w:tcPr>
          <w:p w14:paraId="4D08344C" w14:textId="2EB065A3" w:rsidR="00A41120" w:rsidRPr="00305D32" w:rsidRDefault="00A41120" w:rsidP="009470D0">
            <w:pPr>
              <w:spacing w:after="0" w:line="240" w:lineRule="auto"/>
              <w:jc w:val="right"/>
              <w:rPr>
                <w:color w:val="000000"/>
                <w:sz w:val="22"/>
                <w:szCs w:val="22"/>
                <w:lang w:val="es-MX"/>
              </w:rPr>
            </w:pPr>
            <w:r w:rsidRPr="00305D32">
              <w:rPr>
                <w:sz w:val="22"/>
                <w:szCs w:val="22"/>
                <w:lang w:val="es-MX"/>
              </w:rPr>
              <w:t>1,472</w:t>
            </w:r>
          </w:p>
        </w:tc>
        <w:tc>
          <w:tcPr>
            <w:tcW w:w="1751" w:type="dxa"/>
            <w:tcBorders>
              <w:top w:val="nil"/>
              <w:left w:val="nil"/>
              <w:bottom w:val="nil"/>
              <w:right w:val="nil"/>
            </w:tcBorders>
            <w:vAlign w:val="center"/>
          </w:tcPr>
          <w:p w14:paraId="4D08344D" w14:textId="3D7EEAE8" w:rsidR="00A41120" w:rsidRPr="00305D32" w:rsidRDefault="00A41120" w:rsidP="009470D0">
            <w:pPr>
              <w:spacing w:after="0" w:line="240" w:lineRule="auto"/>
              <w:jc w:val="right"/>
              <w:rPr>
                <w:color w:val="000000"/>
                <w:sz w:val="22"/>
                <w:szCs w:val="22"/>
                <w:lang w:val="es-MX"/>
              </w:rPr>
            </w:pPr>
            <w:r w:rsidRPr="00305D32">
              <w:rPr>
                <w:sz w:val="22"/>
                <w:szCs w:val="22"/>
                <w:lang w:val="es-MX"/>
              </w:rPr>
              <w:t>220,446</w:t>
            </w:r>
          </w:p>
        </w:tc>
      </w:tr>
      <w:tr w:rsidR="00A41120" w:rsidRPr="00305D32" w14:paraId="4D083454" w14:textId="77777777" w:rsidTr="00E50D30">
        <w:trPr>
          <w:trHeight w:val="258"/>
        </w:trPr>
        <w:tc>
          <w:tcPr>
            <w:tcW w:w="1750" w:type="dxa"/>
            <w:vMerge/>
            <w:tcBorders>
              <w:top w:val="nil"/>
              <w:left w:val="nil"/>
              <w:bottom w:val="nil"/>
              <w:right w:val="nil"/>
            </w:tcBorders>
            <w:vAlign w:val="center"/>
          </w:tcPr>
          <w:p w14:paraId="4D08344F" w14:textId="77777777" w:rsidR="00A41120" w:rsidRPr="00305D32" w:rsidRDefault="00A41120" w:rsidP="00A41120">
            <w:pPr>
              <w:widowControl w:val="0"/>
              <w:pBdr>
                <w:top w:val="nil"/>
                <w:left w:val="nil"/>
                <w:bottom w:val="nil"/>
                <w:right w:val="nil"/>
                <w:between w:val="nil"/>
              </w:pBdr>
              <w:spacing w:after="0" w:line="276" w:lineRule="auto"/>
              <w:jc w:val="left"/>
              <w:rPr>
                <w:color w:val="000000"/>
                <w:sz w:val="22"/>
                <w:szCs w:val="22"/>
                <w:lang w:val="es-MX"/>
              </w:rPr>
            </w:pPr>
          </w:p>
        </w:tc>
        <w:tc>
          <w:tcPr>
            <w:tcW w:w="1750" w:type="dxa"/>
            <w:tcBorders>
              <w:top w:val="nil"/>
              <w:left w:val="nil"/>
              <w:bottom w:val="nil"/>
              <w:right w:val="nil"/>
            </w:tcBorders>
            <w:vAlign w:val="bottom"/>
          </w:tcPr>
          <w:p w14:paraId="4D083450" w14:textId="70C6D3E9" w:rsidR="00A41120" w:rsidRPr="00305D32" w:rsidRDefault="00A41120" w:rsidP="00A41120">
            <w:pPr>
              <w:spacing w:after="0" w:line="240" w:lineRule="auto"/>
              <w:jc w:val="right"/>
              <w:rPr>
                <w:color w:val="000000"/>
                <w:sz w:val="22"/>
                <w:szCs w:val="22"/>
                <w:lang w:val="es-MX"/>
              </w:rPr>
            </w:pPr>
            <w:r w:rsidRPr="00305D32">
              <w:rPr>
                <w:color w:val="000000"/>
                <w:sz w:val="22"/>
                <w:szCs w:val="22"/>
                <w:lang w:val="es-MX"/>
              </w:rPr>
              <w:t>2024</w:t>
            </w:r>
          </w:p>
        </w:tc>
        <w:tc>
          <w:tcPr>
            <w:tcW w:w="1750" w:type="dxa"/>
            <w:tcBorders>
              <w:top w:val="nil"/>
              <w:left w:val="nil"/>
              <w:bottom w:val="nil"/>
              <w:right w:val="nil"/>
            </w:tcBorders>
            <w:vAlign w:val="center"/>
          </w:tcPr>
          <w:p w14:paraId="4D083451" w14:textId="1CD2471A" w:rsidR="00A41120" w:rsidRPr="00305D32" w:rsidRDefault="00A41120" w:rsidP="009470D0">
            <w:pPr>
              <w:spacing w:after="0" w:line="240" w:lineRule="auto"/>
              <w:jc w:val="right"/>
              <w:rPr>
                <w:color w:val="000000"/>
                <w:sz w:val="22"/>
                <w:szCs w:val="22"/>
                <w:lang w:val="es-MX"/>
              </w:rPr>
            </w:pPr>
            <w:r w:rsidRPr="00305D32">
              <w:rPr>
                <w:sz w:val="22"/>
                <w:szCs w:val="22"/>
                <w:lang w:val="es-MX"/>
              </w:rPr>
              <w:t>285,439</w:t>
            </w:r>
          </w:p>
        </w:tc>
        <w:tc>
          <w:tcPr>
            <w:tcW w:w="1806" w:type="dxa"/>
            <w:tcBorders>
              <w:top w:val="nil"/>
              <w:left w:val="nil"/>
              <w:bottom w:val="nil"/>
              <w:right w:val="nil"/>
            </w:tcBorders>
            <w:vAlign w:val="center"/>
          </w:tcPr>
          <w:p w14:paraId="4D083452" w14:textId="41B06ADC" w:rsidR="00A41120" w:rsidRPr="00305D32" w:rsidRDefault="00A41120" w:rsidP="009470D0">
            <w:pPr>
              <w:spacing w:after="0" w:line="240" w:lineRule="auto"/>
              <w:jc w:val="right"/>
              <w:rPr>
                <w:color w:val="000000"/>
                <w:sz w:val="22"/>
                <w:szCs w:val="22"/>
                <w:lang w:val="es-MX"/>
              </w:rPr>
            </w:pPr>
            <w:r w:rsidRPr="00305D32">
              <w:rPr>
                <w:sz w:val="22"/>
                <w:szCs w:val="22"/>
                <w:lang w:val="es-MX"/>
              </w:rPr>
              <w:t>437</w:t>
            </w:r>
          </w:p>
        </w:tc>
        <w:tc>
          <w:tcPr>
            <w:tcW w:w="1751" w:type="dxa"/>
            <w:tcBorders>
              <w:top w:val="nil"/>
              <w:left w:val="nil"/>
              <w:bottom w:val="nil"/>
              <w:right w:val="nil"/>
            </w:tcBorders>
            <w:vAlign w:val="center"/>
          </w:tcPr>
          <w:p w14:paraId="4D083453" w14:textId="30384A66" w:rsidR="00A41120" w:rsidRPr="00305D32" w:rsidRDefault="00A41120" w:rsidP="009470D0">
            <w:pPr>
              <w:spacing w:after="0" w:line="240" w:lineRule="auto"/>
              <w:jc w:val="right"/>
              <w:rPr>
                <w:color w:val="000000"/>
                <w:sz w:val="22"/>
                <w:szCs w:val="22"/>
                <w:lang w:val="es-MX"/>
              </w:rPr>
            </w:pPr>
            <w:r w:rsidRPr="00305D32">
              <w:rPr>
                <w:sz w:val="22"/>
                <w:szCs w:val="22"/>
                <w:lang w:val="es-MX"/>
              </w:rPr>
              <w:t>285,876</w:t>
            </w:r>
          </w:p>
        </w:tc>
      </w:tr>
      <w:tr w:rsidR="00A41120" w:rsidRPr="00305D32" w14:paraId="4D08345A" w14:textId="77777777" w:rsidTr="00E50D30">
        <w:trPr>
          <w:trHeight w:val="258"/>
        </w:trPr>
        <w:tc>
          <w:tcPr>
            <w:tcW w:w="1750" w:type="dxa"/>
            <w:vMerge/>
            <w:tcBorders>
              <w:top w:val="nil"/>
              <w:left w:val="nil"/>
              <w:bottom w:val="nil"/>
              <w:right w:val="nil"/>
            </w:tcBorders>
            <w:vAlign w:val="center"/>
          </w:tcPr>
          <w:p w14:paraId="4D083455" w14:textId="77777777" w:rsidR="00A41120" w:rsidRPr="00305D32" w:rsidRDefault="00A41120" w:rsidP="00A41120">
            <w:pPr>
              <w:widowControl w:val="0"/>
              <w:pBdr>
                <w:top w:val="nil"/>
                <w:left w:val="nil"/>
                <w:bottom w:val="nil"/>
                <w:right w:val="nil"/>
                <w:between w:val="nil"/>
              </w:pBdr>
              <w:spacing w:after="0" w:line="276" w:lineRule="auto"/>
              <w:jc w:val="left"/>
              <w:rPr>
                <w:color w:val="000000"/>
                <w:sz w:val="22"/>
                <w:szCs w:val="22"/>
                <w:lang w:val="es-MX"/>
              </w:rPr>
            </w:pPr>
          </w:p>
        </w:tc>
        <w:tc>
          <w:tcPr>
            <w:tcW w:w="1750" w:type="dxa"/>
            <w:tcBorders>
              <w:top w:val="nil"/>
              <w:left w:val="nil"/>
              <w:bottom w:val="nil"/>
              <w:right w:val="nil"/>
            </w:tcBorders>
            <w:vAlign w:val="bottom"/>
          </w:tcPr>
          <w:p w14:paraId="4D083456" w14:textId="5B7620AE" w:rsidR="00A41120" w:rsidRPr="00305D32" w:rsidRDefault="00A41120" w:rsidP="00A41120">
            <w:pPr>
              <w:spacing w:after="0" w:line="240" w:lineRule="auto"/>
              <w:jc w:val="right"/>
              <w:rPr>
                <w:color w:val="000000"/>
                <w:sz w:val="22"/>
                <w:szCs w:val="22"/>
                <w:lang w:val="es-MX"/>
              </w:rPr>
            </w:pPr>
            <w:r w:rsidRPr="00305D32">
              <w:rPr>
                <w:color w:val="000000"/>
                <w:sz w:val="22"/>
                <w:szCs w:val="22"/>
                <w:lang w:val="es-MX"/>
              </w:rPr>
              <w:t>2025</w:t>
            </w:r>
          </w:p>
        </w:tc>
        <w:tc>
          <w:tcPr>
            <w:tcW w:w="1750" w:type="dxa"/>
            <w:tcBorders>
              <w:top w:val="nil"/>
              <w:left w:val="nil"/>
              <w:bottom w:val="nil"/>
              <w:right w:val="nil"/>
            </w:tcBorders>
            <w:vAlign w:val="center"/>
          </w:tcPr>
          <w:p w14:paraId="4D083457" w14:textId="42BD7190" w:rsidR="00A41120" w:rsidRPr="00305D32" w:rsidRDefault="00A41120" w:rsidP="009470D0">
            <w:pPr>
              <w:spacing w:after="0" w:line="240" w:lineRule="auto"/>
              <w:jc w:val="right"/>
              <w:rPr>
                <w:color w:val="000000"/>
                <w:sz w:val="22"/>
                <w:szCs w:val="22"/>
                <w:lang w:val="es-MX"/>
              </w:rPr>
            </w:pPr>
            <w:r w:rsidRPr="00305D32">
              <w:rPr>
                <w:sz w:val="22"/>
                <w:szCs w:val="22"/>
                <w:lang w:val="es-MX"/>
              </w:rPr>
              <w:t>287,507</w:t>
            </w:r>
          </w:p>
        </w:tc>
        <w:tc>
          <w:tcPr>
            <w:tcW w:w="1806" w:type="dxa"/>
            <w:tcBorders>
              <w:top w:val="nil"/>
              <w:left w:val="nil"/>
              <w:bottom w:val="nil"/>
              <w:right w:val="nil"/>
            </w:tcBorders>
            <w:vAlign w:val="center"/>
          </w:tcPr>
          <w:p w14:paraId="4D083458" w14:textId="22B1F442" w:rsidR="00A41120" w:rsidRPr="00305D32" w:rsidRDefault="00A41120" w:rsidP="009470D0">
            <w:pPr>
              <w:spacing w:after="0" w:line="240" w:lineRule="auto"/>
              <w:jc w:val="right"/>
              <w:rPr>
                <w:color w:val="000000"/>
                <w:sz w:val="22"/>
                <w:szCs w:val="22"/>
                <w:lang w:val="es-MX"/>
              </w:rPr>
            </w:pPr>
            <w:r w:rsidRPr="00305D32">
              <w:rPr>
                <w:sz w:val="22"/>
                <w:szCs w:val="22"/>
                <w:lang w:val="es-MX"/>
              </w:rPr>
              <w:t>1,152</w:t>
            </w:r>
          </w:p>
        </w:tc>
        <w:tc>
          <w:tcPr>
            <w:tcW w:w="1751" w:type="dxa"/>
            <w:tcBorders>
              <w:top w:val="nil"/>
              <w:left w:val="nil"/>
              <w:bottom w:val="nil"/>
              <w:right w:val="nil"/>
            </w:tcBorders>
            <w:vAlign w:val="center"/>
          </w:tcPr>
          <w:p w14:paraId="4D083459" w14:textId="7C00701D" w:rsidR="00A41120" w:rsidRPr="00305D32" w:rsidRDefault="00A41120" w:rsidP="009470D0">
            <w:pPr>
              <w:spacing w:after="0" w:line="240" w:lineRule="auto"/>
              <w:jc w:val="right"/>
              <w:rPr>
                <w:color w:val="000000"/>
                <w:sz w:val="22"/>
                <w:szCs w:val="22"/>
                <w:lang w:val="es-MX"/>
              </w:rPr>
            </w:pPr>
            <w:r w:rsidRPr="00305D32">
              <w:rPr>
                <w:sz w:val="22"/>
                <w:szCs w:val="22"/>
                <w:lang w:val="es-MX"/>
              </w:rPr>
              <w:t>288,659</w:t>
            </w:r>
          </w:p>
        </w:tc>
      </w:tr>
      <w:tr w:rsidR="00B910BE" w:rsidRPr="00305D32" w14:paraId="4D083460" w14:textId="77777777" w:rsidTr="00B910BE">
        <w:trPr>
          <w:trHeight w:val="258"/>
        </w:trPr>
        <w:tc>
          <w:tcPr>
            <w:tcW w:w="1750" w:type="dxa"/>
            <w:vMerge w:val="restart"/>
            <w:tcBorders>
              <w:top w:val="nil"/>
              <w:left w:val="nil"/>
              <w:right w:val="nil"/>
            </w:tcBorders>
            <w:vAlign w:val="center"/>
          </w:tcPr>
          <w:p w14:paraId="4D08345B" w14:textId="77777777" w:rsidR="00B910BE" w:rsidRPr="00305D32" w:rsidRDefault="00B910BE" w:rsidP="00B910BE">
            <w:pPr>
              <w:spacing w:after="0" w:line="240" w:lineRule="auto"/>
              <w:jc w:val="center"/>
              <w:rPr>
                <w:color w:val="000000"/>
                <w:sz w:val="22"/>
                <w:szCs w:val="22"/>
                <w:lang w:val="es-MX"/>
              </w:rPr>
            </w:pPr>
            <w:r w:rsidRPr="00305D32">
              <w:rPr>
                <w:color w:val="000000"/>
                <w:sz w:val="22"/>
                <w:szCs w:val="22"/>
                <w:lang w:val="es-MX"/>
              </w:rPr>
              <w:t>Tulum</w:t>
            </w:r>
          </w:p>
        </w:tc>
        <w:tc>
          <w:tcPr>
            <w:tcW w:w="1750" w:type="dxa"/>
            <w:tcBorders>
              <w:top w:val="nil"/>
              <w:left w:val="nil"/>
              <w:bottom w:val="nil"/>
              <w:right w:val="nil"/>
            </w:tcBorders>
            <w:vAlign w:val="bottom"/>
          </w:tcPr>
          <w:p w14:paraId="4D08345C" w14:textId="77777777" w:rsidR="00B910BE" w:rsidRPr="00305D32" w:rsidRDefault="00B910BE" w:rsidP="00E50D30">
            <w:pPr>
              <w:spacing w:after="0" w:line="240" w:lineRule="auto"/>
              <w:jc w:val="right"/>
              <w:rPr>
                <w:color w:val="000000"/>
                <w:sz w:val="22"/>
                <w:szCs w:val="22"/>
                <w:lang w:val="es-MX"/>
              </w:rPr>
            </w:pPr>
            <w:r w:rsidRPr="00305D32">
              <w:rPr>
                <w:color w:val="000000"/>
                <w:sz w:val="22"/>
                <w:szCs w:val="22"/>
                <w:lang w:val="es-MX"/>
              </w:rPr>
              <w:t>2024</w:t>
            </w:r>
          </w:p>
        </w:tc>
        <w:tc>
          <w:tcPr>
            <w:tcW w:w="1750" w:type="dxa"/>
            <w:tcBorders>
              <w:top w:val="nil"/>
              <w:left w:val="nil"/>
              <w:bottom w:val="nil"/>
              <w:right w:val="nil"/>
            </w:tcBorders>
            <w:vAlign w:val="center"/>
          </w:tcPr>
          <w:p w14:paraId="4D08345D" w14:textId="41DBD46D" w:rsidR="00B910BE" w:rsidRPr="00305D32" w:rsidRDefault="00B910BE" w:rsidP="009470D0">
            <w:pPr>
              <w:spacing w:after="0" w:line="240" w:lineRule="auto"/>
              <w:jc w:val="right"/>
              <w:rPr>
                <w:color w:val="000000"/>
                <w:sz w:val="22"/>
                <w:szCs w:val="22"/>
                <w:lang w:val="es-MX"/>
              </w:rPr>
            </w:pPr>
            <w:r w:rsidRPr="00305D32">
              <w:rPr>
                <w:sz w:val="22"/>
                <w:szCs w:val="22"/>
                <w:lang w:val="es-MX"/>
              </w:rPr>
              <w:t>386,804</w:t>
            </w:r>
          </w:p>
        </w:tc>
        <w:tc>
          <w:tcPr>
            <w:tcW w:w="1806" w:type="dxa"/>
            <w:tcBorders>
              <w:top w:val="nil"/>
              <w:left w:val="nil"/>
              <w:bottom w:val="nil"/>
              <w:right w:val="nil"/>
            </w:tcBorders>
            <w:vAlign w:val="center"/>
          </w:tcPr>
          <w:p w14:paraId="4D08345E" w14:textId="75D50C9C" w:rsidR="00B910BE" w:rsidRPr="00305D32" w:rsidRDefault="00B910BE" w:rsidP="009470D0">
            <w:pPr>
              <w:spacing w:after="0" w:line="240" w:lineRule="auto"/>
              <w:jc w:val="right"/>
              <w:rPr>
                <w:color w:val="000000"/>
                <w:sz w:val="22"/>
                <w:szCs w:val="22"/>
                <w:lang w:val="es-MX"/>
              </w:rPr>
            </w:pPr>
            <w:r w:rsidRPr="00305D32">
              <w:rPr>
                <w:sz w:val="22"/>
                <w:szCs w:val="22"/>
                <w:lang w:val="es-MX"/>
              </w:rPr>
              <w:t>382,677</w:t>
            </w:r>
          </w:p>
        </w:tc>
        <w:tc>
          <w:tcPr>
            <w:tcW w:w="1751" w:type="dxa"/>
            <w:tcBorders>
              <w:top w:val="nil"/>
              <w:left w:val="nil"/>
              <w:bottom w:val="nil"/>
              <w:right w:val="nil"/>
            </w:tcBorders>
            <w:vAlign w:val="center"/>
          </w:tcPr>
          <w:p w14:paraId="4D08345F" w14:textId="1BF37B4D" w:rsidR="00B910BE" w:rsidRPr="00305D32" w:rsidRDefault="00B910BE" w:rsidP="009470D0">
            <w:pPr>
              <w:spacing w:after="0" w:line="240" w:lineRule="auto"/>
              <w:jc w:val="right"/>
              <w:rPr>
                <w:color w:val="000000"/>
                <w:sz w:val="22"/>
                <w:szCs w:val="22"/>
                <w:lang w:val="es-MX"/>
              </w:rPr>
            </w:pPr>
            <w:r w:rsidRPr="00305D32">
              <w:rPr>
                <w:sz w:val="22"/>
                <w:szCs w:val="22"/>
                <w:lang w:val="es-MX"/>
              </w:rPr>
              <w:t>769,481</w:t>
            </w:r>
          </w:p>
        </w:tc>
      </w:tr>
      <w:tr w:rsidR="00B910BE" w:rsidRPr="00305D32" w14:paraId="14877AB0" w14:textId="77777777">
        <w:trPr>
          <w:trHeight w:val="258"/>
        </w:trPr>
        <w:tc>
          <w:tcPr>
            <w:tcW w:w="1750" w:type="dxa"/>
            <w:vMerge/>
            <w:tcBorders>
              <w:left w:val="nil"/>
              <w:bottom w:val="single" w:sz="4" w:space="0" w:color="000000"/>
              <w:right w:val="nil"/>
            </w:tcBorders>
            <w:vAlign w:val="bottom"/>
          </w:tcPr>
          <w:p w14:paraId="1EECF587" w14:textId="77777777" w:rsidR="00B910BE" w:rsidRPr="00305D32" w:rsidRDefault="00B910BE" w:rsidP="00E50D30">
            <w:pPr>
              <w:spacing w:after="0" w:line="240" w:lineRule="auto"/>
              <w:jc w:val="center"/>
              <w:rPr>
                <w:color w:val="000000"/>
                <w:sz w:val="22"/>
                <w:szCs w:val="22"/>
                <w:lang w:val="es-MX"/>
              </w:rPr>
            </w:pPr>
          </w:p>
        </w:tc>
        <w:tc>
          <w:tcPr>
            <w:tcW w:w="1750" w:type="dxa"/>
            <w:tcBorders>
              <w:top w:val="nil"/>
              <w:left w:val="nil"/>
              <w:bottom w:val="single" w:sz="4" w:space="0" w:color="000000"/>
              <w:right w:val="nil"/>
            </w:tcBorders>
            <w:vAlign w:val="bottom"/>
          </w:tcPr>
          <w:p w14:paraId="039401E1" w14:textId="31518B9D" w:rsidR="00B910BE" w:rsidRPr="00305D32" w:rsidRDefault="00B910BE" w:rsidP="00E50D30">
            <w:pPr>
              <w:spacing w:after="0" w:line="240" w:lineRule="auto"/>
              <w:jc w:val="right"/>
              <w:rPr>
                <w:color w:val="000000"/>
                <w:sz w:val="22"/>
                <w:szCs w:val="22"/>
                <w:lang w:val="es-MX"/>
              </w:rPr>
            </w:pPr>
            <w:r w:rsidRPr="00305D32">
              <w:rPr>
                <w:color w:val="000000"/>
                <w:sz w:val="22"/>
                <w:szCs w:val="22"/>
                <w:lang w:val="es-MX"/>
              </w:rPr>
              <w:t>2025</w:t>
            </w:r>
          </w:p>
        </w:tc>
        <w:tc>
          <w:tcPr>
            <w:tcW w:w="1750" w:type="dxa"/>
            <w:tcBorders>
              <w:top w:val="nil"/>
              <w:left w:val="nil"/>
              <w:bottom w:val="single" w:sz="4" w:space="0" w:color="000000"/>
              <w:right w:val="nil"/>
            </w:tcBorders>
            <w:vAlign w:val="center"/>
          </w:tcPr>
          <w:p w14:paraId="6018D34D" w14:textId="04DAEA9E" w:rsidR="00B910BE" w:rsidRPr="00305D32" w:rsidRDefault="00B910BE" w:rsidP="009470D0">
            <w:pPr>
              <w:spacing w:after="0" w:line="240" w:lineRule="auto"/>
              <w:jc w:val="right"/>
              <w:rPr>
                <w:color w:val="000000"/>
                <w:sz w:val="22"/>
                <w:szCs w:val="22"/>
                <w:lang w:val="es-MX"/>
              </w:rPr>
            </w:pPr>
            <w:r w:rsidRPr="00305D32">
              <w:rPr>
                <w:sz w:val="22"/>
                <w:szCs w:val="22"/>
                <w:lang w:val="es-MX"/>
              </w:rPr>
              <w:t>389,399</w:t>
            </w:r>
          </w:p>
        </w:tc>
        <w:tc>
          <w:tcPr>
            <w:tcW w:w="1806" w:type="dxa"/>
            <w:tcBorders>
              <w:top w:val="nil"/>
              <w:left w:val="nil"/>
              <w:bottom w:val="single" w:sz="4" w:space="0" w:color="000000"/>
              <w:right w:val="nil"/>
            </w:tcBorders>
            <w:vAlign w:val="center"/>
          </w:tcPr>
          <w:p w14:paraId="336F2483" w14:textId="6206E005" w:rsidR="00B910BE" w:rsidRPr="00305D32" w:rsidRDefault="00B910BE" w:rsidP="009470D0">
            <w:pPr>
              <w:spacing w:after="0" w:line="240" w:lineRule="auto"/>
              <w:jc w:val="right"/>
              <w:rPr>
                <w:color w:val="000000"/>
                <w:sz w:val="22"/>
                <w:szCs w:val="22"/>
                <w:lang w:val="es-MX"/>
              </w:rPr>
            </w:pPr>
            <w:r w:rsidRPr="00305D32">
              <w:rPr>
                <w:sz w:val="22"/>
                <w:szCs w:val="22"/>
                <w:lang w:val="es-MX"/>
              </w:rPr>
              <w:t>493,909</w:t>
            </w:r>
          </w:p>
        </w:tc>
        <w:tc>
          <w:tcPr>
            <w:tcW w:w="1751" w:type="dxa"/>
            <w:tcBorders>
              <w:top w:val="nil"/>
              <w:left w:val="nil"/>
              <w:bottom w:val="single" w:sz="4" w:space="0" w:color="000000"/>
              <w:right w:val="nil"/>
            </w:tcBorders>
            <w:vAlign w:val="center"/>
          </w:tcPr>
          <w:p w14:paraId="49D892E0" w14:textId="2135F550" w:rsidR="00B910BE" w:rsidRPr="00305D32" w:rsidRDefault="00B910BE" w:rsidP="009470D0">
            <w:pPr>
              <w:spacing w:after="0" w:line="240" w:lineRule="auto"/>
              <w:jc w:val="right"/>
              <w:rPr>
                <w:color w:val="000000"/>
                <w:sz w:val="22"/>
                <w:szCs w:val="22"/>
                <w:lang w:val="es-MX"/>
              </w:rPr>
            </w:pPr>
            <w:r w:rsidRPr="00305D32">
              <w:rPr>
                <w:sz w:val="22"/>
                <w:szCs w:val="22"/>
                <w:lang w:val="es-MX"/>
              </w:rPr>
              <w:t>883,308</w:t>
            </w:r>
          </w:p>
        </w:tc>
      </w:tr>
    </w:tbl>
    <w:p w14:paraId="4D083461" w14:textId="56BEC002" w:rsidR="00AE57F0" w:rsidRPr="00305D32" w:rsidRDefault="00414F7C">
      <w:pPr>
        <w:spacing w:line="276"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base en datos de la Agencia Federal de Aviación Civil (AFAC, 202</w:t>
      </w:r>
      <w:r w:rsidR="00D80CFC" w:rsidRPr="00305D32">
        <w:rPr>
          <w:sz w:val="20"/>
          <w:szCs w:val="20"/>
          <w:lang w:val="es-MX"/>
        </w:rPr>
        <w:t>5</w:t>
      </w:r>
      <w:r w:rsidRPr="00305D32">
        <w:rPr>
          <w:sz w:val="20"/>
          <w:szCs w:val="20"/>
          <w:lang w:val="es-MX"/>
        </w:rPr>
        <w:t xml:space="preserve">) </w:t>
      </w:r>
      <w:r w:rsidRPr="00305D32">
        <w:rPr>
          <w:i/>
          <w:sz w:val="20"/>
          <w:szCs w:val="20"/>
          <w:lang w:val="es-MX"/>
        </w:rPr>
        <w:t xml:space="preserve">Estadística de Aviación Comercial Regular y Fletamento en diversos productos. </w:t>
      </w:r>
      <w:r w:rsidRPr="00305D32">
        <w:rPr>
          <w:sz w:val="20"/>
          <w:szCs w:val="20"/>
          <w:lang w:val="es-MX"/>
        </w:rPr>
        <w:t xml:space="preserve">Nota: * el valor 2023 para Tulum corresponde al mes de diciembre, </w:t>
      </w:r>
      <w:r w:rsidR="00315D0D" w:rsidRPr="00305D32">
        <w:rPr>
          <w:sz w:val="20"/>
          <w:szCs w:val="20"/>
          <w:lang w:val="es-MX"/>
        </w:rPr>
        <w:t xml:space="preserve">cuando </w:t>
      </w:r>
      <w:r w:rsidRPr="00305D32">
        <w:rPr>
          <w:sz w:val="20"/>
          <w:szCs w:val="20"/>
          <w:lang w:val="es-MX"/>
        </w:rPr>
        <w:t>inicio operaciones el aeropuerto.</w:t>
      </w:r>
      <w:r w:rsidRPr="00305D32">
        <w:rPr>
          <w:lang w:val="es-MX"/>
        </w:rPr>
        <w:t xml:space="preserve"> </w:t>
      </w:r>
      <w:r w:rsidRPr="00305D32">
        <w:rPr>
          <w:sz w:val="20"/>
          <w:szCs w:val="20"/>
          <w:lang w:val="es-MX"/>
        </w:rPr>
        <w:t xml:space="preserve">Hasta 2023 el Aeropuerto Internacional de Chetumal era administrado por Aeropuertos y Servicios Auxiliares (ASA), </w:t>
      </w:r>
      <w:r w:rsidR="00315D0D" w:rsidRPr="00305D32">
        <w:rPr>
          <w:sz w:val="20"/>
          <w:szCs w:val="20"/>
          <w:lang w:val="es-MX"/>
        </w:rPr>
        <w:t xml:space="preserve">desde </w:t>
      </w:r>
      <w:r w:rsidRPr="00305D32">
        <w:rPr>
          <w:sz w:val="20"/>
          <w:szCs w:val="20"/>
          <w:lang w:val="es-MX"/>
        </w:rPr>
        <w:t>2024 lo administra el Grupo Aeroportuario, Ferroviario, de Servicios Auxiliares y Conexos, Olmeca-Maya-Mexica", S.A. de C.V.</w:t>
      </w:r>
    </w:p>
    <w:p w14:paraId="4D083462" w14:textId="7DAFDB71" w:rsidR="00AE57F0" w:rsidRPr="00305D32" w:rsidRDefault="00414F7C">
      <w:pPr>
        <w:rPr>
          <w:lang w:val="es-MX"/>
        </w:rPr>
      </w:pPr>
      <w:r w:rsidRPr="00305D32">
        <w:rPr>
          <w:lang w:val="es-MX"/>
        </w:rPr>
        <w:t xml:space="preserve">En la </w:t>
      </w:r>
      <w:r w:rsidR="00BB1C03" w:rsidRPr="00305D32">
        <w:rPr>
          <w:lang w:val="es-MX"/>
        </w:rPr>
        <w:fldChar w:fldCharType="begin"/>
      </w:r>
      <w:r w:rsidR="00BB1C03" w:rsidRPr="00305D32">
        <w:rPr>
          <w:lang w:val="es-MX"/>
        </w:rPr>
        <w:instrText xml:space="preserve"> REF _Ref210291190 \h </w:instrText>
      </w:r>
      <w:r w:rsidR="00BB1C03" w:rsidRPr="00305D32">
        <w:rPr>
          <w:lang w:val="es-MX"/>
        </w:rPr>
      </w:r>
      <w:r w:rsidR="00BB1C03" w:rsidRPr="00305D32">
        <w:rPr>
          <w:lang w:val="es-MX"/>
        </w:rPr>
        <w:fldChar w:fldCharType="separate"/>
      </w:r>
      <w:r w:rsidR="00ED1F2F" w:rsidRPr="00305D32">
        <w:rPr>
          <w:lang w:val="es-MX"/>
        </w:rPr>
        <w:t xml:space="preserve">Tabla </w:t>
      </w:r>
      <w:r w:rsidR="00ED1F2F">
        <w:rPr>
          <w:noProof/>
          <w:lang w:val="es-MX"/>
        </w:rPr>
        <w:t>11</w:t>
      </w:r>
      <w:r w:rsidR="00BB1C03" w:rsidRPr="00305D32">
        <w:rPr>
          <w:lang w:val="es-MX"/>
        </w:rPr>
        <w:fldChar w:fldCharType="end"/>
      </w:r>
      <w:r w:rsidRPr="00305D32">
        <w:rPr>
          <w:lang w:val="es-MX"/>
        </w:rPr>
        <w:t xml:space="preserve"> se presenta el número de pasajeros por nacionalidad que llegaron a la ciudad de Cancún por vía aérea en 202</w:t>
      </w:r>
      <w:r w:rsidR="00E5515B" w:rsidRPr="00305D32">
        <w:rPr>
          <w:lang w:val="es-MX"/>
        </w:rPr>
        <w:t>3</w:t>
      </w:r>
      <w:r w:rsidRPr="00305D32">
        <w:rPr>
          <w:lang w:val="es-MX"/>
        </w:rPr>
        <w:t>, 202</w:t>
      </w:r>
      <w:r w:rsidR="00E5515B" w:rsidRPr="00305D32">
        <w:rPr>
          <w:lang w:val="es-MX"/>
        </w:rPr>
        <w:t>4</w:t>
      </w:r>
      <w:r w:rsidRPr="00305D32">
        <w:rPr>
          <w:lang w:val="es-MX"/>
        </w:rPr>
        <w:t xml:space="preserve"> y </w:t>
      </w:r>
      <w:r w:rsidR="00182B45">
        <w:rPr>
          <w:lang w:val="es-MX"/>
        </w:rPr>
        <w:t xml:space="preserve">en </w:t>
      </w:r>
      <w:r w:rsidRPr="00305D32">
        <w:rPr>
          <w:lang w:val="es-MX"/>
        </w:rPr>
        <w:t>el periodo enero-</w:t>
      </w:r>
      <w:r w:rsidR="00D92E50" w:rsidRPr="00305D32">
        <w:rPr>
          <w:lang w:val="es-MX"/>
        </w:rPr>
        <w:t>agosto</w:t>
      </w:r>
      <w:r w:rsidRPr="00305D32">
        <w:rPr>
          <w:lang w:val="es-MX"/>
        </w:rPr>
        <w:t xml:space="preserve"> de </w:t>
      </w:r>
      <w:r w:rsidRPr="00305D32">
        <w:rPr>
          <w:lang w:val="es-MX"/>
        </w:rPr>
        <w:lastRenderedPageBreak/>
        <w:t>202</w:t>
      </w:r>
      <w:r w:rsidR="00E5515B" w:rsidRPr="00305D32">
        <w:rPr>
          <w:lang w:val="es-MX"/>
        </w:rPr>
        <w:t>5</w:t>
      </w:r>
      <w:r w:rsidR="000B0AA1">
        <w:rPr>
          <w:lang w:val="es-MX"/>
        </w:rPr>
        <w:t>. Se observa</w:t>
      </w:r>
      <w:r w:rsidRPr="00305D32">
        <w:rPr>
          <w:lang w:val="es-MX"/>
        </w:rPr>
        <w:t xml:space="preserve"> que las principales nacionalidades </w:t>
      </w:r>
      <w:r w:rsidR="000B0AA1">
        <w:rPr>
          <w:lang w:val="es-MX"/>
        </w:rPr>
        <w:t>de origen son</w:t>
      </w:r>
      <w:r w:rsidRPr="00305D32">
        <w:rPr>
          <w:lang w:val="es-MX"/>
        </w:rPr>
        <w:t xml:space="preserve"> Estados Unidos, Canadá, Reino Unido, Argentina y </w:t>
      </w:r>
      <w:r w:rsidR="00D50721" w:rsidRPr="00305D32">
        <w:rPr>
          <w:lang w:val="es-MX"/>
        </w:rPr>
        <w:t>Francia</w:t>
      </w:r>
      <w:r w:rsidRPr="00305D32">
        <w:rPr>
          <w:lang w:val="es-MX"/>
        </w:rPr>
        <w:t>.</w:t>
      </w:r>
    </w:p>
    <w:p w14:paraId="4D083464" w14:textId="0F457F73" w:rsidR="00AE57F0" w:rsidRPr="00305D32" w:rsidRDefault="00414F7C" w:rsidP="003B4238">
      <w:pPr>
        <w:pStyle w:val="Descripcin"/>
        <w:jc w:val="center"/>
        <w:rPr>
          <w:color w:val="000000"/>
          <w:lang w:val="es-MX"/>
        </w:rPr>
      </w:pPr>
      <w:bookmarkStart w:id="82" w:name="_heading=h.2y3w247" w:colFirst="0" w:colLast="0"/>
      <w:bookmarkStart w:id="83" w:name="_Ref210291190"/>
      <w:bookmarkEnd w:id="82"/>
      <w:r w:rsidRPr="00305D32">
        <w:rPr>
          <w:lang w:val="es-MX"/>
        </w:rPr>
        <w:t xml:space="preserve">Tabla </w:t>
      </w:r>
      <w:r w:rsidR="003B4238" w:rsidRPr="00305D32">
        <w:rPr>
          <w:lang w:val="es-MX"/>
        </w:rPr>
        <w:fldChar w:fldCharType="begin"/>
      </w:r>
      <w:r w:rsidR="003B4238" w:rsidRPr="00305D32">
        <w:rPr>
          <w:lang w:val="es-MX"/>
        </w:rPr>
        <w:instrText xml:space="preserve"> SEQ Tabla \* ARABIC </w:instrText>
      </w:r>
      <w:r w:rsidR="003B4238" w:rsidRPr="00305D32">
        <w:rPr>
          <w:lang w:val="es-MX"/>
        </w:rPr>
        <w:fldChar w:fldCharType="separate"/>
      </w:r>
      <w:r w:rsidR="00ED1F2F">
        <w:rPr>
          <w:noProof/>
          <w:lang w:val="es-MX"/>
        </w:rPr>
        <w:t>11</w:t>
      </w:r>
      <w:r w:rsidR="003B4238" w:rsidRPr="00305D32">
        <w:rPr>
          <w:lang w:val="es-MX"/>
        </w:rPr>
        <w:fldChar w:fldCharType="end"/>
      </w:r>
      <w:bookmarkEnd w:id="83"/>
      <w:r w:rsidRPr="00305D32">
        <w:rPr>
          <w:color w:val="000000"/>
          <w:lang w:val="es-MX"/>
        </w:rPr>
        <w:t>. Pasajeros internacionales que llegaron vía aérea a Cancún por nacionalidad, 202</w:t>
      </w:r>
      <w:r w:rsidR="006A549B" w:rsidRPr="00305D32">
        <w:rPr>
          <w:color w:val="000000"/>
          <w:lang w:val="es-MX"/>
        </w:rPr>
        <w:t>3</w:t>
      </w:r>
      <w:r w:rsidRPr="00305D32">
        <w:rPr>
          <w:color w:val="000000"/>
          <w:lang w:val="es-MX"/>
        </w:rPr>
        <w:t>-202</w:t>
      </w:r>
      <w:r w:rsidR="006A549B" w:rsidRPr="00305D32">
        <w:rPr>
          <w:color w:val="000000"/>
          <w:lang w:val="es-MX"/>
        </w:rPr>
        <w:t>4</w:t>
      </w:r>
      <w:r w:rsidRPr="00305D32">
        <w:rPr>
          <w:color w:val="000000"/>
          <w:lang w:val="es-MX"/>
        </w:rPr>
        <w:t xml:space="preserve"> y enero-</w:t>
      </w:r>
      <w:r w:rsidR="00E43CBC" w:rsidRPr="00305D32">
        <w:rPr>
          <w:color w:val="000000"/>
          <w:lang w:val="es-MX"/>
        </w:rPr>
        <w:t>agost</w:t>
      </w:r>
      <w:r w:rsidR="00D92E50" w:rsidRPr="00305D32">
        <w:rPr>
          <w:color w:val="000000"/>
          <w:lang w:val="es-MX"/>
        </w:rPr>
        <w:t>o</w:t>
      </w:r>
      <w:r w:rsidRPr="00305D32">
        <w:rPr>
          <w:color w:val="000000"/>
          <w:lang w:val="es-MX"/>
        </w:rPr>
        <w:t xml:space="preserve"> 202</w:t>
      </w:r>
      <w:r w:rsidR="006A549B" w:rsidRPr="00305D32">
        <w:rPr>
          <w:color w:val="000000"/>
          <w:lang w:val="es-MX"/>
        </w:rPr>
        <w:t>5</w:t>
      </w:r>
    </w:p>
    <w:tbl>
      <w:tblPr>
        <w:tblStyle w:val="a9"/>
        <w:tblW w:w="9121" w:type="dxa"/>
        <w:tblInd w:w="0" w:type="dxa"/>
        <w:tblLayout w:type="fixed"/>
        <w:tblLook w:val="0400" w:firstRow="0" w:lastRow="0" w:firstColumn="0" w:lastColumn="0" w:noHBand="0" w:noVBand="1"/>
      </w:tblPr>
      <w:tblGrid>
        <w:gridCol w:w="1724"/>
        <w:gridCol w:w="1123"/>
        <w:gridCol w:w="1973"/>
        <w:gridCol w:w="1086"/>
        <w:gridCol w:w="2032"/>
        <w:gridCol w:w="1183"/>
      </w:tblGrid>
      <w:tr w:rsidR="00AE57F0" w:rsidRPr="00305D32" w14:paraId="4D083468" w14:textId="77777777">
        <w:trPr>
          <w:trHeight w:val="300"/>
          <w:tblHeader/>
        </w:trPr>
        <w:tc>
          <w:tcPr>
            <w:tcW w:w="2847" w:type="dxa"/>
            <w:gridSpan w:val="2"/>
            <w:tcBorders>
              <w:top w:val="single" w:sz="4" w:space="0" w:color="000000"/>
              <w:left w:val="nil"/>
              <w:bottom w:val="single" w:sz="4" w:space="0" w:color="000000"/>
              <w:right w:val="single" w:sz="4" w:space="0" w:color="000000"/>
            </w:tcBorders>
            <w:vAlign w:val="center"/>
          </w:tcPr>
          <w:p w14:paraId="4D083465" w14:textId="3EC75B2D"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202</w:t>
            </w:r>
            <w:r w:rsidR="00FF050A" w:rsidRPr="00305D32">
              <w:rPr>
                <w:b/>
                <w:color w:val="000000"/>
                <w:sz w:val="20"/>
                <w:szCs w:val="20"/>
                <w:lang w:val="es-MX"/>
              </w:rPr>
              <w:t>3</w:t>
            </w:r>
          </w:p>
        </w:tc>
        <w:tc>
          <w:tcPr>
            <w:tcW w:w="3059" w:type="dxa"/>
            <w:gridSpan w:val="2"/>
            <w:tcBorders>
              <w:top w:val="single" w:sz="4" w:space="0" w:color="000000"/>
              <w:left w:val="nil"/>
              <w:bottom w:val="single" w:sz="4" w:space="0" w:color="000000"/>
              <w:right w:val="single" w:sz="4" w:space="0" w:color="000000"/>
            </w:tcBorders>
            <w:vAlign w:val="center"/>
          </w:tcPr>
          <w:p w14:paraId="4D083466" w14:textId="5ADD129A"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202</w:t>
            </w:r>
            <w:r w:rsidR="0042150F" w:rsidRPr="00305D32">
              <w:rPr>
                <w:b/>
                <w:color w:val="000000"/>
                <w:sz w:val="20"/>
                <w:szCs w:val="20"/>
                <w:lang w:val="es-MX"/>
              </w:rPr>
              <w:t>4</w:t>
            </w:r>
          </w:p>
        </w:tc>
        <w:tc>
          <w:tcPr>
            <w:tcW w:w="3215" w:type="dxa"/>
            <w:gridSpan w:val="2"/>
            <w:tcBorders>
              <w:top w:val="single" w:sz="4" w:space="0" w:color="000000"/>
              <w:left w:val="nil"/>
              <w:bottom w:val="single" w:sz="4" w:space="0" w:color="000000"/>
              <w:right w:val="nil"/>
            </w:tcBorders>
            <w:vAlign w:val="center"/>
          </w:tcPr>
          <w:p w14:paraId="4D083467" w14:textId="5E4864C3"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Ene-</w:t>
            </w:r>
            <w:r w:rsidR="00E43CBC" w:rsidRPr="00305D32">
              <w:rPr>
                <w:b/>
                <w:color w:val="000000"/>
                <w:sz w:val="20"/>
                <w:szCs w:val="20"/>
                <w:lang w:val="es-MX"/>
              </w:rPr>
              <w:t>Ago</w:t>
            </w:r>
            <w:r w:rsidRPr="00305D32">
              <w:rPr>
                <w:b/>
                <w:color w:val="000000"/>
                <w:sz w:val="20"/>
                <w:szCs w:val="20"/>
                <w:lang w:val="es-MX"/>
              </w:rPr>
              <w:t xml:space="preserve"> 202</w:t>
            </w:r>
            <w:r w:rsidR="00164C96" w:rsidRPr="00305D32">
              <w:rPr>
                <w:b/>
                <w:color w:val="000000"/>
                <w:sz w:val="20"/>
                <w:szCs w:val="20"/>
                <w:lang w:val="es-MX"/>
              </w:rPr>
              <w:t>5</w:t>
            </w:r>
          </w:p>
        </w:tc>
      </w:tr>
      <w:tr w:rsidR="00AE57F0" w:rsidRPr="00305D32" w14:paraId="4D08346F" w14:textId="77777777" w:rsidTr="00246F26">
        <w:trPr>
          <w:trHeight w:val="300"/>
          <w:tblHeader/>
        </w:trPr>
        <w:tc>
          <w:tcPr>
            <w:tcW w:w="1724" w:type="dxa"/>
            <w:tcBorders>
              <w:top w:val="nil"/>
              <w:left w:val="nil"/>
              <w:bottom w:val="single" w:sz="4" w:space="0" w:color="000000"/>
              <w:right w:val="single" w:sz="4" w:space="0" w:color="000000"/>
            </w:tcBorders>
            <w:vAlign w:val="center"/>
          </w:tcPr>
          <w:p w14:paraId="4D083469" w14:textId="77777777"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País de origen</w:t>
            </w:r>
          </w:p>
        </w:tc>
        <w:tc>
          <w:tcPr>
            <w:tcW w:w="1123" w:type="dxa"/>
            <w:tcBorders>
              <w:top w:val="nil"/>
              <w:left w:val="nil"/>
              <w:bottom w:val="single" w:sz="4" w:space="0" w:color="000000"/>
              <w:right w:val="single" w:sz="4" w:space="0" w:color="000000"/>
            </w:tcBorders>
            <w:vAlign w:val="center"/>
          </w:tcPr>
          <w:p w14:paraId="4D08346A" w14:textId="77777777"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Pasajeros</w:t>
            </w:r>
          </w:p>
        </w:tc>
        <w:tc>
          <w:tcPr>
            <w:tcW w:w="1973" w:type="dxa"/>
            <w:tcBorders>
              <w:top w:val="nil"/>
              <w:left w:val="nil"/>
              <w:bottom w:val="single" w:sz="4" w:space="0" w:color="000000"/>
              <w:right w:val="single" w:sz="4" w:space="0" w:color="000000"/>
            </w:tcBorders>
            <w:vAlign w:val="center"/>
          </w:tcPr>
          <w:p w14:paraId="4D08346B" w14:textId="77777777"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País de origen</w:t>
            </w:r>
          </w:p>
        </w:tc>
        <w:tc>
          <w:tcPr>
            <w:tcW w:w="1086" w:type="dxa"/>
            <w:tcBorders>
              <w:top w:val="nil"/>
              <w:left w:val="nil"/>
              <w:bottom w:val="single" w:sz="4" w:space="0" w:color="000000"/>
              <w:right w:val="single" w:sz="4" w:space="0" w:color="000000"/>
            </w:tcBorders>
            <w:vAlign w:val="center"/>
          </w:tcPr>
          <w:p w14:paraId="4D08346C" w14:textId="77777777"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Pasajeros</w:t>
            </w:r>
          </w:p>
        </w:tc>
        <w:tc>
          <w:tcPr>
            <w:tcW w:w="2032" w:type="dxa"/>
            <w:tcBorders>
              <w:top w:val="nil"/>
              <w:left w:val="nil"/>
              <w:bottom w:val="single" w:sz="4" w:space="0" w:color="000000"/>
              <w:right w:val="single" w:sz="4" w:space="0" w:color="000000"/>
            </w:tcBorders>
            <w:vAlign w:val="center"/>
          </w:tcPr>
          <w:p w14:paraId="4D08346D" w14:textId="77777777"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País de origen</w:t>
            </w:r>
          </w:p>
        </w:tc>
        <w:tc>
          <w:tcPr>
            <w:tcW w:w="1183" w:type="dxa"/>
            <w:tcBorders>
              <w:top w:val="nil"/>
              <w:left w:val="nil"/>
              <w:bottom w:val="single" w:sz="4" w:space="0" w:color="000000"/>
              <w:right w:val="nil"/>
            </w:tcBorders>
            <w:vAlign w:val="center"/>
          </w:tcPr>
          <w:p w14:paraId="4D08346E" w14:textId="77777777"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Pasajeros</w:t>
            </w:r>
          </w:p>
        </w:tc>
      </w:tr>
      <w:tr w:rsidR="003020E2" w:rsidRPr="00305D32" w14:paraId="4D083476" w14:textId="77777777" w:rsidTr="00246F26">
        <w:trPr>
          <w:trHeight w:val="300"/>
        </w:trPr>
        <w:tc>
          <w:tcPr>
            <w:tcW w:w="1724" w:type="dxa"/>
            <w:tcBorders>
              <w:top w:val="nil"/>
              <w:left w:val="nil"/>
              <w:bottom w:val="nil"/>
              <w:right w:val="nil"/>
            </w:tcBorders>
          </w:tcPr>
          <w:p w14:paraId="4D083470" w14:textId="5FDCF99D" w:rsidR="003020E2" w:rsidRPr="00305D32" w:rsidRDefault="003020E2" w:rsidP="003020E2">
            <w:pPr>
              <w:spacing w:after="0"/>
              <w:jc w:val="left"/>
              <w:rPr>
                <w:color w:val="000000"/>
                <w:sz w:val="20"/>
                <w:szCs w:val="20"/>
                <w:lang w:val="es-MX"/>
              </w:rPr>
            </w:pPr>
            <w:r w:rsidRPr="00305D32">
              <w:rPr>
                <w:sz w:val="20"/>
                <w:szCs w:val="20"/>
                <w:lang w:val="es-MX"/>
              </w:rPr>
              <w:t>Estados Unidos</w:t>
            </w:r>
          </w:p>
        </w:tc>
        <w:tc>
          <w:tcPr>
            <w:tcW w:w="1123" w:type="dxa"/>
            <w:tcBorders>
              <w:top w:val="nil"/>
              <w:left w:val="nil"/>
              <w:bottom w:val="nil"/>
              <w:right w:val="single" w:sz="4" w:space="0" w:color="000000"/>
            </w:tcBorders>
          </w:tcPr>
          <w:p w14:paraId="4D083471" w14:textId="48271946" w:rsidR="003020E2" w:rsidRPr="00305D32" w:rsidRDefault="003020E2" w:rsidP="003020E2">
            <w:pPr>
              <w:spacing w:after="0"/>
              <w:jc w:val="right"/>
              <w:rPr>
                <w:color w:val="0D0D0D"/>
                <w:sz w:val="20"/>
                <w:szCs w:val="20"/>
                <w:lang w:val="es-MX"/>
              </w:rPr>
            </w:pPr>
            <w:r w:rsidRPr="00305D32">
              <w:rPr>
                <w:sz w:val="20"/>
                <w:szCs w:val="20"/>
                <w:lang w:val="es-MX"/>
              </w:rPr>
              <w:t>5,605,607</w:t>
            </w:r>
          </w:p>
        </w:tc>
        <w:tc>
          <w:tcPr>
            <w:tcW w:w="1973" w:type="dxa"/>
            <w:tcBorders>
              <w:top w:val="nil"/>
              <w:left w:val="nil"/>
              <w:bottom w:val="nil"/>
              <w:right w:val="nil"/>
            </w:tcBorders>
          </w:tcPr>
          <w:p w14:paraId="4D083472" w14:textId="77777777" w:rsidR="003020E2" w:rsidRPr="00305D32" w:rsidRDefault="003020E2" w:rsidP="003020E2">
            <w:pPr>
              <w:spacing w:after="0"/>
              <w:jc w:val="left"/>
              <w:rPr>
                <w:color w:val="000000"/>
                <w:sz w:val="20"/>
                <w:szCs w:val="20"/>
                <w:lang w:val="es-MX"/>
              </w:rPr>
            </w:pPr>
            <w:r w:rsidRPr="00305D32">
              <w:rPr>
                <w:sz w:val="20"/>
                <w:szCs w:val="20"/>
                <w:lang w:val="es-MX"/>
              </w:rPr>
              <w:t>Estados Unidos</w:t>
            </w:r>
          </w:p>
        </w:tc>
        <w:tc>
          <w:tcPr>
            <w:tcW w:w="1086" w:type="dxa"/>
            <w:tcBorders>
              <w:top w:val="nil"/>
              <w:left w:val="nil"/>
              <w:bottom w:val="nil"/>
              <w:right w:val="single" w:sz="4" w:space="0" w:color="000000"/>
            </w:tcBorders>
          </w:tcPr>
          <w:p w14:paraId="4D083473" w14:textId="412D005C" w:rsidR="003020E2" w:rsidRPr="00305D32" w:rsidRDefault="003020E2" w:rsidP="003020E2">
            <w:pPr>
              <w:spacing w:after="0"/>
              <w:jc w:val="right"/>
              <w:rPr>
                <w:color w:val="0D0D0D"/>
                <w:sz w:val="20"/>
                <w:szCs w:val="20"/>
                <w:lang w:val="es-MX"/>
              </w:rPr>
            </w:pPr>
            <w:r w:rsidRPr="00305D32">
              <w:rPr>
                <w:sz w:val="20"/>
                <w:szCs w:val="20"/>
                <w:lang w:val="es-MX"/>
              </w:rPr>
              <w:t>5,500,990</w:t>
            </w:r>
          </w:p>
        </w:tc>
        <w:tc>
          <w:tcPr>
            <w:tcW w:w="2032" w:type="dxa"/>
            <w:tcBorders>
              <w:top w:val="nil"/>
              <w:left w:val="nil"/>
              <w:bottom w:val="nil"/>
              <w:right w:val="nil"/>
            </w:tcBorders>
          </w:tcPr>
          <w:p w14:paraId="4D083474" w14:textId="27718B65" w:rsidR="003020E2" w:rsidRPr="00305D32" w:rsidRDefault="003020E2" w:rsidP="003020E2">
            <w:pPr>
              <w:spacing w:after="0"/>
              <w:jc w:val="left"/>
              <w:rPr>
                <w:color w:val="000000"/>
                <w:sz w:val="20"/>
                <w:szCs w:val="20"/>
                <w:lang w:val="es-MX"/>
              </w:rPr>
            </w:pPr>
            <w:r w:rsidRPr="00305D32">
              <w:rPr>
                <w:sz w:val="20"/>
                <w:szCs w:val="20"/>
                <w:lang w:val="es-MX"/>
              </w:rPr>
              <w:t>Estados Unidos</w:t>
            </w:r>
          </w:p>
        </w:tc>
        <w:tc>
          <w:tcPr>
            <w:tcW w:w="1183" w:type="dxa"/>
            <w:tcBorders>
              <w:top w:val="nil"/>
              <w:left w:val="nil"/>
              <w:bottom w:val="nil"/>
              <w:right w:val="nil"/>
            </w:tcBorders>
          </w:tcPr>
          <w:p w14:paraId="4D083475" w14:textId="43C90C1B" w:rsidR="003020E2" w:rsidRPr="00305D32" w:rsidRDefault="003020E2" w:rsidP="003020E2">
            <w:pPr>
              <w:spacing w:after="0"/>
              <w:jc w:val="right"/>
              <w:rPr>
                <w:color w:val="0D0D0D"/>
                <w:sz w:val="20"/>
                <w:szCs w:val="20"/>
                <w:lang w:val="es-MX"/>
              </w:rPr>
            </w:pPr>
            <w:r w:rsidRPr="00305D32">
              <w:rPr>
                <w:sz w:val="20"/>
                <w:szCs w:val="20"/>
                <w:lang w:val="es-MX"/>
              </w:rPr>
              <w:t>3,834,266</w:t>
            </w:r>
          </w:p>
        </w:tc>
      </w:tr>
      <w:tr w:rsidR="003020E2" w:rsidRPr="00305D32" w14:paraId="4D08347D" w14:textId="77777777" w:rsidTr="00246F26">
        <w:trPr>
          <w:trHeight w:val="300"/>
        </w:trPr>
        <w:tc>
          <w:tcPr>
            <w:tcW w:w="1724" w:type="dxa"/>
            <w:tcBorders>
              <w:top w:val="nil"/>
              <w:left w:val="nil"/>
              <w:bottom w:val="nil"/>
              <w:right w:val="nil"/>
            </w:tcBorders>
          </w:tcPr>
          <w:p w14:paraId="4D083477" w14:textId="77777777" w:rsidR="003020E2" w:rsidRPr="00305D32" w:rsidRDefault="003020E2" w:rsidP="003020E2">
            <w:pPr>
              <w:spacing w:after="0"/>
              <w:jc w:val="left"/>
              <w:rPr>
                <w:color w:val="000000"/>
                <w:sz w:val="20"/>
                <w:szCs w:val="20"/>
                <w:lang w:val="es-MX"/>
              </w:rPr>
            </w:pPr>
            <w:r w:rsidRPr="00305D32">
              <w:rPr>
                <w:sz w:val="20"/>
                <w:szCs w:val="20"/>
                <w:lang w:val="es-MX"/>
              </w:rPr>
              <w:t>Canadá</w:t>
            </w:r>
          </w:p>
        </w:tc>
        <w:tc>
          <w:tcPr>
            <w:tcW w:w="1123" w:type="dxa"/>
            <w:tcBorders>
              <w:top w:val="nil"/>
              <w:left w:val="nil"/>
              <w:bottom w:val="nil"/>
              <w:right w:val="single" w:sz="4" w:space="0" w:color="000000"/>
            </w:tcBorders>
          </w:tcPr>
          <w:p w14:paraId="4D083478" w14:textId="169A6E1C" w:rsidR="003020E2" w:rsidRPr="00305D32" w:rsidRDefault="003020E2" w:rsidP="003020E2">
            <w:pPr>
              <w:spacing w:after="0"/>
              <w:jc w:val="right"/>
              <w:rPr>
                <w:color w:val="0D0D0D"/>
                <w:sz w:val="20"/>
                <w:szCs w:val="20"/>
                <w:lang w:val="es-MX"/>
              </w:rPr>
            </w:pPr>
            <w:r w:rsidRPr="00305D32">
              <w:rPr>
                <w:sz w:val="20"/>
                <w:szCs w:val="20"/>
                <w:lang w:val="es-MX"/>
              </w:rPr>
              <w:t>1,388,638</w:t>
            </w:r>
          </w:p>
        </w:tc>
        <w:tc>
          <w:tcPr>
            <w:tcW w:w="1973" w:type="dxa"/>
            <w:tcBorders>
              <w:top w:val="nil"/>
              <w:left w:val="nil"/>
              <w:bottom w:val="nil"/>
              <w:right w:val="nil"/>
            </w:tcBorders>
          </w:tcPr>
          <w:p w14:paraId="4D083479" w14:textId="77777777" w:rsidR="003020E2" w:rsidRPr="00305D32" w:rsidRDefault="003020E2" w:rsidP="003020E2">
            <w:pPr>
              <w:spacing w:after="0"/>
              <w:jc w:val="left"/>
              <w:rPr>
                <w:color w:val="000000"/>
                <w:sz w:val="20"/>
                <w:szCs w:val="20"/>
                <w:lang w:val="es-MX"/>
              </w:rPr>
            </w:pPr>
            <w:r w:rsidRPr="00305D32">
              <w:rPr>
                <w:sz w:val="20"/>
                <w:szCs w:val="20"/>
                <w:lang w:val="es-MX"/>
              </w:rPr>
              <w:t>Canadá</w:t>
            </w:r>
          </w:p>
        </w:tc>
        <w:tc>
          <w:tcPr>
            <w:tcW w:w="1086" w:type="dxa"/>
            <w:tcBorders>
              <w:top w:val="nil"/>
              <w:left w:val="nil"/>
              <w:bottom w:val="nil"/>
              <w:right w:val="single" w:sz="4" w:space="0" w:color="000000"/>
            </w:tcBorders>
          </w:tcPr>
          <w:p w14:paraId="4D08347A" w14:textId="4F2B1D6A" w:rsidR="003020E2" w:rsidRPr="00305D32" w:rsidRDefault="003020E2" w:rsidP="003020E2">
            <w:pPr>
              <w:spacing w:after="0"/>
              <w:jc w:val="right"/>
              <w:rPr>
                <w:color w:val="0D0D0D"/>
                <w:sz w:val="20"/>
                <w:szCs w:val="20"/>
                <w:lang w:val="es-MX"/>
              </w:rPr>
            </w:pPr>
            <w:r w:rsidRPr="00305D32">
              <w:rPr>
                <w:sz w:val="20"/>
                <w:szCs w:val="20"/>
                <w:lang w:val="es-MX"/>
              </w:rPr>
              <w:t>1,527,060</w:t>
            </w:r>
          </w:p>
        </w:tc>
        <w:tc>
          <w:tcPr>
            <w:tcW w:w="2032" w:type="dxa"/>
            <w:tcBorders>
              <w:top w:val="nil"/>
              <w:left w:val="nil"/>
              <w:bottom w:val="nil"/>
              <w:right w:val="nil"/>
            </w:tcBorders>
          </w:tcPr>
          <w:p w14:paraId="4D08347B" w14:textId="43998133" w:rsidR="003020E2" w:rsidRPr="00305D32" w:rsidRDefault="003020E2" w:rsidP="003020E2">
            <w:pPr>
              <w:spacing w:after="0"/>
              <w:jc w:val="left"/>
              <w:rPr>
                <w:color w:val="000000"/>
                <w:sz w:val="20"/>
                <w:szCs w:val="20"/>
                <w:lang w:val="es-MX"/>
              </w:rPr>
            </w:pPr>
            <w:r w:rsidRPr="00305D32">
              <w:rPr>
                <w:sz w:val="20"/>
                <w:szCs w:val="20"/>
                <w:lang w:val="es-MX"/>
              </w:rPr>
              <w:t>Canadá</w:t>
            </w:r>
          </w:p>
        </w:tc>
        <w:tc>
          <w:tcPr>
            <w:tcW w:w="1183" w:type="dxa"/>
            <w:tcBorders>
              <w:top w:val="nil"/>
              <w:left w:val="nil"/>
              <w:bottom w:val="nil"/>
              <w:right w:val="nil"/>
            </w:tcBorders>
          </w:tcPr>
          <w:p w14:paraId="4D08347C" w14:textId="0E0B82D3" w:rsidR="003020E2" w:rsidRPr="00305D32" w:rsidRDefault="003020E2" w:rsidP="003020E2">
            <w:pPr>
              <w:spacing w:after="0"/>
              <w:jc w:val="right"/>
              <w:rPr>
                <w:color w:val="0D0D0D"/>
                <w:sz w:val="20"/>
                <w:szCs w:val="20"/>
                <w:lang w:val="es-MX"/>
              </w:rPr>
            </w:pPr>
            <w:r w:rsidRPr="00305D32">
              <w:rPr>
                <w:sz w:val="20"/>
                <w:szCs w:val="20"/>
                <w:lang w:val="es-MX"/>
              </w:rPr>
              <w:t>1,068,577</w:t>
            </w:r>
          </w:p>
        </w:tc>
      </w:tr>
      <w:tr w:rsidR="003020E2" w:rsidRPr="00305D32" w14:paraId="4D083484" w14:textId="77777777" w:rsidTr="00246F26">
        <w:trPr>
          <w:trHeight w:val="300"/>
        </w:trPr>
        <w:tc>
          <w:tcPr>
            <w:tcW w:w="1724" w:type="dxa"/>
            <w:tcBorders>
              <w:top w:val="nil"/>
              <w:left w:val="nil"/>
              <w:bottom w:val="nil"/>
              <w:right w:val="nil"/>
            </w:tcBorders>
          </w:tcPr>
          <w:p w14:paraId="4D08347E" w14:textId="77777777" w:rsidR="003020E2" w:rsidRPr="00305D32" w:rsidRDefault="003020E2" w:rsidP="003020E2">
            <w:pPr>
              <w:spacing w:after="0"/>
              <w:jc w:val="left"/>
              <w:rPr>
                <w:color w:val="000000"/>
                <w:sz w:val="20"/>
                <w:szCs w:val="20"/>
                <w:lang w:val="es-MX"/>
              </w:rPr>
            </w:pPr>
            <w:r w:rsidRPr="00305D32">
              <w:rPr>
                <w:sz w:val="20"/>
                <w:szCs w:val="20"/>
                <w:lang w:val="es-MX"/>
              </w:rPr>
              <w:t>Reino Unido</w:t>
            </w:r>
          </w:p>
        </w:tc>
        <w:tc>
          <w:tcPr>
            <w:tcW w:w="1123" w:type="dxa"/>
            <w:tcBorders>
              <w:top w:val="nil"/>
              <w:left w:val="nil"/>
              <w:bottom w:val="nil"/>
              <w:right w:val="single" w:sz="4" w:space="0" w:color="000000"/>
            </w:tcBorders>
          </w:tcPr>
          <w:p w14:paraId="4D08347F" w14:textId="3D7EE2EB" w:rsidR="003020E2" w:rsidRPr="00305D32" w:rsidRDefault="003020E2" w:rsidP="003020E2">
            <w:pPr>
              <w:spacing w:after="0"/>
              <w:jc w:val="right"/>
              <w:rPr>
                <w:color w:val="0D0D0D"/>
                <w:sz w:val="20"/>
                <w:szCs w:val="20"/>
                <w:lang w:val="es-MX"/>
              </w:rPr>
            </w:pPr>
            <w:r w:rsidRPr="00305D32">
              <w:rPr>
                <w:sz w:val="20"/>
                <w:szCs w:val="20"/>
                <w:lang w:val="es-MX"/>
              </w:rPr>
              <w:t>382,844</w:t>
            </w:r>
          </w:p>
        </w:tc>
        <w:tc>
          <w:tcPr>
            <w:tcW w:w="1973" w:type="dxa"/>
            <w:tcBorders>
              <w:top w:val="nil"/>
              <w:left w:val="nil"/>
              <w:bottom w:val="nil"/>
              <w:right w:val="nil"/>
            </w:tcBorders>
          </w:tcPr>
          <w:p w14:paraId="4D083480" w14:textId="77777777" w:rsidR="003020E2" w:rsidRPr="00305D32" w:rsidRDefault="003020E2" w:rsidP="003020E2">
            <w:pPr>
              <w:spacing w:after="0"/>
              <w:jc w:val="left"/>
              <w:rPr>
                <w:color w:val="000000"/>
                <w:sz w:val="20"/>
                <w:szCs w:val="20"/>
                <w:lang w:val="es-MX"/>
              </w:rPr>
            </w:pPr>
            <w:r w:rsidRPr="00305D32">
              <w:rPr>
                <w:sz w:val="20"/>
                <w:szCs w:val="20"/>
                <w:lang w:val="es-MX"/>
              </w:rPr>
              <w:t>Reino Unido</w:t>
            </w:r>
          </w:p>
        </w:tc>
        <w:tc>
          <w:tcPr>
            <w:tcW w:w="1086" w:type="dxa"/>
            <w:tcBorders>
              <w:top w:val="nil"/>
              <w:left w:val="nil"/>
              <w:bottom w:val="nil"/>
              <w:right w:val="single" w:sz="4" w:space="0" w:color="000000"/>
            </w:tcBorders>
          </w:tcPr>
          <w:p w14:paraId="4D083481" w14:textId="58FFF5A4" w:rsidR="003020E2" w:rsidRPr="00305D32" w:rsidRDefault="003020E2" w:rsidP="003020E2">
            <w:pPr>
              <w:spacing w:after="0"/>
              <w:jc w:val="right"/>
              <w:rPr>
                <w:color w:val="0D0D0D"/>
                <w:sz w:val="20"/>
                <w:szCs w:val="20"/>
                <w:lang w:val="es-MX"/>
              </w:rPr>
            </w:pPr>
            <w:r w:rsidRPr="00305D32">
              <w:rPr>
                <w:sz w:val="20"/>
                <w:szCs w:val="20"/>
                <w:lang w:val="es-MX"/>
              </w:rPr>
              <w:t>357,828</w:t>
            </w:r>
          </w:p>
        </w:tc>
        <w:tc>
          <w:tcPr>
            <w:tcW w:w="2032" w:type="dxa"/>
            <w:tcBorders>
              <w:top w:val="nil"/>
              <w:left w:val="nil"/>
              <w:bottom w:val="nil"/>
              <w:right w:val="nil"/>
            </w:tcBorders>
          </w:tcPr>
          <w:p w14:paraId="4D083482" w14:textId="12B854A0" w:rsidR="003020E2" w:rsidRPr="00305D32" w:rsidRDefault="003020E2" w:rsidP="003020E2">
            <w:pPr>
              <w:spacing w:after="0"/>
              <w:jc w:val="left"/>
              <w:rPr>
                <w:color w:val="000000"/>
                <w:sz w:val="20"/>
                <w:szCs w:val="20"/>
                <w:lang w:val="es-MX"/>
              </w:rPr>
            </w:pPr>
            <w:r w:rsidRPr="00305D32">
              <w:rPr>
                <w:sz w:val="20"/>
                <w:szCs w:val="20"/>
                <w:lang w:val="es-MX"/>
              </w:rPr>
              <w:t>Reino Unido</w:t>
            </w:r>
          </w:p>
        </w:tc>
        <w:tc>
          <w:tcPr>
            <w:tcW w:w="1183" w:type="dxa"/>
            <w:tcBorders>
              <w:top w:val="nil"/>
              <w:left w:val="nil"/>
              <w:bottom w:val="nil"/>
              <w:right w:val="nil"/>
            </w:tcBorders>
          </w:tcPr>
          <w:p w14:paraId="4D083483" w14:textId="11B9A6E8" w:rsidR="003020E2" w:rsidRPr="00305D32" w:rsidRDefault="003020E2" w:rsidP="003020E2">
            <w:pPr>
              <w:spacing w:after="0"/>
              <w:jc w:val="right"/>
              <w:rPr>
                <w:color w:val="0D0D0D"/>
                <w:sz w:val="20"/>
                <w:szCs w:val="20"/>
                <w:lang w:val="es-MX"/>
              </w:rPr>
            </w:pPr>
            <w:r w:rsidRPr="00305D32">
              <w:rPr>
                <w:sz w:val="20"/>
                <w:szCs w:val="20"/>
                <w:lang w:val="es-MX"/>
              </w:rPr>
              <w:t>243,673</w:t>
            </w:r>
          </w:p>
        </w:tc>
      </w:tr>
      <w:tr w:rsidR="003020E2" w:rsidRPr="00305D32" w14:paraId="4D08348B" w14:textId="77777777" w:rsidTr="00246F26">
        <w:trPr>
          <w:trHeight w:val="300"/>
        </w:trPr>
        <w:tc>
          <w:tcPr>
            <w:tcW w:w="1724" w:type="dxa"/>
            <w:tcBorders>
              <w:top w:val="nil"/>
              <w:left w:val="nil"/>
              <w:bottom w:val="nil"/>
              <w:right w:val="nil"/>
            </w:tcBorders>
          </w:tcPr>
          <w:p w14:paraId="4D083485" w14:textId="77777777" w:rsidR="003020E2" w:rsidRPr="00305D32" w:rsidRDefault="003020E2" w:rsidP="003020E2">
            <w:pPr>
              <w:spacing w:after="0"/>
              <w:jc w:val="left"/>
              <w:rPr>
                <w:color w:val="000000"/>
                <w:sz w:val="20"/>
                <w:szCs w:val="20"/>
                <w:lang w:val="es-MX"/>
              </w:rPr>
            </w:pPr>
            <w:r w:rsidRPr="00305D32">
              <w:rPr>
                <w:sz w:val="20"/>
                <w:szCs w:val="20"/>
                <w:lang w:val="es-MX"/>
              </w:rPr>
              <w:t>Colombia</w:t>
            </w:r>
          </w:p>
        </w:tc>
        <w:tc>
          <w:tcPr>
            <w:tcW w:w="1123" w:type="dxa"/>
            <w:tcBorders>
              <w:top w:val="nil"/>
              <w:left w:val="nil"/>
              <w:bottom w:val="nil"/>
              <w:right w:val="single" w:sz="4" w:space="0" w:color="000000"/>
            </w:tcBorders>
          </w:tcPr>
          <w:p w14:paraId="4D083486" w14:textId="47D4146F" w:rsidR="003020E2" w:rsidRPr="00305D32" w:rsidRDefault="003020E2" w:rsidP="003020E2">
            <w:pPr>
              <w:spacing w:after="0"/>
              <w:jc w:val="right"/>
              <w:rPr>
                <w:color w:val="0D0D0D"/>
                <w:sz w:val="20"/>
                <w:szCs w:val="20"/>
                <w:lang w:val="es-MX"/>
              </w:rPr>
            </w:pPr>
            <w:r w:rsidRPr="00305D32">
              <w:rPr>
                <w:sz w:val="20"/>
                <w:szCs w:val="20"/>
                <w:lang w:val="es-MX"/>
              </w:rPr>
              <w:t>336,016</w:t>
            </w:r>
          </w:p>
        </w:tc>
        <w:tc>
          <w:tcPr>
            <w:tcW w:w="1973" w:type="dxa"/>
            <w:tcBorders>
              <w:top w:val="nil"/>
              <w:left w:val="nil"/>
              <w:bottom w:val="nil"/>
              <w:right w:val="nil"/>
            </w:tcBorders>
          </w:tcPr>
          <w:p w14:paraId="4D083487" w14:textId="77777777" w:rsidR="003020E2" w:rsidRPr="00305D32" w:rsidRDefault="003020E2" w:rsidP="003020E2">
            <w:pPr>
              <w:spacing w:after="0"/>
              <w:jc w:val="left"/>
              <w:rPr>
                <w:color w:val="000000"/>
                <w:sz w:val="20"/>
                <w:szCs w:val="20"/>
                <w:lang w:val="es-MX"/>
              </w:rPr>
            </w:pPr>
            <w:r w:rsidRPr="00305D32">
              <w:rPr>
                <w:sz w:val="20"/>
                <w:szCs w:val="20"/>
                <w:lang w:val="es-MX"/>
              </w:rPr>
              <w:t>Colombia</w:t>
            </w:r>
          </w:p>
        </w:tc>
        <w:tc>
          <w:tcPr>
            <w:tcW w:w="1086" w:type="dxa"/>
            <w:tcBorders>
              <w:top w:val="nil"/>
              <w:left w:val="nil"/>
              <w:bottom w:val="nil"/>
              <w:right w:val="single" w:sz="4" w:space="0" w:color="000000"/>
            </w:tcBorders>
          </w:tcPr>
          <w:p w14:paraId="4D083488" w14:textId="2ADB439D" w:rsidR="003020E2" w:rsidRPr="00305D32" w:rsidRDefault="003020E2" w:rsidP="003020E2">
            <w:pPr>
              <w:spacing w:after="0"/>
              <w:jc w:val="right"/>
              <w:rPr>
                <w:color w:val="0D0D0D"/>
                <w:sz w:val="20"/>
                <w:szCs w:val="20"/>
                <w:lang w:val="es-MX"/>
              </w:rPr>
            </w:pPr>
            <w:r w:rsidRPr="00305D32">
              <w:rPr>
                <w:sz w:val="20"/>
                <w:szCs w:val="20"/>
                <w:lang w:val="es-MX"/>
              </w:rPr>
              <w:t>235,819</w:t>
            </w:r>
          </w:p>
        </w:tc>
        <w:tc>
          <w:tcPr>
            <w:tcW w:w="2032" w:type="dxa"/>
            <w:tcBorders>
              <w:top w:val="nil"/>
              <w:left w:val="nil"/>
              <w:bottom w:val="nil"/>
              <w:right w:val="nil"/>
            </w:tcBorders>
          </w:tcPr>
          <w:p w14:paraId="4D083489" w14:textId="7E98479F" w:rsidR="003020E2" w:rsidRPr="00305D32" w:rsidRDefault="003020E2" w:rsidP="003020E2">
            <w:pPr>
              <w:spacing w:after="0"/>
              <w:jc w:val="left"/>
              <w:rPr>
                <w:color w:val="000000"/>
                <w:sz w:val="20"/>
                <w:szCs w:val="20"/>
                <w:lang w:val="es-MX"/>
              </w:rPr>
            </w:pPr>
            <w:r w:rsidRPr="00305D32">
              <w:rPr>
                <w:sz w:val="20"/>
                <w:szCs w:val="20"/>
                <w:lang w:val="es-MX"/>
              </w:rPr>
              <w:t>Argentina</w:t>
            </w:r>
          </w:p>
        </w:tc>
        <w:tc>
          <w:tcPr>
            <w:tcW w:w="1183" w:type="dxa"/>
            <w:tcBorders>
              <w:top w:val="nil"/>
              <w:left w:val="nil"/>
              <w:bottom w:val="nil"/>
              <w:right w:val="nil"/>
            </w:tcBorders>
          </w:tcPr>
          <w:p w14:paraId="4D08348A" w14:textId="5B6934E3" w:rsidR="003020E2" w:rsidRPr="00305D32" w:rsidRDefault="003020E2" w:rsidP="003020E2">
            <w:pPr>
              <w:spacing w:after="0"/>
              <w:jc w:val="right"/>
              <w:rPr>
                <w:color w:val="0D0D0D"/>
                <w:sz w:val="20"/>
                <w:szCs w:val="20"/>
                <w:lang w:val="es-MX"/>
              </w:rPr>
            </w:pPr>
            <w:r w:rsidRPr="00305D32">
              <w:rPr>
                <w:sz w:val="20"/>
                <w:szCs w:val="20"/>
                <w:lang w:val="es-MX"/>
              </w:rPr>
              <w:t>190,251</w:t>
            </w:r>
          </w:p>
        </w:tc>
      </w:tr>
      <w:tr w:rsidR="003020E2" w:rsidRPr="00305D32" w14:paraId="4D083492" w14:textId="77777777" w:rsidTr="00246F26">
        <w:trPr>
          <w:trHeight w:val="300"/>
        </w:trPr>
        <w:tc>
          <w:tcPr>
            <w:tcW w:w="1724" w:type="dxa"/>
            <w:tcBorders>
              <w:top w:val="nil"/>
              <w:left w:val="nil"/>
              <w:bottom w:val="nil"/>
              <w:right w:val="nil"/>
            </w:tcBorders>
          </w:tcPr>
          <w:p w14:paraId="4D08348C" w14:textId="77777777" w:rsidR="003020E2" w:rsidRPr="00305D32" w:rsidRDefault="003020E2" w:rsidP="003020E2">
            <w:pPr>
              <w:spacing w:after="0"/>
              <w:jc w:val="left"/>
              <w:rPr>
                <w:color w:val="000000"/>
                <w:sz w:val="20"/>
                <w:szCs w:val="20"/>
                <w:lang w:val="es-MX"/>
              </w:rPr>
            </w:pPr>
            <w:r w:rsidRPr="00305D32">
              <w:rPr>
                <w:sz w:val="20"/>
                <w:szCs w:val="20"/>
                <w:lang w:val="es-MX"/>
              </w:rPr>
              <w:t>Argentina</w:t>
            </w:r>
          </w:p>
        </w:tc>
        <w:tc>
          <w:tcPr>
            <w:tcW w:w="1123" w:type="dxa"/>
            <w:tcBorders>
              <w:top w:val="nil"/>
              <w:left w:val="nil"/>
              <w:bottom w:val="nil"/>
              <w:right w:val="single" w:sz="4" w:space="0" w:color="000000"/>
            </w:tcBorders>
          </w:tcPr>
          <w:p w14:paraId="4D08348D" w14:textId="2E20AF9B" w:rsidR="003020E2" w:rsidRPr="00305D32" w:rsidRDefault="003020E2" w:rsidP="003020E2">
            <w:pPr>
              <w:spacing w:after="0"/>
              <w:jc w:val="right"/>
              <w:rPr>
                <w:color w:val="0D0D0D"/>
                <w:sz w:val="20"/>
                <w:szCs w:val="20"/>
                <w:lang w:val="es-MX"/>
              </w:rPr>
            </w:pPr>
            <w:r w:rsidRPr="00305D32">
              <w:rPr>
                <w:sz w:val="20"/>
                <w:szCs w:val="20"/>
                <w:lang w:val="es-MX"/>
              </w:rPr>
              <w:t>196,071</w:t>
            </w:r>
          </w:p>
        </w:tc>
        <w:tc>
          <w:tcPr>
            <w:tcW w:w="1973" w:type="dxa"/>
            <w:tcBorders>
              <w:top w:val="nil"/>
              <w:left w:val="nil"/>
              <w:bottom w:val="nil"/>
              <w:right w:val="nil"/>
            </w:tcBorders>
          </w:tcPr>
          <w:p w14:paraId="4D08348E" w14:textId="77777777" w:rsidR="003020E2" w:rsidRPr="00305D32" w:rsidRDefault="003020E2" w:rsidP="003020E2">
            <w:pPr>
              <w:spacing w:after="0"/>
              <w:jc w:val="left"/>
              <w:rPr>
                <w:color w:val="000000"/>
                <w:sz w:val="20"/>
                <w:szCs w:val="20"/>
                <w:lang w:val="es-MX"/>
              </w:rPr>
            </w:pPr>
            <w:r w:rsidRPr="00305D32">
              <w:rPr>
                <w:sz w:val="20"/>
                <w:szCs w:val="20"/>
                <w:lang w:val="es-MX"/>
              </w:rPr>
              <w:t>Argentina</w:t>
            </w:r>
          </w:p>
        </w:tc>
        <w:tc>
          <w:tcPr>
            <w:tcW w:w="1086" w:type="dxa"/>
            <w:tcBorders>
              <w:top w:val="nil"/>
              <w:left w:val="nil"/>
              <w:bottom w:val="nil"/>
              <w:right w:val="single" w:sz="4" w:space="0" w:color="000000"/>
            </w:tcBorders>
          </w:tcPr>
          <w:p w14:paraId="4D08348F" w14:textId="5CF40FB5" w:rsidR="003020E2" w:rsidRPr="00305D32" w:rsidRDefault="003020E2" w:rsidP="003020E2">
            <w:pPr>
              <w:spacing w:after="0"/>
              <w:jc w:val="right"/>
              <w:rPr>
                <w:color w:val="0D0D0D"/>
                <w:sz w:val="20"/>
                <w:szCs w:val="20"/>
                <w:lang w:val="es-MX"/>
              </w:rPr>
            </w:pPr>
            <w:r w:rsidRPr="00305D32">
              <w:rPr>
                <w:sz w:val="20"/>
                <w:szCs w:val="20"/>
                <w:lang w:val="es-MX"/>
              </w:rPr>
              <w:t>220,436</w:t>
            </w:r>
          </w:p>
        </w:tc>
        <w:tc>
          <w:tcPr>
            <w:tcW w:w="2032" w:type="dxa"/>
            <w:tcBorders>
              <w:top w:val="nil"/>
              <w:left w:val="nil"/>
              <w:bottom w:val="nil"/>
              <w:right w:val="nil"/>
            </w:tcBorders>
          </w:tcPr>
          <w:p w14:paraId="4D083490" w14:textId="5BBD97F2" w:rsidR="003020E2" w:rsidRPr="00305D32" w:rsidRDefault="003020E2" w:rsidP="003020E2">
            <w:pPr>
              <w:spacing w:after="0"/>
              <w:jc w:val="left"/>
              <w:rPr>
                <w:color w:val="000000"/>
                <w:sz w:val="20"/>
                <w:szCs w:val="20"/>
                <w:lang w:val="es-MX"/>
              </w:rPr>
            </w:pPr>
            <w:r w:rsidRPr="00305D32">
              <w:rPr>
                <w:sz w:val="20"/>
                <w:szCs w:val="20"/>
                <w:lang w:val="es-MX"/>
              </w:rPr>
              <w:t>Francia</w:t>
            </w:r>
          </w:p>
        </w:tc>
        <w:tc>
          <w:tcPr>
            <w:tcW w:w="1183" w:type="dxa"/>
            <w:tcBorders>
              <w:top w:val="nil"/>
              <w:left w:val="nil"/>
              <w:bottom w:val="nil"/>
              <w:right w:val="nil"/>
            </w:tcBorders>
          </w:tcPr>
          <w:p w14:paraId="4D083491" w14:textId="318348CC" w:rsidR="003020E2" w:rsidRPr="00305D32" w:rsidRDefault="003020E2" w:rsidP="003020E2">
            <w:pPr>
              <w:spacing w:after="0"/>
              <w:jc w:val="right"/>
              <w:rPr>
                <w:color w:val="0D0D0D"/>
                <w:sz w:val="20"/>
                <w:szCs w:val="20"/>
                <w:lang w:val="es-MX"/>
              </w:rPr>
            </w:pPr>
            <w:r w:rsidRPr="00305D32">
              <w:rPr>
                <w:sz w:val="20"/>
                <w:szCs w:val="20"/>
                <w:lang w:val="es-MX"/>
              </w:rPr>
              <w:t>119,742</w:t>
            </w:r>
          </w:p>
        </w:tc>
      </w:tr>
      <w:tr w:rsidR="003020E2" w:rsidRPr="00305D32" w14:paraId="4D083499" w14:textId="77777777" w:rsidTr="00246F26">
        <w:trPr>
          <w:trHeight w:val="300"/>
        </w:trPr>
        <w:tc>
          <w:tcPr>
            <w:tcW w:w="1724" w:type="dxa"/>
            <w:tcBorders>
              <w:top w:val="nil"/>
              <w:left w:val="nil"/>
              <w:bottom w:val="nil"/>
              <w:right w:val="nil"/>
            </w:tcBorders>
          </w:tcPr>
          <w:p w14:paraId="4D083493" w14:textId="148868B0" w:rsidR="003020E2" w:rsidRPr="00305D32" w:rsidRDefault="003020E2" w:rsidP="003020E2">
            <w:pPr>
              <w:spacing w:after="0"/>
              <w:jc w:val="left"/>
              <w:rPr>
                <w:color w:val="000000"/>
                <w:sz w:val="20"/>
                <w:szCs w:val="20"/>
                <w:lang w:val="es-MX"/>
              </w:rPr>
            </w:pPr>
            <w:r w:rsidRPr="00305D32">
              <w:rPr>
                <w:sz w:val="20"/>
                <w:szCs w:val="20"/>
                <w:lang w:val="es-MX"/>
              </w:rPr>
              <w:t>Francia</w:t>
            </w:r>
          </w:p>
        </w:tc>
        <w:tc>
          <w:tcPr>
            <w:tcW w:w="1123" w:type="dxa"/>
            <w:tcBorders>
              <w:top w:val="nil"/>
              <w:left w:val="nil"/>
              <w:bottom w:val="nil"/>
              <w:right w:val="single" w:sz="4" w:space="0" w:color="000000"/>
            </w:tcBorders>
          </w:tcPr>
          <w:p w14:paraId="4D083494" w14:textId="36FD9983" w:rsidR="003020E2" w:rsidRPr="00305D32" w:rsidRDefault="003020E2" w:rsidP="003020E2">
            <w:pPr>
              <w:spacing w:after="0"/>
              <w:jc w:val="right"/>
              <w:rPr>
                <w:color w:val="0D0D0D"/>
                <w:sz w:val="20"/>
                <w:szCs w:val="20"/>
                <w:lang w:val="es-MX"/>
              </w:rPr>
            </w:pPr>
            <w:r w:rsidRPr="00305D32">
              <w:rPr>
                <w:sz w:val="20"/>
                <w:szCs w:val="20"/>
                <w:lang w:val="es-MX"/>
              </w:rPr>
              <w:t>194,160</w:t>
            </w:r>
          </w:p>
        </w:tc>
        <w:tc>
          <w:tcPr>
            <w:tcW w:w="1973" w:type="dxa"/>
            <w:tcBorders>
              <w:top w:val="nil"/>
              <w:left w:val="nil"/>
              <w:bottom w:val="nil"/>
              <w:right w:val="nil"/>
            </w:tcBorders>
          </w:tcPr>
          <w:p w14:paraId="4D083495" w14:textId="77777777" w:rsidR="003020E2" w:rsidRPr="00305D32" w:rsidRDefault="003020E2" w:rsidP="003020E2">
            <w:pPr>
              <w:spacing w:after="0"/>
              <w:jc w:val="left"/>
              <w:rPr>
                <w:color w:val="000000"/>
                <w:sz w:val="20"/>
                <w:szCs w:val="20"/>
                <w:lang w:val="es-MX"/>
              </w:rPr>
            </w:pPr>
            <w:r w:rsidRPr="00305D32">
              <w:rPr>
                <w:sz w:val="20"/>
                <w:szCs w:val="20"/>
                <w:lang w:val="es-MX"/>
              </w:rPr>
              <w:t>Francia</w:t>
            </w:r>
          </w:p>
        </w:tc>
        <w:tc>
          <w:tcPr>
            <w:tcW w:w="1086" w:type="dxa"/>
            <w:tcBorders>
              <w:top w:val="nil"/>
              <w:left w:val="nil"/>
              <w:bottom w:val="nil"/>
              <w:right w:val="single" w:sz="4" w:space="0" w:color="000000"/>
            </w:tcBorders>
          </w:tcPr>
          <w:p w14:paraId="4D083496" w14:textId="44B0851D" w:rsidR="003020E2" w:rsidRPr="00305D32" w:rsidRDefault="003020E2" w:rsidP="003020E2">
            <w:pPr>
              <w:spacing w:after="0"/>
              <w:jc w:val="right"/>
              <w:rPr>
                <w:color w:val="0D0D0D"/>
                <w:sz w:val="20"/>
                <w:szCs w:val="20"/>
                <w:lang w:val="es-MX"/>
              </w:rPr>
            </w:pPr>
            <w:r w:rsidRPr="00305D32">
              <w:rPr>
                <w:sz w:val="20"/>
                <w:szCs w:val="20"/>
                <w:lang w:val="es-MX"/>
              </w:rPr>
              <w:t>182,676</w:t>
            </w:r>
          </w:p>
        </w:tc>
        <w:tc>
          <w:tcPr>
            <w:tcW w:w="2032" w:type="dxa"/>
            <w:tcBorders>
              <w:top w:val="nil"/>
              <w:left w:val="nil"/>
              <w:bottom w:val="nil"/>
              <w:right w:val="nil"/>
            </w:tcBorders>
          </w:tcPr>
          <w:p w14:paraId="4D083497" w14:textId="0079E11C" w:rsidR="003020E2" w:rsidRPr="00305D32" w:rsidRDefault="003020E2" w:rsidP="003020E2">
            <w:pPr>
              <w:spacing w:after="0"/>
              <w:jc w:val="left"/>
              <w:rPr>
                <w:color w:val="000000"/>
                <w:sz w:val="20"/>
                <w:szCs w:val="20"/>
                <w:lang w:val="es-MX"/>
              </w:rPr>
            </w:pPr>
            <w:r w:rsidRPr="00305D32">
              <w:rPr>
                <w:sz w:val="20"/>
                <w:szCs w:val="20"/>
                <w:lang w:val="es-MX"/>
              </w:rPr>
              <w:t>España</w:t>
            </w:r>
          </w:p>
        </w:tc>
        <w:tc>
          <w:tcPr>
            <w:tcW w:w="1183" w:type="dxa"/>
            <w:tcBorders>
              <w:top w:val="nil"/>
              <w:left w:val="nil"/>
              <w:bottom w:val="nil"/>
              <w:right w:val="nil"/>
            </w:tcBorders>
          </w:tcPr>
          <w:p w14:paraId="4D083498" w14:textId="6CEFC728" w:rsidR="003020E2" w:rsidRPr="00305D32" w:rsidRDefault="003020E2" w:rsidP="003020E2">
            <w:pPr>
              <w:spacing w:after="0"/>
              <w:jc w:val="right"/>
              <w:rPr>
                <w:color w:val="0D0D0D"/>
                <w:sz w:val="20"/>
                <w:szCs w:val="20"/>
                <w:lang w:val="es-MX"/>
              </w:rPr>
            </w:pPr>
            <w:r w:rsidRPr="00305D32">
              <w:rPr>
                <w:sz w:val="20"/>
                <w:szCs w:val="20"/>
                <w:lang w:val="es-MX"/>
              </w:rPr>
              <w:t>117,002</w:t>
            </w:r>
          </w:p>
        </w:tc>
      </w:tr>
      <w:tr w:rsidR="003020E2" w:rsidRPr="00305D32" w14:paraId="4D0834A0" w14:textId="77777777" w:rsidTr="00246F26">
        <w:trPr>
          <w:trHeight w:val="300"/>
        </w:trPr>
        <w:tc>
          <w:tcPr>
            <w:tcW w:w="1724" w:type="dxa"/>
            <w:tcBorders>
              <w:top w:val="nil"/>
              <w:left w:val="nil"/>
              <w:bottom w:val="nil"/>
              <w:right w:val="nil"/>
            </w:tcBorders>
          </w:tcPr>
          <w:p w14:paraId="4D08349A" w14:textId="2449AE9C" w:rsidR="003020E2" w:rsidRPr="00305D32" w:rsidRDefault="003020E2" w:rsidP="003020E2">
            <w:pPr>
              <w:spacing w:after="0"/>
              <w:jc w:val="left"/>
              <w:rPr>
                <w:color w:val="000000"/>
                <w:sz w:val="20"/>
                <w:szCs w:val="20"/>
                <w:lang w:val="es-MX"/>
              </w:rPr>
            </w:pPr>
            <w:r w:rsidRPr="00305D32">
              <w:rPr>
                <w:sz w:val="20"/>
                <w:szCs w:val="20"/>
                <w:lang w:val="es-MX"/>
              </w:rPr>
              <w:t>España</w:t>
            </w:r>
          </w:p>
        </w:tc>
        <w:tc>
          <w:tcPr>
            <w:tcW w:w="1123" w:type="dxa"/>
            <w:tcBorders>
              <w:top w:val="nil"/>
              <w:left w:val="nil"/>
              <w:bottom w:val="nil"/>
              <w:right w:val="single" w:sz="4" w:space="0" w:color="000000"/>
            </w:tcBorders>
          </w:tcPr>
          <w:p w14:paraId="4D08349B" w14:textId="39F70604" w:rsidR="003020E2" w:rsidRPr="00305D32" w:rsidRDefault="003020E2" w:rsidP="003020E2">
            <w:pPr>
              <w:spacing w:after="0"/>
              <w:jc w:val="right"/>
              <w:rPr>
                <w:color w:val="0D0D0D"/>
                <w:sz w:val="20"/>
                <w:szCs w:val="20"/>
                <w:lang w:val="es-MX"/>
              </w:rPr>
            </w:pPr>
            <w:r w:rsidRPr="00305D32">
              <w:rPr>
                <w:sz w:val="20"/>
                <w:szCs w:val="20"/>
                <w:lang w:val="es-MX"/>
              </w:rPr>
              <w:t>180,399</w:t>
            </w:r>
          </w:p>
        </w:tc>
        <w:tc>
          <w:tcPr>
            <w:tcW w:w="1973" w:type="dxa"/>
            <w:tcBorders>
              <w:top w:val="nil"/>
              <w:left w:val="nil"/>
              <w:bottom w:val="nil"/>
              <w:right w:val="nil"/>
            </w:tcBorders>
          </w:tcPr>
          <w:p w14:paraId="4D08349C" w14:textId="77777777" w:rsidR="003020E2" w:rsidRPr="00305D32" w:rsidRDefault="003020E2" w:rsidP="003020E2">
            <w:pPr>
              <w:spacing w:after="0"/>
              <w:jc w:val="left"/>
              <w:rPr>
                <w:color w:val="000000"/>
                <w:sz w:val="20"/>
                <w:szCs w:val="20"/>
                <w:lang w:val="es-MX"/>
              </w:rPr>
            </w:pPr>
            <w:r w:rsidRPr="00305D32">
              <w:rPr>
                <w:sz w:val="20"/>
                <w:szCs w:val="20"/>
                <w:lang w:val="es-MX"/>
              </w:rPr>
              <w:t>España</w:t>
            </w:r>
          </w:p>
        </w:tc>
        <w:tc>
          <w:tcPr>
            <w:tcW w:w="1086" w:type="dxa"/>
            <w:tcBorders>
              <w:top w:val="nil"/>
              <w:left w:val="nil"/>
              <w:bottom w:val="nil"/>
              <w:right w:val="single" w:sz="4" w:space="0" w:color="000000"/>
            </w:tcBorders>
          </w:tcPr>
          <w:p w14:paraId="4D08349D" w14:textId="78E3534E" w:rsidR="003020E2" w:rsidRPr="00305D32" w:rsidRDefault="003020E2" w:rsidP="003020E2">
            <w:pPr>
              <w:spacing w:after="0"/>
              <w:jc w:val="right"/>
              <w:rPr>
                <w:color w:val="0D0D0D"/>
                <w:sz w:val="20"/>
                <w:szCs w:val="20"/>
                <w:lang w:val="es-MX"/>
              </w:rPr>
            </w:pPr>
            <w:r w:rsidRPr="00305D32">
              <w:rPr>
                <w:sz w:val="20"/>
                <w:szCs w:val="20"/>
                <w:lang w:val="es-MX"/>
              </w:rPr>
              <w:t>172,614</w:t>
            </w:r>
          </w:p>
        </w:tc>
        <w:tc>
          <w:tcPr>
            <w:tcW w:w="2032" w:type="dxa"/>
            <w:tcBorders>
              <w:top w:val="nil"/>
              <w:left w:val="nil"/>
              <w:bottom w:val="nil"/>
              <w:right w:val="nil"/>
            </w:tcBorders>
          </w:tcPr>
          <w:p w14:paraId="4D08349E" w14:textId="63CCE90E" w:rsidR="003020E2" w:rsidRPr="00305D32" w:rsidRDefault="003020E2" w:rsidP="003020E2">
            <w:pPr>
              <w:spacing w:after="0"/>
              <w:jc w:val="left"/>
              <w:rPr>
                <w:color w:val="000000"/>
                <w:sz w:val="20"/>
                <w:szCs w:val="20"/>
                <w:lang w:val="es-MX"/>
              </w:rPr>
            </w:pPr>
            <w:r w:rsidRPr="00305D32">
              <w:rPr>
                <w:sz w:val="20"/>
                <w:szCs w:val="20"/>
                <w:lang w:val="es-MX"/>
              </w:rPr>
              <w:t>Colombia</w:t>
            </w:r>
          </w:p>
        </w:tc>
        <w:tc>
          <w:tcPr>
            <w:tcW w:w="1183" w:type="dxa"/>
            <w:tcBorders>
              <w:top w:val="nil"/>
              <w:left w:val="nil"/>
              <w:bottom w:val="nil"/>
              <w:right w:val="nil"/>
            </w:tcBorders>
          </w:tcPr>
          <w:p w14:paraId="4D08349F" w14:textId="4A533EA5" w:rsidR="003020E2" w:rsidRPr="00305D32" w:rsidRDefault="003020E2" w:rsidP="003020E2">
            <w:pPr>
              <w:spacing w:after="0"/>
              <w:jc w:val="right"/>
              <w:rPr>
                <w:color w:val="0D0D0D"/>
                <w:sz w:val="20"/>
                <w:szCs w:val="20"/>
                <w:lang w:val="es-MX"/>
              </w:rPr>
            </w:pPr>
            <w:r w:rsidRPr="00305D32">
              <w:rPr>
                <w:sz w:val="20"/>
                <w:szCs w:val="20"/>
                <w:lang w:val="es-MX"/>
              </w:rPr>
              <w:t>103,086</w:t>
            </w:r>
          </w:p>
        </w:tc>
      </w:tr>
      <w:tr w:rsidR="003020E2" w:rsidRPr="00305D32" w14:paraId="4D0834A7" w14:textId="77777777" w:rsidTr="00246F26">
        <w:trPr>
          <w:trHeight w:val="300"/>
        </w:trPr>
        <w:tc>
          <w:tcPr>
            <w:tcW w:w="1724" w:type="dxa"/>
            <w:tcBorders>
              <w:top w:val="nil"/>
              <w:left w:val="nil"/>
              <w:bottom w:val="nil"/>
              <w:right w:val="nil"/>
            </w:tcBorders>
          </w:tcPr>
          <w:p w14:paraId="4D0834A1" w14:textId="77777777" w:rsidR="003020E2" w:rsidRPr="00305D32" w:rsidRDefault="003020E2" w:rsidP="003020E2">
            <w:pPr>
              <w:spacing w:after="0"/>
              <w:jc w:val="left"/>
              <w:rPr>
                <w:color w:val="000000"/>
                <w:sz w:val="20"/>
                <w:szCs w:val="20"/>
                <w:lang w:val="es-MX"/>
              </w:rPr>
            </w:pPr>
            <w:r w:rsidRPr="00305D32">
              <w:rPr>
                <w:sz w:val="20"/>
                <w:szCs w:val="20"/>
                <w:lang w:val="es-MX"/>
              </w:rPr>
              <w:t>Perú</w:t>
            </w:r>
          </w:p>
        </w:tc>
        <w:tc>
          <w:tcPr>
            <w:tcW w:w="1123" w:type="dxa"/>
            <w:tcBorders>
              <w:top w:val="nil"/>
              <w:left w:val="nil"/>
              <w:bottom w:val="nil"/>
              <w:right w:val="single" w:sz="4" w:space="0" w:color="000000"/>
            </w:tcBorders>
          </w:tcPr>
          <w:p w14:paraId="4D0834A2" w14:textId="54AE8F9C" w:rsidR="003020E2" w:rsidRPr="00305D32" w:rsidRDefault="003020E2" w:rsidP="003020E2">
            <w:pPr>
              <w:spacing w:after="0"/>
              <w:jc w:val="right"/>
              <w:rPr>
                <w:color w:val="0D0D0D"/>
                <w:sz w:val="20"/>
                <w:szCs w:val="20"/>
                <w:lang w:val="es-MX"/>
              </w:rPr>
            </w:pPr>
            <w:r w:rsidRPr="00305D32">
              <w:rPr>
                <w:sz w:val="20"/>
                <w:szCs w:val="20"/>
                <w:lang w:val="es-MX"/>
              </w:rPr>
              <w:t>150,271</w:t>
            </w:r>
          </w:p>
        </w:tc>
        <w:tc>
          <w:tcPr>
            <w:tcW w:w="1973" w:type="dxa"/>
            <w:tcBorders>
              <w:top w:val="nil"/>
              <w:left w:val="nil"/>
              <w:bottom w:val="nil"/>
              <w:right w:val="nil"/>
            </w:tcBorders>
          </w:tcPr>
          <w:p w14:paraId="4D0834A3" w14:textId="749FB34C" w:rsidR="003020E2" w:rsidRPr="00305D32" w:rsidRDefault="003020E2" w:rsidP="003020E2">
            <w:pPr>
              <w:spacing w:after="0"/>
              <w:jc w:val="left"/>
              <w:rPr>
                <w:color w:val="000000"/>
                <w:sz w:val="20"/>
                <w:szCs w:val="20"/>
                <w:lang w:val="es-MX"/>
              </w:rPr>
            </w:pPr>
            <w:r w:rsidRPr="00305D32">
              <w:rPr>
                <w:sz w:val="20"/>
                <w:szCs w:val="20"/>
                <w:lang w:val="es-MX"/>
              </w:rPr>
              <w:t>Alemania</w:t>
            </w:r>
          </w:p>
        </w:tc>
        <w:tc>
          <w:tcPr>
            <w:tcW w:w="1086" w:type="dxa"/>
            <w:tcBorders>
              <w:top w:val="nil"/>
              <w:left w:val="nil"/>
              <w:bottom w:val="nil"/>
              <w:right w:val="single" w:sz="4" w:space="0" w:color="000000"/>
            </w:tcBorders>
          </w:tcPr>
          <w:p w14:paraId="4D0834A4" w14:textId="45BB0062" w:rsidR="003020E2" w:rsidRPr="00305D32" w:rsidRDefault="003020E2" w:rsidP="003020E2">
            <w:pPr>
              <w:spacing w:after="0"/>
              <w:jc w:val="right"/>
              <w:rPr>
                <w:color w:val="0D0D0D"/>
                <w:sz w:val="20"/>
                <w:szCs w:val="20"/>
                <w:lang w:val="es-MX"/>
              </w:rPr>
            </w:pPr>
            <w:r w:rsidRPr="00305D32">
              <w:rPr>
                <w:sz w:val="20"/>
                <w:szCs w:val="20"/>
                <w:lang w:val="es-MX"/>
              </w:rPr>
              <w:t>134,910</w:t>
            </w:r>
          </w:p>
        </w:tc>
        <w:tc>
          <w:tcPr>
            <w:tcW w:w="2032" w:type="dxa"/>
            <w:tcBorders>
              <w:top w:val="nil"/>
              <w:left w:val="nil"/>
              <w:bottom w:val="nil"/>
              <w:right w:val="nil"/>
            </w:tcBorders>
          </w:tcPr>
          <w:p w14:paraId="4D0834A5" w14:textId="32842765" w:rsidR="003020E2" w:rsidRPr="00305D32" w:rsidRDefault="003020E2" w:rsidP="003020E2">
            <w:pPr>
              <w:spacing w:after="0"/>
              <w:jc w:val="left"/>
              <w:rPr>
                <w:color w:val="000000"/>
                <w:sz w:val="20"/>
                <w:szCs w:val="20"/>
                <w:lang w:val="es-MX"/>
              </w:rPr>
            </w:pPr>
            <w:r w:rsidRPr="00305D32">
              <w:rPr>
                <w:sz w:val="20"/>
                <w:szCs w:val="20"/>
                <w:lang w:val="es-MX"/>
              </w:rPr>
              <w:t>Chile</w:t>
            </w:r>
          </w:p>
        </w:tc>
        <w:tc>
          <w:tcPr>
            <w:tcW w:w="1183" w:type="dxa"/>
            <w:tcBorders>
              <w:top w:val="nil"/>
              <w:left w:val="nil"/>
              <w:bottom w:val="nil"/>
              <w:right w:val="nil"/>
            </w:tcBorders>
          </w:tcPr>
          <w:p w14:paraId="4D0834A6" w14:textId="20BE9D0F" w:rsidR="003020E2" w:rsidRPr="00305D32" w:rsidRDefault="003020E2" w:rsidP="003020E2">
            <w:pPr>
              <w:spacing w:after="0"/>
              <w:jc w:val="right"/>
              <w:rPr>
                <w:color w:val="0D0D0D"/>
                <w:sz w:val="20"/>
                <w:szCs w:val="20"/>
                <w:lang w:val="es-MX"/>
              </w:rPr>
            </w:pPr>
            <w:r w:rsidRPr="00305D32">
              <w:rPr>
                <w:sz w:val="20"/>
                <w:szCs w:val="20"/>
                <w:lang w:val="es-MX"/>
              </w:rPr>
              <w:t>83,484</w:t>
            </w:r>
          </w:p>
        </w:tc>
      </w:tr>
      <w:tr w:rsidR="003020E2" w:rsidRPr="00305D32" w14:paraId="4D0834AE" w14:textId="77777777" w:rsidTr="00246F26">
        <w:trPr>
          <w:trHeight w:val="300"/>
        </w:trPr>
        <w:tc>
          <w:tcPr>
            <w:tcW w:w="1724" w:type="dxa"/>
            <w:tcBorders>
              <w:top w:val="nil"/>
              <w:left w:val="nil"/>
              <w:bottom w:val="nil"/>
              <w:right w:val="nil"/>
            </w:tcBorders>
          </w:tcPr>
          <w:p w14:paraId="4D0834A8" w14:textId="18C9E86C" w:rsidR="003020E2" w:rsidRPr="00305D32" w:rsidRDefault="003020E2" w:rsidP="003020E2">
            <w:pPr>
              <w:spacing w:after="0"/>
              <w:jc w:val="left"/>
              <w:rPr>
                <w:color w:val="000000"/>
                <w:sz w:val="20"/>
                <w:szCs w:val="20"/>
                <w:lang w:val="es-MX"/>
              </w:rPr>
            </w:pPr>
            <w:r w:rsidRPr="00305D32">
              <w:rPr>
                <w:sz w:val="20"/>
                <w:szCs w:val="20"/>
                <w:lang w:val="es-MX"/>
              </w:rPr>
              <w:t>Alemania</w:t>
            </w:r>
          </w:p>
        </w:tc>
        <w:tc>
          <w:tcPr>
            <w:tcW w:w="1123" w:type="dxa"/>
            <w:tcBorders>
              <w:top w:val="nil"/>
              <w:left w:val="nil"/>
              <w:bottom w:val="nil"/>
              <w:right w:val="single" w:sz="4" w:space="0" w:color="000000"/>
            </w:tcBorders>
          </w:tcPr>
          <w:p w14:paraId="4D0834A9" w14:textId="47C82A70" w:rsidR="003020E2" w:rsidRPr="00305D32" w:rsidRDefault="003020E2" w:rsidP="003020E2">
            <w:pPr>
              <w:spacing w:after="0"/>
              <w:jc w:val="right"/>
              <w:rPr>
                <w:color w:val="0D0D0D"/>
                <w:sz w:val="20"/>
                <w:szCs w:val="20"/>
                <w:lang w:val="es-MX"/>
              </w:rPr>
            </w:pPr>
            <w:r w:rsidRPr="00305D32">
              <w:rPr>
                <w:sz w:val="20"/>
                <w:szCs w:val="20"/>
                <w:lang w:val="es-MX"/>
              </w:rPr>
              <w:t>149,157</w:t>
            </w:r>
          </w:p>
        </w:tc>
        <w:tc>
          <w:tcPr>
            <w:tcW w:w="1973" w:type="dxa"/>
            <w:tcBorders>
              <w:top w:val="nil"/>
              <w:left w:val="nil"/>
              <w:bottom w:val="nil"/>
              <w:right w:val="nil"/>
            </w:tcBorders>
          </w:tcPr>
          <w:p w14:paraId="4D0834AA" w14:textId="5EBDA677" w:rsidR="003020E2" w:rsidRPr="00305D32" w:rsidRDefault="003020E2" w:rsidP="003020E2">
            <w:pPr>
              <w:spacing w:after="0"/>
              <w:jc w:val="left"/>
              <w:rPr>
                <w:color w:val="000000"/>
                <w:sz w:val="20"/>
                <w:szCs w:val="20"/>
                <w:lang w:val="es-MX"/>
              </w:rPr>
            </w:pPr>
            <w:r w:rsidRPr="00305D32">
              <w:rPr>
                <w:sz w:val="20"/>
                <w:szCs w:val="20"/>
                <w:lang w:val="es-MX"/>
              </w:rPr>
              <w:t>Chile</w:t>
            </w:r>
          </w:p>
        </w:tc>
        <w:tc>
          <w:tcPr>
            <w:tcW w:w="1086" w:type="dxa"/>
            <w:tcBorders>
              <w:top w:val="nil"/>
              <w:left w:val="nil"/>
              <w:bottom w:val="nil"/>
              <w:right w:val="single" w:sz="4" w:space="0" w:color="000000"/>
            </w:tcBorders>
          </w:tcPr>
          <w:p w14:paraId="4D0834AB" w14:textId="5B21D062" w:rsidR="003020E2" w:rsidRPr="00305D32" w:rsidRDefault="003020E2" w:rsidP="003020E2">
            <w:pPr>
              <w:spacing w:after="0"/>
              <w:jc w:val="right"/>
              <w:rPr>
                <w:color w:val="0D0D0D"/>
                <w:sz w:val="20"/>
                <w:szCs w:val="20"/>
                <w:lang w:val="es-MX"/>
              </w:rPr>
            </w:pPr>
            <w:r w:rsidRPr="00305D32">
              <w:rPr>
                <w:sz w:val="20"/>
                <w:szCs w:val="20"/>
                <w:lang w:val="es-MX"/>
              </w:rPr>
              <w:t>124,808</w:t>
            </w:r>
          </w:p>
        </w:tc>
        <w:tc>
          <w:tcPr>
            <w:tcW w:w="2032" w:type="dxa"/>
            <w:tcBorders>
              <w:top w:val="nil"/>
              <w:left w:val="nil"/>
              <w:bottom w:val="nil"/>
              <w:right w:val="nil"/>
            </w:tcBorders>
          </w:tcPr>
          <w:p w14:paraId="4D0834AC" w14:textId="5BC44E4F" w:rsidR="003020E2" w:rsidRPr="00305D32" w:rsidRDefault="003020E2" w:rsidP="003020E2">
            <w:pPr>
              <w:spacing w:after="0"/>
              <w:jc w:val="left"/>
              <w:rPr>
                <w:color w:val="000000"/>
                <w:sz w:val="20"/>
                <w:szCs w:val="20"/>
                <w:lang w:val="es-MX"/>
              </w:rPr>
            </w:pPr>
            <w:r w:rsidRPr="00305D32">
              <w:rPr>
                <w:sz w:val="20"/>
                <w:szCs w:val="20"/>
                <w:lang w:val="es-MX"/>
              </w:rPr>
              <w:t>Alemania</w:t>
            </w:r>
          </w:p>
        </w:tc>
        <w:tc>
          <w:tcPr>
            <w:tcW w:w="1183" w:type="dxa"/>
            <w:tcBorders>
              <w:top w:val="nil"/>
              <w:left w:val="nil"/>
              <w:bottom w:val="nil"/>
              <w:right w:val="nil"/>
            </w:tcBorders>
          </w:tcPr>
          <w:p w14:paraId="4D0834AD" w14:textId="3D1EE21C" w:rsidR="003020E2" w:rsidRPr="00305D32" w:rsidRDefault="003020E2" w:rsidP="003020E2">
            <w:pPr>
              <w:spacing w:after="0"/>
              <w:jc w:val="right"/>
              <w:rPr>
                <w:color w:val="0D0D0D"/>
                <w:sz w:val="20"/>
                <w:szCs w:val="20"/>
                <w:lang w:val="es-MX"/>
              </w:rPr>
            </w:pPr>
            <w:r w:rsidRPr="00305D32">
              <w:rPr>
                <w:sz w:val="20"/>
                <w:szCs w:val="20"/>
                <w:lang w:val="es-MX"/>
              </w:rPr>
              <w:t>75,878</w:t>
            </w:r>
          </w:p>
        </w:tc>
      </w:tr>
      <w:tr w:rsidR="003020E2" w:rsidRPr="00305D32" w14:paraId="4D0834B5" w14:textId="77777777" w:rsidTr="00246F26">
        <w:trPr>
          <w:trHeight w:val="300"/>
        </w:trPr>
        <w:tc>
          <w:tcPr>
            <w:tcW w:w="1724" w:type="dxa"/>
            <w:tcBorders>
              <w:top w:val="nil"/>
              <w:left w:val="nil"/>
              <w:bottom w:val="nil"/>
              <w:right w:val="nil"/>
            </w:tcBorders>
          </w:tcPr>
          <w:p w14:paraId="4D0834AF" w14:textId="11C3D4A9" w:rsidR="003020E2" w:rsidRPr="00305D32" w:rsidRDefault="003020E2" w:rsidP="003020E2">
            <w:pPr>
              <w:spacing w:after="0"/>
              <w:jc w:val="left"/>
              <w:rPr>
                <w:color w:val="000000"/>
                <w:sz w:val="20"/>
                <w:szCs w:val="20"/>
                <w:lang w:val="es-MX"/>
              </w:rPr>
            </w:pPr>
            <w:r w:rsidRPr="00305D32">
              <w:rPr>
                <w:sz w:val="20"/>
                <w:szCs w:val="20"/>
                <w:lang w:val="es-MX"/>
              </w:rPr>
              <w:t>Chile</w:t>
            </w:r>
          </w:p>
        </w:tc>
        <w:tc>
          <w:tcPr>
            <w:tcW w:w="1123" w:type="dxa"/>
            <w:tcBorders>
              <w:top w:val="nil"/>
              <w:left w:val="nil"/>
              <w:bottom w:val="nil"/>
              <w:right w:val="single" w:sz="4" w:space="0" w:color="000000"/>
            </w:tcBorders>
          </w:tcPr>
          <w:p w14:paraId="4D0834B0" w14:textId="6510F190" w:rsidR="003020E2" w:rsidRPr="00305D32" w:rsidRDefault="003020E2" w:rsidP="003020E2">
            <w:pPr>
              <w:spacing w:after="0"/>
              <w:jc w:val="right"/>
              <w:rPr>
                <w:color w:val="0D0D0D"/>
                <w:sz w:val="20"/>
                <w:szCs w:val="20"/>
                <w:lang w:val="es-MX"/>
              </w:rPr>
            </w:pPr>
            <w:r w:rsidRPr="00305D32">
              <w:rPr>
                <w:sz w:val="20"/>
                <w:szCs w:val="20"/>
                <w:lang w:val="es-MX"/>
              </w:rPr>
              <w:t>137,851</w:t>
            </w:r>
          </w:p>
        </w:tc>
        <w:tc>
          <w:tcPr>
            <w:tcW w:w="1973" w:type="dxa"/>
            <w:tcBorders>
              <w:top w:val="nil"/>
              <w:left w:val="nil"/>
              <w:bottom w:val="nil"/>
              <w:right w:val="nil"/>
            </w:tcBorders>
          </w:tcPr>
          <w:p w14:paraId="4D0834B1" w14:textId="2437F0D3" w:rsidR="003020E2" w:rsidRPr="00305D32" w:rsidRDefault="003020E2" w:rsidP="003020E2">
            <w:pPr>
              <w:spacing w:after="0"/>
              <w:jc w:val="left"/>
              <w:rPr>
                <w:color w:val="000000"/>
                <w:sz w:val="20"/>
                <w:szCs w:val="20"/>
                <w:lang w:val="es-MX"/>
              </w:rPr>
            </w:pPr>
            <w:r w:rsidRPr="00305D32">
              <w:rPr>
                <w:sz w:val="20"/>
                <w:szCs w:val="20"/>
                <w:lang w:val="es-MX"/>
              </w:rPr>
              <w:t>Brasil</w:t>
            </w:r>
          </w:p>
        </w:tc>
        <w:tc>
          <w:tcPr>
            <w:tcW w:w="1086" w:type="dxa"/>
            <w:tcBorders>
              <w:top w:val="nil"/>
              <w:left w:val="nil"/>
              <w:bottom w:val="nil"/>
              <w:right w:val="single" w:sz="4" w:space="0" w:color="000000"/>
            </w:tcBorders>
          </w:tcPr>
          <w:p w14:paraId="4D0834B2" w14:textId="4014E444" w:rsidR="003020E2" w:rsidRPr="00305D32" w:rsidRDefault="003020E2" w:rsidP="003020E2">
            <w:pPr>
              <w:spacing w:after="0"/>
              <w:jc w:val="right"/>
              <w:rPr>
                <w:color w:val="0D0D0D"/>
                <w:sz w:val="20"/>
                <w:szCs w:val="20"/>
                <w:lang w:val="es-MX"/>
              </w:rPr>
            </w:pPr>
            <w:r w:rsidRPr="00305D32">
              <w:rPr>
                <w:sz w:val="20"/>
                <w:szCs w:val="20"/>
                <w:lang w:val="es-MX"/>
              </w:rPr>
              <w:t>83,193</w:t>
            </w:r>
          </w:p>
        </w:tc>
        <w:tc>
          <w:tcPr>
            <w:tcW w:w="2032" w:type="dxa"/>
            <w:tcBorders>
              <w:top w:val="nil"/>
              <w:left w:val="nil"/>
              <w:bottom w:val="nil"/>
              <w:right w:val="nil"/>
            </w:tcBorders>
          </w:tcPr>
          <w:p w14:paraId="4D0834B3" w14:textId="61BA7602" w:rsidR="003020E2" w:rsidRPr="00305D32" w:rsidRDefault="003020E2" w:rsidP="003020E2">
            <w:pPr>
              <w:spacing w:after="0"/>
              <w:jc w:val="left"/>
              <w:rPr>
                <w:color w:val="000000"/>
                <w:sz w:val="20"/>
                <w:szCs w:val="20"/>
                <w:lang w:val="es-MX"/>
              </w:rPr>
            </w:pPr>
            <w:r w:rsidRPr="00305D32">
              <w:rPr>
                <w:sz w:val="20"/>
                <w:szCs w:val="20"/>
                <w:lang w:val="es-MX"/>
              </w:rPr>
              <w:t>Italia</w:t>
            </w:r>
          </w:p>
        </w:tc>
        <w:tc>
          <w:tcPr>
            <w:tcW w:w="1183" w:type="dxa"/>
            <w:tcBorders>
              <w:top w:val="nil"/>
              <w:left w:val="nil"/>
              <w:bottom w:val="nil"/>
              <w:right w:val="nil"/>
            </w:tcBorders>
          </w:tcPr>
          <w:p w14:paraId="4D0834B4" w14:textId="61454592" w:rsidR="003020E2" w:rsidRPr="00305D32" w:rsidRDefault="003020E2" w:rsidP="003020E2">
            <w:pPr>
              <w:spacing w:after="0"/>
              <w:jc w:val="right"/>
              <w:rPr>
                <w:color w:val="0D0D0D"/>
                <w:sz w:val="20"/>
                <w:szCs w:val="20"/>
                <w:lang w:val="es-MX"/>
              </w:rPr>
            </w:pPr>
            <w:r w:rsidRPr="00305D32">
              <w:rPr>
                <w:sz w:val="20"/>
                <w:szCs w:val="20"/>
                <w:lang w:val="es-MX"/>
              </w:rPr>
              <w:t>61,359</w:t>
            </w:r>
          </w:p>
        </w:tc>
      </w:tr>
      <w:tr w:rsidR="003020E2" w:rsidRPr="00305D32" w14:paraId="4D0834BC" w14:textId="77777777" w:rsidTr="00246F26">
        <w:trPr>
          <w:trHeight w:val="300"/>
        </w:trPr>
        <w:tc>
          <w:tcPr>
            <w:tcW w:w="1724" w:type="dxa"/>
            <w:tcBorders>
              <w:top w:val="nil"/>
              <w:left w:val="nil"/>
              <w:bottom w:val="nil"/>
              <w:right w:val="nil"/>
            </w:tcBorders>
          </w:tcPr>
          <w:p w14:paraId="4D0834B6" w14:textId="50FE673D" w:rsidR="003020E2" w:rsidRPr="00305D32" w:rsidRDefault="003020E2" w:rsidP="003020E2">
            <w:pPr>
              <w:spacing w:after="0"/>
              <w:jc w:val="left"/>
              <w:rPr>
                <w:color w:val="000000"/>
                <w:sz w:val="20"/>
                <w:szCs w:val="20"/>
                <w:lang w:val="es-MX"/>
              </w:rPr>
            </w:pPr>
            <w:r w:rsidRPr="00305D32">
              <w:rPr>
                <w:sz w:val="20"/>
                <w:szCs w:val="20"/>
                <w:lang w:val="es-MX"/>
              </w:rPr>
              <w:t>India</w:t>
            </w:r>
          </w:p>
        </w:tc>
        <w:tc>
          <w:tcPr>
            <w:tcW w:w="1123" w:type="dxa"/>
            <w:tcBorders>
              <w:top w:val="nil"/>
              <w:left w:val="nil"/>
              <w:bottom w:val="nil"/>
              <w:right w:val="single" w:sz="4" w:space="0" w:color="000000"/>
            </w:tcBorders>
          </w:tcPr>
          <w:p w14:paraId="4D0834B7" w14:textId="56100A36" w:rsidR="003020E2" w:rsidRPr="00305D32" w:rsidRDefault="003020E2" w:rsidP="003020E2">
            <w:pPr>
              <w:spacing w:after="0"/>
              <w:jc w:val="right"/>
              <w:rPr>
                <w:color w:val="0D0D0D"/>
                <w:sz w:val="20"/>
                <w:szCs w:val="20"/>
                <w:lang w:val="es-MX"/>
              </w:rPr>
            </w:pPr>
            <w:r w:rsidRPr="00305D32">
              <w:rPr>
                <w:sz w:val="20"/>
                <w:szCs w:val="20"/>
                <w:lang w:val="es-MX"/>
              </w:rPr>
              <w:t>88,579</w:t>
            </w:r>
          </w:p>
        </w:tc>
        <w:tc>
          <w:tcPr>
            <w:tcW w:w="1973" w:type="dxa"/>
            <w:tcBorders>
              <w:top w:val="nil"/>
              <w:left w:val="nil"/>
              <w:bottom w:val="nil"/>
              <w:right w:val="nil"/>
            </w:tcBorders>
          </w:tcPr>
          <w:p w14:paraId="4D0834B8" w14:textId="77777777" w:rsidR="003020E2" w:rsidRPr="00305D32" w:rsidRDefault="003020E2" w:rsidP="003020E2">
            <w:pPr>
              <w:spacing w:after="0"/>
              <w:jc w:val="left"/>
              <w:rPr>
                <w:color w:val="000000"/>
                <w:sz w:val="20"/>
                <w:szCs w:val="20"/>
                <w:lang w:val="es-MX"/>
              </w:rPr>
            </w:pPr>
            <w:r w:rsidRPr="00305D32">
              <w:rPr>
                <w:sz w:val="20"/>
                <w:szCs w:val="20"/>
                <w:lang w:val="es-MX"/>
              </w:rPr>
              <w:t>India</w:t>
            </w:r>
          </w:p>
        </w:tc>
        <w:tc>
          <w:tcPr>
            <w:tcW w:w="1086" w:type="dxa"/>
            <w:tcBorders>
              <w:top w:val="nil"/>
              <w:left w:val="nil"/>
              <w:bottom w:val="nil"/>
              <w:right w:val="single" w:sz="4" w:space="0" w:color="000000"/>
            </w:tcBorders>
          </w:tcPr>
          <w:p w14:paraId="4D0834B9" w14:textId="33C34E2F" w:rsidR="003020E2" w:rsidRPr="00305D32" w:rsidRDefault="003020E2" w:rsidP="003020E2">
            <w:pPr>
              <w:spacing w:after="0"/>
              <w:jc w:val="right"/>
              <w:rPr>
                <w:color w:val="0D0D0D"/>
                <w:sz w:val="20"/>
                <w:szCs w:val="20"/>
                <w:lang w:val="es-MX"/>
              </w:rPr>
            </w:pPr>
            <w:r w:rsidRPr="00305D32">
              <w:rPr>
                <w:sz w:val="20"/>
                <w:szCs w:val="20"/>
                <w:lang w:val="es-MX"/>
              </w:rPr>
              <w:t>81,213</w:t>
            </w:r>
          </w:p>
        </w:tc>
        <w:tc>
          <w:tcPr>
            <w:tcW w:w="2032" w:type="dxa"/>
            <w:tcBorders>
              <w:top w:val="nil"/>
              <w:left w:val="nil"/>
              <w:bottom w:val="nil"/>
              <w:right w:val="nil"/>
            </w:tcBorders>
          </w:tcPr>
          <w:p w14:paraId="4D0834BA" w14:textId="6FD05C1B" w:rsidR="003020E2" w:rsidRPr="00305D32" w:rsidRDefault="003020E2" w:rsidP="003020E2">
            <w:pPr>
              <w:spacing w:after="0"/>
              <w:jc w:val="left"/>
              <w:rPr>
                <w:color w:val="000000"/>
                <w:sz w:val="20"/>
                <w:szCs w:val="20"/>
                <w:lang w:val="es-MX"/>
              </w:rPr>
            </w:pPr>
            <w:r w:rsidRPr="00305D32">
              <w:rPr>
                <w:sz w:val="20"/>
                <w:szCs w:val="20"/>
                <w:lang w:val="es-MX"/>
              </w:rPr>
              <w:t>Brasil</w:t>
            </w:r>
          </w:p>
        </w:tc>
        <w:tc>
          <w:tcPr>
            <w:tcW w:w="1183" w:type="dxa"/>
            <w:tcBorders>
              <w:top w:val="nil"/>
              <w:left w:val="nil"/>
              <w:bottom w:val="nil"/>
              <w:right w:val="nil"/>
            </w:tcBorders>
          </w:tcPr>
          <w:p w14:paraId="4D0834BB" w14:textId="1CEA4658" w:rsidR="003020E2" w:rsidRPr="00305D32" w:rsidRDefault="003020E2" w:rsidP="003020E2">
            <w:pPr>
              <w:spacing w:after="0"/>
              <w:jc w:val="right"/>
              <w:rPr>
                <w:color w:val="0D0D0D"/>
                <w:sz w:val="20"/>
                <w:szCs w:val="20"/>
                <w:lang w:val="es-MX"/>
              </w:rPr>
            </w:pPr>
            <w:r w:rsidRPr="00305D32">
              <w:rPr>
                <w:sz w:val="20"/>
                <w:szCs w:val="20"/>
                <w:lang w:val="es-MX"/>
              </w:rPr>
              <w:t>55,635</w:t>
            </w:r>
          </w:p>
        </w:tc>
      </w:tr>
      <w:tr w:rsidR="003020E2" w:rsidRPr="00305D32" w14:paraId="4D0834C3" w14:textId="77777777" w:rsidTr="00246F26">
        <w:trPr>
          <w:trHeight w:val="300"/>
        </w:trPr>
        <w:tc>
          <w:tcPr>
            <w:tcW w:w="1724" w:type="dxa"/>
            <w:tcBorders>
              <w:top w:val="nil"/>
              <w:left w:val="nil"/>
              <w:bottom w:val="nil"/>
              <w:right w:val="nil"/>
            </w:tcBorders>
          </w:tcPr>
          <w:p w14:paraId="4D0834BD" w14:textId="5FB533EC" w:rsidR="003020E2" w:rsidRPr="00305D32" w:rsidRDefault="003020E2" w:rsidP="003020E2">
            <w:pPr>
              <w:spacing w:after="0"/>
              <w:jc w:val="left"/>
              <w:rPr>
                <w:color w:val="000000"/>
                <w:sz w:val="20"/>
                <w:szCs w:val="20"/>
                <w:lang w:val="es-MX"/>
              </w:rPr>
            </w:pPr>
            <w:r w:rsidRPr="00305D32">
              <w:rPr>
                <w:sz w:val="20"/>
                <w:szCs w:val="20"/>
                <w:lang w:val="es-MX"/>
              </w:rPr>
              <w:t>Costa Rica</w:t>
            </w:r>
          </w:p>
        </w:tc>
        <w:tc>
          <w:tcPr>
            <w:tcW w:w="1123" w:type="dxa"/>
            <w:tcBorders>
              <w:top w:val="nil"/>
              <w:left w:val="nil"/>
              <w:bottom w:val="nil"/>
              <w:right w:val="single" w:sz="4" w:space="0" w:color="000000"/>
            </w:tcBorders>
          </w:tcPr>
          <w:p w14:paraId="4D0834BE" w14:textId="40649ED8" w:rsidR="003020E2" w:rsidRPr="00305D32" w:rsidRDefault="003020E2" w:rsidP="003020E2">
            <w:pPr>
              <w:spacing w:after="0"/>
              <w:jc w:val="right"/>
              <w:rPr>
                <w:color w:val="0D0D0D"/>
                <w:sz w:val="20"/>
                <w:szCs w:val="20"/>
                <w:lang w:val="es-MX"/>
              </w:rPr>
            </w:pPr>
            <w:r w:rsidRPr="00305D32">
              <w:rPr>
                <w:sz w:val="20"/>
                <w:szCs w:val="20"/>
                <w:lang w:val="es-MX"/>
              </w:rPr>
              <w:t>82,166</w:t>
            </w:r>
          </w:p>
        </w:tc>
        <w:tc>
          <w:tcPr>
            <w:tcW w:w="1973" w:type="dxa"/>
            <w:tcBorders>
              <w:top w:val="nil"/>
              <w:left w:val="nil"/>
              <w:bottom w:val="nil"/>
              <w:right w:val="nil"/>
            </w:tcBorders>
          </w:tcPr>
          <w:p w14:paraId="4D0834BF" w14:textId="251A56C0" w:rsidR="003020E2" w:rsidRPr="00305D32" w:rsidRDefault="003020E2" w:rsidP="003020E2">
            <w:pPr>
              <w:spacing w:after="0"/>
              <w:jc w:val="left"/>
              <w:rPr>
                <w:color w:val="000000"/>
                <w:sz w:val="20"/>
                <w:szCs w:val="20"/>
                <w:lang w:val="es-MX"/>
              </w:rPr>
            </w:pPr>
            <w:r w:rsidRPr="00305D32">
              <w:rPr>
                <w:sz w:val="20"/>
                <w:szCs w:val="20"/>
                <w:lang w:val="es-MX"/>
              </w:rPr>
              <w:t>Italia</w:t>
            </w:r>
          </w:p>
        </w:tc>
        <w:tc>
          <w:tcPr>
            <w:tcW w:w="1086" w:type="dxa"/>
            <w:tcBorders>
              <w:top w:val="nil"/>
              <w:left w:val="nil"/>
              <w:bottom w:val="nil"/>
              <w:right w:val="single" w:sz="4" w:space="0" w:color="000000"/>
            </w:tcBorders>
          </w:tcPr>
          <w:p w14:paraId="4D0834C0" w14:textId="67D4A6DB" w:rsidR="003020E2" w:rsidRPr="00305D32" w:rsidRDefault="003020E2" w:rsidP="003020E2">
            <w:pPr>
              <w:spacing w:after="0"/>
              <w:jc w:val="right"/>
              <w:rPr>
                <w:color w:val="0D0D0D"/>
                <w:sz w:val="20"/>
                <w:szCs w:val="20"/>
                <w:lang w:val="es-MX"/>
              </w:rPr>
            </w:pPr>
            <w:r w:rsidRPr="00305D32">
              <w:rPr>
                <w:sz w:val="20"/>
                <w:szCs w:val="20"/>
                <w:lang w:val="es-MX"/>
              </w:rPr>
              <w:t>80,729</w:t>
            </w:r>
          </w:p>
        </w:tc>
        <w:tc>
          <w:tcPr>
            <w:tcW w:w="2032" w:type="dxa"/>
            <w:tcBorders>
              <w:top w:val="nil"/>
              <w:left w:val="nil"/>
              <w:bottom w:val="nil"/>
              <w:right w:val="nil"/>
            </w:tcBorders>
          </w:tcPr>
          <w:p w14:paraId="4D0834C1" w14:textId="483FCA76" w:rsidR="003020E2" w:rsidRPr="00305D32" w:rsidRDefault="003020E2" w:rsidP="003020E2">
            <w:pPr>
              <w:spacing w:after="0"/>
              <w:jc w:val="left"/>
              <w:rPr>
                <w:color w:val="000000"/>
                <w:sz w:val="20"/>
                <w:szCs w:val="20"/>
                <w:lang w:val="es-MX"/>
              </w:rPr>
            </w:pPr>
            <w:r w:rsidRPr="00305D32">
              <w:rPr>
                <w:sz w:val="20"/>
                <w:szCs w:val="20"/>
                <w:lang w:val="es-MX"/>
              </w:rPr>
              <w:t>Costa Rica</w:t>
            </w:r>
          </w:p>
        </w:tc>
        <w:tc>
          <w:tcPr>
            <w:tcW w:w="1183" w:type="dxa"/>
            <w:tcBorders>
              <w:top w:val="nil"/>
              <w:left w:val="nil"/>
              <w:bottom w:val="nil"/>
              <w:right w:val="nil"/>
            </w:tcBorders>
          </w:tcPr>
          <w:p w14:paraId="4D0834C2" w14:textId="3063023D" w:rsidR="003020E2" w:rsidRPr="00305D32" w:rsidRDefault="003020E2" w:rsidP="003020E2">
            <w:pPr>
              <w:spacing w:after="0"/>
              <w:jc w:val="right"/>
              <w:rPr>
                <w:color w:val="0D0D0D"/>
                <w:sz w:val="20"/>
                <w:szCs w:val="20"/>
                <w:lang w:val="es-MX"/>
              </w:rPr>
            </w:pPr>
            <w:r w:rsidRPr="00305D32">
              <w:rPr>
                <w:sz w:val="20"/>
                <w:szCs w:val="20"/>
                <w:lang w:val="es-MX"/>
              </w:rPr>
              <w:t>41,717</w:t>
            </w:r>
          </w:p>
        </w:tc>
      </w:tr>
      <w:tr w:rsidR="003020E2" w:rsidRPr="00305D32" w14:paraId="4D0834CA" w14:textId="77777777" w:rsidTr="00246F26">
        <w:trPr>
          <w:trHeight w:val="300"/>
        </w:trPr>
        <w:tc>
          <w:tcPr>
            <w:tcW w:w="1724" w:type="dxa"/>
            <w:tcBorders>
              <w:top w:val="nil"/>
              <w:left w:val="nil"/>
              <w:bottom w:val="nil"/>
              <w:right w:val="nil"/>
            </w:tcBorders>
          </w:tcPr>
          <w:p w14:paraId="4D0834C4" w14:textId="3EC3438C" w:rsidR="003020E2" w:rsidRPr="00305D32" w:rsidRDefault="003020E2" w:rsidP="003020E2">
            <w:pPr>
              <w:spacing w:after="0"/>
              <w:jc w:val="left"/>
              <w:rPr>
                <w:color w:val="000000"/>
                <w:sz w:val="20"/>
                <w:szCs w:val="20"/>
                <w:lang w:val="es-MX"/>
              </w:rPr>
            </w:pPr>
            <w:r w:rsidRPr="00305D32">
              <w:rPr>
                <w:sz w:val="20"/>
                <w:szCs w:val="20"/>
                <w:lang w:val="es-MX"/>
              </w:rPr>
              <w:t>Brasil</w:t>
            </w:r>
          </w:p>
        </w:tc>
        <w:tc>
          <w:tcPr>
            <w:tcW w:w="1123" w:type="dxa"/>
            <w:tcBorders>
              <w:top w:val="nil"/>
              <w:left w:val="nil"/>
              <w:bottom w:val="nil"/>
              <w:right w:val="single" w:sz="4" w:space="0" w:color="000000"/>
            </w:tcBorders>
          </w:tcPr>
          <w:p w14:paraId="4D0834C5" w14:textId="6F2EAD84" w:rsidR="003020E2" w:rsidRPr="00305D32" w:rsidRDefault="003020E2" w:rsidP="003020E2">
            <w:pPr>
              <w:spacing w:after="0"/>
              <w:jc w:val="right"/>
              <w:rPr>
                <w:color w:val="0D0D0D"/>
                <w:sz w:val="20"/>
                <w:szCs w:val="20"/>
                <w:lang w:val="es-MX"/>
              </w:rPr>
            </w:pPr>
            <w:r w:rsidRPr="00305D32">
              <w:rPr>
                <w:sz w:val="20"/>
                <w:szCs w:val="20"/>
                <w:lang w:val="es-MX"/>
              </w:rPr>
              <w:t>81,934</w:t>
            </w:r>
          </w:p>
        </w:tc>
        <w:tc>
          <w:tcPr>
            <w:tcW w:w="1973" w:type="dxa"/>
            <w:tcBorders>
              <w:top w:val="nil"/>
              <w:left w:val="nil"/>
              <w:bottom w:val="nil"/>
              <w:right w:val="nil"/>
            </w:tcBorders>
          </w:tcPr>
          <w:p w14:paraId="4D0834C6" w14:textId="2047888C" w:rsidR="003020E2" w:rsidRPr="00305D32" w:rsidRDefault="003020E2" w:rsidP="003020E2">
            <w:pPr>
              <w:spacing w:after="0"/>
              <w:jc w:val="left"/>
              <w:rPr>
                <w:color w:val="000000"/>
                <w:sz w:val="20"/>
                <w:szCs w:val="20"/>
                <w:lang w:val="es-MX"/>
              </w:rPr>
            </w:pPr>
            <w:r w:rsidRPr="00305D32">
              <w:rPr>
                <w:sz w:val="20"/>
                <w:szCs w:val="20"/>
                <w:lang w:val="es-MX"/>
              </w:rPr>
              <w:t>Perú</w:t>
            </w:r>
          </w:p>
        </w:tc>
        <w:tc>
          <w:tcPr>
            <w:tcW w:w="1086" w:type="dxa"/>
            <w:tcBorders>
              <w:top w:val="nil"/>
              <w:left w:val="nil"/>
              <w:bottom w:val="nil"/>
              <w:right w:val="single" w:sz="4" w:space="0" w:color="000000"/>
            </w:tcBorders>
          </w:tcPr>
          <w:p w14:paraId="4D0834C7" w14:textId="2470A380" w:rsidR="003020E2" w:rsidRPr="00305D32" w:rsidRDefault="003020E2" w:rsidP="003020E2">
            <w:pPr>
              <w:spacing w:after="0"/>
              <w:jc w:val="right"/>
              <w:rPr>
                <w:color w:val="0D0D0D"/>
                <w:sz w:val="20"/>
                <w:szCs w:val="20"/>
                <w:lang w:val="es-MX"/>
              </w:rPr>
            </w:pPr>
            <w:r w:rsidRPr="00305D32">
              <w:rPr>
                <w:sz w:val="20"/>
                <w:szCs w:val="20"/>
                <w:lang w:val="es-MX"/>
              </w:rPr>
              <w:t>67,563</w:t>
            </w:r>
          </w:p>
        </w:tc>
        <w:tc>
          <w:tcPr>
            <w:tcW w:w="2032" w:type="dxa"/>
            <w:tcBorders>
              <w:top w:val="nil"/>
              <w:left w:val="nil"/>
              <w:bottom w:val="nil"/>
              <w:right w:val="nil"/>
            </w:tcBorders>
          </w:tcPr>
          <w:p w14:paraId="4D0834C8" w14:textId="57F9923D" w:rsidR="003020E2" w:rsidRPr="00305D32" w:rsidRDefault="003020E2" w:rsidP="003020E2">
            <w:pPr>
              <w:spacing w:after="0"/>
              <w:jc w:val="left"/>
              <w:rPr>
                <w:color w:val="000000"/>
                <w:sz w:val="20"/>
                <w:szCs w:val="20"/>
                <w:lang w:val="es-MX"/>
              </w:rPr>
            </w:pPr>
            <w:r w:rsidRPr="00305D32">
              <w:rPr>
                <w:sz w:val="20"/>
                <w:szCs w:val="20"/>
                <w:lang w:val="es-MX"/>
              </w:rPr>
              <w:t>India</w:t>
            </w:r>
          </w:p>
        </w:tc>
        <w:tc>
          <w:tcPr>
            <w:tcW w:w="1183" w:type="dxa"/>
            <w:tcBorders>
              <w:top w:val="nil"/>
              <w:left w:val="nil"/>
              <w:bottom w:val="nil"/>
              <w:right w:val="nil"/>
            </w:tcBorders>
          </w:tcPr>
          <w:p w14:paraId="4D0834C9" w14:textId="4AE61ECF" w:rsidR="003020E2" w:rsidRPr="00305D32" w:rsidRDefault="003020E2" w:rsidP="003020E2">
            <w:pPr>
              <w:spacing w:after="0"/>
              <w:jc w:val="right"/>
              <w:rPr>
                <w:color w:val="0D0D0D"/>
                <w:sz w:val="20"/>
                <w:szCs w:val="20"/>
                <w:lang w:val="es-MX"/>
              </w:rPr>
            </w:pPr>
            <w:r w:rsidRPr="00305D32">
              <w:rPr>
                <w:sz w:val="20"/>
                <w:szCs w:val="20"/>
                <w:lang w:val="es-MX"/>
              </w:rPr>
              <w:t>38,617</w:t>
            </w:r>
          </w:p>
        </w:tc>
      </w:tr>
      <w:tr w:rsidR="003020E2" w:rsidRPr="00305D32" w14:paraId="4D0834D1" w14:textId="77777777" w:rsidTr="00246F26">
        <w:trPr>
          <w:trHeight w:val="300"/>
        </w:trPr>
        <w:tc>
          <w:tcPr>
            <w:tcW w:w="1724" w:type="dxa"/>
            <w:tcBorders>
              <w:top w:val="nil"/>
              <w:left w:val="nil"/>
              <w:bottom w:val="nil"/>
              <w:right w:val="nil"/>
            </w:tcBorders>
          </w:tcPr>
          <w:p w14:paraId="4D0834CB" w14:textId="14681433" w:rsidR="003020E2" w:rsidRPr="00305D32" w:rsidRDefault="003020E2" w:rsidP="003020E2">
            <w:pPr>
              <w:spacing w:after="0"/>
              <w:jc w:val="left"/>
              <w:rPr>
                <w:color w:val="000000"/>
                <w:sz w:val="20"/>
                <w:szCs w:val="20"/>
                <w:lang w:val="es-MX"/>
              </w:rPr>
            </w:pPr>
            <w:r w:rsidRPr="00305D32">
              <w:rPr>
                <w:sz w:val="20"/>
                <w:szCs w:val="20"/>
                <w:lang w:val="es-MX"/>
              </w:rPr>
              <w:t>Italia</w:t>
            </w:r>
          </w:p>
        </w:tc>
        <w:tc>
          <w:tcPr>
            <w:tcW w:w="1123" w:type="dxa"/>
            <w:tcBorders>
              <w:top w:val="nil"/>
              <w:left w:val="nil"/>
              <w:bottom w:val="nil"/>
              <w:right w:val="single" w:sz="4" w:space="0" w:color="000000"/>
            </w:tcBorders>
          </w:tcPr>
          <w:p w14:paraId="4D0834CC" w14:textId="6CC3941E" w:rsidR="003020E2" w:rsidRPr="00305D32" w:rsidRDefault="003020E2" w:rsidP="003020E2">
            <w:pPr>
              <w:spacing w:after="0"/>
              <w:jc w:val="right"/>
              <w:rPr>
                <w:color w:val="0D0D0D"/>
                <w:sz w:val="20"/>
                <w:szCs w:val="20"/>
                <w:lang w:val="es-MX"/>
              </w:rPr>
            </w:pPr>
            <w:r w:rsidRPr="00305D32">
              <w:rPr>
                <w:sz w:val="20"/>
                <w:szCs w:val="20"/>
                <w:lang w:val="es-MX"/>
              </w:rPr>
              <w:t>77,433</w:t>
            </w:r>
          </w:p>
        </w:tc>
        <w:tc>
          <w:tcPr>
            <w:tcW w:w="1973" w:type="dxa"/>
            <w:tcBorders>
              <w:top w:val="nil"/>
              <w:left w:val="nil"/>
              <w:bottom w:val="nil"/>
              <w:right w:val="nil"/>
            </w:tcBorders>
          </w:tcPr>
          <w:p w14:paraId="4D0834CD" w14:textId="14D4335B" w:rsidR="003020E2" w:rsidRPr="00305D32" w:rsidRDefault="003020E2" w:rsidP="003020E2">
            <w:pPr>
              <w:spacing w:after="0"/>
              <w:jc w:val="left"/>
              <w:rPr>
                <w:color w:val="000000"/>
                <w:sz w:val="20"/>
                <w:szCs w:val="20"/>
                <w:lang w:val="es-MX"/>
              </w:rPr>
            </w:pPr>
            <w:r w:rsidRPr="00305D32">
              <w:rPr>
                <w:sz w:val="20"/>
                <w:szCs w:val="20"/>
                <w:lang w:val="es-MX"/>
              </w:rPr>
              <w:t>China</w:t>
            </w:r>
          </w:p>
        </w:tc>
        <w:tc>
          <w:tcPr>
            <w:tcW w:w="1086" w:type="dxa"/>
            <w:tcBorders>
              <w:top w:val="nil"/>
              <w:left w:val="nil"/>
              <w:bottom w:val="nil"/>
              <w:right w:val="single" w:sz="4" w:space="0" w:color="000000"/>
            </w:tcBorders>
          </w:tcPr>
          <w:p w14:paraId="4D0834CE" w14:textId="1463EFF1" w:rsidR="003020E2" w:rsidRPr="00305D32" w:rsidRDefault="003020E2" w:rsidP="003020E2">
            <w:pPr>
              <w:spacing w:after="0"/>
              <w:jc w:val="right"/>
              <w:rPr>
                <w:color w:val="0D0D0D"/>
                <w:sz w:val="20"/>
                <w:szCs w:val="20"/>
                <w:lang w:val="es-MX"/>
              </w:rPr>
            </w:pPr>
            <w:r w:rsidRPr="00305D32">
              <w:rPr>
                <w:sz w:val="20"/>
                <w:szCs w:val="20"/>
                <w:lang w:val="es-MX"/>
              </w:rPr>
              <w:t>63,353</w:t>
            </w:r>
          </w:p>
        </w:tc>
        <w:tc>
          <w:tcPr>
            <w:tcW w:w="2032" w:type="dxa"/>
            <w:tcBorders>
              <w:top w:val="nil"/>
              <w:left w:val="nil"/>
              <w:bottom w:val="nil"/>
              <w:right w:val="nil"/>
            </w:tcBorders>
          </w:tcPr>
          <w:p w14:paraId="4D0834CF" w14:textId="5B9A51F1" w:rsidR="003020E2" w:rsidRPr="00305D32" w:rsidRDefault="003020E2" w:rsidP="003020E2">
            <w:pPr>
              <w:spacing w:after="0"/>
              <w:jc w:val="left"/>
              <w:rPr>
                <w:color w:val="000000"/>
                <w:sz w:val="20"/>
                <w:szCs w:val="20"/>
                <w:lang w:val="es-MX"/>
              </w:rPr>
            </w:pPr>
            <w:r w:rsidRPr="00305D32">
              <w:rPr>
                <w:sz w:val="20"/>
                <w:szCs w:val="20"/>
                <w:lang w:val="es-MX"/>
              </w:rPr>
              <w:t>Cuba</w:t>
            </w:r>
          </w:p>
        </w:tc>
        <w:tc>
          <w:tcPr>
            <w:tcW w:w="1183" w:type="dxa"/>
            <w:tcBorders>
              <w:top w:val="nil"/>
              <w:left w:val="nil"/>
              <w:bottom w:val="nil"/>
              <w:right w:val="nil"/>
            </w:tcBorders>
          </w:tcPr>
          <w:p w14:paraId="4D0834D0" w14:textId="11B824A3" w:rsidR="003020E2" w:rsidRPr="00305D32" w:rsidRDefault="003020E2" w:rsidP="003020E2">
            <w:pPr>
              <w:spacing w:after="0"/>
              <w:jc w:val="right"/>
              <w:rPr>
                <w:color w:val="0D0D0D"/>
                <w:sz w:val="20"/>
                <w:szCs w:val="20"/>
                <w:lang w:val="es-MX"/>
              </w:rPr>
            </w:pPr>
            <w:r w:rsidRPr="00305D32">
              <w:rPr>
                <w:sz w:val="20"/>
                <w:szCs w:val="20"/>
                <w:lang w:val="es-MX"/>
              </w:rPr>
              <w:t>37,688</w:t>
            </w:r>
          </w:p>
        </w:tc>
      </w:tr>
      <w:tr w:rsidR="003020E2" w:rsidRPr="00305D32" w14:paraId="4D0834D8" w14:textId="77777777" w:rsidTr="00246F26">
        <w:trPr>
          <w:trHeight w:val="300"/>
        </w:trPr>
        <w:tc>
          <w:tcPr>
            <w:tcW w:w="1724" w:type="dxa"/>
            <w:tcBorders>
              <w:top w:val="nil"/>
              <w:left w:val="nil"/>
              <w:bottom w:val="nil"/>
              <w:right w:val="nil"/>
            </w:tcBorders>
          </w:tcPr>
          <w:p w14:paraId="4D0834D2" w14:textId="02DE8095" w:rsidR="003020E2" w:rsidRPr="00305D32" w:rsidRDefault="003020E2" w:rsidP="003020E2">
            <w:pPr>
              <w:spacing w:after="0"/>
              <w:jc w:val="left"/>
              <w:rPr>
                <w:color w:val="000000"/>
                <w:sz w:val="20"/>
                <w:szCs w:val="20"/>
                <w:lang w:val="es-MX"/>
              </w:rPr>
            </w:pPr>
            <w:r w:rsidRPr="00305D32">
              <w:rPr>
                <w:sz w:val="20"/>
                <w:szCs w:val="20"/>
                <w:lang w:val="es-MX"/>
              </w:rPr>
              <w:t>Portugal</w:t>
            </w:r>
          </w:p>
        </w:tc>
        <w:tc>
          <w:tcPr>
            <w:tcW w:w="1123" w:type="dxa"/>
            <w:tcBorders>
              <w:top w:val="nil"/>
              <w:left w:val="nil"/>
              <w:bottom w:val="nil"/>
              <w:right w:val="single" w:sz="4" w:space="0" w:color="000000"/>
            </w:tcBorders>
          </w:tcPr>
          <w:p w14:paraId="4D0834D3" w14:textId="261623C8" w:rsidR="003020E2" w:rsidRPr="00305D32" w:rsidRDefault="003020E2" w:rsidP="003020E2">
            <w:pPr>
              <w:spacing w:after="0"/>
              <w:jc w:val="right"/>
              <w:rPr>
                <w:color w:val="0D0D0D"/>
                <w:sz w:val="20"/>
                <w:szCs w:val="20"/>
                <w:lang w:val="es-MX"/>
              </w:rPr>
            </w:pPr>
            <w:r w:rsidRPr="00305D32">
              <w:rPr>
                <w:sz w:val="20"/>
                <w:szCs w:val="20"/>
                <w:lang w:val="es-MX"/>
              </w:rPr>
              <w:t>60,538</w:t>
            </w:r>
          </w:p>
        </w:tc>
        <w:tc>
          <w:tcPr>
            <w:tcW w:w="1973" w:type="dxa"/>
            <w:tcBorders>
              <w:top w:val="nil"/>
              <w:left w:val="nil"/>
              <w:bottom w:val="nil"/>
              <w:right w:val="nil"/>
            </w:tcBorders>
          </w:tcPr>
          <w:p w14:paraId="4D0834D4" w14:textId="19622120" w:rsidR="003020E2" w:rsidRPr="00305D32" w:rsidRDefault="003020E2" w:rsidP="003020E2">
            <w:pPr>
              <w:spacing w:after="0"/>
              <w:jc w:val="left"/>
              <w:rPr>
                <w:color w:val="000000"/>
                <w:sz w:val="20"/>
                <w:szCs w:val="20"/>
                <w:lang w:val="es-MX"/>
              </w:rPr>
            </w:pPr>
            <w:r w:rsidRPr="00305D32">
              <w:rPr>
                <w:sz w:val="20"/>
                <w:szCs w:val="20"/>
                <w:lang w:val="es-MX"/>
              </w:rPr>
              <w:t>Costa Rica</w:t>
            </w:r>
          </w:p>
        </w:tc>
        <w:tc>
          <w:tcPr>
            <w:tcW w:w="1086" w:type="dxa"/>
            <w:tcBorders>
              <w:top w:val="nil"/>
              <w:left w:val="nil"/>
              <w:bottom w:val="nil"/>
              <w:right w:val="single" w:sz="4" w:space="0" w:color="000000"/>
            </w:tcBorders>
          </w:tcPr>
          <w:p w14:paraId="4D0834D5" w14:textId="57182270" w:rsidR="003020E2" w:rsidRPr="00305D32" w:rsidRDefault="003020E2" w:rsidP="003020E2">
            <w:pPr>
              <w:spacing w:after="0"/>
              <w:jc w:val="right"/>
              <w:rPr>
                <w:color w:val="0D0D0D"/>
                <w:sz w:val="20"/>
                <w:szCs w:val="20"/>
                <w:lang w:val="es-MX"/>
              </w:rPr>
            </w:pPr>
            <w:r w:rsidRPr="00305D32">
              <w:rPr>
                <w:sz w:val="20"/>
                <w:szCs w:val="20"/>
                <w:lang w:val="es-MX"/>
              </w:rPr>
              <w:t>62,271</w:t>
            </w:r>
          </w:p>
        </w:tc>
        <w:tc>
          <w:tcPr>
            <w:tcW w:w="2032" w:type="dxa"/>
            <w:tcBorders>
              <w:top w:val="nil"/>
              <w:left w:val="nil"/>
              <w:bottom w:val="nil"/>
              <w:right w:val="nil"/>
            </w:tcBorders>
          </w:tcPr>
          <w:p w14:paraId="4D0834D6" w14:textId="39886918" w:rsidR="003020E2" w:rsidRPr="00305D32" w:rsidRDefault="003020E2" w:rsidP="003020E2">
            <w:pPr>
              <w:spacing w:after="0"/>
              <w:jc w:val="left"/>
              <w:rPr>
                <w:color w:val="000000"/>
                <w:sz w:val="20"/>
                <w:szCs w:val="20"/>
                <w:lang w:val="es-MX"/>
              </w:rPr>
            </w:pPr>
            <w:r w:rsidRPr="00305D32">
              <w:rPr>
                <w:sz w:val="20"/>
                <w:szCs w:val="20"/>
                <w:lang w:val="es-MX"/>
              </w:rPr>
              <w:t>Portugal</w:t>
            </w:r>
          </w:p>
        </w:tc>
        <w:tc>
          <w:tcPr>
            <w:tcW w:w="1183" w:type="dxa"/>
            <w:tcBorders>
              <w:top w:val="nil"/>
              <w:left w:val="nil"/>
              <w:bottom w:val="nil"/>
              <w:right w:val="nil"/>
            </w:tcBorders>
          </w:tcPr>
          <w:p w14:paraId="4D0834D7" w14:textId="32194126" w:rsidR="003020E2" w:rsidRPr="00305D32" w:rsidRDefault="003020E2" w:rsidP="003020E2">
            <w:pPr>
              <w:spacing w:after="0"/>
              <w:jc w:val="right"/>
              <w:rPr>
                <w:color w:val="0D0D0D"/>
                <w:sz w:val="20"/>
                <w:szCs w:val="20"/>
                <w:lang w:val="es-MX"/>
              </w:rPr>
            </w:pPr>
            <w:r w:rsidRPr="00305D32">
              <w:rPr>
                <w:sz w:val="20"/>
                <w:szCs w:val="20"/>
                <w:lang w:val="es-MX"/>
              </w:rPr>
              <w:t>37,324</w:t>
            </w:r>
          </w:p>
        </w:tc>
      </w:tr>
      <w:tr w:rsidR="003020E2" w:rsidRPr="00305D32" w14:paraId="4D0834DF" w14:textId="77777777" w:rsidTr="00246F26">
        <w:trPr>
          <w:trHeight w:val="300"/>
        </w:trPr>
        <w:tc>
          <w:tcPr>
            <w:tcW w:w="1724" w:type="dxa"/>
            <w:tcBorders>
              <w:top w:val="nil"/>
              <w:left w:val="nil"/>
              <w:bottom w:val="nil"/>
              <w:right w:val="nil"/>
            </w:tcBorders>
          </w:tcPr>
          <w:p w14:paraId="4D0834D9" w14:textId="0818D803" w:rsidR="003020E2" w:rsidRPr="00305D32" w:rsidRDefault="003020E2" w:rsidP="003020E2">
            <w:pPr>
              <w:spacing w:after="0"/>
              <w:jc w:val="left"/>
              <w:rPr>
                <w:color w:val="000000"/>
                <w:sz w:val="20"/>
                <w:szCs w:val="20"/>
                <w:lang w:val="es-MX"/>
              </w:rPr>
            </w:pPr>
            <w:r w:rsidRPr="00305D32">
              <w:rPr>
                <w:sz w:val="20"/>
                <w:szCs w:val="20"/>
                <w:lang w:val="es-MX"/>
              </w:rPr>
              <w:t>China</w:t>
            </w:r>
          </w:p>
        </w:tc>
        <w:tc>
          <w:tcPr>
            <w:tcW w:w="1123" w:type="dxa"/>
            <w:tcBorders>
              <w:top w:val="nil"/>
              <w:left w:val="nil"/>
              <w:bottom w:val="nil"/>
              <w:right w:val="single" w:sz="4" w:space="0" w:color="000000"/>
            </w:tcBorders>
          </w:tcPr>
          <w:p w14:paraId="4D0834DA" w14:textId="3A678440" w:rsidR="003020E2" w:rsidRPr="00305D32" w:rsidRDefault="003020E2" w:rsidP="003020E2">
            <w:pPr>
              <w:spacing w:after="0"/>
              <w:jc w:val="right"/>
              <w:rPr>
                <w:color w:val="0D0D0D"/>
                <w:sz w:val="20"/>
                <w:szCs w:val="20"/>
                <w:lang w:val="es-MX"/>
              </w:rPr>
            </w:pPr>
            <w:r w:rsidRPr="00305D32">
              <w:rPr>
                <w:sz w:val="20"/>
                <w:szCs w:val="20"/>
                <w:lang w:val="es-MX"/>
              </w:rPr>
              <w:t>59,292</w:t>
            </w:r>
          </w:p>
        </w:tc>
        <w:tc>
          <w:tcPr>
            <w:tcW w:w="1973" w:type="dxa"/>
            <w:tcBorders>
              <w:top w:val="nil"/>
              <w:left w:val="nil"/>
              <w:bottom w:val="nil"/>
              <w:right w:val="nil"/>
            </w:tcBorders>
          </w:tcPr>
          <w:p w14:paraId="4D0834DB" w14:textId="36079E2C" w:rsidR="003020E2" w:rsidRPr="00305D32" w:rsidRDefault="003020E2" w:rsidP="003020E2">
            <w:pPr>
              <w:spacing w:after="0"/>
              <w:jc w:val="left"/>
              <w:rPr>
                <w:color w:val="000000"/>
                <w:sz w:val="20"/>
                <w:szCs w:val="20"/>
                <w:lang w:val="es-MX"/>
              </w:rPr>
            </w:pPr>
            <w:r w:rsidRPr="00305D32">
              <w:rPr>
                <w:sz w:val="20"/>
                <w:szCs w:val="20"/>
                <w:lang w:val="es-MX"/>
              </w:rPr>
              <w:t>Portugal</w:t>
            </w:r>
          </w:p>
        </w:tc>
        <w:tc>
          <w:tcPr>
            <w:tcW w:w="1086" w:type="dxa"/>
            <w:tcBorders>
              <w:top w:val="nil"/>
              <w:left w:val="nil"/>
              <w:bottom w:val="nil"/>
              <w:right w:val="single" w:sz="4" w:space="0" w:color="000000"/>
            </w:tcBorders>
          </w:tcPr>
          <w:p w14:paraId="4D0834DC" w14:textId="6B512079" w:rsidR="003020E2" w:rsidRPr="00305D32" w:rsidRDefault="003020E2" w:rsidP="003020E2">
            <w:pPr>
              <w:spacing w:after="0"/>
              <w:jc w:val="right"/>
              <w:rPr>
                <w:color w:val="0D0D0D"/>
                <w:sz w:val="20"/>
                <w:szCs w:val="20"/>
                <w:lang w:val="es-MX"/>
              </w:rPr>
            </w:pPr>
            <w:r w:rsidRPr="00305D32">
              <w:rPr>
                <w:sz w:val="20"/>
                <w:szCs w:val="20"/>
                <w:lang w:val="es-MX"/>
              </w:rPr>
              <w:t>53,380</w:t>
            </w:r>
          </w:p>
        </w:tc>
        <w:tc>
          <w:tcPr>
            <w:tcW w:w="2032" w:type="dxa"/>
            <w:tcBorders>
              <w:top w:val="nil"/>
              <w:left w:val="nil"/>
              <w:bottom w:val="nil"/>
              <w:right w:val="nil"/>
            </w:tcBorders>
          </w:tcPr>
          <w:p w14:paraId="4D0834DD" w14:textId="10EE4DD2" w:rsidR="003020E2" w:rsidRPr="00305D32" w:rsidRDefault="003020E2" w:rsidP="003020E2">
            <w:pPr>
              <w:spacing w:after="0"/>
              <w:jc w:val="left"/>
              <w:rPr>
                <w:color w:val="000000"/>
                <w:sz w:val="20"/>
                <w:szCs w:val="20"/>
                <w:lang w:val="es-MX"/>
              </w:rPr>
            </w:pPr>
            <w:r w:rsidRPr="00305D32">
              <w:rPr>
                <w:sz w:val="20"/>
                <w:szCs w:val="20"/>
                <w:lang w:val="es-MX"/>
              </w:rPr>
              <w:t>China</w:t>
            </w:r>
          </w:p>
        </w:tc>
        <w:tc>
          <w:tcPr>
            <w:tcW w:w="1183" w:type="dxa"/>
            <w:tcBorders>
              <w:top w:val="nil"/>
              <w:left w:val="nil"/>
              <w:bottom w:val="nil"/>
              <w:right w:val="nil"/>
            </w:tcBorders>
          </w:tcPr>
          <w:p w14:paraId="4D0834DE" w14:textId="273902F3" w:rsidR="003020E2" w:rsidRPr="00305D32" w:rsidRDefault="003020E2" w:rsidP="003020E2">
            <w:pPr>
              <w:spacing w:after="0"/>
              <w:jc w:val="right"/>
              <w:rPr>
                <w:color w:val="0D0D0D"/>
                <w:sz w:val="20"/>
                <w:szCs w:val="20"/>
                <w:lang w:val="es-MX"/>
              </w:rPr>
            </w:pPr>
            <w:r w:rsidRPr="00305D32">
              <w:rPr>
                <w:sz w:val="20"/>
                <w:szCs w:val="20"/>
                <w:lang w:val="es-MX"/>
              </w:rPr>
              <w:t>32,105</w:t>
            </w:r>
          </w:p>
        </w:tc>
      </w:tr>
      <w:tr w:rsidR="003020E2" w:rsidRPr="00305D32" w14:paraId="4D0834E6" w14:textId="77777777" w:rsidTr="00246F26">
        <w:trPr>
          <w:trHeight w:val="300"/>
        </w:trPr>
        <w:tc>
          <w:tcPr>
            <w:tcW w:w="1724" w:type="dxa"/>
            <w:tcBorders>
              <w:top w:val="nil"/>
              <w:left w:val="nil"/>
              <w:bottom w:val="nil"/>
              <w:right w:val="nil"/>
            </w:tcBorders>
          </w:tcPr>
          <w:p w14:paraId="4D0834E0" w14:textId="5CB6BD56" w:rsidR="003020E2" w:rsidRPr="00305D32" w:rsidRDefault="003020E2" w:rsidP="003020E2">
            <w:pPr>
              <w:spacing w:after="0"/>
              <w:jc w:val="left"/>
              <w:rPr>
                <w:color w:val="000000"/>
                <w:sz w:val="20"/>
                <w:szCs w:val="20"/>
                <w:lang w:val="es-MX"/>
              </w:rPr>
            </w:pPr>
            <w:r w:rsidRPr="00305D32">
              <w:rPr>
                <w:sz w:val="20"/>
                <w:szCs w:val="20"/>
                <w:lang w:val="es-MX"/>
              </w:rPr>
              <w:t>Cuba</w:t>
            </w:r>
          </w:p>
        </w:tc>
        <w:tc>
          <w:tcPr>
            <w:tcW w:w="1123" w:type="dxa"/>
            <w:tcBorders>
              <w:top w:val="nil"/>
              <w:left w:val="nil"/>
              <w:bottom w:val="nil"/>
              <w:right w:val="single" w:sz="4" w:space="0" w:color="000000"/>
            </w:tcBorders>
          </w:tcPr>
          <w:p w14:paraId="4D0834E1" w14:textId="304967DD" w:rsidR="003020E2" w:rsidRPr="00305D32" w:rsidRDefault="003020E2" w:rsidP="003020E2">
            <w:pPr>
              <w:spacing w:after="0"/>
              <w:jc w:val="right"/>
              <w:rPr>
                <w:color w:val="0D0D0D"/>
                <w:sz w:val="20"/>
                <w:szCs w:val="20"/>
                <w:lang w:val="es-MX"/>
              </w:rPr>
            </w:pPr>
            <w:r w:rsidRPr="00305D32">
              <w:rPr>
                <w:sz w:val="20"/>
                <w:szCs w:val="20"/>
                <w:lang w:val="es-MX"/>
              </w:rPr>
              <w:t>59,201</w:t>
            </w:r>
          </w:p>
        </w:tc>
        <w:tc>
          <w:tcPr>
            <w:tcW w:w="1973" w:type="dxa"/>
            <w:tcBorders>
              <w:top w:val="nil"/>
              <w:left w:val="nil"/>
              <w:bottom w:val="nil"/>
              <w:right w:val="nil"/>
            </w:tcBorders>
          </w:tcPr>
          <w:p w14:paraId="4D0834E2" w14:textId="77777777" w:rsidR="003020E2" w:rsidRPr="00305D32" w:rsidRDefault="003020E2" w:rsidP="003020E2">
            <w:pPr>
              <w:spacing w:after="0"/>
              <w:jc w:val="left"/>
              <w:rPr>
                <w:color w:val="000000"/>
                <w:sz w:val="20"/>
                <w:szCs w:val="20"/>
                <w:lang w:val="es-MX"/>
              </w:rPr>
            </w:pPr>
            <w:r w:rsidRPr="00305D32">
              <w:rPr>
                <w:sz w:val="20"/>
                <w:szCs w:val="20"/>
                <w:lang w:val="es-MX"/>
              </w:rPr>
              <w:t>Cuba</w:t>
            </w:r>
          </w:p>
        </w:tc>
        <w:tc>
          <w:tcPr>
            <w:tcW w:w="1086" w:type="dxa"/>
            <w:tcBorders>
              <w:top w:val="nil"/>
              <w:left w:val="nil"/>
              <w:bottom w:val="nil"/>
              <w:right w:val="single" w:sz="4" w:space="0" w:color="000000"/>
            </w:tcBorders>
          </w:tcPr>
          <w:p w14:paraId="4D0834E3" w14:textId="187ED626" w:rsidR="003020E2" w:rsidRPr="00305D32" w:rsidRDefault="003020E2" w:rsidP="003020E2">
            <w:pPr>
              <w:spacing w:after="0"/>
              <w:jc w:val="right"/>
              <w:rPr>
                <w:color w:val="0D0D0D"/>
                <w:sz w:val="20"/>
                <w:szCs w:val="20"/>
                <w:lang w:val="es-MX"/>
              </w:rPr>
            </w:pPr>
            <w:r w:rsidRPr="00305D32">
              <w:rPr>
                <w:sz w:val="20"/>
                <w:szCs w:val="20"/>
                <w:lang w:val="es-MX"/>
              </w:rPr>
              <w:t>53,072</w:t>
            </w:r>
          </w:p>
        </w:tc>
        <w:tc>
          <w:tcPr>
            <w:tcW w:w="2032" w:type="dxa"/>
            <w:tcBorders>
              <w:top w:val="nil"/>
              <w:left w:val="nil"/>
              <w:bottom w:val="nil"/>
              <w:right w:val="nil"/>
            </w:tcBorders>
          </w:tcPr>
          <w:p w14:paraId="4D0834E4" w14:textId="28F31A80" w:rsidR="003020E2" w:rsidRPr="007F5859" w:rsidRDefault="00F81EED" w:rsidP="003020E2">
            <w:pPr>
              <w:spacing w:after="0"/>
              <w:jc w:val="left"/>
              <w:rPr>
                <w:color w:val="000000"/>
                <w:sz w:val="20"/>
                <w:szCs w:val="20"/>
                <w:lang w:val="es-MX"/>
              </w:rPr>
            </w:pPr>
            <w:r>
              <w:rPr>
                <w:sz w:val="20"/>
                <w:szCs w:val="20"/>
                <w:lang w:val="es-MX"/>
              </w:rPr>
              <w:t>Holanda</w:t>
            </w:r>
          </w:p>
        </w:tc>
        <w:tc>
          <w:tcPr>
            <w:tcW w:w="1183" w:type="dxa"/>
            <w:tcBorders>
              <w:top w:val="nil"/>
              <w:left w:val="nil"/>
              <w:bottom w:val="nil"/>
              <w:right w:val="nil"/>
            </w:tcBorders>
          </w:tcPr>
          <w:p w14:paraId="4D0834E5" w14:textId="284C449D" w:rsidR="003020E2" w:rsidRPr="00305D32" w:rsidRDefault="003020E2" w:rsidP="003020E2">
            <w:pPr>
              <w:spacing w:after="0"/>
              <w:jc w:val="right"/>
              <w:rPr>
                <w:color w:val="0D0D0D"/>
                <w:sz w:val="20"/>
                <w:szCs w:val="20"/>
                <w:lang w:val="es-MX"/>
              </w:rPr>
            </w:pPr>
            <w:r w:rsidRPr="00305D32">
              <w:rPr>
                <w:sz w:val="20"/>
                <w:szCs w:val="20"/>
                <w:lang w:val="es-MX"/>
              </w:rPr>
              <w:t>29,903</w:t>
            </w:r>
          </w:p>
        </w:tc>
      </w:tr>
      <w:tr w:rsidR="003020E2" w:rsidRPr="00305D32" w14:paraId="4D0834ED" w14:textId="77777777" w:rsidTr="00246F26">
        <w:trPr>
          <w:trHeight w:val="300"/>
        </w:trPr>
        <w:tc>
          <w:tcPr>
            <w:tcW w:w="1724" w:type="dxa"/>
            <w:tcBorders>
              <w:top w:val="nil"/>
              <w:left w:val="nil"/>
              <w:bottom w:val="nil"/>
              <w:right w:val="nil"/>
            </w:tcBorders>
          </w:tcPr>
          <w:p w14:paraId="4D0834E7" w14:textId="5E36B5AF" w:rsidR="003020E2" w:rsidRPr="007F5859" w:rsidRDefault="00F81EED" w:rsidP="003020E2">
            <w:pPr>
              <w:spacing w:after="0"/>
              <w:jc w:val="left"/>
              <w:rPr>
                <w:color w:val="000000"/>
                <w:sz w:val="20"/>
                <w:szCs w:val="20"/>
                <w:lang w:val="es-MX"/>
              </w:rPr>
            </w:pPr>
            <w:r>
              <w:rPr>
                <w:sz w:val="20"/>
                <w:szCs w:val="20"/>
                <w:lang w:val="es-MX"/>
              </w:rPr>
              <w:t>Holanda</w:t>
            </w:r>
          </w:p>
        </w:tc>
        <w:tc>
          <w:tcPr>
            <w:tcW w:w="1123" w:type="dxa"/>
            <w:tcBorders>
              <w:top w:val="nil"/>
              <w:left w:val="nil"/>
              <w:bottom w:val="nil"/>
              <w:right w:val="single" w:sz="4" w:space="0" w:color="000000"/>
            </w:tcBorders>
          </w:tcPr>
          <w:p w14:paraId="4D0834E8" w14:textId="0B22503F" w:rsidR="003020E2" w:rsidRPr="00305D32" w:rsidRDefault="003020E2" w:rsidP="003020E2">
            <w:pPr>
              <w:spacing w:after="0"/>
              <w:jc w:val="right"/>
              <w:rPr>
                <w:color w:val="0D0D0D"/>
                <w:sz w:val="20"/>
                <w:szCs w:val="20"/>
                <w:lang w:val="es-MX"/>
              </w:rPr>
            </w:pPr>
            <w:r w:rsidRPr="00305D32">
              <w:rPr>
                <w:sz w:val="20"/>
                <w:szCs w:val="20"/>
                <w:lang w:val="es-MX"/>
              </w:rPr>
              <w:t>58,297</w:t>
            </w:r>
          </w:p>
        </w:tc>
        <w:tc>
          <w:tcPr>
            <w:tcW w:w="1973" w:type="dxa"/>
            <w:tcBorders>
              <w:top w:val="nil"/>
              <w:left w:val="nil"/>
              <w:bottom w:val="nil"/>
              <w:right w:val="nil"/>
            </w:tcBorders>
          </w:tcPr>
          <w:p w14:paraId="4D0834E9" w14:textId="425D4090" w:rsidR="003020E2" w:rsidRPr="00305D32" w:rsidRDefault="003020E2" w:rsidP="003020E2">
            <w:pPr>
              <w:spacing w:after="0"/>
              <w:jc w:val="left"/>
              <w:rPr>
                <w:color w:val="000000"/>
                <w:sz w:val="20"/>
                <w:szCs w:val="20"/>
                <w:lang w:val="es-MX"/>
              </w:rPr>
            </w:pPr>
            <w:r w:rsidRPr="00305D32">
              <w:rPr>
                <w:sz w:val="20"/>
                <w:szCs w:val="20"/>
                <w:lang w:val="es-MX"/>
              </w:rPr>
              <w:t>Corea, Rep. (Sur)</w:t>
            </w:r>
          </w:p>
        </w:tc>
        <w:tc>
          <w:tcPr>
            <w:tcW w:w="1086" w:type="dxa"/>
            <w:tcBorders>
              <w:top w:val="nil"/>
              <w:left w:val="nil"/>
              <w:bottom w:val="nil"/>
              <w:right w:val="single" w:sz="4" w:space="0" w:color="000000"/>
            </w:tcBorders>
          </w:tcPr>
          <w:p w14:paraId="4D0834EA" w14:textId="37329D7D" w:rsidR="003020E2" w:rsidRPr="00305D32" w:rsidRDefault="003020E2" w:rsidP="003020E2">
            <w:pPr>
              <w:spacing w:after="0"/>
              <w:jc w:val="right"/>
              <w:rPr>
                <w:color w:val="0D0D0D"/>
                <w:sz w:val="20"/>
                <w:szCs w:val="20"/>
                <w:lang w:val="es-MX"/>
              </w:rPr>
            </w:pPr>
            <w:r w:rsidRPr="00305D32">
              <w:rPr>
                <w:sz w:val="20"/>
                <w:szCs w:val="20"/>
                <w:lang w:val="es-MX"/>
              </w:rPr>
              <w:t>48,725</w:t>
            </w:r>
          </w:p>
        </w:tc>
        <w:tc>
          <w:tcPr>
            <w:tcW w:w="2032" w:type="dxa"/>
            <w:tcBorders>
              <w:top w:val="nil"/>
              <w:left w:val="nil"/>
              <w:bottom w:val="nil"/>
              <w:right w:val="nil"/>
            </w:tcBorders>
          </w:tcPr>
          <w:p w14:paraId="4D0834EB" w14:textId="0F9434E0" w:rsidR="003020E2" w:rsidRPr="00305D32" w:rsidRDefault="003020E2" w:rsidP="003020E2">
            <w:pPr>
              <w:spacing w:after="0"/>
              <w:jc w:val="left"/>
              <w:rPr>
                <w:color w:val="000000"/>
                <w:sz w:val="20"/>
                <w:szCs w:val="20"/>
                <w:lang w:val="es-MX"/>
              </w:rPr>
            </w:pPr>
            <w:r w:rsidRPr="00305D32">
              <w:rPr>
                <w:sz w:val="20"/>
                <w:szCs w:val="20"/>
                <w:lang w:val="es-MX"/>
              </w:rPr>
              <w:t>Corea, Rep. (Sur)</w:t>
            </w:r>
          </w:p>
        </w:tc>
        <w:tc>
          <w:tcPr>
            <w:tcW w:w="1183" w:type="dxa"/>
            <w:tcBorders>
              <w:top w:val="nil"/>
              <w:left w:val="nil"/>
              <w:bottom w:val="nil"/>
              <w:right w:val="nil"/>
            </w:tcBorders>
          </w:tcPr>
          <w:p w14:paraId="4D0834EC" w14:textId="074E1A01" w:rsidR="003020E2" w:rsidRPr="00305D32" w:rsidRDefault="003020E2" w:rsidP="003020E2">
            <w:pPr>
              <w:spacing w:after="0"/>
              <w:jc w:val="right"/>
              <w:rPr>
                <w:color w:val="0D0D0D"/>
                <w:sz w:val="20"/>
                <w:szCs w:val="20"/>
                <w:lang w:val="es-MX"/>
              </w:rPr>
            </w:pPr>
            <w:r w:rsidRPr="00305D32">
              <w:rPr>
                <w:sz w:val="20"/>
                <w:szCs w:val="20"/>
                <w:lang w:val="es-MX"/>
              </w:rPr>
              <w:t>26,412</w:t>
            </w:r>
          </w:p>
        </w:tc>
      </w:tr>
      <w:tr w:rsidR="003020E2" w:rsidRPr="00305D32" w14:paraId="4D0834F4" w14:textId="77777777" w:rsidTr="00246F26">
        <w:trPr>
          <w:trHeight w:val="300"/>
        </w:trPr>
        <w:tc>
          <w:tcPr>
            <w:tcW w:w="1724" w:type="dxa"/>
            <w:tcBorders>
              <w:top w:val="nil"/>
              <w:left w:val="nil"/>
              <w:bottom w:val="nil"/>
              <w:right w:val="nil"/>
            </w:tcBorders>
          </w:tcPr>
          <w:p w14:paraId="4D0834EE" w14:textId="2CF0B627" w:rsidR="003020E2" w:rsidRPr="00305D32" w:rsidRDefault="003020E2" w:rsidP="003020E2">
            <w:pPr>
              <w:spacing w:after="0"/>
              <w:jc w:val="left"/>
              <w:rPr>
                <w:color w:val="000000"/>
                <w:sz w:val="20"/>
                <w:szCs w:val="20"/>
                <w:lang w:val="es-MX"/>
              </w:rPr>
            </w:pPr>
            <w:r w:rsidRPr="00305D32">
              <w:rPr>
                <w:sz w:val="20"/>
                <w:szCs w:val="20"/>
                <w:lang w:val="es-MX"/>
              </w:rPr>
              <w:t>Corea, Rep. (Sur)</w:t>
            </w:r>
          </w:p>
        </w:tc>
        <w:tc>
          <w:tcPr>
            <w:tcW w:w="1123" w:type="dxa"/>
            <w:tcBorders>
              <w:top w:val="nil"/>
              <w:left w:val="nil"/>
              <w:bottom w:val="nil"/>
              <w:right w:val="single" w:sz="4" w:space="0" w:color="000000"/>
            </w:tcBorders>
          </w:tcPr>
          <w:p w14:paraId="4D0834EF" w14:textId="3E6D34E3" w:rsidR="003020E2" w:rsidRPr="00305D32" w:rsidRDefault="003020E2" w:rsidP="003020E2">
            <w:pPr>
              <w:spacing w:after="0"/>
              <w:jc w:val="right"/>
              <w:rPr>
                <w:color w:val="0D0D0D"/>
                <w:sz w:val="20"/>
                <w:szCs w:val="20"/>
                <w:lang w:val="es-MX"/>
              </w:rPr>
            </w:pPr>
            <w:r w:rsidRPr="00305D32">
              <w:rPr>
                <w:sz w:val="20"/>
                <w:szCs w:val="20"/>
                <w:lang w:val="es-MX"/>
              </w:rPr>
              <w:t>45,633</w:t>
            </w:r>
          </w:p>
        </w:tc>
        <w:tc>
          <w:tcPr>
            <w:tcW w:w="1973" w:type="dxa"/>
            <w:tcBorders>
              <w:top w:val="nil"/>
              <w:left w:val="nil"/>
              <w:bottom w:val="nil"/>
              <w:right w:val="nil"/>
            </w:tcBorders>
          </w:tcPr>
          <w:p w14:paraId="4D0834F0" w14:textId="431C5B68" w:rsidR="003020E2" w:rsidRPr="007F5859" w:rsidRDefault="00F81EED" w:rsidP="003020E2">
            <w:pPr>
              <w:spacing w:after="0"/>
              <w:jc w:val="left"/>
              <w:rPr>
                <w:color w:val="000000"/>
                <w:sz w:val="20"/>
                <w:szCs w:val="20"/>
                <w:lang w:val="es-MX"/>
              </w:rPr>
            </w:pPr>
            <w:r>
              <w:rPr>
                <w:sz w:val="20"/>
                <w:szCs w:val="20"/>
                <w:lang w:val="es-MX"/>
              </w:rPr>
              <w:t>Holanda</w:t>
            </w:r>
          </w:p>
        </w:tc>
        <w:tc>
          <w:tcPr>
            <w:tcW w:w="1086" w:type="dxa"/>
            <w:tcBorders>
              <w:top w:val="nil"/>
              <w:left w:val="nil"/>
              <w:bottom w:val="nil"/>
              <w:right w:val="single" w:sz="4" w:space="0" w:color="000000"/>
            </w:tcBorders>
          </w:tcPr>
          <w:p w14:paraId="4D0834F1" w14:textId="7ED7DD76" w:rsidR="003020E2" w:rsidRPr="00305D32" w:rsidRDefault="003020E2" w:rsidP="003020E2">
            <w:pPr>
              <w:spacing w:after="0"/>
              <w:jc w:val="right"/>
              <w:rPr>
                <w:color w:val="0D0D0D"/>
                <w:sz w:val="20"/>
                <w:szCs w:val="20"/>
                <w:lang w:val="es-MX"/>
              </w:rPr>
            </w:pPr>
            <w:r w:rsidRPr="00305D32">
              <w:rPr>
                <w:sz w:val="20"/>
                <w:szCs w:val="20"/>
                <w:lang w:val="es-MX"/>
              </w:rPr>
              <w:t>46,834</w:t>
            </w:r>
          </w:p>
        </w:tc>
        <w:tc>
          <w:tcPr>
            <w:tcW w:w="2032" w:type="dxa"/>
            <w:tcBorders>
              <w:top w:val="nil"/>
              <w:left w:val="nil"/>
              <w:bottom w:val="nil"/>
              <w:right w:val="nil"/>
            </w:tcBorders>
          </w:tcPr>
          <w:p w14:paraId="4D0834F2" w14:textId="3B807EB7" w:rsidR="003020E2" w:rsidRPr="00305D32" w:rsidRDefault="003020E2" w:rsidP="003020E2">
            <w:pPr>
              <w:spacing w:after="0"/>
              <w:jc w:val="left"/>
              <w:rPr>
                <w:color w:val="000000"/>
                <w:sz w:val="20"/>
                <w:szCs w:val="20"/>
                <w:lang w:val="es-MX"/>
              </w:rPr>
            </w:pPr>
            <w:r w:rsidRPr="00305D32">
              <w:rPr>
                <w:sz w:val="20"/>
                <w:szCs w:val="20"/>
                <w:lang w:val="es-MX"/>
              </w:rPr>
              <w:t>Polonia</w:t>
            </w:r>
          </w:p>
        </w:tc>
        <w:tc>
          <w:tcPr>
            <w:tcW w:w="1183" w:type="dxa"/>
            <w:tcBorders>
              <w:top w:val="nil"/>
              <w:left w:val="nil"/>
              <w:bottom w:val="nil"/>
              <w:right w:val="nil"/>
            </w:tcBorders>
          </w:tcPr>
          <w:p w14:paraId="4D0834F3" w14:textId="245E3416" w:rsidR="003020E2" w:rsidRPr="00305D32" w:rsidRDefault="003020E2" w:rsidP="003020E2">
            <w:pPr>
              <w:spacing w:after="0"/>
              <w:jc w:val="right"/>
              <w:rPr>
                <w:color w:val="0D0D0D"/>
                <w:sz w:val="20"/>
                <w:szCs w:val="20"/>
                <w:lang w:val="es-MX"/>
              </w:rPr>
            </w:pPr>
            <w:r w:rsidRPr="00305D32">
              <w:rPr>
                <w:sz w:val="20"/>
                <w:szCs w:val="20"/>
                <w:lang w:val="es-MX"/>
              </w:rPr>
              <w:t>24,620</w:t>
            </w:r>
          </w:p>
        </w:tc>
      </w:tr>
      <w:tr w:rsidR="003020E2" w:rsidRPr="00305D32" w14:paraId="4D0834FB" w14:textId="77777777" w:rsidTr="00246F26">
        <w:trPr>
          <w:trHeight w:val="300"/>
        </w:trPr>
        <w:tc>
          <w:tcPr>
            <w:tcW w:w="1724" w:type="dxa"/>
            <w:tcBorders>
              <w:top w:val="nil"/>
              <w:left w:val="nil"/>
              <w:bottom w:val="nil"/>
              <w:right w:val="nil"/>
            </w:tcBorders>
          </w:tcPr>
          <w:p w14:paraId="4D0834F5" w14:textId="301A3EE9" w:rsidR="003020E2" w:rsidRPr="00305D32" w:rsidRDefault="003020E2" w:rsidP="003020E2">
            <w:pPr>
              <w:spacing w:after="0"/>
              <w:jc w:val="left"/>
              <w:rPr>
                <w:color w:val="000000"/>
                <w:sz w:val="20"/>
                <w:szCs w:val="20"/>
                <w:lang w:val="es-MX"/>
              </w:rPr>
            </w:pPr>
            <w:r w:rsidRPr="00305D32">
              <w:rPr>
                <w:sz w:val="20"/>
                <w:szCs w:val="20"/>
                <w:lang w:val="es-MX"/>
              </w:rPr>
              <w:t>Polonia</w:t>
            </w:r>
          </w:p>
        </w:tc>
        <w:tc>
          <w:tcPr>
            <w:tcW w:w="1123" w:type="dxa"/>
            <w:tcBorders>
              <w:top w:val="nil"/>
              <w:left w:val="nil"/>
              <w:bottom w:val="nil"/>
              <w:right w:val="single" w:sz="4" w:space="0" w:color="000000"/>
            </w:tcBorders>
          </w:tcPr>
          <w:p w14:paraId="4D0834F6" w14:textId="7AF51AD5" w:rsidR="003020E2" w:rsidRPr="00305D32" w:rsidRDefault="003020E2" w:rsidP="003020E2">
            <w:pPr>
              <w:spacing w:after="0"/>
              <w:jc w:val="right"/>
              <w:rPr>
                <w:color w:val="0D0D0D"/>
                <w:sz w:val="20"/>
                <w:szCs w:val="20"/>
                <w:lang w:val="es-MX"/>
              </w:rPr>
            </w:pPr>
            <w:r w:rsidRPr="00305D32">
              <w:rPr>
                <w:sz w:val="20"/>
                <w:szCs w:val="20"/>
                <w:lang w:val="es-MX"/>
              </w:rPr>
              <w:t>43,754</w:t>
            </w:r>
          </w:p>
        </w:tc>
        <w:tc>
          <w:tcPr>
            <w:tcW w:w="1973" w:type="dxa"/>
            <w:tcBorders>
              <w:top w:val="nil"/>
              <w:left w:val="nil"/>
              <w:bottom w:val="nil"/>
              <w:right w:val="nil"/>
            </w:tcBorders>
          </w:tcPr>
          <w:p w14:paraId="4D0834F7" w14:textId="77777777" w:rsidR="003020E2" w:rsidRPr="00305D32" w:rsidRDefault="003020E2" w:rsidP="003020E2">
            <w:pPr>
              <w:spacing w:after="0"/>
              <w:jc w:val="left"/>
              <w:rPr>
                <w:color w:val="000000"/>
                <w:sz w:val="20"/>
                <w:szCs w:val="20"/>
                <w:lang w:val="es-MX"/>
              </w:rPr>
            </w:pPr>
            <w:r w:rsidRPr="00305D32">
              <w:rPr>
                <w:sz w:val="20"/>
                <w:szCs w:val="20"/>
                <w:lang w:val="es-MX"/>
              </w:rPr>
              <w:t>Polonia</w:t>
            </w:r>
          </w:p>
        </w:tc>
        <w:tc>
          <w:tcPr>
            <w:tcW w:w="1086" w:type="dxa"/>
            <w:tcBorders>
              <w:top w:val="nil"/>
              <w:left w:val="nil"/>
              <w:bottom w:val="nil"/>
              <w:right w:val="single" w:sz="4" w:space="0" w:color="000000"/>
            </w:tcBorders>
          </w:tcPr>
          <w:p w14:paraId="4D0834F8" w14:textId="58E09E39" w:rsidR="003020E2" w:rsidRPr="00305D32" w:rsidRDefault="003020E2" w:rsidP="003020E2">
            <w:pPr>
              <w:spacing w:after="0"/>
              <w:jc w:val="right"/>
              <w:rPr>
                <w:color w:val="0D0D0D"/>
                <w:sz w:val="20"/>
                <w:szCs w:val="20"/>
                <w:lang w:val="es-MX"/>
              </w:rPr>
            </w:pPr>
            <w:r w:rsidRPr="00305D32">
              <w:rPr>
                <w:sz w:val="20"/>
                <w:szCs w:val="20"/>
                <w:lang w:val="es-MX"/>
              </w:rPr>
              <w:t>40,921</w:t>
            </w:r>
          </w:p>
        </w:tc>
        <w:tc>
          <w:tcPr>
            <w:tcW w:w="2032" w:type="dxa"/>
            <w:tcBorders>
              <w:top w:val="nil"/>
              <w:left w:val="nil"/>
              <w:bottom w:val="nil"/>
              <w:right w:val="nil"/>
            </w:tcBorders>
          </w:tcPr>
          <w:p w14:paraId="4D0834F9" w14:textId="43780AD3" w:rsidR="003020E2" w:rsidRPr="00305D32" w:rsidRDefault="003020E2" w:rsidP="003020E2">
            <w:pPr>
              <w:spacing w:after="0"/>
              <w:jc w:val="left"/>
              <w:rPr>
                <w:color w:val="000000"/>
                <w:sz w:val="20"/>
                <w:szCs w:val="20"/>
                <w:lang w:val="es-MX"/>
              </w:rPr>
            </w:pPr>
            <w:r w:rsidRPr="00305D32">
              <w:rPr>
                <w:sz w:val="20"/>
                <w:szCs w:val="20"/>
                <w:lang w:val="es-MX"/>
              </w:rPr>
              <w:t>Uruguay</w:t>
            </w:r>
          </w:p>
        </w:tc>
        <w:tc>
          <w:tcPr>
            <w:tcW w:w="1183" w:type="dxa"/>
            <w:tcBorders>
              <w:top w:val="nil"/>
              <w:left w:val="nil"/>
              <w:bottom w:val="nil"/>
              <w:right w:val="nil"/>
            </w:tcBorders>
          </w:tcPr>
          <w:p w14:paraId="4D0834FA" w14:textId="3ABDCF3E" w:rsidR="003020E2" w:rsidRPr="00305D32" w:rsidRDefault="003020E2" w:rsidP="003020E2">
            <w:pPr>
              <w:spacing w:after="0"/>
              <w:jc w:val="right"/>
              <w:rPr>
                <w:color w:val="0D0D0D"/>
                <w:sz w:val="20"/>
                <w:szCs w:val="20"/>
                <w:lang w:val="es-MX"/>
              </w:rPr>
            </w:pPr>
            <w:r w:rsidRPr="00305D32">
              <w:rPr>
                <w:sz w:val="20"/>
                <w:szCs w:val="20"/>
                <w:lang w:val="es-MX"/>
              </w:rPr>
              <w:t>23,782</w:t>
            </w:r>
          </w:p>
        </w:tc>
      </w:tr>
      <w:tr w:rsidR="003020E2" w:rsidRPr="00305D32" w14:paraId="4D083502" w14:textId="77777777" w:rsidTr="00246F26">
        <w:trPr>
          <w:trHeight w:val="300"/>
        </w:trPr>
        <w:tc>
          <w:tcPr>
            <w:tcW w:w="1724" w:type="dxa"/>
            <w:tcBorders>
              <w:top w:val="nil"/>
              <w:left w:val="nil"/>
              <w:bottom w:val="single" w:sz="4" w:space="0" w:color="000000"/>
              <w:right w:val="nil"/>
            </w:tcBorders>
          </w:tcPr>
          <w:p w14:paraId="4D0834FC" w14:textId="77777777" w:rsidR="003020E2" w:rsidRPr="00305D32" w:rsidRDefault="003020E2" w:rsidP="003020E2">
            <w:pPr>
              <w:spacing w:after="0"/>
              <w:jc w:val="left"/>
              <w:rPr>
                <w:color w:val="000000"/>
                <w:sz w:val="20"/>
                <w:szCs w:val="20"/>
                <w:lang w:val="es-MX"/>
              </w:rPr>
            </w:pPr>
            <w:r w:rsidRPr="00305D32">
              <w:rPr>
                <w:sz w:val="20"/>
                <w:szCs w:val="20"/>
                <w:lang w:val="es-MX"/>
              </w:rPr>
              <w:t>Otros</w:t>
            </w:r>
          </w:p>
        </w:tc>
        <w:tc>
          <w:tcPr>
            <w:tcW w:w="1123" w:type="dxa"/>
            <w:tcBorders>
              <w:top w:val="nil"/>
              <w:left w:val="nil"/>
              <w:bottom w:val="single" w:sz="4" w:space="0" w:color="000000"/>
              <w:right w:val="single" w:sz="4" w:space="0" w:color="000000"/>
            </w:tcBorders>
          </w:tcPr>
          <w:p w14:paraId="4D0834FD" w14:textId="28135D35" w:rsidR="003020E2" w:rsidRPr="00305D32" w:rsidRDefault="003020E2" w:rsidP="003020E2">
            <w:pPr>
              <w:spacing w:after="0"/>
              <w:jc w:val="right"/>
              <w:rPr>
                <w:color w:val="000000"/>
                <w:sz w:val="20"/>
                <w:szCs w:val="20"/>
                <w:lang w:val="es-MX"/>
              </w:rPr>
            </w:pPr>
            <w:r w:rsidRPr="00305D32">
              <w:rPr>
                <w:sz w:val="20"/>
                <w:szCs w:val="20"/>
                <w:lang w:val="es-MX"/>
              </w:rPr>
              <w:t>663,844</w:t>
            </w:r>
          </w:p>
        </w:tc>
        <w:tc>
          <w:tcPr>
            <w:tcW w:w="1973" w:type="dxa"/>
            <w:tcBorders>
              <w:top w:val="nil"/>
              <w:left w:val="nil"/>
              <w:bottom w:val="single" w:sz="4" w:space="0" w:color="000000"/>
              <w:right w:val="nil"/>
            </w:tcBorders>
          </w:tcPr>
          <w:p w14:paraId="4D0834FE" w14:textId="77777777" w:rsidR="003020E2" w:rsidRPr="00305D32" w:rsidRDefault="003020E2" w:rsidP="003020E2">
            <w:pPr>
              <w:spacing w:after="0"/>
              <w:jc w:val="left"/>
              <w:rPr>
                <w:color w:val="000000"/>
                <w:sz w:val="20"/>
                <w:szCs w:val="20"/>
                <w:lang w:val="es-MX"/>
              </w:rPr>
            </w:pPr>
            <w:r w:rsidRPr="00305D32">
              <w:rPr>
                <w:sz w:val="20"/>
                <w:szCs w:val="20"/>
                <w:lang w:val="es-MX"/>
              </w:rPr>
              <w:t>Otros</w:t>
            </w:r>
          </w:p>
        </w:tc>
        <w:tc>
          <w:tcPr>
            <w:tcW w:w="1086" w:type="dxa"/>
            <w:tcBorders>
              <w:top w:val="nil"/>
              <w:left w:val="nil"/>
              <w:bottom w:val="single" w:sz="4" w:space="0" w:color="000000"/>
              <w:right w:val="single" w:sz="4" w:space="0" w:color="000000"/>
            </w:tcBorders>
          </w:tcPr>
          <w:p w14:paraId="4D0834FF" w14:textId="1F22BEA0" w:rsidR="003020E2" w:rsidRPr="00305D32" w:rsidRDefault="003020E2" w:rsidP="003020E2">
            <w:pPr>
              <w:spacing w:after="0"/>
              <w:jc w:val="right"/>
              <w:rPr>
                <w:color w:val="000000"/>
                <w:sz w:val="20"/>
                <w:szCs w:val="20"/>
                <w:lang w:val="es-MX"/>
              </w:rPr>
            </w:pPr>
            <w:r w:rsidRPr="00305D32">
              <w:rPr>
                <w:sz w:val="20"/>
                <w:szCs w:val="20"/>
                <w:lang w:val="es-MX"/>
              </w:rPr>
              <w:t>348,509</w:t>
            </w:r>
          </w:p>
        </w:tc>
        <w:tc>
          <w:tcPr>
            <w:tcW w:w="2032" w:type="dxa"/>
            <w:tcBorders>
              <w:top w:val="nil"/>
              <w:left w:val="nil"/>
              <w:bottom w:val="single" w:sz="4" w:space="0" w:color="000000"/>
              <w:right w:val="nil"/>
            </w:tcBorders>
          </w:tcPr>
          <w:p w14:paraId="4D083500" w14:textId="4993A542" w:rsidR="003020E2" w:rsidRPr="00305D32" w:rsidRDefault="003020E2" w:rsidP="003020E2">
            <w:pPr>
              <w:spacing w:after="0"/>
              <w:jc w:val="left"/>
              <w:rPr>
                <w:color w:val="000000"/>
                <w:sz w:val="20"/>
                <w:szCs w:val="20"/>
                <w:lang w:val="es-MX"/>
              </w:rPr>
            </w:pPr>
            <w:r w:rsidRPr="00305D32">
              <w:rPr>
                <w:sz w:val="20"/>
                <w:szCs w:val="20"/>
                <w:lang w:val="es-MX"/>
              </w:rPr>
              <w:t>Otros</w:t>
            </w:r>
          </w:p>
        </w:tc>
        <w:tc>
          <w:tcPr>
            <w:tcW w:w="1183" w:type="dxa"/>
            <w:tcBorders>
              <w:top w:val="nil"/>
              <w:left w:val="nil"/>
              <w:bottom w:val="single" w:sz="4" w:space="0" w:color="000000"/>
              <w:right w:val="nil"/>
            </w:tcBorders>
          </w:tcPr>
          <w:p w14:paraId="4D083501" w14:textId="6D07E013" w:rsidR="003020E2" w:rsidRPr="00305D32" w:rsidRDefault="003020E2" w:rsidP="003020E2">
            <w:pPr>
              <w:spacing w:after="0"/>
              <w:jc w:val="right"/>
              <w:rPr>
                <w:color w:val="000000"/>
                <w:sz w:val="20"/>
                <w:szCs w:val="20"/>
                <w:lang w:val="es-MX"/>
              </w:rPr>
            </w:pPr>
            <w:r w:rsidRPr="00305D32">
              <w:rPr>
                <w:sz w:val="20"/>
                <w:szCs w:val="20"/>
                <w:lang w:val="es-MX"/>
              </w:rPr>
              <w:t>335,289</w:t>
            </w:r>
          </w:p>
        </w:tc>
      </w:tr>
    </w:tbl>
    <w:p w14:paraId="4D083503" w14:textId="25E460CC" w:rsidR="00AE57F0" w:rsidRPr="00305D32" w:rsidRDefault="00414F7C">
      <w:pPr>
        <w:spacing w:line="240" w:lineRule="auto"/>
        <w:jc w:val="center"/>
        <w:rPr>
          <w:i/>
          <w:sz w:val="20"/>
          <w:szCs w:val="20"/>
          <w:lang w:val="es-MX"/>
        </w:rPr>
      </w:pPr>
      <w:r w:rsidRPr="00305D32">
        <w:rPr>
          <w:sz w:val="20"/>
          <w:szCs w:val="20"/>
          <w:lang w:val="es-MX"/>
        </w:rPr>
        <w:t>Fuente: Elaboración de la Subsecretaría de Análisis Económico y Finanzas Públicas de la Secretaría de Finanzas y Planeación, con base en datos de la Unidad de Política Migratoria, Registro e Identidad de Personas (UPM, 202</w:t>
      </w:r>
      <w:r w:rsidR="003351F3" w:rsidRPr="00305D32">
        <w:rPr>
          <w:sz w:val="20"/>
          <w:szCs w:val="20"/>
          <w:lang w:val="es-MX"/>
        </w:rPr>
        <w:t>5</w:t>
      </w:r>
      <w:r w:rsidRPr="00305D32">
        <w:rPr>
          <w:sz w:val="20"/>
          <w:szCs w:val="20"/>
          <w:lang w:val="es-MX"/>
        </w:rPr>
        <w:t xml:space="preserve">) </w:t>
      </w:r>
      <w:r w:rsidRPr="00305D32">
        <w:rPr>
          <w:i/>
          <w:sz w:val="20"/>
          <w:szCs w:val="20"/>
          <w:lang w:val="es-MX"/>
        </w:rPr>
        <w:t>Boletines estadísticos.</w:t>
      </w:r>
    </w:p>
    <w:p w14:paraId="2D4005D9" w14:textId="59F2D89D" w:rsidR="00C47636" w:rsidRPr="00305D32" w:rsidRDefault="00EB62D1" w:rsidP="00C47636">
      <w:pPr>
        <w:rPr>
          <w:lang w:val="es-MX"/>
        </w:rPr>
      </w:pPr>
      <w:r w:rsidRPr="00EB62D1">
        <w:rPr>
          <w:lang w:val="es-MX"/>
        </w:rPr>
        <w:t>La llegada de pasajeros por vía aérea a Cancún ha tenido una tendencia a la baja, al pasar de 10,041,685 pasajeros en 2023 a 9,486,904 en 2024 (- 5.52</w:t>
      </w:r>
      <w:r w:rsidR="0019290E">
        <w:rPr>
          <w:lang w:val="es-MX"/>
        </w:rPr>
        <w:t xml:space="preserve"> %</w:t>
      </w:r>
      <w:r w:rsidRPr="00EB62D1">
        <w:rPr>
          <w:lang w:val="es-MX"/>
        </w:rPr>
        <w:t xml:space="preserve">). La </w:t>
      </w:r>
      <w:r w:rsidRPr="00EB62D1">
        <w:rPr>
          <w:lang w:val="es-MX"/>
        </w:rPr>
        <w:lastRenderedPageBreak/>
        <w:t>tendencia parece mantenerse negativa en 2025, ya que en el periodo enero - agosto apenas ascendió a 6,580,410 pasajeros.</w:t>
      </w:r>
    </w:p>
    <w:p w14:paraId="4D083504" w14:textId="7976733C" w:rsidR="00AE57F0" w:rsidRPr="00305D32" w:rsidRDefault="00B86F43">
      <w:pPr>
        <w:rPr>
          <w:lang w:val="es-MX"/>
        </w:rPr>
      </w:pPr>
      <w:r w:rsidRPr="00B86F43">
        <w:rPr>
          <w:lang w:val="es-MX"/>
        </w:rPr>
        <w:t>Cozumel y Mahahual son los puertos principales de arribo de cruceros en la entidad y comparten varios elementos de su comportamiento: en ambos casos, 2024 presentó avances relevantes respecto a 2023. Sin embargo, los datos del avance a julio de 2025 muestran una desaceleración en la llegada de pasajeros y tripulantes, por lo que se prevé un cierre del año con cifras ligeramente inferiores a las de 2024</w:t>
      </w:r>
      <w:r w:rsidR="00414F7C" w:rsidRPr="00954242">
        <w:rPr>
          <w:lang w:val="es-MX"/>
        </w:rPr>
        <w:t>.</w:t>
      </w:r>
    </w:p>
    <w:p w14:paraId="4D083505" w14:textId="79B26F5B" w:rsidR="00AE57F0" w:rsidRPr="00305D32" w:rsidRDefault="00414F7C">
      <w:pPr>
        <w:rPr>
          <w:b/>
          <w:color w:val="000000"/>
          <w:lang w:val="es-MX"/>
        </w:rPr>
      </w:pPr>
      <w:r w:rsidRPr="00305D32">
        <w:rPr>
          <w:lang w:val="es-MX"/>
        </w:rPr>
        <w:t>En Cozumel (</w:t>
      </w:r>
      <w:r w:rsidR="004444B9" w:rsidRPr="00305D32">
        <w:rPr>
          <w:lang w:val="es-MX"/>
        </w:rPr>
        <w:fldChar w:fldCharType="begin"/>
      </w:r>
      <w:r w:rsidR="004444B9" w:rsidRPr="00305D32">
        <w:rPr>
          <w:lang w:val="es-MX"/>
        </w:rPr>
        <w:instrText xml:space="preserve"> REF _Ref210291236 \h </w:instrText>
      </w:r>
      <w:r w:rsidR="004444B9" w:rsidRPr="00305D32">
        <w:rPr>
          <w:lang w:val="es-MX"/>
        </w:rPr>
      </w:r>
      <w:r w:rsidR="004444B9" w:rsidRPr="00305D32">
        <w:rPr>
          <w:lang w:val="es-MX"/>
        </w:rPr>
        <w:fldChar w:fldCharType="separate"/>
      </w:r>
      <w:r w:rsidR="00ED1F2F" w:rsidRPr="00305D32">
        <w:rPr>
          <w:lang w:val="es-MX"/>
        </w:rPr>
        <w:t xml:space="preserve">Figura </w:t>
      </w:r>
      <w:r w:rsidR="00ED1F2F">
        <w:rPr>
          <w:noProof/>
          <w:lang w:val="es-MX"/>
        </w:rPr>
        <w:t>28</w:t>
      </w:r>
      <w:r w:rsidR="004444B9" w:rsidRPr="00305D32">
        <w:rPr>
          <w:lang w:val="es-MX"/>
        </w:rPr>
        <w:fldChar w:fldCharType="end"/>
      </w:r>
      <w:r w:rsidRPr="00305D32">
        <w:rPr>
          <w:lang w:val="es-MX"/>
        </w:rPr>
        <w:t>)</w:t>
      </w:r>
      <w:r w:rsidR="00BC5732">
        <w:rPr>
          <w:lang w:val="es-MX"/>
        </w:rPr>
        <w:t>,</w:t>
      </w:r>
      <w:r w:rsidRPr="00305D32">
        <w:rPr>
          <w:lang w:val="es-MX"/>
        </w:rPr>
        <w:t xml:space="preserve"> </w:t>
      </w:r>
      <w:r w:rsidR="00BC5732" w:rsidRPr="00BC5732">
        <w:rPr>
          <w:lang w:val="es-MX"/>
        </w:rPr>
        <w:t>el número de visitantes y tripulantes aumentó de 4,283,000 en 2023 a 4,598,918 en 2024 (+7.38</w:t>
      </w:r>
      <w:r w:rsidR="0019290E">
        <w:rPr>
          <w:lang w:val="es-MX"/>
        </w:rPr>
        <w:t xml:space="preserve"> %</w:t>
      </w:r>
      <w:r w:rsidR="00BC5732" w:rsidRPr="00BC5732">
        <w:rPr>
          <w:lang w:val="es-MX"/>
        </w:rPr>
        <w:t>), lo cual se asocia con la fuerte recuperación del turismo en la entidad. En el periodo de enero a agosto de 2025, los arribos totales han sido de 3,093,432 pasajeros</w:t>
      </w:r>
      <w:r w:rsidRPr="00305D32">
        <w:rPr>
          <w:lang w:val="es-MX"/>
        </w:rPr>
        <w:t>.</w:t>
      </w:r>
    </w:p>
    <w:p w14:paraId="4D083506" w14:textId="22BE5AB7" w:rsidR="00AE57F0" w:rsidRPr="00305D32" w:rsidRDefault="00414F7C" w:rsidP="004444B9">
      <w:pPr>
        <w:pStyle w:val="Descripcin"/>
        <w:jc w:val="center"/>
        <w:rPr>
          <w:color w:val="000000"/>
          <w:lang w:val="es-MX"/>
        </w:rPr>
      </w:pPr>
      <w:bookmarkStart w:id="84" w:name="_heading=h.1d96cc0" w:colFirst="0" w:colLast="0"/>
      <w:bookmarkStart w:id="85" w:name="_Ref210291236"/>
      <w:bookmarkEnd w:id="84"/>
      <w:r w:rsidRPr="00305D32">
        <w:rPr>
          <w:lang w:val="es-MX"/>
        </w:rPr>
        <w:t xml:space="preserve">Figura </w:t>
      </w:r>
      <w:r w:rsidR="004444B9" w:rsidRPr="00305D32">
        <w:rPr>
          <w:lang w:val="es-MX"/>
        </w:rPr>
        <w:fldChar w:fldCharType="begin"/>
      </w:r>
      <w:r w:rsidR="004444B9" w:rsidRPr="00305D32">
        <w:rPr>
          <w:lang w:val="es-MX"/>
        </w:rPr>
        <w:instrText xml:space="preserve"> SEQ Figura \* ARABIC </w:instrText>
      </w:r>
      <w:r w:rsidR="004444B9" w:rsidRPr="00305D32">
        <w:rPr>
          <w:lang w:val="es-MX"/>
        </w:rPr>
        <w:fldChar w:fldCharType="separate"/>
      </w:r>
      <w:r w:rsidR="00ED1F2F">
        <w:rPr>
          <w:noProof/>
          <w:lang w:val="es-MX"/>
        </w:rPr>
        <w:t>28</w:t>
      </w:r>
      <w:r w:rsidR="004444B9" w:rsidRPr="00305D32">
        <w:rPr>
          <w:lang w:val="es-MX"/>
        </w:rPr>
        <w:fldChar w:fldCharType="end"/>
      </w:r>
      <w:bookmarkEnd w:id="85"/>
      <w:r w:rsidRPr="00305D32">
        <w:rPr>
          <w:color w:val="000000"/>
          <w:lang w:val="es-MX"/>
        </w:rPr>
        <w:t>. Visitantes y tripulantes de cruceros en Cozumel, 202</w:t>
      </w:r>
      <w:r w:rsidR="00D1183F" w:rsidRPr="00305D32">
        <w:rPr>
          <w:color w:val="000000"/>
          <w:lang w:val="es-MX"/>
        </w:rPr>
        <w:t>3</w:t>
      </w:r>
      <w:r w:rsidRPr="00305D32">
        <w:rPr>
          <w:color w:val="000000"/>
          <w:lang w:val="es-MX"/>
        </w:rPr>
        <w:t>-202</w:t>
      </w:r>
      <w:r w:rsidR="00D1183F" w:rsidRPr="00305D32">
        <w:rPr>
          <w:color w:val="000000"/>
          <w:lang w:val="es-MX"/>
        </w:rPr>
        <w:t>4</w:t>
      </w:r>
      <w:r w:rsidRPr="00305D32">
        <w:rPr>
          <w:color w:val="000000"/>
          <w:lang w:val="es-MX"/>
        </w:rPr>
        <w:t xml:space="preserve"> y enero-</w:t>
      </w:r>
      <w:r w:rsidR="00B156C2" w:rsidRPr="00305D32">
        <w:rPr>
          <w:color w:val="000000"/>
          <w:lang w:val="es-MX"/>
        </w:rPr>
        <w:t>agosto</w:t>
      </w:r>
      <w:r w:rsidRPr="00305D32">
        <w:rPr>
          <w:color w:val="000000"/>
          <w:lang w:val="es-MX"/>
        </w:rPr>
        <w:t xml:space="preserve"> 202</w:t>
      </w:r>
      <w:r w:rsidR="00D1183F" w:rsidRPr="00305D32">
        <w:rPr>
          <w:color w:val="000000"/>
          <w:lang w:val="es-MX"/>
        </w:rPr>
        <w:t>5</w:t>
      </w:r>
    </w:p>
    <w:p w14:paraId="1B1B4D03" w14:textId="7EC85659" w:rsidR="00DA2B10" w:rsidRPr="00305D32" w:rsidRDefault="00DA2B10">
      <w:pPr>
        <w:spacing w:after="0"/>
        <w:jc w:val="center"/>
        <w:rPr>
          <w:lang w:val="es-MX"/>
        </w:rPr>
      </w:pPr>
      <w:r w:rsidRPr="00305D32">
        <w:rPr>
          <w:noProof/>
          <w:lang w:val="es-MX" w:eastAsia="es-MX"/>
        </w:rPr>
        <w:drawing>
          <wp:inline distT="0" distB="0" distL="0" distR="0" wp14:anchorId="66A588EB" wp14:editId="284B377B">
            <wp:extent cx="5686425" cy="2752725"/>
            <wp:effectExtent l="0" t="0" r="9525" b="9525"/>
            <wp:docPr id="1428697539" name="Gráfico 1">
              <a:extLst xmlns:a="http://schemas.openxmlformats.org/drawingml/2006/main">
                <a:ext uri="{FF2B5EF4-FFF2-40B4-BE49-F238E27FC236}">
                  <a16:creationId xmlns:a16="http://schemas.microsoft.com/office/drawing/2014/main" id="{69DEE38A-33E0-433D-A080-A57DEFFB33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D083508" w14:textId="30256BF7" w:rsidR="00AE57F0" w:rsidRPr="00305D32" w:rsidRDefault="00414F7C">
      <w:pPr>
        <w:spacing w:line="240" w:lineRule="auto"/>
        <w:jc w:val="center"/>
        <w:rPr>
          <w:i/>
          <w:sz w:val="20"/>
          <w:szCs w:val="20"/>
          <w:lang w:val="es-MX"/>
        </w:rPr>
      </w:pPr>
      <w:r w:rsidRPr="00305D32">
        <w:rPr>
          <w:sz w:val="20"/>
          <w:szCs w:val="20"/>
          <w:lang w:val="es-MX"/>
        </w:rPr>
        <w:t>Fuente: Elaboración de la Subsecretaría de Análisis Económico y Finanzas Públicas de la Secretaría de Finanzas y Planeación, con base en datos de la Unidad de Política Migratoria, Registro e Identidad de Personas (UPM, 202</w:t>
      </w:r>
      <w:r w:rsidR="00D1183F" w:rsidRPr="00305D32">
        <w:rPr>
          <w:sz w:val="20"/>
          <w:szCs w:val="20"/>
          <w:lang w:val="es-MX"/>
        </w:rPr>
        <w:t>5</w:t>
      </w:r>
      <w:r w:rsidRPr="00305D32">
        <w:rPr>
          <w:sz w:val="20"/>
          <w:szCs w:val="20"/>
          <w:lang w:val="es-MX"/>
        </w:rPr>
        <w:t xml:space="preserve">) </w:t>
      </w:r>
      <w:r w:rsidRPr="00305D32">
        <w:rPr>
          <w:i/>
          <w:sz w:val="20"/>
          <w:szCs w:val="20"/>
          <w:lang w:val="es-MX"/>
        </w:rPr>
        <w:t>Boletines estadísticos.</w:t>
      </w:r>
    </w:p>
    <w:p w14:paraId="4D08350A" w14:textId="03F089AD" w:rsidR="00AE57F0" w:rsidRPr="00305D32" w:rsidRDefault="00414F7C">
      <w:pPr>
        <w:rPr>
          <w:lang w:val="es-MX"/>
        </w:rPr>
      </w:pPr>
      <w:r w:rsidRPr="00305D32">
        <w:rPr>
          <w:lang w:val="es-MX"/>
        </w:rPr>
        <w:lastRenderedPageBreak/>
        <w:t>En Mahahual (</w:t>
      </w:r>
      <w:r w:rsidR="003E110F" w:rsidRPr="00305D32">
        <w:rPr>
          <w:color w:val="000000"/>
          <w:lang w:val="es-MX"/>
        </w:rPr>
        <w:fldChar w:fldCharType="begin"/>
      </w:r>
      <w:r w:rsidR="003E110F" w:rsidRPr="00305D32">
        <w:rPr>
          <w:lang w:val="es-MX"/>
        </w:rPr>
        <w:instrText xml:space="preserve"> REF _Ref210291468 \h </w:instrText>
      </w:r>
      <w:r w:rsidR="003E110F" w:rsidRPr="00305D32">
        <w:rPr>
          <w:color w:val="000000"/>
          <w:lang w:val="es-MX"/>
        </w:rPr>
      </w:r>
      <w:r w:rsidR="003E110F" w:rsidRPr="00305D32">
        <w:rPr>
          <w:color w:val="000000"/>
          <w:lang w:val="es-MX"/>
        </w:rPr>
        <w:fldChar w:fldCharType="separate"/>
      </w:r>
      <w:r w:rsidR="00ED1F2F" w:rsidRPr="00305D32">
        <w:rPr>
          <w:lang w:val="es-MX"/>
        </w:rPr>
        <w:t xml:space="preserve">Figura </w:t>
      </w:r>
      <w:r w:rsidR="00ED1F2F">
        <w:rPr>
          <w:noProof/>
          <w:lang w:val="es-MX"/>
        </w:rPr>
        <w:t>29</w:t>
      </w:r>
      <w:r w:rsidR="003E110F" w:rsidRPr="00305D32">
        <w:rPr>
          <w:color w:val="000000"/>
          <w:lang w:val="es-MX"/>
        </w:rPr>
        <w:fldChar w:fldCharType="end"/>
      </w:r>
      <w:r w:rsidRPr="00305D32">
        <w:rPr>
          <w:lang w:val="es-MX"/>
        </w:rPr>
        <w:t xml:space="preserve">) </w:t>
      </w:r>
      <w:r w:rsidR="00AE2981" w:rsidRPr="00AE2981">
        <w:rPr>
          <w:lang w:val="es-MX"/>
        </w:rPr>
        <w:t>se observa un comportamiento similar al de Cozumel, la llegada de visitantes aumento en poco más de medio millón de cruceristas en 2024 respecto a 2023, y en lo que va del 2025 (enero-agosto) se registró la llegada de 1,856,526 cruceristas, de los cuales 1,384,000 son pasajeros y 472,161 son tripulantes.</w:t>
      </w:r>
    </w:p>
    <w:p w14:paraId="4D08350B" w14:textId="0D574321" w:rsidR="00AE57F0" w:rsidRPr="00305D32" w:rsidRDefault="00414F7C" w:rsidP="004444B9">
      <w:pPr>
        <w:pStyle w:val="Descripcin"/>
        <w:jc w:val="center"/>
        <w:rPr>
          <w:color w:val="000000"/>
          <w:lang w:val="es-MX"/>
        </w:rPr>
      </w:pPr>
      <w:bookmarkStart w:id="86" w:name="_heading=h.3x8tuzt" w:colFirst="0" w:colLast="0"/>
      <w:bookmarkStart w:id="87" w:name="_Ref210291468"/>
      <w:bookmarkEnd w:id="86"/>
      <w:r w:rsidRPr="00305D32">
        <w:rPr>
          <w:lang w:val="es-MX"/>
        </w:rPr>
        <w:t xml:space="preserve">Figura </w:t>
      </w:r>
      <w:r w:rsidR="004444B9" w:rsidRPr="00305D32">
        <w:rPr>
          <w:lang w:val="es-MX"/>
        </w:rPr>
        <w:fldChar w:fldCharType="begin"/>
      </w:r>
      <w:r w:rsidR="004444B9" w:rsidRPr="00305D32">
        <w:rPr>
          <w:lang w:val="es-MX"/>
        </w:rPr>
        <w:instrText xml:space="preserve"> SEQ Figura \* ARABIC </w:instrText>
      </w:r>
      <w:r w:rsidR="004444B9" w:rsidRPr="00305D32">
        <w:rPr>
          <w:lang w:val="es-MX"/>
        </w:rPr>
        <w:fldChar w:fldCharType="separate"/>
      </w:r>
      <w:r w:rsidR="00ED1F2F">
        <w:rPr>
          <w:noProof/>
          <w:lang w:val="es-MX"/>
        </w:rPr>
        <w:t>29</w:t>
      </w:r>
      <w:r w:rsidR="004444B9" w:rsidRPr="00305D32">
        <w:rPr>
          <w:lang w:val="es-MX"/>
        </w:rPr>
        <w:fldChar w:fldCharType="end"/>
      </w:r>
      <w:bookmarkEnd w:id="87"/>
      <w:r w:rsidRPr="00305D32">
        <w:rPr>
          <w:color w:val="000000"/>
          <w:lang w:val="es-MX"/>
        </w:rPr>
        <w:t>. Visitantes y tripulantes de cruceros en Mahahual, 202</w:t>
      </w:r>
      <w:r w:rsidR="00EE3AEE" w:rsidRPr="00305D32">
        <w:rPr>
          <w:color w:val="000000"/>
          <w:lang w:val="es-MX"/>
        </w:rPr>
        <w:t>3</w:t>
      </w:r>
      <w:r w:rsidRPr="00305D32">
        <w:rPr>
          <w:color w:val="000000"/>
          <w:lang w:val="es-MX"/>
        </w:rPr>
        <w:t>-202</w:t>
      </w:r>
      <w:r w:rsidR="00EE3AEE" w:rsidRPr="00305D32">
        <w:rPr>
          <w:color w:val="000000"/>
          <w:lang w:val="es-MX"/>
        </w:rPr>
        <w:t>4</w:t>
      </w:r>
      <w:r w:rsidRPr="00305D32">
        <w:rPr>
          <w:color w:val="000000"/>
          <w:lang w:val="es-MX"/>
        </w:rPr>
        <w:t xml:space="preserve"> y enero-</w:t>
      </w:r>
      <w:r w:rsidR="0037483B" w:rsidRPr="00305D32">
        <w:rPr>
          <w:color w:val="000000"/>
          <w:lang w:val="es-MX"/>
        </w:rPr>
        <w:t>agosto</w:t>
      </w:r>
      <w:r w:rsidRPr="00305D32">
        <w:rPr>
          <w:color w:val="000000"/>
          <w:lang w:val="es-MX"/>
        </w:rPr>
        <w:t xml:space="preserve"> 202</w:t>
      </w:r>
      <w:r w:rsidR="00EE3AEE" w:rsidRPr="00305D32">
        <w:rPr>
          <w:color w:val="000000"/>
          <w:lang w:val="es-MX"/>
        </w:rPr>
        <w:t>5</w:t>
      </w:r>
    </w:p>
    <w:p w14:paraId="528A433A" w14:textId="31083288" w:rsidR="00B156C2" w:rsidRPr="00305D32" w:rsidRDefault="00D3473C">
      <w:pPr>
        <w:keepNext/>
        <w:spacing w:after="0"/>
        <w:jc w:val="center"/>
        <w:rPr>
          <w:b/>
          <w:color w:val="000000"/>
          <w:lang w:val="es-MX"/>
        </w:rPr>
      </w:pPr>
      <w:r w:rsidRPr="00305D32">
        <w:rPr>
          <w:noProof/>
          <w:lang w:val="es-MX" w:eastAsia="es-MX"/>
        </w:rPr>
        <w:drawing>
          <wp:inline distT="0" distB="0" distL="0" distR="0" wp14:anchorId="22876A0B" wp14:editId="3131B163">
            <wp:extent cx="5667375" cy="2409825"/>
            <wp:effectExtent l="0" t="0" r="9525" b="9525"/>
            <wp:docPr id="1084558484" name="Gráfico 1">
              <a:extLst xmlns:a="http://schemas.openxmlformats.org/drawingml/2006/main">
                <a:ext uri="{FF2B5EF4-FFF2-40B4-BE49-F238E27FC236}">
                  <a16:creationId xmlns:a16="http://schemas.microsoft.com/office/drawing/2014/main" id="{1C96C99B-5D68-4B84-8FA1-3DF7E21809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D08350D" w14:textId="65DC05D6" w:rsidR="00AE57F0" w:rsidRPr="00305D32" w:rsidRDefault="00414F7C">
      <w:pPr>
        <w:spacing w:line="240" w:lineRule="auto"/>
        <w:jc w:val="center"/>
        <w:rPr>
          <w:i/>
          <w:sz w:val="20"/>
          <w:szCs w:val="20"/>
          <w:lang w:val="es-MX"/>
        </w:rPr>
      </w:pPr>
      <w:r w:rsidRPr="00305D32">
        <w:rPr>
          <w:sz w:val="20"/>
          <w:szCs w:val="20"/>
          <w:lang w:val="es-MX"/>
        </w:rPr>
        <w:t>Fuente: Elaboración de la Subsecretaría de Análisis Económico y Finanzas Públicas de la Secretaría de Finanzas y Planeación, con base en datos de la Unidad de Política Migratoria, Registro e Identidad de Personas (UPM, 202</w:t>
      </w:r>
      <w:r w:rsidR="00EE3AEE" w:rsidRPr="00305D32">
        <w:rPr>
          <w:sz w:val="20"/>
          <w:szCs w:val="20"/>
          <w:lang w:val="es-MX"/>
        </w:rPr>
        <w:t>5</w:t>
      </w:r>
      <w:r w:rsidRPr="00305D32">
        <w:rPr>
          <w:sz w:val="20"/>
          <w:szCs w:val="20"/>
          <w:lang w:val="es-MX"/>
        </w:rPr>
        <w:t xml:space="preserve">) </w:t>
      </w:r>
      <w:r w:rsidRPr="00305D32">
        <w:rPr>
          <w:i/>
          <w:sz w:val="20"/>
          <w:szCs w:val="20"/>
          <w:lang w:val="es-MX"/>
        </w:rPr>
        <w:t>Boletines estadísticos.</w:t>
      </w:r>
    </w:p>
    <w:p w14:paraId="1D156DC1" w14:textId="7DFAA69B" w:rsidR="007A63F9" w:rsidRPr="00305D32" w:rsidRDefault="00437C9F" w:rsidP="007A63F9">
      <w:pPr>
        <w:rPr>
          <w:lang w:val="es-MX"/>
        </w:rPr>
      </w:pPr>
      <w:r w:rsidRPr="00437C9F">
        <w:rPr>
          <w:lang w:val="es-MX"/>
        </w:rPr>
        <w:t>De acuerdo con la información del Sistema Nacional de la Información Estadística del Sector Turismo de México</w:t>
      </w:r>
      <w:r>
        <w:rPr>
          <w:lang w:val="es-MX"/>
        </w:rPr>
        <w:t xml:space="preserve"> </w:t>
      </w:r>
      <w:r w:rsidRPr="00437C9F">
        <w:rPr>
          <w:lang w:val="es-MX"/>
        </w:rPr>
        <w:t xml:space="preserve">(DATATUR) de la Secretaría de Turismo (SECTUR) </w:t>
      </w:r>
      <w:r w:rsidRPr="000C1173">
        <w:rPr>
          <w:lang w:val="es-MX"/>
        </w:rPr>
        <w:t>presentada en la</w:t>
      </w:r>
      <w:r w:rsidR="007A63F9" w:rsidRPr="000C1173">
        <w:rPr>
          <w:lang w:val="es-MX"/>
        </w:rPr>
        <w:t xml:space="preserve"> </w:t>
      </w:r>
      <w:r w:rsidR="00942F17" w:rsidRPr="000C1173">
        <w:rPr>
          <w:lang w:val="es-MX"/>
        </w:rPr>
        <w:fldChar w:fldCharType="begin"/>
      </w:r>
      <w:r w:rsidR="00942F17" w:rsidRPr="000C1173">
        <w:rPr>
          <w:lang w:val="es-MX"/>
        </w:rPr>
        <w:instrText xml:space="preserve"> REF _Ref210291533 \h </w:instrText>
      </w:r>
      <w:r w:rsidR="00A2580D">
        <w:rPr>
          <w:highlight w:val="yellow"/>
          <w:lang w:val="es-MX"/>
        </w:rPr>
        <w:instrText xml:space="preserve"> \* MERGEFORMAT </w:instrText>
      </w:r>
      <w:r w:rsidR="00942F17" w:rsidRPr="000C1173">
        <w:rPr>
          <w:lang w:val="es-MX"/>
        </w:rPr>
      </w:r>
      <w:r w:rsidR="00942F17" w:rsidRPr="000C1173">
        <w:rPr>
          <w:lang w:val="es-MX"/>
        </w:rPr>
        <w:fldChar w:fldCharType="separate"/>
      </w:r>
      <w:r w:rsidR="00ED1F2F" w:rsidRPr="00305D32">
        <w:rPr>
          <w:lang w:val="es-MX"/>
        </w:rPr>
        <w:t xml:space="preserve">Tabla </w:t>
      </w:r>
      <w:r w:rsidR="00ED1F2F">
        <w:rPr>
          <w:noProof/>
          <w:lang w:val="es-MX"/>
        </w:rPr>
        <w:t>12</w:t>
      </w:r>
      <w:r w:rsidR="00942F17" w:rsidRPr="000C1173">
        <w:rPr>
          <w:lang w:val="es-MX"/>
        </w:rPr>
        <w:fldChar w:fldCharType="end"/>
      </w:r>
      <w:r w:rsidR="007A63F9" w:rsidRPr="000C1173">
        <w:rPr>
          <w:lang w:val="es-MX"/>
        </w:rPr>
        <w:t xml:space="preserve">, el porcentaje promedio de ocupación en hoteles y moteles por centro turístico indicó incrementos </w:t>
      </w:r>
      <w:r w:rsidR="00A7096B" w:rsidRPr="000C1173">
        <w:rPr>
          <w:lang w:val="es-MX"/>
        </w:rPr>
        <w:t xml:space="preserve">solo </w:t>
      </w:r>
      <w:r w:rsidR="007A63F9" w:rsidRPr="000C1173">
        <w:rPr>
          <w:lang w:val="es-MX"/>
        </w:rPr>
        <w:t xml:space="preserve">para los centros turísticos de </w:t>
      </w:r>
      <w:r w:rsidR="00A7096B" w:rsidRPr="000C1173">
        <w:rPr>
          <w:lang w:val="es-MX"/>
        </w:rPr>
        <w:t xml:space="preserve">Playa del Carmen y </w:t>
      </w:r>
      <w:r w:rsidR="007A63F9" w:rsidRPr="000C1173">
        <w:rPr>
          <w:lang w:val="es-MX"/>
        </w:rPr>
        <w:t xml:space="preserve">Playacar de </w:t>
      </w:r>
      <w:r w:rsidR="007A63F9" w:rsidRPr="00C63021">
        <w:rPr>
          <w:lang w:val="es-MX"/>
        </w:rPr>
        <w:t>202</w:t>
      </w:r>
      <w:r w:rsidR="00A7096B" w:rsidRPr="00C63021">
        <w:rPr>
          <w:lang w:val="es-MX"/>
        </w:rPr>
        <w:t>3</w:t>
      </w:r>
      <w:r w:rsidR="00C63021" w:rsidRPr="00C63021">
        <w:rPr>
          <w:lang w:val="es-MX"/>
        </w:rPr>
        <w:t xml:space="preserve">, </w:t>
      </w:r>
      <w:r w:rsidR="007A63F9" w:rsidRPr="00C63021">
        <w:rPr>
          <w:lang w:val="es-MX"/>
        </w:rPr>
        <w:t>202</w:t>
      </w:r>
      <w:r w:rsidR="00A7096B" w:rsidRPr="00C63021">
        <w:rPr>
          <w:lang w:val="es-MX"/>
        </w:rPr>
        <w:t>4</w:t>
      </w:r>
      <w:r w:rsidR="00A2580D" w:rsidRPr="00C63021">
        <w:rPr>
          <w:lang w:val="es-MX"/>
        </w:rPr>
        <w:t xml:space="preserve"> y de enero-julio de 2025</w:t>
      </w:r>
      <w:r w:rsidR="007A63F9" w:rsidRPr="00C63021">
        <w:rPr>
          <w:lang w:val="es-MX"/>
        </w:rPr>
        <w:t>.</w:t>
      </w:r>
    </w:p>
    <w:p w14:paraId="20CA178C" w14:textId="7418EB77" w:rsidR="007A63F9" w:rsidRPr="00305D32" w:rsidRDefault="00A5636F" w:rsidP="007A63F9">
      <w:pPr>
        <w:rPr>
          <w:lang w:val="es-MX"/>
        </w:rPr>
      </w:pPr>
      <w:r w:rsidRPr="00A5636F">
        <w:rPr>
          <w:lang w:val="es-MX"/>
        </w:rPr>
        <w:t xml:space="preserve">Hasta julio de 2025, la ocupación hotelera enfrenta una contracción notable en el Estado, debido a que no ha superado los niveles </w:t>
      </w:r>
      <w:r w:rsidR="003E041D">
        <w:rPr>
          <w:lang w:val="es-MX"/>
        </w:rPr>
        <w:t>de</w:t>
      </w:r>
      <w:r w:rsidRPr="00A5636F">
        <w:rPr>
          <w:lang w:val="es-MX"/>
        </w:rPr>
        <w:t xml:space="preserve"> 2024 en la mayoría de los centros turísticos, en Akumal, pasó de 81.55</w:t>
      </w:r>
      <w:r w:rsidR="0019290E">
        <w:rPr>
          <w:lang w:val="es-MX"/>
        </w:rPr>
        <w:t xml:space="preserve"> %</w:t>
      </w:r>
      <w:r w:rsidRPr="00A5636F">
        <w:rPr>
          <w:lang w:val="es-MX"/>
        </w:rPr>
        <w:t xml:space="preserve"> a 69.55</w:t>
      </w:r>
      <w:r w:rsidR="0019290E">
        <w:rPr>
          <w:lang w:val="es-MX"/>
        </w:rPr>
        <w:t xml:space="preserve"> %</w:t>
      </w:r>
      <w:r w:rsidRPr="00A5636F">
        <w:rPr>
          <w:lang w:val="es-MX"/>
        </w:rPr>
        <w:t>; Cancún, de 77.06</w:t>
      </w:r>
      <w:r w:rsidR="0019290E">
        <w:rPr>
          <w:lang w:val="es-MX"/>
        </w:rPr>
        <w:t xml:space="preserve"> %</w:t>
      </w:r>
      <w:r w:rsidRPr="00A5636F">
        <w:rPr>
          <w:lang w:val="es-MX"/>
        </w:rPr>
        <w:t xml:space="preserve"> a </w:t>
      </w:r>
      <w:r w:rsidRPr="00A5636F">
        <w:rPr>
          <w:lang w:val="es-MX"/>
        </w:rPr>
        <w:lastRenderedPageBreak/>
        <w:t>74.28</w:t>
      </w:r>
      <w:r w:rsidR="0019290E">
        <w:rPr>
          <w:lang w:val="es-MX"/>
        </w:rPr>
        <w:t xml:space="preserve"> %</w:t>
      </w:r>
      <w:r w:rsidRPr="00A5636F">
        <w:rPr>
          <w:lang w:val="es-MX"/>
        </w:rPr>
        <w:t>; Playa del Carmen, de 74.33</w:t>
      </w:r>
      <w:r w:rsidR="0019290E">
        <w:rPr>
          <w:lang w:val="es-MX"/>
        </w:rPr>
        <w:t xml:space="preserve"> %</w:t>
      </w:r>
      <w:r w:rsidRPr="00A5636F">
        <w:rPr>
          <w:lang w:val="es-MX"/>
        </w:rPr>
        <w:t xml:space="preserve"> a 72.23</w:t>
      </w:r>
      <w:r w:rsidR="0019290E">
        <w:rPr>
          <w:lang w:val="es-MX"/>
        </w:rPr>
        <w:t xml:space="preserve"> %</w:t>
      </w:r>
      <w:r w:rsidRPr="00A5636F">
        <w:rPr>
          <w:lang w:val="es-MX"/>
        </w:rPr>
        <w:t>; y en Playacar, de 88.95</w:t>
      </w:r>
      <w:r w:rsidR="0019290E">
        <w:rPr>
          <w:lang w:val="es-MX"/>
        </w:rPr>
        <w:t xml:space="preserve"> %</w:t>
      </w:r>
      <w:r w:rsidRPr="00A5636F">
        <w:rPr>
          <w:lang w:val="es-MX"/>
        </w:rPr>
        <w:t xml:space="preserve"> a 85.36</w:t>
      </w:r>
      <w:r w:rsidR="0019290E">
        <w:rPr>
          <w:lang w:val="es-MX"/>
        </w:rPr>
        <w:t xml:space="preserve"> %</w:t>
      </w:r>
      <w:r w:rsidRPr="00A5636F">
        <w:rPr>
          <w:lang w:val="es-MX"/>
        </w:rPr>
        <w:t>. El porcentaje de ocupación total se redujo de 71.6</w:t>
      </w:r>
      <w:r w:rsidR="0019290E">
        <w:rPr>
          <w:lang w:val="es-MX"/>
        </w:rPr>
        <w:t xml:space="preserve"> %</w:t>
      </w:r>
      <w:r w:rsidRPr="00A5636F">
        <w:rPr>
          <w:lang w:val="es-MX"/>
        </w:rPr>
        <w:t xml:space="preserve"> en el periodo enero-julio 2024 a 69.27</w:t>
      </w:r>
      <w:r w:rsidR="0019290E">
        <w:rPr>
          <w:lang w:val="es-MX"/>
        </w:rPr>
        <w:t xml:space="preserve"> %</w:t>
      </w:r>
      <w:r w:rsidRPr="00A5636F">
        <w:rPr>
          <w:lang w:val="es-MX"/>
        </w:rPr>
        <w:t xml:space="preserve"> en enero-julio 2025. El destino turístico que incrementó en mayor medida su porcentaje de ocupación en 2024 fue Isla Mujeres, al pasar de 53.21</w:t>
      </w:r>
      <w:r w:rsidR="0019290E">
        <w:rPr>
          <w:lang w:val="es-MX"/>
        </w:rPr>
        <w:t xml:space="preserve"> %</w:t>
      </w:r>
      <w:r w:rsidRPr="00A5636F">
        <w:rPr>
          <w:lang w:val="es-MX"/>
        </w:rPr>
        <w:t xml:space="preserve"> a 56.72</w:t>
      </w:r>
      <w:r w:rsidR="0019290E">
        <w:rPr>
          <w:lang w:val="es-MX"/>
        </w:rPr>
        <w:t xml:space="preserve"> %</w:t>
      </w:r>
      <w:r w:rsidR="007A63F9" w:rsidRPr="00305D32">
        <w:rPr>
          <w:lang w:val="es-MX"/>
        </w:rPr>
        <w:t>.</w:t>
      </w:r>
      <w:r w:rsidR="0049292F" w:rsidRPr="00305D32">
        <w:rPr>
          <w:lang w:val="es-MX"/>
        </w:rPr>
        <w:t xml:space="preserve"> </w:t>
      </w:r>
    </w:p>
    <w:p w14:paraId="4D083511" w14:textId="738034A7" w:rsidR="00AE57F0" w:rsidRPr="00305D32" w:rsidRDefault="00414F7C" w:rsidP="00942F17">
      <w:pPr>
        <w:pStyle w:val="Descripcin"/>
        <w:jc w:val="center"/>
        <w:rPr>
          <w:color w:val="000000"/>
          <w:lang w:val="es-MX"/>
        </w:rPr>
      </w:pPr>
      <w:bookmarkStart w:id="88" w:name="_heading=h.2ce457m" w:colFirst="0" w:colLast="0"/>
      <w:bookmarkStart w:id="89" w:name="_Ref210291533"/>
      <w:bookmarkEnd w:id="88"/>
      <w:r w:rsidRPr="00305D32">
        <w:rPr>
          <w:lang w:val="es-MX"/>
        </w:rPr>
        <w:t xml:space="preserve">Tabla </w:t>
      </w:r>
      <w:r w:rsidR="00942F17" w:rsidRPr="00305D32">
        <w:rPr>
          <w:lang w:val="es-MX"/>
        </w:rPr>
        <w:fldChar w:fldCharType="begin"/>
      </w:r>
      <w:r w:rsidR="00942F17" w:rsidRPr="00305D32">
        <w:rPr>
          <w:lang w:val="es-MX"/>
        </w:rPr>
        <w:instrText xml:space="preserve"> SEQ Tabla \* ARABIC </w:instrText>
      </w:r>
      <w:r w:rsidR="00942F17" w:rsidRPr="00305D32">
        <w:rPr>
          <w:lang w:val="es-MX"/>
        </w:rPr>
        <w:fldChar w:fldCharType="separate"/>
      </w:r>
      <w:r w:rsidR="00ED1F2F">
        <w:rPr>
          <w:noProof/>
          <w:lang w:val="es-MX"/>
        </w:rPr>
        <w:t>12</w:t>
      </w:r>
      <w:r w:rsidR="00942F17" w:rsidRPr="00305D32">
        <w:rPr>
          <w:lang w:val="es-MX"/>
        </w:rPr>
        <w:fldChar w:fldCharType="end"/>
      </w:r>
      <w:bookmarkEnd w:id="89"/>
      <w:r w:rsidRPr="00305D32">
        <w:rPr>
          <w:color w:val="000000"/>
          <w:lang w:val="es-MX"/>
        </w:rPr>
        <w:t>. Porcentaje promedio de ocupación en hoteles y moteles por centro turístico en Quintana Roo, 202</w:t>
      </w:r>
      <w:r w:rsidR="007A4600" w:rsidRPr="00305D32">
        <w:rPr>
          <w:color w:val="000000"/>
          <w:lang w:val="es-MX"/>
        </w:rPr>
        <w:t>3</w:t>
      </w:r>
      <w:r w:rsidRPr="00305D32">
        <w:rPr>
          <w:color w:val="000000"/>
          <w:lang w:val="es-MX"/>
        </w:rPr>
        <w:t>-202</w:t>
      </w:r>
      <w:r w:rsidR="007A4600" w:rsidRPr="00305D32">
        <w:rPr>
          <w:color w:val="000000"/>
          <w:lang w:val="es-MX"/>
        </w:rPr>
        <w:t>5</w:t>
      </w:r>
    </w:p>
    <w:tbl>
      <w:tblPr>
        <w:tblStyle w:val="aa"/>
        <w:tblW w:w="8912" w:type="dxa"/>
        <w:tblInd w:w="0" w:type="dxa"/>
        <w:tblLayout w:type="fixed"/>
        <w:tblLook w:val="0400" w:firstRow="0" w:lastRow="0" w:firstColumn="0" w:lastColumn="0" w:noHBand="0" w:noVBand="1"/>
      </w:tblPr>
      <w:tblGrid>
        <w:gridCol w:w="2197"/>
        <w:gridCol w:w="1678"/>
        <w:gridCol w:w="1678"/>
        <w:gridCol w:w="1678"/>
        <w:gridCol w:w="1681"/>
      </w:tblGrid>
      <w:tr w:rsidR="006A3F73" w:rsidRPr="00305D32" w14:paraId="5B8BF634" w14:textId="77777777" w:rsidTr="00850F4F">
        <w:trPr>
          <w:trHeight w:val="488"/>
        </w:trPr>
        <w:tc>
          <w:tcPr>
            <w:tcW w:w="2197" w:type="dxa"/>
            <w:tcBorders>
              <w:top w:val="single" w:sz="12" w:space="0" w:color="000000"/>
              <w:left w:val="nil"/>
              <w:bottom w:val="single" w:sz="12" w:space="0" w:color="000000"/>
              <w:right w:val="nil"/>
            </w:tcBorders>
            <w:vAlign w:val="center"/>
          </w:tcPr>
          <w:p w14:paraId="735516CD" w14:textId="77777777" w:rsidR="006A3F73" w:rsidRPr="00305D32" w:rsidRDefault="006A3F73">
            <w:pPr>
              <w:spacing w:after="0" w:line="240" w:lineRule="auto"/>
              <w:jc w:val="center"/>
              <w:rPr>
                <w:b/>
                <w:color w:val="000000"/>
                <w:sz w:val="22"/>
                <w:szCs w:val="22"/>
                <w:lang w:val="es-MX"/>
              </w:rPr>
            </w:pPr>
            <w:r w:rsidRPr="00305D32">
              <w:rPr>
                <w:b/>
                <w:color w:val="000000"/>
                <w:sz w:val="22"/>
                <w:szCs w:val="22"/>
                <w:lang w:val="es-MX"/>
              </w:rPr>
              <w:t>Centro Turístico</w:t>
            </w:r>
          </w:p>
        </w:tc>
        <w:tc>
          <w:tcPr>
            <w:tcW w:w="1678" w:type="dxa"/>
            <w:tcBorders>
              <w:top w:val="single" w:sz="12" w:space="0" w:color="000000"/>
              <w:left w:val="nil"/>
              <w:bottom w:val="single" w:sz="12" w:space="0" w:color="000000"/>
              <w:right w:val="nil"/>
            </w:tcBorders>
            <w:vAlign w:val="center"/>
          </w:tcPr>
          <w:p w14:paraId="22589CE7" w14:textId="1986E259" w:rsidR="006A3F73" w:rsidRPr="00305D32" w:rsidRDefault="006A3F73">
            <w:pPr>
              <w:spacing w:after="0" w:line="240" w:lineRule="auto"/>
              <w:jc w:val="center"/>
              <w:rPr>
                <w:b/>
                <w:color w:val="000000"/>
                <w:sz w:val="22"/>
                <w:szCs w:val="22"/>
                <w:lang w:val="es-MX"/>
              </w:rPr>
            </w:pPr>
            <w:r w:rsidRPr="00305D32">
              <w:rPr>
                <w:b/>
                <w:color w:val="000000"/>
                <w:sz w:val="22"/>
                <w:szCs w:val="22"/>
                <w:lang w:val="es-MX"/>
              </w:rPr>
              <w:t>2023</w:t>
            </w:r>
          </w:p>
        </w:tc>
        <w:tc>
          <w:tcPr>
            <w:tcW w:w="1678" w:type="dxa"/>
            <w:tcBorders>
              <w:top w:val="single" w:sz="12" w:space="0" w:color="000000"/>
              <w:left w:val="nil"/>
              <w:bottom w:val="single" w:sz="12" w:space="0" w:color="000000"/>
              <w:right w:val="nil"/>
            </w:tcBorders>
            <w:vAlign w:val="center"/>
          </w:tcPr>
          <w:p w14:paraId="3C880915" w14:textId="13309A67" w:rsidR="006A3F73" w:rsidRPr="00305D32" w:rsidRDefault="006A3F73">
            <w:pPr>
              <w:spacing w:after="0" w:line="240" w:lineRule="auto"/>
              <w:jc w:val="center"/>
              <w:rPr>
                <w:b/>
                <w:color w:val="000000"/>
                <w:sz w:val="22"/>
                <w:szCs w:val="22"/>
                <w:lang w:val="es-MX"/>
              </w:rPr>
            </w:pPr>
            <w:r w:rsidRPr="00305D32">
              <w:rPr>
                <w:b/>
                <w:color w:val="000000"/>
                <w:sz w:val="22"/>
                <w:szCs w:val="22"/>
                <w:lang w:val="es-MX"/>
              </w:rPr>
              <w:t>2024</w:t>
            </w:r>
          </w:p>
        </w:tc>
        <w:tc>
          <w:tcPr>
            <w:tcW w:w="1678" w:type="dxa"/>
            <w:tcBorders>
              <w:top w:val="single" w:sz="12" w:space="0" w:color="000000"/>
              <w:left w:val="nil"/>
              <w:bottom w:val="single" w:sz="12" w:space="0" w:color="000000"/>
              <w:right w:val="nil"/>
            </w:tcBorders>
            <w:vAlign w:val="center"/>
          </w:tcPr>
          <w:p w14:paraId="49D14930" w14:textId="318B4CF3" w:rsidR="006A3F73" w:rsidRPr="00305D32" w:rsidRDefault="006A3F73">
            <w:pPr>
              <w:spacing w:after="0" w:line="240" w:lineRule="auto"/>
              <w:jc w:val="center"/>
              <w:rPr>
                <w:b/>
                <w:color w:val="000000"/>
                <w:sz w:val="22"/>
                <w:szCs w:val="22"/>
                <w:lang w:val="es-MX"/>
              </w:rPr>
            </w:pPr>
            <w:r w:rsidRPr="00305D32">
              <w:rPr>
                <w:b/>
                <w:color w:val="000000"/>
                <w:sz w:val="22"/>
                <w:szCs w:val="22"/>
                <w:lang w:val="es-MX"/>
              </w:rPr>
              <w:t>Ene-</w:t>
            </w:r>
            <w:r w:rsidR="00492D34" w:rsidRPr="00305D32">
              <w:rPr>
                <w:b/>
                <w:color w:val="000000"/>
                <w:sz w:val="22"/>
                <w:szCs w:val="22"/>
                <w:lang w:val="es-MX"/>
              </w:rPr>
              <w:t>J</w:t>
            </w:r>
            <w:r w:rsidRPr="00305D32">
              <w:rPr>
                <w:b/>
                <w:color w:val="000000"/>
                <w:sz w:val="22"/>
                <w:szCs w:val="22"/>
                <w:lang w:val="es-MX"/>
              </w:rPr>
              <w:t>ul 202</w:t>
            </w:r>
            <w:r w:rsidR="007A63F9" w:rsidRPr="00305D32">
              <w:rPr>
                <w:b/>
                <w:color w:val="000000"/>
                <w:sz w:val="22"/>
                <w:szCs w:val="22"/>
                <w:lang w:val="es-MX"/>
              </w:rPr>
              <w:t>4</w:t>
            </w:r>
          </w:p>
        </w:tc>
        <w:tc>
          <w:tcPr>
            <w:tcW w:w="1681" w:type="dxa"/>
            <w:tcBorders>
              <w:top w:val="single" w:sz="12" w:space="0" w:color="000000"/>
              <w:left w:val="nil"/>
              <w:bottom w:val="single" w:sz="12" w:space="0" w:color="000000"/>
              <w:right w:val="nil"/>
            </w:tcBorders>
            <w:vAlign w:val="center"/>
          </w:tcPr>
          <w:p w14:paraId="7CF1991D" w14:textId="63851669" w:rsidR="006A3F73" w:rsidRPr="00305D32" w:rsidRDefault="006A3F73">
            <w:pPr>
              <w:spacing w:after="0" w:line="240" w:lineRule="auto"/>
              <w:jc w:val="center"/>
              <w:rPr>
                <w:b/>
                <w:color w:val="000000"/>
                <w:sz w:val="22"/>
                <w:szCs w:val="22"/>
                <w:lang w:val="es-MX"/>
              </w:rPr>
            </w:pPr>
            <w:r w:rsidRPr="00305D32">
              <w:rPr>
                <w:b/>
                <w:color w:val="000000"/>
                <w:sz w:val="22"/>
                <w:szCs w:val="22"/>
                <w:lang w:val="es-MX"/>
              </w:rPr>
              <w:t>Ene-Jul 202</w:t>
            </w:r>
            <w:r w:rsidR="007A63F9" w:rsidRPr="00305D32">
              <w:rPr>
                <w:b/>
                <w:color w:val="000000"/>
                <w:sz w:val="22"/>
                <w:szCs w:val="22"/>
                <w:lang w:val="es-MX"/>
              </w:rPr>
              <w:t>5</w:t>
            </w:r>
          </w:p>
        </w:tc>
      </w:tr>
      <w:tr w:rsidR="006A3F73" w:rsidRPr="00305D32" w14:paraId="434E7CEA" w14:textId="77777777" w:rsidTr="00850F4F">
        <w:trPr>
          <w:trHeight w:val="316"/>
        </w:trPr>
        <w:tc>
          <w:tcPr>
            <w:tcW w:w="8912" w:type="dxa"/>
            <w:gridSpan w:val="5"/>
            <w:tcBorders>
              <w:top w:val="single" w:sz="12" w:space="0" w:color="000000"/>
              <w:left w:val="nil"/>
              <w:bottom w:val="single" w:sz="4" w:space="0" w:color="auto"/>
              <w:right w:val="nil"/>
            </w:tcBorders>
            <w:vAlign w:val="center"/>
          </w:tcPr>
          <w:p w14:paraId="23710EB8" w14:textId="77777777" w:rsidR="006A3F73" w:rsidRPr="00305D32" w:rsidRDefault="006A3F73">
            <w:pPr>
              <w:spacing w:after="0" w:line="240" w:lineRule="auto"/>
              <w:jc w:val="center"/>
              <w:rPr>
                <w:b/>
                <w:bCs/>
                <w:color w:val="000000"/>
                <w:sz w:val="22"/>
                <w:szCs w:val="22"/>
                <w:lang w:val="es-MX"/>
              </w:rPr>
            </w:pPr>
            <w:r w:rsidRPr="00305D32">
              <w:rPr>
                <w:b/>
                <w:bCs/>
                <w:color w:val="000000"/>
                <w:sz w:val="22"/>
                <w:szCs w:val="22"/>
                <w:lang w:val="es-MX"/>
              </w:rPr>
              <w:t>Porcentaje de Ocupación</w:t>
            </w:r>
          </w:p>
        </w:tc>
      </w:tr>
      <w:tr w:rsidR="006A3F73" w:rsidRPr="00305D32" w14:paraId="5C592F71" w14:textId="77777777" w:rsidTr="00850F4F">
        <w:trPr>
          <w:trHeight w:val="287"/>
        </w:trPr>
        <w:tc>
          <w:tcPr>
            <w:tcW w:w="2197" w:type="dxa"/>
            <w:tcBorders>
              <w:top w:val="single" w:sz="4" w:space="0" w:color="auto"/>
              <w:left w:val="nil"/>
              <w:bottom w:val="nil"/>
              <w:right w:val="nil"/>
            </w:tcBorders>
            <w:vAlign w:val="center"/>
          </w:tcPr>
          <w:p w14:paraId="351AEF35" w14:textId="77777777" w:rsidR="006A3F73" w:rsidRPr="00305D32" w:rsidRDefault="006A3F73" w:rsidP="006A3F73">
            <w:pPr>
              <w:spacing w:after="0" w:line="240" w:lineRule="auto"/>
              <w:jc w:val="left"/>
              <w:rPr>
                <w:color w:val="000000"/>
                <w:sz w:val="22"/>
                <w:szCs w:val="22"/>
                <w:lang w:val="es-MX"/>
              </w:rPr>
            </w:pPr>
            <w:r w:rsidRPr="00305D32">
              <w:rPr>
                <w:color w:val="000000"/>
                <w:sz w:val="22"/>
                <w:szCs w:val="22"/>
                <w:lang w:val="es-MX"/>
              </w:rPr>
              <w:t>Total</w:t>
            </w:r>
          </w:p>
        </w:tc>
        <w:tc>
          <w:tcPr>
            <w:tcW w:w="1678" w:type="dxa"/>
            <w:tcBorders>
              <w:top w:val="single" w:sz="4" w:space="0" w:color="auto"/>
              <w:left w:val="nil"/>
              <w:bottom w:val="nil"/>
              <w:right w:val="nil"/>
            </w:tcBorders>
            <w:vAlign w:val="center"/>
          </w:tcPr>
          <w:p w14:paraId="655781B1" w14:textId="40A0F025"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69.86</w:t>
            </w:r>
            <w:r w:rsidR="0019290E">
              <w:rPr>
                <w:color w:val="000000"/>
                <w:sz w:val="22"/>
                <w:szCs w:val="22"/>
                <w:lang w:val="es-MX"/>
              </w:rPr>
              <w:t xml:space="preserve"> %</w:t>
            </w:r>
          </w:p>
        </w:tc>
        <w:tc>
          <w:tcPr>
            <w:tcW w:w="1678" w:type="dxa"/>
            <w:tcBorders>
              <w:top w:val="single" w:sz="4" w:space="0" w:color="auto"/>
              <w:left w:val="nil"/>
              <w:bottom w:val="nil"/>
              <w:right w:val="nil"/>
            </w:tcBorders>
            <w:vAlign w:val="center"/>
          </w:tcPr>
          <w:p w14:paraId="69176167" w14:textId="4CE8EA77"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68.18</w:t>
            </w:r>
            <w:r w:rsidR="0019290E">
              <w:rPr>
                <w:color w:val="000000"/>
                <w:sz w:val="22"/>
                <w:szCs w:val="22"/>
                <w:lang w:val="es-MX"/>
              </w:rPr>
              <w:t xml:space="preserve"> %</w:t>
            </w:r>
          </w:p>
        </w:tc>
        <w:tc>
          <w:tcPr>
            <w:tcW w:w="1678" w:type="dxa"/>
            <w:tcBorders>
              <w:top w:val="single" w:sz="4" w:space="0" w:color="auto"/>
              <w:left w:val="nil"/>
              <w:bottom w:val="nil"/>
              <w:right w:val="nil"/>
            </w:tcBorders>
            <w:vAlign w:val="center"/>
          </w:tcPr>
          <w:p w14:paraId="4100A128" w14:textId="6F49E2CC"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71.60</w:t>
            </w:r>
            <w:r w:rsidR="0019290E">
              <w:rPr>
                <w:color w:val="000000"/>
                <w:sz w:val="22"/>
                <w:szCs w:val="22"/>
                <w:lang w:val="es-MX"/>
              </w:rPr>
              <w:t xml:space="preserve"> %</w:t>
            </w:r>
          </w:p>
        </w:tc>
        <w:tc>
          <w:tcPr>
            <w:tcW w:w="1681" w:type="dxa"/>
            <w:tcBorders>
              <w:top w:val="single" w:sz="4" w:space="0" w:color="auto"/>
              <w:left w:val="nil"/>
              <w:bottom w:val="nil"/>
              <w:right w:val="nil"/>
            </w:tcBorders>
            <w:vAlign w:val="center"/>
          </w:tcPr>
          <w:p w14:paraId="50335538" w14:textId="7A252572"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69.</w:t>
            </w:r>
            <w:r w:rsidR="009D2E70" w:rsidRPr="00305D32">
              <w:rPr>
                <w:color w:val="000000"/>
                <w:sz w:val="22"/>
                <w:szCs w:val="22"/>
                <w:lang w:val="es-MX"/>
              </w:rPr>
              <w:t>27</w:t>
            </w:r>
            <w:r w:rsidR="0019290E">
              <w:rPr>
                <w:color w:val="000000"/>
                <w:sz w:val="22"/>
                <w:szCs w:val="22"/>
                <w:lang w:val="es-MX"/>
              </w:rPr>
              <w:t xml:space="preserve"> %</w:t>
            </w:r>
          </w:p>
        </w:tc>
      </w:tr>
      <w:tr w:rsidR="006A3F73" w:rsidRPr="00305D32" w14:paraId="15DF255B" w14:textId="77777777">
        <w:trPr>
          <w:trHeight w:val="273"/>
        </w:trPr>
        <w:tc>
          <w:tcPr>
            <w:tcW w:w="2197" w:type="dxa"/>
            <w:tcBorders>
              <w:top w:val="nil"/>
              <w:left w:val="nil"/>
              <w:bottom w:val="nil"/>
              <w:right w:val="nil"/>
            </w:tcBorders>
            <w:vAlign w:val="bottom"/>
          </w:tcPr>
          <w:p w14:paraId="647DE3AE" w14:textId="77777777" w:rsidR="006A3F73" w:rsidRPr="00305D32" w:rsidRDefault="006A3F73" w:rsidP="006A3F73">
            <w:pPr>
              <w:spacing w:after="0" w:line="240" w:lineRule="auto"/>
              <w:jc w:val="left"/>
              <w:rPr>
                <w:color w:val="000000"/>
                <w:sz w:val="22"/>
                <w:szCs w:val="22"/>
                <w:lang w:val="es-MX"/>
              </w:rPr>
            </w:pPr>
            <w:r w:rsidRPr="00305D32">
              <w:rPr>
                <w:color w:val="000000"/>
                <w:sz w:val="22"/>
                <w:szCs w:val="22"/>
                <w:lang w:val="es-MX"/>
              </w:rPr>
              <w:t>Akumal</w:t>
            </w:r>
          </w:p>
        </w:tc>
        <w:tc>
          <w:tcPr>
            <w:tcW w:w="1678" w:type="dxa"/>
            <w:tcBorders>
              <w:top w:val="nil"/>
              <w:left w:val="nil"/>
              <w:bottom w:val="nil"/>
              <w:right w:val="nil"/>
            </w:tcBorders>
            <w:vAlign w:val="center"/>
          </w:tcPr>
          <w:p w14:paraId="4C947E0D" w14:textId="5C6304D2"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82.09</w:t>
            </w:r>
            <w:r w:rsidR="0019290E">
              <w:rPr>
                <w:color w:val="000000"/>
                <w:sz w:val="22"/>
                <w:szCs w:val="22"/>
                <w:lang w:val="es-MX"/>
              </w:rPr>
              <w:t xml:space="preserve"> %</w:t>
            </w:r>
          </w:p>
        </w:tc>
        <w:tc>
          <w:tcPr>
            <w:tcW w:w="1678" w:type="dxa"/>
            <w:tcBorders>
              <w:top w:val="nil"/>
              <w:left w:val="nil"/>
              <w:bottom w:val="nil"/>
              <w:right w:val="nil"/>
            </w:tcBorders>
            <w:vAlign w:val="center"/>
          </w:tcPr>
          <w:p w14:paraId="77B48B84" w14:textId="3111CEBE"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79.16</w:t>
            </w:r>
            <w:r w:rsidR="0019290E">
              <w:rPr>
                <w:color w:val="000000"/>
                <w:sz w:val="22"/>
                <w:szCs w:val="22"/>
                <w:lang w:val="es-MX"/>
              </w:rPr>
              <w:t xml:space="preserve"> %</w:t>
            </w:r>
          </w:p>
        </w:tc>
        <w:tc>
          <w:tcPr>
            <w:tcW w:w="1678" w:type="dxa"/>
            <w:tcBorders>
              <w:top w:val="nil"/>
              <w:left w:val="nil"/>
              <w:bottom w:val="nil"/>
              <w:right w:val="nil"/>
            </w:tcBorders>
            <w:vAlign w:val="bottom"/>
          </w:tcPr>
          <w:p w14:paraId="64593C24" w14:textId="795678FD"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81.55</w:t>
            </w:r>
            <w:r w:rsidR="0019290E">
              <w:rPr>
                <w:color w:val="000000"/>
                <w:sz w:val="22"/>
                <w:szCs w:val="22"/>
                <w:lang w:val="es-MX"/>
              </w:rPr>
              <w:t xml:space="preserve"> %</w:t>
            </w:r>
          </w:p>
        </w:tc>
        <w:tc>
          <w:tcPr>
            <w:tcW w:w="1681" w:type="dxa"/>
            <w:tcBorders>
              <w:top w:val="nil"/>
              <w:left w:val="nil"/>
              <w:bottom w:val="nil"/>
              <w:right w:val="nil"/>
            </w:tcBorders>
            <w:vAlign w:val="center"/>
          </w:tcPr>
          <w:p w14:paraId="4E650E37" w14:textId="2DE82E5F"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69.55</w:t>
            </w:r>
            <w:r w:rsidR="0019290E">
              <w:rPr>
                <w:color w:val="000000"/>
                <w:sz w:val="22"/>
                <w:szCs w:val="22"/>
                <w:lang w:val="es-MX"/>
              </w:rPr>
              <w:t xml:space="preserve"> %</w:t>
            </w:r>
          </w:p>
        </w:tc>
      </w:tr>
      <w:tr w:rsidR="006A3F73" w:rsidRPr="00305D32" w14:paraId="75CA504C" w14:textId="77777777">
        <w:trPr>
          <w:trHeight w:val="287"/>
        </w:trPr>
        <w:tc>
          <w:tcPr>
            <w:tcW w:w="2197" w:type="dxa"/>
            <w:tcBorders>
              <w:top w:val="nil"/>
              <w:left w:val="nil"/>
              <w:bottom w:val="nil"/>
              <w:right w:val="nil"/>
            </w:tcBorders>
            <w:vAlign w:val="center"/>
          </w:tcPr>
          <w:p w14:paraId="2CA8D194" w14:textId="77777777" w:rsidR="006A3F73" w:rsidRPr="00305D32" w:rsidRDefault="006A3F73" w:rsidP="006A3F73">
            <w:pPr>
              <w:spacing w:after="0" w:line="240" w:lineRule="auto"/>
              <w:jc w:val="left"/>
              <w:rPr>
                <w:color w:val="000000"/>
                <w:sz w:val="22"/>
                <w:szCs w:val="22"/>
                <w:lang w:val="es-MX"/>
              </w:rPr>
            </w:pPr>
            <w:r w:rsidRPr="00305D32">
              <w:rPr>
                <w:color w:val="000000"/>
                <w:sz w:val="22"/>
                <w:szCs w:val="22"/>
                <w:lang w:val="es-MX"/>
              </w:rPr>
              <w:t xml:space="preserve">Cancún </w:t>
            </w:r>
          </w:p>
        </w:tc>
        <w:tc>
          <w:tcPr>
            <w:tcW w:w="1678" w:type="dxa"/>
            <w:tcBorders>
              <w:top w:val="nil"/>
              <w:left w:val="nil"/>
              <w:bottom w:val="nil"/>
              <w:right w:val="nil"/>
            </w:tcBorders>
            <w:vAlign w:val="center"/>
          </w:tcPr>
          <w:p w14:paraId="637CD31C" w14:textId="3DDF683E"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75.61</w:t>
            </w:r>
            <w:r w:rsidR="0019290E">
              <w:rPr>
                <w:color w:val="000000"/>
                <w:sz w:val="22"/>
                <w:szCs w:val="22"/>
                <w:lang w:val="es-MX"/>
              </w:rPr>
              <w:t xml:space="preserve"> %</w:t>
            </w:r>
          </w:p>
        </w:tc>
        <w:tc>
          <w:tcPr>
            <w:tcW w:w="1678" w:type="dxa"/>
            <w:tcBorders>
              <w:top w:val="nil"/>
              <w:left w:val="nil"/>
              <w:bottom w:val="nil"/>
              <w:right w:val="nil"/>
            </w:tcBorders>
            <w:vAlign w:val="center"/>
          </w:tcPr>
          <w:p w14:paraId="46BBC9CA" w14:textId="568C2A85"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74.00</w:t>
            </w:r>
            <w:r w:rsidR="0019290E">
              <w:rPr>
                <w:color w:val="000000"/>
                <w:sz w:val="22"/>
                <w:szCs w:val="22"/>
                <w:lang w:val="es-MX"/>
              </w:rPr>
              <w:t xml:space="preserve"> %</w:t>
            </w:r>
          </w:p>
        </w:tc>
        <w:tc>
          <w:tcPr>
            <w:tcW w:w="1678" w:type="dxa"/>
            <w:tcBorders>
              <w:top w:val="nil"/>
              <w:left w:val="nil"/>
              <w:bottom w:val="nil"/>
              <w:right w:val="nil"/>
            </w:tcBorders>
            <w:vAlign w:val="center"/>
          </w:tcPr>
          <w:p w14:paraId="2D392473" w14:textId="17CBDCF1"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77.06</w:t>
            </w:r>
            <w:r w:rsidR="0019290E">
              <w:rPr>
                <w:color w:val="000000"/>
                <w:sz w:val="22"/>
                <w:szCs w:val="22"/>
                <w:lang w:val="es-MX"/>
              </w:rPr>
              <w:t xml:space="preserve"> %</w:t>
            </w:r>
          </w:p>
        </w:tc>
        <w:tc>
          <w:tcPr>
            <w:tcW w:w="1681" w:type="dxa"/>
            <w:tcBorders>
              <w:top w:val="nil"/>
              <w:left w:val="nil"/>
              <w:bottom w:val="nil"/>
              <w:right w:val="nil"/>
            </w:tcBorders>
            <w:vAlign w:val="center"/>
          </w:tcPr>
          <w:p w14:paraId="04380FFF" w14:textId="0EBEAD8E"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74.28</w:t>
            </w:r>
            <w:r w:rsidR="0019290E">
              <w:rPr>
                <w:color w:val="000000"/>
                <w:sz w:val="22"/>
                <w:szCs w:val="22"/>
                <w:lang w:val="es-MX"/>
              </w:rPr>
              <w:t xml:space="preserve"> %</w:t>
            </w:r>
          </w:p>
        </w:tc>
      </w:tr>
      <w:tr w:rsidR="006A3F73" w:rsidRPr="00305D32" w14:paraId="675F7D3C" w14:textId="77777777">
        <w:trPr>
          <w:trHeight w:val="273"/>
        </w:trPr>
        <w:tc>
          <w:tcPr>
            <w:tcW w:w="2197" w:type="dxa"/>
            <w:tcBorders>
              <w:top w:val="nil"/>
              <w:left w:val="nil"/>
              <w:bottom w:val="nil"/>
              <w:right w:val="nil"/>
            </w:tcBorders>
            <w:vAlign w:val="center"/>
          </w:tcPr>
          <w:p w14:paraId="6D776952" w14:textId="77777777" w:rsidR="006A3F73" w:rsidRPr="00305D32" w:rsidRDefault="006A3F73" w:rsidP="006A3F73">
            <w:pPr>
              <w:spacing w:after="0" w:line="240" w:lineRule="auto"/>
              <w:jc w:val="left"/>
              <w:rPr>
                <w:color w:val="000000"/>
                <w:sz w:val="22"/>
                <w:szCs w:val="22"/>
                <w:lang w:val="es-MX"/>
              </w:rPr>
            </w:pPr>
            <w:r w:rsidRPr="00305D32">
              <w:rPr>
                <w:color w:val="000000"/>
                <w:sz w:val="22"/>
                <w:szCs w:val="22"/>
                <w:lang w:val="es-MX"/>
              </w:rPr>
              <w:t>Cozumel</w:t>
            </w:r>
          </w:p>
        </w:tc>
        <w:tc>
          <w:tcPr>
            <w:tcW w:w="1678" w:type="dxa"/>
            <w:tcBorders>
              <w:top w:val="nil"/>
              <w:left w:val="nil"/>
              <w:bottom w:val="nil"/>
              <w:right w:val="nil"/>
            </w:tcBorders>
            <w:vAlign w:val="center"/>
          </w:tcPr>
          <w:p w14:paraId="1910566B" w14:textId="6F8B21CD"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51.32</w:t>
            </w:r>
            <w:r w:rsidR="0019290E">
              <w:rPr>
                <w:color w:val="000000"/>
                <w:sz w:val="22"/>
                <w:szCs w:val="22"/>
                <w:lang w:val="es-MX"/>
              </w:rPr>
              <w:t xml:space="preserve"> %</w:t>
            </w:r>
          </w:p>
        </w:tc>
        <w:tc>
          <w:tcPr>
            <w:tcW w:w="1678" w:type="dxa"/>
            <w:tcBorders>
              <w:top w:val="nil"/>
              <w:left w:val="nil"/>
              <w:bottom w:val="nil"/>
              <w:right w:val="nil"/>
            </w:tcBorders>
            <w:vAlign w:val="center"/>
          </w:tcPr>
          <w:p w14:paraId="22D00271" w14:textId="61574694"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50.32</w:t>
            </w:r>
            <w:r w:rsidR="0019290E">
              <w:rPr>
                <w:color w:val="000000"/>
                <w:sz w:val="22"/>
                <w:szCs w:val="22"/>
                <w:lang w:val="es-MX"/>
              </w:rPr>
              <w:t xml:space="preserve"> %</w:t>
            </w:r>
          </w:p>
        </w:tc>
        <w:tc>
          <w:tcPr>
            <w:tcW w:w="1678" w:type="dxa"/>
            <w:tcBorders>
              <w:top w:val="nil"/>
              <w:left w:val="nil"/>
              <w:bottom w:val="nil"/>
              <w:right w:val="nil"/>
            </w:tcBorders>
            <w:vAlign w:val="center"/>
          </w:tcPr>
          <w:p w14:paraId="20FA6C0A" w14:textId="3FF06EEC"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54.50</w:t>
            </w:r>
            <w:r w:rsidR="0019290E">
              <w:rPr>
                <w:color w:val="000000"/>
                <w:sz w:val="22"/>
                <w:szCs w:val="22"/>
                <w:lang w:val="es-MX"/>
              </w:rPr>
              <w:t xml:space="preserve"> %</w:t>
            </w:r>
          </w:p>
        </w:tc>
        <w:tc>
          <w:tcPr>
            <w:tcW w:w="1681" w:type="dxa"/>
            <w:tcBorders>
              <w:top w:val="nil"/>
              <w:left w:val="nil"/>
              <w:bottom w:val="nil"/>
              <w:right w:val="nil"/>
            </w:tcBorders>
            <w:vAlign w:val="center"/>
          </w:tcPr>
          <w:p w14:paraId="420F7DF2" w14:textId="6882CC74"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57.47</w:t>
            </w:r>
            <w:r w:rsidR="0019290E">
              <w:rPr>
                <w:color w:val="000000"/>
                <w:sz w:val="22"/>
                <w:szCs w:val="22"/>
                <w:lang w:val="es-MX"/>
              </w:rPr>
              <w:t xml:space="preserve"> %</w:t>
            </w:r>
          </w:p>
        </w:tc>
      </w:tr>
      <w:tr w:rsidR="006A3F73" w:rsidRPr="00305D32" w14:paraId="209DAD8E" w14:textId="77777777">
        <w:trPr>
          <w:trHeight w:val="273"/>
        </w:trPr>
        <w:tc>
          <w:tcPr>
            <w:tcW w:w="2197" w:type="dxa"/>
            <w:tcBorders>
              <w:top w:val="nil"/>
              <w:left w:val="nil"/>
              <w:bottom w:val="nil"/>
              <w:right w:val="nil"/>
            </w:tcBorders>
            <w:vAlign w:val="center"/>
          </w:tcPr>
          <w:p w14:paraId="55545C35" w14:textId="77777777" w:rsidR="006A3F73" w:rsidRPr="00305D32" w:rsidRDefault="006A3F73" w:rsidP="006A3F73">
            <w:pPr>
              <w:spacing w:after="0" w:line="240" w:lineRule="auto"/>
              <w:jc w:val="left"/>
              <w:rPr>
                <w:color w:val="000000"/>
                <w:sz w:val="22"/>
                <w:szCs w:val="22"/>
                <w:lang w:val="es-MX"/>
              </w:rPr>
            </w:pPr>
            <w:r w:rsidRPr="00305D32">
              <w:rPr>
                <w:color w:val="000000"/>
                <w:sz w:val="22"/>
                <w:szCs w:val="22"/>
                <w:lang w:val="es-MX"/>
              </w:rPr>
              <w:t>Isla Mujeres</w:t>
            </w:r>
          </w:p>
        </w:tc>
        <w:tc>
          <w:tcPr>
            <w:tcW w:w="1678" w:type="dxa"/>
            <w:tcBorders>
              <w:top w:val="nil"/>
              <w:left w:val="nil"/>
              <w:bottom w:val="nil"/>
              <w:right w:val="nil"/>
            </w:tcBorders>
            <w:vAlign w:val="center"/>
          </w:tcPr>
          <w:p w14:paraId="20624F4C" w14:textId="4A6E0E1B"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56.28</w:t>
            </w:r>
            <w:r w:rsidR="0019290E">
              <w:rPr>
                <w:color w:val="000000"/>
                <w:sz w:val="22"/>
                <w:szCs w:val="22"/>
                <w:lang w:val="es-MX"/>
              </w:rPr>
              <w:t xml:space="preserve"> %</w:t>
            </w:r>
          </w:p>
        </w:tc>
        <w:tc>
          <w:tcPr>
            <w:tcW w:w="1678" w:type="dxa"/>
            <w:tcBorders>
              <w:top w:val="nil"/>
              <w:left w:val="nil"/>
              <w:bottom w:val="nil"/>
              <w:right w:val="nil"/>
            </w:tcBorders>
            <w:vAlign w:val="center"/>
          </w:tcPr>
          <w:p w14:paraId="7688DB9E" w14:textId="1716C92F"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48.22</w:t>
            </w:r>
            <w:r w:rsidR="0019290E">
              <w:rPr>
                <w:color w:val="000000"/>
                <w:sz w:val="22"/>
                <w:szCs w:val="22"/>
                <w:lang w:val="es-MX"/>
              </w:rPr>
              <w:t xml:space="preserve"> %</w:t>
            </w:r>
          </w:p>
        </w:tc>
        <w:tc>
          <w:tcPr>
            <w:tcW w:w="1678" w:type="dxa"/>
            <w:tcBorders>
              <w:top w:val="nil"/>
              <w:left w:val="nil"/>
              <w:bottom w:val="nil"/>
              <w:right w:val="nil"/>
            </w:tcBorders>
            <w:vAlign w:val="center"/>
          </w:tcPr>
          <w:p w14:paraId="7B5E2166" w14:textId="4B183AE4"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53.21</w:t>
            </w:r>
            <w:r w:rsidR="0019290E">
              <w:rPr>
                <w:color w:val="000000"/>
                <w:sz w:val="22"/>
                <w:szCs w:val="22"/>
                <w:lang w:val="es-MX"/>
              </w:rPr>
              <w:t xml:space="preserve"> %</w:t>
            </w:r>
          </w:p>
        </w:tc>
        <w:tc>
          <w:tcPr>
            <w:tcW w:w="1681" w:type="dxa"/>
            <w:tcBorders>
              <w:top w:val="nil"/>
              <w:left w:val="nil"/>
              <w:bottom w:val="nil"/>
              <w:right w:val="nil"/>
            </w:tcBorders>
            <w:vAlign w:val="center"/>
          </w:tcPr>
          <w:p w14:paraId="6534408F" w14:textId="17B28CE1"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56.72</w:t>
            </w:r>
            <w:r w:rsidR="0019290E">
              <w:rPr>
                <w:color w:val="000000"/>
                <w:sz w:val="22"/>
                <w:szCs w:val="22"/>
                <w:lang w:val="es-MX"/>
              </w:rPr>
              <w:t xml:space="preserve"> %</w:t>
            </w:r>
          </w:p>
        </w:tc>
      </w:tr>
      <w:tr w:rsidR="006A3F73" w:rsidRPr="00305D32" w14:paraId="2E5898C4" w14:textId="77777777">
        <w:trPr>
          <w:trHeight w:val="287"/>
        </w:trPr>
        <w:tc>
          <w:tcPr>
            <w:tcW w:w="2197" w:type="dxa"/>
            <w:tcBorders>
              <w:top w:val="nil"/>
              <w:left w:val="nil"/>
              <w:bottom w:val="nil"/>
              <w:right w:val="nil"/>
            </w:tcBorders>
            <w:vAlign w:val="center"/>
          </w:tcPr>
          <w:p w14:paraId="5C17E0DF" w14:textId="77777777" w:rsidR="006A3F73" w:rsidRPr="00305D32" w:rsidRDefault="006A3F73" w:rsidP="006A3F73">
            <w:pPr>
              <w:spacing w:after="0" w:line="240" w:lineRule="auto"/>
              <w:jc w:val="left"/>
              <w:rPr>
                <w:color w:val="000000"/>
                <w:sz w:val="22"/>
                <w:szCs w:val="22"/>
                <w:lang w:val="es-MX"/>
              </w:rPr>
            </w:pPr>
            <w:r w:rsidRPr="00305D32">
              <w:rPr>
                <w:color w:val="000000"/>
                <w:sz w:val="22"/>
                <w:szCs w:val="22"/>
                <w:lang w:val="es-MX"/>
              </w:rPr>
              <w:t>Playa del Carmen</w:t>
            </w:r>
          </w:p>
        </w:tc>
        <w:tc>
          <w:tcPr>
            <w:tcW w:w="1678" w:type="dxa"/>
            <w:tcBorders>
              <w:top w:val="nil"/>
              <w:left w:val="nil"/>
              <w:bottom w:val="nil"/>
              <w:right w:val="nil"/>
            </w:tcBorders>
            <w:vAlign w:val="center"/>
          </w:tcPr>
          <w:p w14:paraId="1B1AC55F" w14:textId="3F48DBB0"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69.67</w:t>
            </w:r>
            <w:r w:rsidR="0019290E">
              <w:rPr>
                <w:color w:val="000000"/>
                <w:sz w:val="22"/>
                <w:szCs w:val="22"/>
                <w:lang w:val="es-MX"/>
              </w:rPr>
              <w:t xml:space="preserve"> %</w:t>
            </w:r>
          </w:p>
        </w:tc>
        <w:tc>
          <w:tcPr>
            <w:tcW w:w="1678" w:type="dxa"/>
            <w:tcBorders>
              <w:top w:val="nil"/>
              <w:left w:val="nil"/>
              <w:bottom w:val="nil"/>
              <w:right w:val="nil"/>
            </w:tcBorders>
            <w:vAlign w:val="center"/>
          </w:tcPr>
          <w:p w14:paraId="6D1298BD" w14:textId="28E3160E"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70.07</w:t>
            </w:r>
            <w:r w:rsidR="0019290E">
              <w:rPr>
                <w:color w:val="000000"/>
                <w:sz w:val="22"/>
                <w:szCs w:val="22"/>
                <w:lang w:val="es-MX"/>
              </w:rPr>
              <w:t xml:space="preserve"> %</w:t>
            </w:r>
          </w:p>
        </w:tc>
        <w:tc>
          <w:tcPr>
            <w:tcW w:w="1678" w:type="dxa"/>
            <w:tcBorders>
              <w:top w:val="nil"/>
              <w:left w:val="nil"/>
              <w:bottom w:val="nil"/>
              <w:right w:val="nil"/>
            </w:tcBorders>
            <w:vAlign w:val="center"/>
          </w:tcPr>
          <w:p w14:paraId="7D7A7295" w14:textId="4F712FAC"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74.33</w:t>
            </w:r>
            <w:r w:rsidR="0019290E">
              <w:rPr>
                <w:color w:val="000000"/>
                <w:sz w:val="22"/>
                <w:szCs w:val="22"/>
                <w:lang w:val="es-MX"/>
              </w:rPr>
              <w:t xml:space="preserve"> %</w:t>
            </w:r>
          </w:p>
        </w:tc>
        <w:tc>
          <w:tcPr>
            <w:tcW w:w="1681" w:type="dxa"/>
            <w:tcBorders>
              <w:top w:val="nil"/>
              <w:left w:val="nil"/>
              <w:bottom w:val="nil"/>
              <w:right w:val="nil"/>
            </w:tcBorders>
            <w:vAlign w:val="center"/>
          </w:tcPr>
          <w:p w14:paraId="5D8ABBEF" w14:textId="33419689"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72.23</w:t>
            </w:r>
            <w:r w:rsidR="0019290E">
              <w:rPr>
                <w:color w:val="000000"/>
                <w:sz w:val="22"/>
                <w:szCs w:val="22"/>
                <w:lang w:val="es-MX"/>
              </w:rPr>
              <w:t xml:space="preserve"> %</w:t>
            </w:r>
          </w:p>
        </w:tc>
      </w:tr>
      <w:tr w:rsidR="006A3F73" w:rsidRPr="00305D32" w14:paraId="37B007DD" w14:textId="77777777" w:rsidTr="00850F4F">
        <w:trPr>
          <w:trHeight w:val="287"/>
        </w:trPr>
        <w:tc>
          <w:tcPr>
            <w:tcW w:w="2197" w:type="dxa"/>
            <w:tcBorders>
              <w:top w:val="nil"/>
              <w:left w:val="nil"/>
              <w:bottom w:val="single" w:sz="4" w:space="0" w:color="auto"/>
              <w:right w:val="nil"/>
            </w:tcBorders>
            <w:vAlign w:val="center"/>
          </w:tcPr>
          <w:p w14:paraId="17E961FC" w14:textId="77777777" w:rsidR="006A3F73" w:rsidRPr="00305D32" w:rsidRDefault="006A3F73" w:rsidP="006A3F73">
            <w:pPr>
              <w:spacing w:after="0" w:line="240" w:lineRule="auto"/>
              <w:jc w:val="left"/>
              <w:rPr>
                <w:color w:val="000000"/>
                <w:sz w:val="22"/>
                <w:szCs w:val="22"/>
                <w:lang w:val="es-MX"/>
              </w:rPr>
            </w:pPr>
            <w:r w:rsidRPr="00305D32">
              <w:rPr>
                <w:color w:val="000000"/>
                <w:sz w:val="22"/>
                <w:szCs w:val="22"/>
                <w:lang w:val="es-MX"/>
              </w:rPr>
              <w:t>Playacar</w:t>
            </w:r>
          </w:p>
        </w:tc>
        <w:tc>
          <w:tcPr>
            <w:tcW w:w="1678" w:type="dxa"/>
            <w:tcBorders>
              <w:top w:val="nil"/>
              <w:left w:val="nil"/>
              <w:bottom w:val="single" w:sz="4" w:space="0" w:color="auto"/>
              <w:right w:val="nil"/>
            </w:tcBorders>
            <w:vAlign w:val="center"/>
          </w:tcPr>
          <w:p w14:paraId="6F60BEA9" w14:textId="7B4F5EBA"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84.18</w:t>
            </w:r>
            <w:r w:rsidR="0019290E">
              <w:rPr>
                <w:color w:val="000000"/>
                <w:sz w:val="22"/>
                <w:szCs w:val="22"/>
                <w:lang w:val="es-MX"/>
              </w:rPr>
              <w:t xml:space="preserve"> %</w:t>
            </w:r>
          </w:p>
        </w:tc>
        <w:tc>
          <w:tcPr>
            <w:tcW w:w="1678" w:type="dxa"/>
            <w:tcBorders>
              <w:top w:val="nil"/>
              <w:left w:val="nil"/>
              <w:bottom w:val="single" w:sz="4" w:space="0" w:color="auto"/>
              <w:right w:val="nil"/>
            </w:tcBorders>
            <w:vAlign w:val="center"/>
          </w:tcPr>
          <w:p w14:paraId="6D7F497C" w14:textId="1230F895"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87.29</w:t>
            </w:r>
            <w:r w:rsidR="0019290E">
              <w:rPr>
                <w:color w:val="000000"/>
                <w:sz w:val="22"/>
                <w:szCs w:val="22"/>
                <w:lang w:val="es-MX"/>
              </w:rPr>
              <w:t xml:space="preserve"> %</w:t>
            </w:r>
          </w:p>
        </w:tc>
        <w:tc>
          <w:tcPr>
            <w:tcW w:w="1678" w:type="dxa"/>
            <w:tcBorders>
              <w:top w:val="nil"/>
              <w:left w:val="nil"/>
              <w:bottom w:val="single" w:sz="4" w:space="0" w:color="auto"/>
              <w:right w:val="nil"/>
            </w:tcBorders>
            <w:vAlign w:val="center"/>
          </w:tcPr>
          <w:p w14:paraId="4733100F" w14:textId="214CF0AA"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88.95</w:t>
            </w:r>
            <w:r w:rsidR="0019290E">
              <w:rPr>
                <w:color w:val="000000"/>
                <w:sz w:val="22"/>
                <w:szCs w:val="22"/>
                <w:lang w:val="es-MX"/>
              </w:rPr>
              <w:t xml:space="preserve"> %</w:t>
            </w:r>
          </w:p>
        </w:tc>
        <w:tc>
          <w:tcPr>
            <w:tcW w:w="1681" w:type="dxa"/>
            <w:tcBorders>
              <w:top w:val="nil"/>
              <w:left w:val="nil"/>
              <w:bottom w:val="single" w:sz="4" w:space="0" w:color="auto"/>
              <w:right w:val="nil"/>
            </w:tcBorders>
            <w:vAlign w:val="center"/>
          </w:tcPr>
          <w:p w14:paraId="0CFBEC97" w14:textId="2773BEDD"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85.36</w:t>
            </w:r>
            <w:r w:rsidR="0019290E">
              <w:rPr>
                <w:color w:val="000000"/>
                <w:sz w:val="22"/>
                <w:szCs w:val="22"/>
                <w:lang w:val="es-MX"/>
              </w:rPr>
              <w:t xml:space="preserve"> %</w:t>
            </w:r>
          </w:p>
        </w:tc>
      </w:tr>
      <w:tr w:rsidR="006A3F73" w:rsidRPr="00305D32" w14:paraId="367662F8" w14:textId="77777777" w:rsidTr="00850F4F">
        <w:trPr>
          <w:trHeight w:val="301"/>
        </w:trPr>
        <w:tc>
          <w:tcPr>
            <w:tcW w:w="8912" w:type="dxa"/>
            <w:gridSpan w:val="5"/>
            <w:tcBorders>
              <w:top w:val="single" w:sz="4" w:space="0" w:color="auto"/>
              <w:left w:val="nil"/>
              <w:bottom w:val="single" w:sz="4" w:space="0" w:color="auto"/>
              <w:right w:val="nil"/>
            </w:tcBorders>
            <w:vAlign w:val="center"/>
          </w:tcPr>
          <w:p w14:paraId="772A8D29" w14:textId="77777777" w:rsidR="006A3F73" w:rsidRPr="00305D32" w:rsidRDefault="006A3F73">
            <w:pPr>
              <w:spacing w:after="0" w:line="240" w:lineRule="auto"/>
              <w:jc w:val="center"/>
              <w:rPr>
                <w:b/>
                <w:bCs/>
                <w:color w:val="000000"/>
                <w:sz w:val="22"/>
                <w:szCs w:val="22"/>
                <w:lang w:val="es-MX"/>
              </w:rPr>
            </w:pPr>
            <w:r w:rsidRPr="00305D32">
              <w:rPr>
                <w:b/>
                <w:bCs/>
                <w:color w:val="000000"/>
                <w:sz w:val="22"/>
                <w:szCs w:val="22"/>
                <w:lang w:val="es-MX"/>
              </w:rPr>
              <w:t>Turistas</w:t>
            </w:r>
          </w:p>
        </w:tc>
      </w:tr>
      <w:tr w:rsidR="006A3F73" w:rsidRPr="00305D32" w14:paraId="3FB6B2E0" w14:textId="77777777" w:rsidTr="00850F4F">
        <w:trPr>
          <w:trHeight w:val="301"/>
        </w:trPr>
        <w:tc>
          <w:tcPr>
            <w:tcW w:w="2197" w:type="dxa"/>
            <w:tcBorders>
              <w:top w:val="single" w:sz="4" w:space="0" w:color="auto"/>
              <w:left w:val="nil"/>
              <w:bottom w:val="nil"/>
              <w:right w:val="nil"/>
            </w:tcBorders>
            <w:vAlign w:val="bottom"/>
          </w:tcPr>
          <w:p w14:paraId="76BF8E58" w14:textId="77777777" w:rsidR="006A3F73" w:rsidRPr="00305D32" w:rsidRDefault="006A3F73" w:rsidP="006A3F73">
            <w:pPr>
              <w:spacing w:after="0" w:line="240" w:lineRule="auto"/>
              <w:jc w:val="left"/>
              <w:rPr>
                <w:color w:val="000000"/>
                <w:sz w:val="22"/>
                <w:szCs w:val="22"/>
                <w:lang w:val="es-MX"/>
              </w:rPr>
            </w:pPr>
            <w:r w:rsidRPr="00305D32">
              <w:rPr>
                <w:color w:val="000000"/>
                <w:sz w:val="22"/>
                <w:szCs w:val="22"/>
                <w:lang w:val="es-MX"/>
              </w:rPr>
              <w:t>Total</w:t>
            </w:r>
          </w:p>
        </w:tc>
        <w:tc>
          <w:tcPr>
            <w:tcW w:w="1678" w:type="dxa"/>
            <w:tcBorders>
              <w:top w:val="single" w:sz="4" w:space="0" w:color="auto"/>
              <w:left w:val="nil"/>
              <w:bottom w:val="nil"/>
              <w:right w:val="nil"/>
            </w:tcBorders>
            <w:vAlign w:val="center"/>
          </w:tcPr>
          <w:p w14:paraId="2DC4C666" w14:textId="5595D3B0"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10,631,599</w:t>
            </w:r>
          </w:p>
        </w:tc>
        <w:tc>
          <w:tcPr>
            <w:tcW w:w="1678" w:type="dxa"/>
            <w:tcBorders>
              <w:top w:val="single" w:sz="4" w:space="0" w:color="auto"/>
              <w:left w:val="nil"/>
              <w:bottom w:val="nil"/>
              <w:right w:val="nil"/>
            </w:tcBorders>
            <w:vAlign w:val="center"/>
          </w:tcPr>
          <w:p w14:paraId="70FBF76A" w14:textId="0769A28C"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10,433,055</w:t>
            </w:r>
          </w:p>
        </w:tc>
        <w:tc>
          <w:tcPr>
            <w:tcW w:w="1678" w:type="dxa"/>
            <w:tcBorders>
              <w:top w:val="single" w:sz="4" w:space="0" w:color="auto"/>
              <w:left w:val="nil"/>
              <w:bottom w:val="nil"/>
              <w:right w:val="nil"/>
            </w:tcBorders>
            <w:vAlign w:val="center"/>
          </w:tcPr>
          <w:p w14:paraId="0D4F9ED6" w14:textId="711F6168"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6,338,701</w:t>
            </w:r>
          </w:p>
        </w:tc>
        <w:tc>
          <w:tcPr>
            <w:tcW w:w="1681" w:type="dxa"/>
            <w:tcBorders>
              <w:top w:val="single" w:sz="4" w:space="0" w:color="auto"/>
              <w:left w:val="nil"/>
              <w:bottom w:val="nil"/>
              <w:right w:val="nil"/>
            </w:tcBorders>
            <w:vAlign w:val="center"/>
          </w:tcPr>
          <w:p w14:paraId="428D3F00" w14:textId="380A3C37" w:rsidR="006A3F73" w:rsidRPr="00305D32" w:rsidRDefault="009D2E70" w:rsidP="00850F4F">
            <w:pPr>
              <w:spacing w:after="0" w:line="240" w:lineRule="auto"/>
              <w:jc w:val="right"/>
              <w:rPr>
                <w:color w:val="000000"/>
                <w:sz w:val="22"/>
                <w:szCs w:val="22"/>
                <w:lang w:val="es-MX"/>
              </w:rPr>
            </w:pPr>
            <w:r w:rsidRPr="00305D32">
              <w:rPr>
                <w:color w:val="000000"/>
                <w:sz w:val="22"/>
                <w:szCs w:val="22"/>
                <w:lang w:val="es-MX"/>
              </w:rPr>
              <w:t>6</w:t>
            </w:r>
            <w:r w:rsidR="006A3F73" w:rsidRPr="00305D32">
              <w:rPr>
                <w:color w:val="000000"/>
                <w:sz w:val="22"/>
                <w:szCs w:val="22"/>
                <w:lang w:val="es-MX"/>
              </w:rPr>
              <w:t>,</w:t>
            </w:r>
            <w:r w:rsidRPr="00305D32">
              <w:rPr>
                <w:color w:val="000000"/>
                <w:sz w:val="22"/>
                <w:szCs w:val="22"/>
                <w:lang w:val="es-MX"/>
              </w:rPr>
              <w:t>006</w:t>
            </w:r>
            <w:r w:rsidR="006A3F73" w:rsidRPr="00305D32">
              <w:rPr>
                <w:color w:val="000000"/>
                <w:sz w:val="22"/>
                <w:szCs w:val="22"/>
                <w:lang w:val="es-MX"/>
              </w:rPr>
              <w:t>,</w:t>
            </w:r>
            <w:r w:rsidRPr="00305D32">
              <w:rPr>
                <w:color w:val="000000"/>
                <w:sz w:val="22"/>
                <w:szCs w:val="22"/>
                <w:lang w:val="es-MX"/>
              </w:rPr>
              <w:t>681</w:t>
            </w:r>
          </w:p>
        </w:tc>
      </w:tr>
      <w:tr w:rsidR="006A3F73" w:rsidRPr="00305D32" w14:paraId="5C0554B3" w14:textId="77777777">
        <w:trPr>
          <w:trHeight w:val="273"/>
        </w:trPr>
        <w:tc>
          <w:tcPr>
            <w:tcW w:w="2197" w:type="dxa"/>
            <w:tcBorders>
              <w:top w:val="nil"/>
              <w:left w:val="nil"/>
              <w:bottom w:val="nil"/>
              <w:right w:val="nil"/>
            </w:tcBorders>
            <w:vAlign w:val="center"/>
          </w:tcPr>
          <w:p w14:paraId="5EF906FA" w14:textId="77777777" w:rsidR="006A3F73" w:rsidRPr="00305D32" w:rsidRDefault="006A3F73" w:rsidP="006A3F73">
            <w:pPr>
              <w:spacing w:after="0" w:line="240" w:lineRule="auto"/>
              <w:jc w:val="left"/>
              <w:rPr>
                <w:color w:val="000000"/>
                <w:sz w:val="22"/>
                <w:szCs w:val="22"/>
                <w:lang w:val="es-MX"/>
              </w:rPr>
            </w:pPr>
            <w:r w:rsidRPr="00305D32">
              <w:rPr>
                <w:color w:val="000000"/>
                <w:sz w:val="22"/>
                <w:szCs w:val="22"/>
                <w:lang w:val="es-MX"/>
              </w:rPr>
              <w:t>Akumal</w:t>
            </w:r>
          </w:p>
        </w:tc>
        <w:tc>
          <w:tcPr>
            <w:tcW w:w="1678" w:type="dxa"/>
            <w:tcBorders>
              <w:top w:val="nil"/>
              <w:left w:val="nil"/>
              <w:bottom w:val="nil"/>
              <w:right w:val="nil"/>
            </w:tcBorders>
            <w:vAlign w:val="center"/>
          </w:tcPr>
          <w:p w14:paraId="128D893A" w14:textId="0B679CE0"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433,083</w:t>
            </w:r>
          </w:p>
        </w:tc>
        <w:tc>
          <w:tcPr>
            <w:tcW w:w="1678" w:type="dxa"/>
            <w:tcBorders>
              <w:top w:val="nil"/>
              <w:left w:val="nil"/>
              <w:bottom w:val="nil"/>
              <w:right w:val="nil"/>
            </w:tcBorders>
            <w:vAlign w:val="center"/>
          </w:tcPr>
          <w:p w14:paraId="5AD638D5" w14:textId="08949C08"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419,528</w:t>
            </w:r>
          </w:p>
        </w:tc>
        <w:tc>
          <w:tcPr>
            <w:tcW w:w="1678" w:type="dxa"/>
            <w:tcBorders>
              <w:top w:val="nil"/>
              <w:left w:val="nil"/>
              <w:bottom w:val="nil"/>
              <w:right w:val="nil"/>
            </w:tcBorders>
            <w:vAlign w:val="center"/>
          </w:tcPr>
          <w:p w14:paraId="674F1726" w14:textId="56745CA5"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246,486</w:t>
            </w:r>
          </w:p>
        </w:tc>
        <w:tc>
          <w:tcPr>
            <w:tcW w:w="1681" w:type="dxa"/>
            <w:tcBorders>
              <w:top w:val="nil"/>
              <w:left w:val="nil"/>
              <w:bottom w:val="nil"/>
              <w:right w:val="nil"/>
            </w:tcBorders>
            <w:vAlign w:val="center"/>
          </w:tcPr>
          <w:p w14:paraId="6037E97D" w14:textId="07DABAAA"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203,747</w:t>
            </w:r>
          </w:p>
        </w:tc>
      </w:tr>
      <w:tr w:rsidR="006A3F73" w:rsidRPr="00305D32" w14:paraId="6286AF04" w14:textId="77777777">
        <w:trPr>
          <w:trHeight w:val="273"/>
        </w:trPr>
        <w:tc>
          <w:tcPr>
            <w:tcW w:w="2197" w:type="dxa"/>
            <w:tcBorders>
              <w:top w:val="nil"/>
              <w:left w:val="nil"/>
              <w:bottom w:val="nil"/>
              <w:right w:val="nil"/>
            </w:tcBorders>
            <w:vAlign w:val="center"/>
          </w:tcPr>
          <w:p w14:paraId="538F2D45" w14:textId="77777777" w:rsidR="006A3F73" w:rsidRPr="00305D32" w:rsidRDefault="006A3F73" w:rsidP="006A3F73">
            <w:pPr>
              <w:spacing w:after="0" w:line="240" w:lineRule="auto"/>
              <w:jc w:val="left"/>
              <w:rPr>
                <w:color w:val="000000"/>
                <w:sz w:val="22"/>
                <w:szCs w:val="22"/>
                <w:lang w:val="es-MX"/>
              </w:rPr>
            </w:pPr>
            <w:r w:rsidRPr="00305D32">
              <w:rPr>
                <w:color w:val="000000"/>
                <w:sz w:val="22"/>
                <w:szCs w:val="22"/>
                <w:lang w:val="es-MX"/>
              </w:rPr>
              <w:t xml:space="preserve">Cancún </w:t>
            </w:r>
          </w:p>
        </w:tc>
        <w:tc>
          <w:tcPr>
            <w:tcW w:w="1678" w:type="dxa"/>
            <w:tcBorders>
              <w:top w:val="nil"/>
              <w:left w:val="nil"/>
              <w:bottom w:val="nil"/>
              <w:right w:val="nil"/>
            </w:tcBorders>
            <w:vAlign w:val="center"/>
          </w:tcPr>
          <w:p w14:paraId="36C88C87" w14:textId="62387E26"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6,973,416</w:t>
            </w:r>
          </w:p>
        </w:tc>
        <w:tc>
          <w:tcPr>
            <w:tcW w:w="1678" w:type="dxa"/>
            <w:tcBorders>
              <w:top w:val="nil"/>
              <w:left w:val="nil"/>
              <w:bottom w:val="nil"/>
              <w:right w:val="nil"/>
            </w:tcBorders>
            <w:vAlign w:val="center"/>
          </w:tcPr>
          <w:p w14:paraId="46C3F66D" w14:textId="11B89EB4"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6,788,296</w:t>
            </w:r>
          </w:p>
        </w:tc>
        <w:tc>
          <w:tcPr>
            <w:tcW w:w="1678" w:type="dxa"/>
            <w:tcBorders>
              <w:top w:val="nil"/>
              <w:left w:val="nil"/>
              <w:bottom w:val="nil"/>
              <w:right w:val="nil"/>
            </w:tcBorders>
            <w:vAlign w:val="center"/>
          </w:tcPr>
          <w:p w14:paraId="66D19634" w14:textId="3772B988"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4,107,256</w:t>
            </w:r>
          </w:p>
        </w:tc>
        <w:tc>
          <w:tcPr>
            <w:tcW w:w="1681" w:type="dxa"/>
            <w:tcBorders>
              <w:top w:val="nil"/>
              <w:left w:val="nil"/>
              <w:bottom w:val="nil"/>
              <w:right w:val="nil"/>
            </w:tcBorders>
            <w:vAlign w:val="center"/>
          </w:tcPr>
          <w:p w14:paraId="117C243B" w14:textId="4A7C8EF3"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3,910,124</w:t>
            </w:r>
          </w:p>
        </w:tc>
      </w:tr>
      <w:tr w:rsidR="006A3F73" w:rsidRPr="00305D32" w14:paraId="45903E48" w14:textId="77777777">
        <w:trPr>
          <w:trHeight w:val="287"/>
        </w:trPr>
        <w:tc>
          <w:tcPr>
            <w:tcW w:w="2197" w:type="dxa"/>
            <w:tcBorders>
              <w:top w:val="nil"/>
              <w:left w:val="nil"/>
              <w:bottom w:val="nil"/>
              <w:right w:val="nil"/>
            </w:tcBorders>
            <w:vAlign w:val="center"/>
          </w:tcPr>
          <w:p w14:paraId="63F52682" w14:textId="77777777" w:rsidR="006A3F73" w:rsidRPr="00305D32" w:rsidRDefault="006A3F73" w:rsidP="006A3F73">
            <w:pPr>
              <w:spacing w:after="0" w:line="240" w:lineRule="auto"/>
              <w:jc w:val="left"/>
              <w:rPr>
                <w:color w:val="000000"/>
                <w:sz w:val="22"/>
                <w:szCs w:val="22"/>
                <w:lang w:val="es-MX"/>
              </w:rPr>
            </w:pPr>
            <w:r w:rsidRPr="00305D32">
              <w:rPr>
                <w:color w:val="000000"/>
                <w:sz w:val="22"/>
                <w:szCs w:val="22"/>
                <w:lang w:val="es-MX"/>
              </w:rPr>
              <w:t>Cozumel</w:t>
            </w:r>
          </w:p>
        </w:tc>
        <w:tc>
          <w:tcPr>
            <w:tcW w:w="1678" w:type="dxa"/>
            <w:tcBorders>
              <w:top w:val="nil"/>
              <w:left w:val="nil"/>
              <w:bottom w:val="nil"/>
              <w:right w:val="nil"/>
            </w:tcBorders>
            <w:vAlign w:val="center"/>
          </w:tcPr>
          <w:p w14:paraId="4ED3454F" w14:textId="4BD80C7F"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772,344</w:t>
            </w:r>
          </w:p>
        </w:tc>
        <w:tc>
          <w:tcPr>
            <w:tcW w:w="1678" w:type="dxa"/>
            <w:tcBorders>
              <w:top w:val="nil"/>
              <w:left w:val="nil"/>
              <w:bottom w:val="nil"/>
              <w:right w:val="nil"/>
            </w:tcBorders>
            <w:vAlign w:val="center"/>
          </w:tcPr>
          <w:p w14:paraId="1A16B9C0" w14:textId="47DF6186"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753,941</w:t>
            </w:r>
          </w:p>
        </w:tc>
        <w:tc>
          <w:tcPr>
            <w:tcW w:w="1678" w:type="dxa"/>
            <w:tcBorders>
              <w:top w:val="nil"/>
              <w:left w:val="nil"/>
              <w:bottom w:val="nil"/>
              <w:right w:val="nil"/>
            </w:tcBorders>
            <w:vAlign w:val="center"/>
          </w:tcPr>
          <w:p w14:paraId="74E0AA40" w14:textId="4670E092"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479,662</w:t>
            </w:r>
          </w:p>
        </w:tc>
        <w:tc>
          <w:tcPr>
            <w:tcW w:w="1681" w:type="dxa"/>
            <w:tcBorders>
              <w:top w:val="nil"/>
              <w:left w:val="nil"/>
              <w:bottom w:val="nil"/>
              <w:right w:val="nil"/>
            </w:tcBorders>
            <w:vAlign w:val="center"/>
          </w:tcPr>
          <w:p w14:paraId="69F05F98" w14:textId="2B574E80"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499,057</w:t>
            </w:r>
          </w:p>
        </w:tc>
      </w:tr>
      <w:tr w:rsidR="006A3F73" w:rsidRPr="00305D32" w14:paraId="0A5C73C6" w14:textId="77777777">
        <w:trPr>
          <w:trHeight w:val="273"/>
        </w:trPr>
        <w:tc>
          <w:tcPr>
            <w:tcW w:w="2197" w:type="dxa"/>
            <w:tcBorders>
              <w:top w:val="nil"/>
              <w:left w:val="nil"/>
              <w:bottom w:val="nil"/>
              <w:right w:val="nil"/>
            </w:tcBorders>
            <w:vAlign w:val="center"/>
          </w:tcPr>
          <w:p w14:paraId="49B237DB" w14:textId="77777777" w:rsidR="006A3F73" w:rsidRPr="00305D32" w:rsidRDefault="006A3F73" w:rsidP="006A3F73">
            <w:pPr>
              <w:spacing w:after="0" w:line="240" w:lineRule="auto"/>
              <w:jc w:val="left"/>
              <w:rPr>
                <w:color w:val="000000"/>
                <w:sz w:val="22"/>
                <w:szCs w:val="22"/>
                <w:lang w:val="es-MX"/>
              </w:rPr>
            </w:pPr>
            <w:r w:rsidRPr="00305D32">
              <w:rPr>
                <w:color w:val="000000"/>
                <w:sz w:val="22"/>
                <w:szCs w:val="22"/>
                <w:lang w:val="es-MX"/>
              </w:rPr>
              <w:t>Isla Mujeres</w:t>
            </w:r>
          </w:p>
        </w:tc>
        <w:tc>
          <w:tcPr>
            <w:tcW w:w="1678" w:type="dxa"/>
            <w:tcBorders>
              <w:top w:val="nil"/>
              <w:left w:val="nil"/>
              <w:bottom w:val="nil"/>
              <w:right w:val="nil"/>
            </w:tcBorders>
            <w:vAlign w:val="center"/>
          </w:tcPr>
          <w:p w14:paraId="5515B562" w14:textId="0492F65E"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463,595</w:t>
            </w:r>
          </w:p>
        </w:tc>
        <w:tc>
          <w:tcPr>
            <w:tcW w:w="1678" w:type="dxa"/>
            <w:tcBorders>
              <w:top w:val="nil"/>
              <w:left w:val="nil"/>
              <w:bottom w:val="nil"/>
              <w:right w:val="nil"/>
            </w:tcBorders>
            <w:vAlign w:val="center"/>
          </w:tcPr>
          <w:p w14:paraId="3CDC4EDD" w14:textId="379105C3"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398,080</w:t>
            </w:r>
          </w:p>
        </w:tc>
        <w:tc>
          <w:tcPr>
            <w:tcW w:w="1678" w:type="dxa"/>
            <w:tcBorders>
              <w:top w:val="nil"/>
              <w:left w:val="nil"/>
              <w:bottom w:val="nil"/>
              <w:right w:val="nil"/>
            </w:tcBorders>
            <w:vAlign w:val="center"/>
          </w:tcPr>
          <w:p w14:paraId="6ACA3B17" w14:textId="0B9F6957"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261,906</w:t>
            </w:r>
          </w:p>
        </w:tc>
        <w:tc>
          <w:tcPr>
            <w:tcW w:w="1681" w:type="dxa"/>
            <w:tcBorders>
              <w:top w:val="nil"/>
              <w:left w:val="nil"/>
              <w:bottom w:val="nil"/>
              <w:right w:val="nil"/>
            </w:tcBorders>
            <w:vAlign w:val="center"/>
          </w:tcPr>
          <w:p w14:paraId="6B49D425" w14:textId="2D3D14FF"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269,877</w:t>
            </w:r>
          </w:p>
        </w:tc>
      </w:tr>
      <w:tr w:rsidR="006A3F73" w:rsidRPr="00305D32" w14:paraId="5CD192B2" w14:textId="77777777">
        <w:trPr>
          <w:trHeight w:val="273"/>
        </w:trPr>
        <w:tc>
          <w:tcPr>
            <w:tcW w:w="2197" w:type="dxa"/>
            <w:tcBorders>
              <w:top w:val="nil"/>
              <w:left w:val="nil"/>
              <w:bottom w:val="nil"/>
              <w:right w:val="nil"/>
            </w:tcBorders>
            <w:vAlign w:val="center"/>
          </w:tcPr>
          <w:p w14:paraId="17D22ECD" w14:textId="77777777" w:rsidR="006A3F73" w:rsidRPr="00305D32" w:rsidRDefault="006A3F73" w:rsidP="006A3F73">
            <w:pPr>
              <w:spacing w:after="0" w:line="240" w:lineRule="auto"/>
              <w:jc w:val="left"/>
              <w:rPr>
                <w:color w:val="000000"/>
                <w:sz w:val="22"/>
                <w:szCs w:val="22"/>
                <w:lang w:val="es-MX"/>
              </w:rPr>
            </w:pPr>
            <w:r w:rsidRPr="00305D32">
              <w:rPr>
                <w:color w:val="000000"/>
                <w:sz w:val="22"/>
                <w:szCs w:val="22"/>
                <w:lang w:val="es-MX"/>
              </w:rPr>
              <w:t>Playa del Carmen</w:t>
            </w:r>
          </w:p>
        </w:tc>
        <w:tc>
          <w:tcPr>
            <w:tcW w:w="1678" w:type="dxa"/>
            <w:tcBorders>
              <w:top w:val="nil"/>
              <w:left w:val="nil"/>
              <w:bottom w:val="nil"/>
              <w:right w:val="nil"/>
            </w:tcBorders>
            <w:vAlign w:val="center"/>
          </w:tcPr>
          <w:p w14:paraId="755A26F7" w14:textId="2D515C16"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1,256,220</w:t>
            </w:r>
          </w:p>
        </w:tc>
        <w:tc>
          <w:tcPr>
            <w:tcW w:w="1678" w:type="dxa"/>
            <w:tcBorders>
              <w:top w:val="nil"/>
              <w:left w:val="nil"/>
              <w:bottom w:val="nil"/>
              <w:right w:val="nil"/>
            </w:tcBorders>
            <w:vAlign w:val="center"/>
          </w:tcPr>
          <w:p w14:paraId="1E95D049" w14:textId="63E2CDB7"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1,363,640</w:t>
            </w:r>
          </w:p>
        </w:tc>
        <w:tc>
          <w:tcPr>
            <w:tcW w:w="1678" w:type="dxa"/>
            <w:tcBorders>
              <w:top w:val="nil"/>
              <w:left w:val="nil"/>
              <w:bottom w:val="nil"/>
              <w:right w:val="nil"/>
            </w:tcBorders>
            <w:vAlign w:val="center"/>
          </w:tcPr>
          <w:p w14:paraId="7464526A" w14:textId="75F1A0C6"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826,071</w:t>
            </w:r>
          </w:p>
        </w:tc>
        <w:tc>
          <w:tcPr>
            <w:tcW w:w="1681" w:type="dxa"/>
            <w:tcBorders>
              <w:top w:val="nil"/>
              <w:left w:val="nil"/>
              <w:bottom w:val="nil"/>
              <w:right w:val="nil"/>
            </w:tcBorders>
            <w:vAlign w:val="center"/>
          </w:tcPr>
          <w:p w14:paraId="47BA9ACD" w14:textId="4F2D26FC"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749,711</w:t>
            </w:r>
          </w:p>
        </w:tc>
      </w:tr>
      <w:tr w:rsidR="006A3F73" w:rsidRPr="00305D32" w14:paraId="483661EB" w14:textId="77777777">
        <w:trPr>
          <w:trHeight w:val="301"/>
        </w:trPr>
        <w:tc>
          <w:tcPr>
            <w:tcW w:w="2197" w:type="dxa"/>
            <w:tcBorders>
              <w:top w:val="nil"/>
              <w:left w:val="nil"/>
              <w:bottom w:val="single" w:sz="12" w:space="0" w:color="000000"/>
              <w:right w:val="nil"/>
            </w:tcBorders>
            <w:vAlign w:val="center"/>
          </w:tcPr>
          <w:p w14:paraId="6EF5A9E7" w14:textId="77777777" w:rsidR="006A3F73" w:rsidRPr="00305D32" w:rsidRDefault="006A3F73" w:rsidP="006A3F73">
            <w:pPr>
              <w:spacing w:after="0" w:line="240" w:lineRule="auto"/>
              <w:jc w:val="left"/>
              <w:rPr>
                <w:color w:val="000000"/>
                <w:sz w:val="22"/>
                <w:szCs w:val="22"/>
                <w:lang w:val="es-MX"/>
              </w:rPr>
            </w:pPr>
            <w:r w:rsidRPr="00305D32">
              <w:rPr>
                <w:color w:val="000000"/>
                <w:sz w:val="22"/>
                <w:szCs w:val="22"/>
                <w:lang w:val="es-MX"/>
              </w:rPr>
              <w:t>Playacar</w:t>
            </w:r>
          </w:p>
        </w:tc>
        <w:tc>
          <w:tcPr>
            <w:tcW w:w="1678" w:type="dxa"/>
            <w:tcBorders>
              <w:top w:val="nil"/>
              <w:left w:val="nil"/>
              <w:bottom w:val="single" w:sz="12" w:space="0" w:color="000000"/>
              <w:right w:val="nil"/>
            </w:tcBorders>
            <w:vAlign w:val="center"/>
          </w:tcPr>
          <w:p w14:paraId="6183EAB1" w14:textId="56A6AFF2"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732,941</w:t>
            </w:r>
          </w:p>
        </w:tc>
        <w:tc>
          <w:tcPr>
            <w:tcW w:w="1678" w:type="dxa"/>
            <w:tcBorders>
              <w:top w:val="nil"/>
              <w:left w:val="nil"/>
              <w:bottom w:val="single" w:sz="12" w:space="0" w:color="000000"/>
              <w:right w:val="nil"/>
            </w:tcBorders>
            <w:vAlign w:val="center"/>
          </w:tcPr>
          <w:p w14:paraId="1CCF782C" w14:textId="207806DE"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709,570</w:t>
            </w:r>
          </w:p>
        </w:tc>
        <w:tc>
          <w:tcPr>
            <w:tcW w:w="1678" w:type="dxa"/>
            <w:tcBorders>
              <w:top w:val="nil"/>
              <w:left w:val="nil"/>
              <w:bottom w:val="single" w:sz="12" w:space="0" w:color="000000"/>
              <w:right w:val="nil"/>
            </w:tcBorders>
            <w:vAlign w:val="center"/>
          </w:tcPr>
          <w:p w14:paraId="5E41EABA" w14:textId="4EB1A3AB"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417,320</w:t>
            </w:r>
          </w:p>
        </w:tc>
        <w:tc>
          <w:tcPr>
            <w:tcW w:w="1681" w:type="dxa"/>
            <w:tcBorders>
              <w:top w:val="nil"/>
              <w:left w:val="nil"/>
              <w:bottom w:val="single" w:sz="12" w:space="0" w:color="000000"/>
              <w:right w:val="nil"/>
            </w:tcBorders>
            <w:vAlign w:val="center"/>
          </w:tcPr>
          <w:p w14:paraId="21D6CAFF" w14:textId="0B519A21" w:rsidR="006A3F73" w:rsidRPr="00305D32" w:rsidRDefault="006A3F73" w:rsidP="00850F4F">
            <w:pPr>
              <w:spacing w:after="0" w:line="240" w:lineRule="auto"/>
              <w:jc w:val="right"/>
              <w:rPr>
                <w:color w:val="000000"/>
                <w:sz w:val="22"/>
                <w:szCs w:val="22"/>
                <w:lang w:val="es-MX"/>
              </w:rPr>
            </w:pPr>
            <w:r w:rsidRPr="00305D32">
              <w:rPr>
                <w:color w:val="000000"/>
                <w:sz w:val="22"/>
                <w:szCs w:val="22"/>
                <w:lang w:val="es-MX"/>
              </w:rPr>
              <w:t>374,165</w:t>
            </w:r>
          </w:p>
        </w:tc>
      </w:tr>
    </w:tbl>
    <w:p w14:paraId="4D083570" w14:textId="23D24378" w:rsidR="00AE57F0" w:rsidRPr="00305D32" w:rsidRDefault="00414F7C">
      <w:pPr>
        <w:spacing w:line="240" w:lineRule="auto"/>
        <w:jc w:val="center"/>
        <w:rPr>
          <w:i/>
          <w:sz w:val="20"/>
          <w:szCs w:val="20"/>
          <w:lang w:val="es-MX"/>
        </w:rPr>
      </w:pPr>
      <w:r w:rsidRPr="00305D32">
        <w:rPr>
          <w:sz w:val="20"/>
          <w:szCs w:val="20"/>
          <w:lang w:val="es-MX"/>
        </w:rPr>
        <w:t>Fuente: Elaboración de la Subsecretaría de Análisis Económico y Finanzas Públicas de la Secretaría de Finanzas y Planeación, con base en datos de DATATUR (202</w:t>
      </w:r>
      <w:r w:rsidR="00C847CC" w:rsidRPr="00305D32">
        <w:rPr>
          <w:sz w:val="20"/>
          <w:szCs w:val="20"/>
          <w:lang w:val="es-MX"/>
        </w:rPr>
        <w:t>5</w:t>
      </w:r>
      <w:r w:rsidRPr="00305D32">
        <w:rPr>
          <w:sz w:val="20"/>
          <w:szCs w:val="20"/>
          <w:lang w:val="es-MX"/>
        </w:rPr>
        <w:t xml:space="preserve">), </w:t>
      </w:r>
      <w:r w:rsidRPr="00305D32">
        <w:rPr>
          <w:i/>
          <w:sz w:val="20"/>
          <w:szCs w:val="20"/>
          <w:lang w:val="es-MX"/>
        </w:rPr>
        <w:t>Actividad hotelera, porcentaje de ocupación mensual y turistas por centro turístico y mes.</w:t>
      </w:r>
    </w:p>
    <w:p w14:paraId="17B45F7C" w14:textId="77777777" w:rsidR="00107B13" w:rsidRPr="00305D32" w:rsidRDefault="00107B13" w:rsidP="00107B13">
      <w:pPr>
        <w:rPr>
          <w:lang w:val="es-MX"/>
        </w:rPr>
      </w:pPr>
      <w:bookmarkStart w:id="90" w:name="_heading=h.rjefff" w:colFirst="0" w:colLast="0"/>
      <w:bookmarkEnd w:id="90"/>
      <w:r w:rsidRPr="005E5016">
        <w:rPr>
          <w:lang w:val="es-MX"/>
        </w:rPr>
        <w:t xml:space="preserve">Uno de los factores que afectan la tasa de ocupación hotelera deriva del incremento sostenido en la construcción de hoteles, y del aumento consecuente en el l número de cuartos disponibles. Esto ocasiona que la oferta hotelera crezca a un ritmo superior a la demanda, la cual ha mostrado una relativa reducción (debido a la </w:t>
      </w:r>
      <w:r w:rsidRPr="005E5016">
        <w:rPr>
          <w:lang w:val="es-MX"/>
        </w:rPr>
        <w:lastRenderedPageBreak/>
        <w:t>disminución de llegada de turistas) lo que ha ocasionado tasas de ocupación significativamente menores</w:t>
      </w:r>
      <w:r w:rsidRPr="00305D32">
        <w:rPr>
          <w:lang w:val="es-MX"/>
        </w:rPr>
        <w:t xml:space="preserve">. </w:t>
      </w:r>
    </w:p>
    <w:p w14:paraId="042D363C" w14:textId="33A213BA" w:rsidR="00C55246" w:rsidRPr="00305D32" w:rsidRDefault="00C55246" w:rsidP="00C55246">
      <w:pPr>
        <w:rPr>
          <w:lang w:val="es-MX"/>
        </w:rPr>
      </w:pPr>
      <w:r w:rsidRPr="00305D32">
        <w:rPr>
          <w:lang w:val="es-MX"/>
        </w:rPr>
        <w:t>Derivado del Programa de Mejoramiento de Zonas Arqueológicas (Promeza), impulsado por la Secretaría de Cultura del Gobierno de México a través del Instituto Nacional de Antropología e Historia (INAH), se continúan realizando a lo largo de toda la entidad tareas de investigación, restauración y conservación de monumentos en los sitios cercanos a la ruta del Tren Maya. De igual manera, se renueva la infraestructura y los servicios para el público en general, motivo por el cual varios sitios arqueológicos permanecieron parcial o totalmente cerrados durante 2024</w:t>
      </w:r>
      <w:r w:rsidR="003064C1">
        <w:rPr>
          <w:lang w:val="es-MX"/>
        </w:rPr>
        <w:t>. N</w:t>
      </w:r>
      <w:r w:rsidRPr="00305D32">
        <w:rPr>
          <w:lang w:val="es-MX"/>
        </w:rPr>
        <w:t xml:space="preserve">o obstante, algunas zonas reabrieron sus puertas casi de manera simultánea con la entrada en operación del Tren Maya, mientras que en otras aún siguen </w:t>
      </w:r>
      <w:r w:rsidR="00D77C02" w:rsidRPr="00305D32">
        <w:rPr>
          <w:lang w:val="es-MX"/>
        </w:rPr>
        <w:t xml:space="preserve">o apenas iniciaron </w:t>
      </w:r>
      <w:r w:rsidRPr="00305D32">
        <w:rPr>
          <w:lang w:val="es-MX"/>
        </w:rPr>
        <w:t>los trabajos de mantenimiento.</w:t>
      </w:r>
    </w:p>
    <w:p w14:paraId="558647B4" w14:textId="42AC7053" w:rsidR="00C55246" w:rsidRPr="00305D32" w:rsidRDefault="00C55246" w:rsidP="00C55246">
      <w:pPr>
        <w:rPr>
          <w:lang w:val="es-MX"/>
        </w:rPr>
      </w:pPr>
      <w:r w:rsidRPr="00305D32">
        <w:rPr>
          <w:lang w:val="es-MX"/>
        </w:rPr>
        <w:t>Bajo esta premisa, se observa que la afluencia de turistas en zonas arqueológicas (</w:t>
      </w:r>
      <w:r w:rsidR="003104A4" w:rsidRPr="00305D32">
        <w:rPr>
          <w:lang w:val="es-MX"/>
        </w:rPr>
        <w:fldChar w:fldCharType="begin"/>
      </w:r>
      <w:r w:rsidR="003104A4" w:rsidRPr="00305D32">
        <w:rPr>
          <w:lang w:val="es-MX"/>
        </w:rPr>
        <w:instrText xml:space="preserve"> REF _Ref210292695 \h </w:instrText>
      </w:r>
      <w:r w:rsidR="003104A4" w:rsidRPr="00305D32">
        <w:rPr>
          <w:lang w:val="es-MX"/>
        </w:rPr>
      </w:r>
      <w:r w:rsidR="003104A4" w:rsidRPr="00305D32">
        <w:rPr>
          <w:lang w:val="es-MX"/>
        </w:rPr>
        <w:fldChar w:fldCharType="separate"/>
      </w:r>
      <w:r w:rsidR="00ED1F2F" w:rsidRPr="00305D32">
        <w:rPr>
          <w:lang w:val="es-MX"/>
        </w:rPr>
        <w:t xml:space="preserve">Tabla </w:t>
      </w:r>
      <w:r w:rsidR="00ED1F2F">
        <w:rPr>
          <w:noProof/>
          <w:lang w:val="es-MX"/>
        </w:rPr>
        <w:t>13</w:t>
      </w:r>
      <w:r w:rsidR="003104A4" w:rsidRPr="00305D32">
        <w:rPr>
          <w:lang w:val="es-MX"/>
        </w:rPr>
        <w:fldChar w:fldCharType="end"/>
      </w:r>
      <w:r w:rsidRPr="00305D32">
        <w:rPr>
          <w:lang w:val="es-MX"/>
        </w:rPr>
        <w:t>) presentó una reducción en el comparativo de enero a agosto de 2024 con respecto al mismo periodo de 2025, al pasar de 1</w:t>
      </w:r>
      <w:r w:rsidR="00DE3186" w:rsidRPr="00305D32">
        <w:rPr>
          <w:lang w:val="es-MX"/>
        </w:rPr>
        <w:t>,</w:t>
      </w:r>
      <w:r w:rsidRPr="00305D32">
        <w:rPr>
          <w:lang w:val="es-MX"/>
        </w:rPr>
        <w:t>247</w:t>
      </w:r>
      <w:r w:rsidR="00F91189">
        <w:rPr>
          <w:lang w:val="es-MX"/>
        </w:rPr>
        <w:t>,</w:t>
      </w:r>
      <w:r w:rsidRPr="00305D32">
        <w:rPr>
          <w:lang w:val="es-MX"/>
        </w:rPr>
        <w:t>593 visitantes en 2024 a 1</w:t>
      </w:r>
      <w:r w:rsidR="00F91189">
        <w:rPr>
          <w:lang w:val="es-MX"/>
        </w:rPr>
        <w:t>,0</w:t>
      </w:r>
      <w:r w:rsidRPr="00305D32">
        <w:rPr>
          <w:lang w:val="es-MX"/>
        </w:rPr>
        <w:t>70</w:t>
      </w:r>
      <w:r w:rsidR="00F91189">
        <w:rPr>
          <w:lang w:val="es-MX"/>
        </w:rPr>
        <w:t>,</w:t>
      </w:r>
      <w:r w:rsidRPr="00305D32">
        <w:rPr>
          <w:lang w:val="es-MX"/>
        </w:rPr>
        <w:t>235 visitantes en 2025, lo que representa una disminución de 177</w:t>
      </w:r>
      <w:r w:rsidR="007321F6">
        <w:rPr>
          <w:lang w:val="es-MX"/>
        </w:rPr>
        <w:t>,</w:t>
      </w:r>
      <w:r w:rsidRPr="00305D32">
        <w:rPr>
          <w:lang w:val="es-MX"/>
        </w:rPr>
        <w:t>358 turistas, equivalente a una variación de -14.2</w:t>
      </w:r>
      <w:r w:rsidR="00D41001" w:rsidRPr="00305D32">
        <w:rPr>
          <w:lang w:val="es-MX"/>
        </w:rPr>
        <w:t>2</w:t>
      </w:r>
      <w:r w:rsidR="0019290E">
        <w:rPr>
          <w:lang w:val="es-MX"/>
        </w:rPr>
        <w:t xml:space="preserve"> %</w:t>
      </w:r>
      <w:r w:rsidRPr="00305D32">
        <w:rPr>
          <w:lang w:val="es-MX"/>
        </w:rPr>
        <w:t>.</w:t>
      </w:r>
    </w:p>
    <w:p w14:paraId="4D083574" w14:textId="61EA39A3" w:rsidR="00AE57F0" w:rsidRPr="00305D32" w:rsidRDefault="00414F7C" w:rsidP="003104A4">
      <w:pPr>
        <w:pStyle w:val="Descripcin"/>
        <w:jc w:val="center"/>
        <w:rPr>
          <w:b w:val="0"/>
          <w:lang w:val="es-MX"/>
        </w:rPr>
      </w:pPr>
      <w:bookmarkStart w:id="91" w:name="_Ref210292695"/>
      <w:r w:rsidRPr="00305D32">
        <w:rPr>
          <w:lang w:val="es-MX"/>
        </w:rPr>
        <w:t xml:space="preserve">Tabla </w:t>
      </w:r>
      <w:r w:rsidR="003104A4" w:rsidRPr="00305D32">
        <w:rPr>
          <w:lang w:val="es-MX"/>
        </w:rPr>
        <w:fldChar w:fldCharType="begin"/>
      </w:r>
      <w:r w:rsidR="003104A4" w:rsidRPr="00305D32">
        <w:rPr>
          <w:lang w:val="es-MX"/>
        </w:rPr>
        <w:instrText xml:space="preserve"> SEQ Tabla \* ARABIC </w:instrText>
      </w:r>
      <w:r w:rsidR="003104A4" w:rsidRPr="00305D32">
        <w:rPr>
          <w:lang w:val="es-MX"/>
        </w:rPr>
        <w:fldChar w:fldCharType="separate"/>
      </w:r>
      <w:r w:rsidR="00ED1F2F">
        <w:rPr>
          <w:noProof/>
          <w:lang w:val="es-MX"/>
        </w:rPr>
        <w:t>13</w:t>
      </w:r>
      <w:r w:rsidR="003104A4" w:rsidRPr="00305D32">
        <w:rPr>
          <w:lang w:val="es-MX"/>
        </w:rPr>
        <w:fldChar w:fldCharType="end"/>
      </w:r>
      <w:bookmarkEnd w:id="91"/>
      <w:r w:rsidRPr="00305D32">
        <w:rPr>
          <w:lang w:val="es-MX"/>
        </w:rPr>
        <w:t>. Afluencia de turistas en principales zonas arqueológicas de Quintana Roo, enero-agosto 202</w:t>
      </w:r>
      <w:r w:rsidR="004D16CB" w:rsidRPr="00305D32">
        <w:rPr>
          <w:lang w:val="es-MX"/>
        </w:rPr>
        <w:t>4</w:t>
      </w:r>
      <w:r w:rsidRPr="00305D32">
        <w:rPr>
          <w:lang w:val="es-MX"/>
        </w:rPr>
        <w:t>-202</w:t>
      </w:r>
      <w:r w:rsidR="004D16CB" w:rsidRPr="00305D32">
        <w:rPr>
          <w:lang w:val="es-MX"/>
        </w:rPr>
        <w:t>5</w:t>
      </w:r>
    </w:p>
    <w:tbl>
      <w:tblPr>
        <w:tblStyle w:val="ab"/>
        <w:tblW w:w="9121" w:type="dxa"/>
        <w:tblInd w:w="0" w:type="dxa"/>
        <w:tblLayout w:type="fixed"/>
        <w:tblLook w:val="0400" w:firstRow="0" w:lastRow="0" w:firstColumn="0" w:lastColumn="0" w:noHBand="0" w:noVBand="1"/>
      </w:tblPr>
      <w:tblGrid>
        <w:gridCol w:w="2007"/>
        <w:gridCol w:w="1197"/>
        <w:gridCol w:w="1241"/>
        <w:gridCol w:w="1119"/>
        <w:gridCol w:w="1197"/>
        <w:gridCol w:w="1241"/>
        <w:gridCol w:w="1119"/>
      </w:tblGrid>
      <w:tr w:rsidR="000939E4" w:rsidRPr="00305D32" w14:paraId="30520B73" w14:textId="77777777" w:rsidTr="00C47636">
        <w:trPr>
          <w:trHeight w:val="600"/>
          <w:tblHeader/>
        </w:trPr>
        <w:tc>
          <w:tcPr>
            <w:tcW w:w="2007" w:type="dxa"/>
            <w:vMerge w:val="restart"/>
            <w:tcBorders>
              <w:top w:val="single" w:sz="12" w:space="0" w:color="000000"/>
              <w:left w:val="nil"/>
              <w:bottom w:val="single" w:sz="12" w:space="0" w:color="000000"/>
              <w:right w:val="nil"/>
            </w:tcBorders>
            <w:vAlign w:val="center"/>
          </w:tcPr>
          <w:p w14:paraId="2E8A9C3E" w14:textId="77777777" w:rsidR="000939E4" w:rsidRPr="00305D32" w:rsidRDefault="000939E4">
            <w:pPr>
              <w:spacing w:after="0" w:line="240" w:lineRule="auto"/>
              <w:jc w:val="center"/>
              <w:rPr>
                <w:b/>
                <w:color w:val="000000"/>
                <w:sz w:val="22"/>
                <w:szCs w:val="22"/>
                <w:lang w:val="es-MX"/>
              </w:rPr>
            </w:pPr>
            <w:r w:rsidRPr="00305D32">
              <w:rPr>
                <w:b/>
                <w:color w:val="000000"/>
                <w:sz w:val="22"/>
                <w:szCs w:val="22"/>
                <w:lang w:val="es-MX"/>
              </w:rPr>
              <w:t>Zona arqueológica</w:t>
            </w:r>
          </w:p>
        </w:tc>
        <w:tc>
          <w:tcPr>
            <w:tcW w:w="3557" w:type="dxa"/>
            <w:gridSpan w:val="3"/>
            <w:tcBorders>
              <w:top w:val="single" w:sz="12" w:space="0" w:color="000000"/>
              <w:left w:val="nil"/>
              <w:bottom w:val="single" w:sz="8" w:space="0" w:color="000000"/>
              <w:right w:val="nil"/>
            </w:tcBorders>
            <w:vAlign w:val="center"/>
          </w:tcPr>
          <w:p w14:paraId="1698C247" w14:textId="2273566C" w:rsidR="000939E4" w:rsidRPr="00305D32" w:rsidRDefault="000939E4">
            <w:pPr>
              <w:spacing w:after="0" w:line="240" w:lineRule="auto"/>
              <w:jc w:val="center"/>
              <w:rPr>
                <w:b/>
                <w:color w:val="000000"/>
                <w:sz w:val="22"/>
                <w:szCs w:val="22"/>
                <w:lang w:val="es-MX"/>
              </w:rPr>
            </w:pPr>
            <w:r w:rsidRPr="00305D32">
              <w:rPr>
                <w:b/>
                <w:color w:val="000000"/>
                <w:sz w:val="22"/>
                <w:szCs w:val="22"/>
                <w:lang w:val="es-MX"/>
              </w:rPr>
              <w:t>Enero-agosto 202</w:t>
            </w:r>
            <w:r w:rsidR="006B7D76" w:rsidRPr="00305D32">
              <w:rPr>
                <w:b/>
                <w:color w:val="000000"/>
                <w:sz w:val="22"/>
                <w:szCs w:val="22"/>
                <w:lang w:val="es-MX"/>
              </w:rPr>
              <w:t>4</w:t>
            </w:r>
          </w:p>
        </w:tc>
        <w:tc>
          <w:tcPr>
            <w:tcW w:w="3557" w:type="dxa"/>
            <w:gridSpan w:val="3"/>
            <w:tcBorders>
              <w:top w:val="single" w:sz="12" w:space="0" w:color="000000"/>
              <w:left w:val="nil"/>
              <w:bottom w:val="single" w:sz="4" w:space="0" w:color="000000"/>
              <w:right w:val="nil"/>
            </w:tcBorders>
            <w:vAlign w:val="center"/>
          </w:tcPr>
          <w:p w14:paraId="7D61E9C4" w14:textId="1D470062" w:rsidR="000939E4" w:rsidRPr="00305D32" w:rsidRDefault="000939E4">
            <w:pPr>
              <w:spacing w:after="0" w:line="240" w:lineRule="auto"/>
              <w:jc w:val="center"/>
              <w:rPr>
                <w:b/>
                <w:color w:val="000000"/>
                <w:sz w:val="22"/>
                <w:szCs w:val="22"/>
                <w:lang w:val="es-MX"/>
              </w:rPr>
            </w:pPr>
            <w:r w:rsidRPr="00305D32">
              <w:rPr>
                <w:b/>
                <w:color w:val="000000"/>
                <w:sz w:val="22"/>
                <w:szCs w:val="22"/>
                <w:lang w:val="es-MX"/>
              </w:rPr>
              <w:t>Enero-agosto 202</w:t>
            </w:r>
            <w:r w:rsidR="006B7D76" w:rsidRPr="00305D32">
              <w:rPr>
                <w:b/>
                <w:color w:val="000000"/>
                <w:sz w:val="22"/>
                <w:szCs w:val="22"/>
                <w:lang w:val="es-MX"/>
              </w:rPr>
              <w:t>5</w:t>
            </w:r>
          </w:p>
        </w:tc>
      </w:tr>
      <w:tr w:rsidR="000939E4" w:rsidRPr="00305D32" w14:paraId="7B00554E" w14:textId="77777777" w:rsidTr="00C47636">
        <w:trPr>
          <w:trHeight w:val="300"/>
          <w:tblHeader/>
        </w:trPr>
        <w:tc>
          <w:tcPr>
            <w:tcW w:w="2007" w:type="dxa"/>
            <w:vMerge/>
            <w:tcBorders>
              <w:top w:val="single" w:sz="12" w:space="0" w:color="000000"/>
              <w:left w:val="nil"/>
              <w:bottom w:val="single" w:sz="12" w:space="0" w:color="000000"/>
              <w:right w:val="nil"/>
            </w:tcBorders>
            <w:vAlign w:val="center"/>
          </w:tcPr>
          <w:p w14:paraId="568E0F5F" w14:textId="77777777" w:rsidR="000939E4" w:rsidRPr="00305D32" w:rsidRDefault="000939E4">
            <w:pPr>
              <w:widowControl w:val="0"/>
              <w:pBdr>
                <w:top w:val="nil"/>
                <w:left w:val="nil"/>
                <w:bottom w:val="nil"/>
                <w:right w:val="nil"/>
                <w:between w:val="nil"/>
              </w:pBdr>
              <w:spacing w:after="0" w:line="276" w:lineRule="auto"/>
              <w:jc w:val="left"/>
              <w:rPr>
                <w:b/>
                <w:color w:val="000000"/>
                <w:sz w:val="22"/>
                <w:szCs w:val="22"/>
                <w:lang w:val="es-MX"/>
              </w:rPr>
            </w:pPr>
          </w:p>
        </w:tc>
        <w:tc>
          <w:tcPr>
            <w:tcW w:w="1197" w:type="dxa"/>
            <w:tcBorders>
              <w:top w:val="nil"/>
              <w:left w:val="nil"/>
              <w:bottom w:val="single" w:sz="12" w:space="0" w:color="000000"/>
              <w:right w:val="nil"/>
            </w:tcBorders>
            <w:vAlign w:val="center"/>
          </w:tcPr>
          <w:p w14:paraId="22F08C20" w14:textId="77777777" w:rsidR="000939E4" w:rsidRPr="00305D32" w:rsidRDefault="000939E4" w:rsidP="00627600">
            <w:pPr>
              <w:spacing w:after="0" w:line="240" w:lineRule="auto"/>
              <w:jc w:val="center"/>
              <w:rPr>
                <w:b/>
                <w:color w:val="000000"/>
                <w:sz w:val="20"/>
                <w:szCs w:val="20"/>
                <w:lang w:val="es-MX"/>
              </w:rPr>
            </w:pPr>
            <w:r w:rsidRPr="00305D32">
              <w:rPr>
                <w:b/>
                <w:color w:val="000000"/>
                <w:sz w:val="20"/>
                <w:szCs w:val="20"/>
                <w:lang w:val="es-MX"/>
              </w:rPr>
              <w:t>Nacionales</w:t>
            </w:r>
          </w:p>
        </w:tc>
        <w:tc>
          <w:tcPr>
            <w:tcW w:w="1241" w:type="dxa"/>
            <w:tcBorders>
              <w:top w:val="nil"/>
              <w:left w:val="nil"/>
              <w:bottom w:val="single" w:sz="12" w:space="0" w:color="000000"/>
              <w:right w:val="nil"/>
            </w:tcBorders>
            <w:vAlign w:val="center"/>
          </w:tcPr>
          <w:p w14:paraId="013C6E96" w14:textId="77777777" w:rsidR="000939E4" w:rsidRPr="00305D32" w:rsidRDefault="000939E4" w:rsidP="00627600">
            <w:pPr>
              <w:spacing w:after="0" w:line="240" w:lineRule="auto"/>
              <w:jc w:val="center"/>
              <w:rPr>
                <w:b/>
                <w:color w:val="000000"/>
                <w:sz w:val="20"/>
                <w:szCs w:val="20"/>
                <w:lang w:val="es-MX"/>
              </w:rPr>
            </w:pPr>
            <w:r w:rsidRPr="00305D32">
              <w:rPr>
                <w:b/>
                <w:color w:val="000000"/>
                <w:sz w:val="20"/>
                <w:szCs w:val="20"/>
                <w:lang w:val="es-MX"/>
              </w:rPr>
              <w:t>Extranjeros</w:t>
            </w:r>
          </w:p>
        </w:tc>
        <w:tc>
          <w:tcPr>
            <w:tcW w:w="1119" w:type="dxa"/>
            <w:tcBorders>
              <w:top w:val="nil"/>
              <w:left w:val="nil"/>
              <w:bottom w:val="single" w:sz="12" w:space="0" w:color="000000"/>
              <w:right w:val="nil"/>
            </w:tcBorders>
            <w:vAlign w:val="center"/>
          </w:tcPr>
          <w:p w14:paraId="066B247F" w14:textId="77777777" w:rsidR="000939E4" w:rsidRPr="00305D32" w:rsidRDefault="000939E4" w:rsidP="00627600">
            <w:pPr>
              <w:spacing w:after="0" w:line="240" w:lineRule="auto"/>
              <w:jc w:val="center"/>
              <w:rPr>
                <w:b/>
                <w:color w:val="000000"/>
                <w:sz w:val="20"/>
                <w:szCs w:val="20"/>
                <w:lang w:val="es-MX"/>
              </w:rPr>
            </w:pPr>
            <w:r w:rsidRPr="00305D32">
              <w:rPr>
                <w:b/>
                <w:color w:val="000000"/>
                <w:sz w:val="20"/>
                <w:szCs w:val="20"/>
                <w:lang w:val="es-MX"/>
              </w:rPr>
              <w:t>Total</w:t>
            </w:r>
          </w:p>
        </w:tc>
        <w:tc>
          <w:tcPr>
            <w:tcW w:w="1197" w:type="dxa"/>
            <w:tcBorders>
              <w:top w:val="single" w:sz="4" w:space="0" w:color="000000"/>
              <w:left w:val="nil"/>
              <w:bottom w:val="single" w:sz="12" w:space="0" w:color="000000"/>
              <w:right w:val="nil"/>
            </w:tcBorders>
            <w:vAlign w:val="center"/>
          </w:tcPr>
          <w:p w14:paraId="5763D1DC" w14:textId="68D487BD" w:rsidR="000939E4" w:rsidRPr="00305D32" w:rsidRDefault="000939E4" w:rsidP="00627600">
            <w:pPr>
              <w:spacing w:after="0" w:line="240" w:lineRule="auto"/>
              <w:jc w:val="center"/>
              <w:rPr>
                <w:b/>
                <w:color w:val="000000"/>
                <w:sz w:val="20"/>
                <w:szCs w:val="20"/>
                <w:lang w:val="es-MX"/>
              </w:rPr>
            </w:pPr>
            <w:r w:rsidRPr="00305D32">
              <w:rPr>
                <w:b/>
                <w:color w:val="000000"/>
                <w:sz w:val="20"/>
                <w:szCs w:val="20"/>
                <w:lang w:val="es-MX"/>
              </w:rPr>
              <w:t>Nacionales</w:t>
            </w:r>
          </w:p>
        </w:tc>
        <w:tc>
          <w:tcPr>
            <w:tcW w:w="1241" w:type="dxa"/>
            <w:tcBorders>
              <w:top w:val="single" w:sz="4" w:space="0" w:color="000000"/>
              <w:left w:val="nil"/>
              <w:bottom w:val="single" w:sz="12" w:space="0" w:color="000000"/>
              <w:right w:val="nil"/>
            </w:tcBorders>
            <w:vAlign w:val="center"/>
          </w:tcPr>
          <w:p w14:paraId="2B76D353" w14:textId="77777777" w:rsidR="000939E4" w:rsidRPr="00305D32" w:rsidRDefault="000939E4" w:rsidP="00627600">
            <w:pPr>
              <w:spacing w:after="0" w:line="240" w:lineRule="auto"/>
              <w:jc w:val="center"/>
              <w:rPr>
                <w:b/>
                <w:color w:val="000000"/>
                <w:sz w:val="20"/>
                <w:szCs w:val="20"/>
                <w:lang w:val="es-MX"/>
              </w:rPr>
            </w:pPr>
            <w:r w:rsidRPr="00305D32">
              <w:rPr>
                <w:b/>
                <w:color w:val="000000"/>
                <w:sz w:val="20"/>
                <w:szCs w:val="20"/>
                <w:lang w:val="es-MX"/>
              </w:rPr>
              <w:t>Extranjeros</w:t>
            </w:r>
          </w:p>
        </w:tc>
        <w:tc>
          <w:tcPr>
            <w:tcW w:w="1119" w:type="dxa"/>
            <w:tcBorders>
              <w:top w:val="single" w:sz="4" w:space="0" w:color="000000"/>
              <w:left w:val="nil"/>
              <w:bottom w:val="single" w:sz="12" w:space="0" w:color="000000"/>
              <w:right w:val="nil"/>
            </w:tcBorders>
            <w:vAlign w:val="center"/>
          </w:tcPr>
          <w:p w14:paraId="0895EF0C" w14:textId="77777777" w:rsidR="000939E4" w:rsidRPr="00305D32" w:rsidRDefault="000939E4" w:rsidP="00627600">
            <w:pPr>
              <w:spacing w:after="0" w:line="240" w:lineRule="auto"/>
              <w:jc w:val="center"/>
              <w:rPr>
                <w:b/>
                <w:color w:val="000000"/>
                <w:sz w:val="20"/>
                <w:szCs w:val="20"/>
                <w:lang w:val="es-MX"/>
              </w:rPr>
            </w:pPr>
            <w:r w:rsidRPr="00305D32">
              <w:rPr>
                <w:b/>
                <w:color w:val="000000"/>
                <w:sz w:val="20"/>
                <w:szCs w:val="20"/>
                <w:lang w:val="es-MX"/>
              </w:rPr>
              <w:t>Total</w:t>
            </w:r>
          </w:p>
        </w:tc>
      </w:tr>
      <w:tr w:rsidR="00B55EF1" w:rsidRPr="00305D32" w14:paraId="649AAC5D" w14:textId="77777777">
        <w:trPr>
          <w:trHeight w:val="585"/>
        </w:trPr>
        <w:tc>
          <w:tcPr>
            <w:tcW w:w="2007" w:type="dxa"/>
            <w:tcBorders>
              <w:top w:val="nil"/>
              <w:left w:val="nil"/>
              <w:bottom w:val="nil"/>
              <w:right w:val="nil"/>
            </w:tcBorders>
            <w:vAlign w:val="center"/>
          </w:tcPr>
          <w:p w14:paraId="56D58925" w14:textId="77777777" w:rsidR="00B55EF1" w:rsidRPr="00305D32" w:rsidRDefault="00B55EF1" w:rsidP="00B55EF1">
            <w:pPr>
              <w:spacing w:after="0" w:line="240" w:lineRule="auto"/>
              <w:jc w:val="left"/>
              <w:rPr>
                <w:color w:val="000000"/>
                <w:sz w:val="22"/>
                <w:szCs w:val="22"/>
                <w:lang w:val="es-MX"/>
              </w:rPr>
            </w:pPr>
            <w:r w:rsidRPr="00305D32">
              <w:rPr>
                <w:color w:val="000000"/>
                <w:sz w:val="22"/>
                <w:szCs w:val="22"/>
                <w:lang w:val="es-MX"/>
              </w:rPr>
              <w:t xml:space="preserve">Museo Maya de Cancún </w:t>
            </w:r>
          </w:p>
        </w:tc>
        <w:tc>
          <w:tcPr>
            <w:tcW w:w="1197" w:type="dxa"/>
            <w:tcBorders>
              <w:top w:val="nil"/>
              <w:left w:val="nil"/>
              <w:bottom w:val="nil"/>
              <w:right w:val="nil"/>
            </w:tcBorders>
            <w:vAlign w:val="center"/>
          </w:tcPr>
          <w:p w14:paraId="58FB3B5D" w14:textId="06E9791F"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20,196</w:t>
            </w:r>
          </w:p>
        </w:tc>
        <w:tc>
          <w:tcPr>
            <w:tcW w:w="1241" w:type="dxa"/>
            <w:tcBorders>
              <w:top w:val="nil"/>
              <w:left w:val="nil"/>
              <w:bottom w:val="nil"/>
              <w:right w:val="nil"/>
            </w:tcBorders>
            <w:vAlign w:val="center"/>
          </w:tcPr>
          <w:p w14:paraId="39214058" w14:textId="15FFFF46"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17,386</w:t>
            </w:r>
          </w:p>
        </w:tc>
        <w:tc>
          <w:tcPr>
            <w:tcW w:w="1119" w:type="dxa"/>
            <w:tcBorders>
              <w:top w:val="nil"/>
              <w:left w:val="nil"/>
              <w:bottom w:val="nil"/>
              <w:right w:val="nil"/>
            </w:tcBorders>
            <w:vAlign w:val="center"/>
          </w:tcPr>
          <w:p w14:paraId="4BAE367A" w14:textId="6D70B53F"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37,582</w:t>
            </w:r>
          </w:p>
        </w:tc>
        <w:tc>
          <w:tcPr>
            <w:tcW w:w="1197" w:type="dxa"/>
            <w:tcBorders>
              <w:top w:val="nil"/>
              <w:left w:val="nil"/>
              <w:bottom w:val="nil"/>
              <w:right w:val="nil"/>
            </w:tcBorders>
            <w:vAlign w:val="center"/>
          </w:tcPr>
          <w:p w14:paraId="756CBD3C" w14:textId="1FD13A9F"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12,948</w:t>
            </w:r>
          </w:p>
        </w:tc>
        <w:tc>
          <w:tcPr>
            <w:tcW w:w="1241" w:type="dxa"/>
            <w:tcBorders>
              <w:top w:val="nil"/>
              <w:left w:val="nil"/>
              <w:bottom w:val="nil"/>
              <w:right w:val="nil"/>
            </w:tcBorders>
            <w:vAlign w:val="center"/>
          </w:tcPr>
          <w:p w14:paraId="67A49B9C" w14:textId="2001425B"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17,015</w:t>
            </w:r>
          </w:p>
        </w:tc>
        <w:tc>
          <w:tcPr>
            <w:tcW w:w="1119" w:type="dxa"/>
            <w:tcBorders>
              <w:top w:val="nil"/>
              <w:left w:val="nil"/>
              <w:bottom w:val="nil"/>
              <w:right w:val="nil"/>
            </w:tcBorders>
            <w:vAlign w:val="center"/>
          </w:tcPr>
          <w:p w14:paraId="30F29068" w14:textId="2B46F142"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29,963</w:t>
            </w:r>
          </w:p>
        </w:tc>
      </w:tr>
      <w:tr w:rsidR="00B55EF1" w:rsidRPr="00305D32" w14:paraId="35B094C0" w14:textId="77777777">
        <w:trPr>
          <w:trHeight w:val="285"/>
        </w:trPr>
        <w:tc>
          <w:tcPr>
            <w:tcW w:w="2007" w:type="dxa"/>
            <w:tcBorders>
              <w:top w:val="nil"/>
              <w:left w:val="nil"/>
              <w:bottom w:val="nil"/>
              <w:right w:val="nil"/>
            </w:tcBorders>
            <w:vAlign w:val="center"/>
          </w:tcPr>
          <w:p w14:paraId="1CD349AC" w14:textId="77777777" w:rsidR="00B55EF1" w:rsidRPr="00305D32" w:rsidRDefault="00B55EF1" w:rsidP="00B55EF1">
            <w:pPr>
              <w:spacing w:after="0" w:line="240" w:lineRule="auto"/>
              <w:jc w:val="left"/>
              <w:rPr>
                <w:color w:val="000000"/>
                <w:sz w:val="22"/>
                <w:szCs w:val="22"/>
                <w:lang w:val="es-MX"/>
              </w:rPr>
            </w:pPr>
            <w:r w:rsidRPr="00305D32">
              <w:rPr>
                <w:color w:val="000000"/>
                <w:sz w:val="22"/>
                <w:szCs w:val="22"/>
                <w:lang w:val="es-MX"/>
              </w:rPr>
              <w:t>Cobá</w:t>
            </w:r>
          </w:p>
        </w:tc>
        <w:tc>
          <w:tcPr>
            <w:tcW w:w="1197" w:type="dxa"/>
            <w:tcBorders>
              <w:top w:val="nil"/>
              <w:left w:val="nil"/>
              <w:bottom w:val="nil"/>
              <w:right w:val="nil"/>
            </w:tcBorders>
            <w:vAlign w:val="center"/>
          </w:tcPr>
          <w:p w14:paraId="70BE15D0" w14:textId="752ACD61"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39,618</w:t>
            </w:r>
          </w:p>
        </w:tc>
        <w:tc>
          <w:tcPr>
            <w:tcW w:w="1241" w:type="dxa"/>
            <w:tcBorders>
              <w:top w:val="nil"/>
              <w:left w:val="nil"/>
              <w:bottom w:val="nil"/>
              <w:right w:val="nil"/>
            </w:tcBorders>
            <w:vAlign w:val="center"/>
          </w:tcPr>
          <w:p w14:paraId="4757AD98" w14:textId="1240BF37"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107,504</w:t>
            </w:r>
          </w:p>
        </w:tc>
        <w:tc>
          <w:tcPr>
            <w:tcW w:w="1119" w:type="dxa"/>
            <w:tcBorders>
              <w:top w:val="nil"/>
              <w:left w:val="nil"/>
              <w:bottom w:val="nil"/>
              <w:right w:val="nil"/>
            </w:tcBorders>
            <w:vAlign w:val="center"/>
          </w:tcPr>
          <w:p w14:paraId="09AB82C1" w14:textId="336F5A9D"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147,122</w:t>
            </w:r>
          </w:p>
        </w:tc>
        <w:tc>
          <w:tcPr>
            <w:tcW w:w="1197" w:type="dxa"/>
            <w:tcBorders>
              <w:top w:val="nil"/>
              <w:left w:val="nil"/>
              <w:bottom w:val="nil"/>
              <w:right w:val="nil"/>
            </w:tcBorders>
            <w:vAlign w:val="center"/>
          </w:tcPr>
          <w:p w14:paraId="13C3D41F" w14:textId="7B8D4C10"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73,057</w:t>
            </w:r>
          </w:p>
        </w:tc>
        <w:tc>
          <w:tcPr>
            <w:tcW w:w="1241" w:type="dxa"/>
            <w:tcBorders>
              <w:top w:val="nil"/>
              <w:left w:val="nil"/>
              <w:bottom w:val="nil"/>
              <w:right w:val="nil"/>
            </w:tcBorders>
            <w:vAlign w:val="center"/>
          </w:tcPr>
          <w:p w14:paraId="5AAD70F7" w14:textId="3C274F9F"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33,351</w:t>
            </w:r>
          </w:p>
        </w:tc>
        <w:tc>
          <w:tcPr>
            <w:tcW w:w="1119" w:type="dxa"/>
            <w:tcBorders>
              <w:top w:val="nil"/>
              <w:left w:val="nil"/>
              <w:bottom w:val="nil"/>
              <w:right w:val="nil"/>
            </w:tcBorders>
            <w:vAlign w:val="center"/>
          </w:tcPr>
          <w:p w14:paraId="4AD3AD6A" w14:textId="16EAECEF"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106,408</w:t>
            </w:r>
          </w:p>
        </w:tc>
      </w:tr>
      <w:tr w:rsidR="00B55EF1" w:rsidRPr="00305D32" w14:paraId="76814E2C" w14:textId="77777777">
        <w:trPr>
          <w:trHeight w:val="570"/>
        </w:trPr>
        <w:tc>
          <w:tcPr>
            <w:tcW w:w="2007" w:type="dxa"/>
            <w:tcBorders>
              <w:top w:val="nil"/>
              <w:left w:val="nil"/>
              <w:bottom w:val="nil"/>
              <w:right w:val="nil"/>
            </w:tcBorders>
            <w:vAlign w:val="center"/>
          </w:tcPr>
          <w:p w14:paraId="52474A0A" w14:textId="77777777" w:rsidR="00B55EF1" w:rsidRPr="00305D32" w:rsidRDefault="00B55EF1" w:rsidP="00B55EF1">
            <w:pPr>
              <w:spacing w:after="0" w:line="240" w:lineRule="auto"/>
              <w:jc w:val="left"/>
              <w:rPr>
                <w:color w:val="000000"/>
                <w:sz w:val="22"/>
                <w:szCs w:val="22"/>
                <w:lang w:val="es-MX"/>
              </w:rPr>
            </w:pPr>
            <w:r w:rsidRPr="00305D32">
              <w:rPr>
                <w:color w:val="000000"/>
                <w:sz w:val="22"/>
                <w:szCs w:val="22"/>
                <w:lang w:val="es-MX"/>
              </w:rPr>
              <w:t>Dzibanché-Kinichná</w:t>
            </w:r>
          </w:p>
        </w:tc>
        <w:tc>
          <w:tcPr>
            <w:tcW w:w="1197" w:type="dxa"/>
            <w:tcBorders>
              <w:top w:val="nil"/>
              <w:left w:val="nil"/>
              <w:bottom w:val="nil"/>
              <w:right w:val="nil"/>
            </w:tcBorders>
            <w:vAlign w:val="center"/>
          </w:tcPr>
          <w:p w14:paraId="13F035A1" w14:textId="185771A6"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945</w:t>
            </w:r>
          </w:p>
        </w:tc>
        <w:tc>
          <w:tcPr>
            <w:tcW w:w="1241" w:type="dxa"/>
            <w:tcBorders>
              <w:top w:val="nil"/>
              <w:left w:val="nil"/>
              <w:bottom w:val="nil"/>
              <w:right w:val="nil"/>
            </w:tcBorders>
            <w:vAlign w:val="center"/>
          </w:tcPr>
          <w:p w14:paraId="01462CB8" w14:textId="07F3F099"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0</w:t>
            </w:r>
          </w:p>
        </w:tc>
        <w:tc>
          <w:tcPr>
            <w:tcW w:w="1119" w:type="dxa"/>
            <w:tcBorders>
              <w:top w:val="nil"/>
              <w:left w:val="nil"/>
              <w:bottom w:val="nil"/>
              <w:right w:val="nil"/>
            </w:tcBorders>
            <w:vAlign w:val="center"/>
          </w:tcPr>
          <w:p w14:paraId="7C2E5067" w14:textId="2564D7BB"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945</w:t>
            </w:r>
          </w:p>
        </w:tc>
        <w:tc>
          <w:tcPr>
            <w:tcW w:w="1197" w:type="dxa"/>
            <w:tcBorders>
              <w:top w:val="nil"/>
              <w:left w:val="nil"/>
              <w:bottom w:val="nil"/>
              <w:right w:val="nil"/>
            </w:tcBorders>
            <w:vAlign w:val="center"/>
          </w:tcPr>
          <w:p w14:paraId="17CF7D27" w14:textId="35B430F8"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1,662</w:t>
            </w:r>
          </w:p>
        </w:tc>
        <w:tc>
          <w:tcPr>
            <w:tcW w:w="1241" w:type="dxa"/>
            <w:tcBorders>
              <w:top w:val="nil"/>
              <w:left w:val="nil"/>
              <w:bottom w:val="nil"/>
              <w:right w:val="nil"/>
            </w:tcBorders>
            <w:vAlign w:val="center"/>
          </w:tcPr>
          <w:p w14:paraId="0E00F83E" w14:textId="68110804"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2,344</w:t>
            </w:r>
          </w:p>
        </w:tc>
        <w:tc>
          <w:tcPr>
            <w:tcW w:w="1119" w:type="dxa"/>
            <w:tcBorders>
              <w:top w:val="nil"/>
              <w:left w:val="nil"/>
              <w:bottom w:val="nil"/>
              <w:right w:val="nil"/>
            </w:tcBorders>
            <w:vAlign w:val="center"/>
          </w:tcPr>
          <w:p w14:paraId="56402968" w14:textId="3048476B"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4,006</w:t>
            </w:r>
          </w:p>
        </w:tc>
      </w:tr>
      <w:tr w:rsidR="00B55EF1" w:rsidRPr="00305D32" w14:paraId="11D8F1CF" w14:textId="77777777">
        <w:trPr>
          <w:trHeight w:val="285"/>
        </w:trPr>
        <w:tc>
          <w:tcPr>
            <w:tcW w:w="2007" w:type="dxa"/>
            <w:tcBorders>
              <w:top w:val="nil"/>
              <w:left w:val="nil"/>
              <w:bottom w:val="nil"/>
              <w:right w:val="nil"/>
            </w:tcBorders>
            <w:vAlign w:val="center"/>
          </w:tcPr>
          <w:p w14:paraId="59A0F48E" w14:textId="77777777" w:rsidR="00B55EF1" w:rsidRPr="00305D32" w:rsidRDefault="00B55EF1" w:rsidP="00B55EF1">
            <w:pPr>
              <w:spacing w:after="0" w:line="240" w:lineRule="auto"/>
              <w:jc w:val="left"/>
              <w:rPr>
                <w:color w:val="000000"/>
                <w:sz w:val="22"/>
                <w:szCs w:val="22"/>
                <w:lang w:val="es-MX"/>
              </w:rPr>
            </w:pPr>
            <w:r w:rsidRPr="00305D32">
              <w:rPr>
                <w:color w:val="000000"/>
                <w:sz w:val="22"/>
                <w:szCs w:val="22"/>
                <w:lang w:val="es-MX"/>
              </w:rPr>
              <w:t>El Meco</w:t>
            </w:r>
          </w:p>
        </w:tc>
        <w:tc>
          <w:tcPr>
            <w:tcW w:w="1197" w:type="dxa"/>
            <w:tcBorders>
              <w:top w:val="nil"/>
              <w:left w:val="nil"/>
              <w:bottom w:val="nil"/>
              <w:right w:val="nil"/>
            </w:tcBorders>
            <w:vAlign w:val="center"/>
          </w:tcPr>
          <w:p w14:paraId="0ED2CE1F" w14:textId="3DC100BF"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473</w:t>
            </w:r>
          </w:p>
        </w:tc>
        <w:tc>
          <w:tcPr>
            <w:tcW w:w="1241" w:type="dxa"/>
            <w:tcBorders>
              <w:top w:val="nil"/>
              <w:left w:val="nil"/>
              <w:bottom w:val="nil"/>
              <w:right w:val="nil"/>
            </w:tcBorders>
            <w:vAlign w:val="center"/>
          </w:tcPr>
          <w:p w14:paraId="483A2944" w14:textId="198BC46B"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409</w:t>
            </w:r>
          </w:p>
        </w:tc>
        <w:tc>
          <w:tcPr>
            <w:tcW w:w="1119" w:type="dxa"/>
            <w:tcBorders>
              <w:top w:val="nil"/>
              <w:left w:val="nil"/>
              <w:bottom w:val="nil"/>
              <w:right w:val="nil"/>
            </w:tcBorders>
            <w:vAlign w:val="center"/>
          </w:tcPr>
          <w:p w14:paraId="7A4E03C5" w14:textId="35DA35DD"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882</w:t>
            </w:r>
          </w:p>
        </w:tc>
        <w:tc>
          <w:tcPr>
            <w:tcW w:w="1197" w:type="dxa"/>
            <w:tcBorders>
              <w:top w:val="nil"/>
              <w:left w:val="nil"/>
              <w:bottom w:val="nil"/>
              <w:right w:val="nil"/>
            </w:tcBorders>
            <w:vAlign w:val="center"/>
          </w:tcPr>
          <w:p w14:paraId="1DF39641" w14:textId="78521F58"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4,982</w:t>
            </w:r>
          </w:p>
        </w:tc>
        <w:tc>
          <w:tcPr>
            <w:tcW w:w="1241" w:type="dxa"/>
            <w:tcBorders>
              <w:top w:val="nil"/>
              <w:left w:val="nil"/>
              <w:bottom w:val="nil"/>
              <w:right w:val="nil"/>
            </w:tcBorders>
            <w:vAlign w:val="center"/>
          </w:tcPr>
          <w:p w14:paraId="24D7EE7E" w14:textId="0F20073D"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13,630</w:t>
            </w:r>
          </w:p>
        </w:tc>
        <w:tc>
          <w:tcPr>
            <w:tcW w:w="1119" w:type="dxa"/>
            <w:tcBorders>
              <w:top w:val="nil"/>
              <w:left w:val="nil"/>
              <w:bottom w:val="nil"/>
              <w:right w:val="nil"/>
            </w:tcBorders>
            <w:vAlign w:val="center"/>
          </w:tcPr>
          <w:p w14:paraId="0AE51811" w14:textId="6D82CD91"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18,612</w:t>
            </w:r>
          </w:p>
        </w:tc>
      </w:tr>
      <w:tr w:rsidR="00B55EF1" w:rsidRPr="00305D32" w14:paraId="2B7616F6" w14:textId="77777777">
        <w:trPr>
          <w:trHeight w:val="285"/>
        </w:trPr>
        <w:tc>
          <w:tcPr>
            <w:tcW w:w="2007" w:type="dxa"/>
            <w:tcBorders>
              <w:top w:val="nil"/>
              <w:left w:val="nil"/>
              <w:bottom w:val="nil"/>
              <w:right w:val="nil"/>
            </w:tcBorders>
            <w:vAlign w:val="center"/>
          </w:tcPr>
          <w:p w14:paraId="4AC15D6D" w14:textId="77777777" w:rsidR="00B55EF1" w:rsidRPr="00305D32" w:rsidRDefault="00B55EF1" w:rsidP="00B55EF1">
            <w:pPr>
              <w:spacing w:after="0" w:line="240" w:lineRule="auto"/>
              <w:jc w:val="left"/>
              <w:rPr>
                <w:color w:val="000000"/>
                <w:sz w:val="22"/>
                <w:szCs w:val="22"/>
                <w:lang w:val="es-MX"/>
              </w:rPr>
            </w:pPr>
            <w:r w:rsidRPr="00305D32">
              <w:rPr>
                <w:color w:val="000000"/>
                <w:sz w:val="22"/>
                <w:szCs w:val="22"/>
                <w:lang w:val="es-MX"/>
              </w:rPr>
              <w:lastRenderedPageBreak/>
              <w:t>El Rey</w:t>
            </w:r>
          </w:p>
        </w:tc>
        <w:tc>
          <w:tcPr>
            <w:tcW w:w="1197" w:type="dxa"/>
            <w:tcBorders>
              <w:top w:val="nil"/>
              <w:left w:val="nil"/>
              <w:bottom w:val="nil"/>
              <w:right w:val="nil"/>
            </w:tcBorders>
            <w:vAlign w:val="center"/>
          </w:tcPr>
          <w:p w14:paraId="772A0685" w14:textId="37E72ADF"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5,071</w:t>
            </w:r>
          </w:p>
        </w:tc>
        <w:tc>
          <w:tcPr>
            <w:tcW w:w="1241" w:type="dxa"/>
            <w:tcBorders>
              <w:top w:val="nil"/>
              <w:left w:val="nil"/>
              <w:bottom w:val="nil"/>
              <w:right w:val="nil"/>
            </w:tcBorders>
            <w:vAlign w:val="center"/>
          </w:tcPr>
          <w:p w14:paraId="22491A0C" w14:textId="3A20D2B3"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4,197</w:t>
            </w:r>
          </w:p>
        </w:tc>
        <w:tc>
          <w:tcPr>
            <w:tcW w:w="1119" w:type="dxa"/>
            <w:tcBorders>
              <w:top w:val="nil"/>
              <w:left w:val="nil"/>
              <w:bottom w:val="nil"/>
              <w:right w:val="nil"/>
            </w:tcBorders>
            <w:vAlign w:val="center"/>
          </w:tcPr>
          <w:p w14:paraId="69791067" w14:textId="695BAF67"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9,268</w:t>
            </w:r>
          </w:p>
        </w:tc>
        <w:tc>
          <w:tcPr>
            <w:tcW w:w="1197" w:type="dxa"/>
            <w:tcBorders>
              <w:top w:val="nil"/>
              <w:left w:val="nil"/>
              <w:bottom w:val="nil"/>
              <w:right w:val="nil"/>
            </w:tcBorders>
            <w:vAlign w:val="center"/>
          </w:tcPr>
          <w:p w14:paraId="64773BA6" w14:textId="1E7130B1"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368</w:t>
            </w:r>
          </w:p>
        </w:tc>
        <w:tc>
          <w:tcPr>
            <w:tcW w:w="1241" w:type="dxa"/>
            <w:tcBorders>
              <w:top w:val="nil"/>
              <w:left w:val="nil"/>
              <w:bottom w:val="nil"/>
              <w:right w:val="nil"/>
            </w:tcBorders>
            <w:vAlign w:val="center"/>
          </w:tcPr>
          <w:p w14:paraId="4D382F4A" w14:textId="14D28A94"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614</w:t>
            </w:r>
          </w:p>
        </w:tc>
        <w:tc>
          <w:tcPr>
            <w:tcW w:w="1119" w:type="dxa"/>
            <w:tcBorders>
              <w:top w:val="nil"/>
              <w:left w:val="nil"/>
              <w:bottom w:val="nil"/>
              <w:right w:val="nil"/>
            </w:tcBorders>
            <w:vAlign w:val="center"/>
          </w:tcPr>
          <w:p w14:paraId="7F7AF781" w14:textId="61E28402"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982</w:t>
            </w:r>
          </w:p>
        </w:tc>
      </w:tr>
      <w:tr w:rsidR="00B55EF1" w:rsidRPr="00305D32" w14:paraId="2300FF41" w14:textId="77777777">
        <w:trPr>
          <w:trHeight w:val="285"/>
        </w:trPr>
        <w:tc>
          <w:tcPr>
            <w:tcW w:w="2007" w:type="dxa"/>
            <w:tcBorders>
              <w:top w:val="nil"/>
              <w:left w:val="nil"/>
              <w:bottom w:val="nil"/>
              <w:right w:val="nil"/>
            </w:tcBorders>
            <w:vAlign w:val="center"/>
          </w:tcPr>
          <w:p w14:paraId="6C5BA206" w14:textId="77777777" w:rsidR="00B55EF1" w:rsidRPr="00305D32" w:rsidRDefault="00B55EF1" w:rsidP="00B55EF1">
            <w:pPr>
              <w:spacing w:after="0" w:line="240" w:lineRule="auto"/>
              <w:jc w:val="left"/>
              <w:rPr>
                <w:color w:val="000000"/>
                <w:sz w:val="22"/>
                <w:szCs w:val="22"/>
                <w:lang w:val="es-MX"/>
              </w:rPr>
            </w:pPr>
            <w:r w:rsidRPr="00305D32">
              <w:rPr>
                <w:color w:val="000000"/>
                <w:sz w:val="22"/>
                <w:szCs w:val="22"/>
                <w:lang w:val="es-MX"/>
              </w:rPr>
              <w:t>Kohunlich</w:t>
            </w:r>
          </w:p>
        </w:tc>
        <w:tc>
          <w:tcPr>
            <w:tcW w:w="1197" w:type="dxa"/>
            <w:tcBorders>
              <w:top w:val="nil"/>
              <w:left w:val="nil"/>
              <w:bottom w:val="nil"/>
              <w:right w:val="nil"/>
            </w:tcBorders>
            <w:vAlign w:val="center"/>
          </w:tcPr>
          <w:p w14:paraId="1263A509" w14:textId="269865A5"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6,222</w:t>
            </w:r>
          </w:p>
        </w:tc>
        <w:tc>
          <w:tcPr>
            <w:tcW w:w="1241" w:type="dxa"/>
            <w:tcBorders>
              <w:top w:val="nil"/>
              <w:left w:val="nil"/>
              <w:bottom w:val="nil"/>
              <w:right w:val="nil"/>
            </w:tcBorders>
            <w:vAlign w:val="center"/>
          </w:tcPr>
          <w:p w14:paraId="13BF10A1" w14:textId="31F636B7"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0</w:t>
            </w:r>
          </w:p>
        </w:tc>
        <w:tc>
          <w:tcPr>
            <w:tcW w:w="1119" w:type="dxa"/>
            <w:tcBorders>
              <w:top w:val="nil"/>
              <w:left w:val="nil"/>
              <w:bottom w:val="nil"/>
              <w:right w:val="nil"/>
            </w:tcBorders>
            <w:vAlign w:val="center"/>
          </w:tcPr>
          <w:p w14:paraId="23EDB978" w14:textId="3C4A3B1A"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6,222</w:t>
            </w:r>
          </w:p>
        </w:tc>
        <w:tc>
          <w:tcPr>
            <w:tcW w:w="1197" w:type="dxa"/>
            <w:tcBorders>
              <w:top w:val="nil"/>
              <w:left w:val="nil"/>
              <w:bottom w:val="nil"/>
              <w:right w:val="nil"/>
            </w:tcBorders>
            <w:vAlign w:val="center"/>
          </w:tcPr>
          <w:p w14:paraId="71F10748" w14:textId="74960173"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8,687</w:t>
            </w:r>
          </w:p>
        </w:tc>
        <w:tc>
          <w:tcPr>
            <w:tcW w:w="1241" w:type="dxa"/>
            <w:tcBorders>
              <w:top w:val="nil"/>
              <w:left w:val="nil"/>
              <w:bottom w:val="nil"/>
              <w:right w:val="nil"/>
            </w:tcBorders>
            <w:vAlign w:val="center"/>
          </w:tcPr>
          <w:p w14:paraId="46B15B6D" w14:textId="76F583A3"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4,352</w:t>
            </w:r>
          </w:p>
        </w:tc>
        <w:tc>
          <w:tcPr>
            <w:tcW w:w="1119" w:type="dxa"/>
            <w:tcBorders>
              <w:top w:val="nil"/>
              <w:left w:val="nil"/>
              <w:bottom w:val="nil"/>
              <w:right w:val="nil"/>
            </w:tcBorders>
            <w:vAlign w:val="center"/>
          </w:tcPr>
          <w:p w14:paraId="1D0D519F" w14:textId="6B782D60"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13,039</w:t>
            </w:r>
          </w:p>
        </w:tc>
      </w:tr>
      <w:tr w:rsidR="00B55EF1" w:rsidRPr="00305D32" w14:paraId="0944CB12" w14:textId="77777777">
        <w:trPr>
          <w:trHeight w:val="285"/>
        </w:trPr>
        <w:tc>
          <w:tcPr>
            <w:tcW w:w="2007" w:type="dxa"/>
            <w:tcBorders>
              <w:top w:val="nil"/>
              <w:left w:val="nil"/>
              <w:bottom w:val="nil"/>
              <w:right w:val="nil"/>
            </w:tcBorders>
            <w:vAlign w:val="center"/>
          </w:tcPr>
          <w:p w14:paraId="784D26D1" w14:textId="77777777" w:rsidR="00B55EF1" w:rsidRPr="00305D32" w:rsidRDefault="00B55EF1" w:rsidP="00B55EF1">
            <w:pPr>
              <w:spacing w:after="0" w:line="240" w:lineRule="auto"/>
              <w:jc w:val="left"/>
              <w:rPr>
                <w:color w:val="000000"/>
                <w:sz w:val="22"/>
                <w:szCs w:val="22"/>
                <w:lang w:val="es-MX"/>
              </w:rPr>
            </w:pPr>
            <w:r w:rsidRPr="00305D32">
              <w:rPr>
                <w:color w:val="000000"/>
                <w:sz w:val="22"/>
                <w:szCs w:val="22"/>
                <w:lang w:val="es-MX"/>
              </w:rPr>
              <w:t>Muyil</w:t>
            </w:r>
          </w:p>
        </w:tc>
        <w:tc>
          <w:tcPr>
            <w:tcW w:w="1197" w:type="dxa"/>
            <w:tcBorders>
              <w:top w:val="nil"/>
              <w:left w:val="nil"/>
              <w:bottom w:val="nil"/>
              <w:right w:val="nil"/>
            </w:tcBorders>
            <w:vAlign w:val="center"/>
          </w:tcPr>
          <w:p w14:paraId="42D727B2" w14:textId="13648EF5"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4,141</w:t>
            </w:r>
          </w:p>
        </w:tc>
        <w:tc>
          <w:tcPr>
            <w:tcW w:w="1241" w:type="dxa"/>
            <w:tcBorders>
              <w:top w:val="nil"/>
              <w:left w:val="nil"/>
              <w:bottom w:val="nil"/>
              <w:right w:val="nil"/>
            </w:tcBorders>
            <w:vAlign w:val="center"/>
          </w:tcPr>
          <w:p w14:paraId="531AB699" w14:textId="39FD0757"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6,610</w:t>
            </w:r>
          </w:p>
        </w:tc>
        <w:tc>
          <w:tcPr>
            <w:tcW w:w="1119" w:type="dxa"/>
            <w:tcBorders>
              <w:top w:val="nil"/>
              <w:left w:val="nil"/>
              <w:bottom w:val="nil"/>
              <w:right w:val="nil"/>
            </w:tcBorders>
            <w:vAlign w:val="center"/>
          </w:tcPr>
          <w:p w14:paraId="42DBEABE" w14:textId="58D66B0D"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10,751</w:t>
            </w:r>
          </w:p>
        </w:tc>
        <w:tc>
          <w:tcPr>
            <w:tcW w:w="1197" w:type="dxa"/>
            <w:tcBorders>
              <w:top w:val="nil"/>
              <w:left w:val="nil"/>
              <w:bottom w:val="nil"/>
              <w:right w:val="nil"/>
            </w:tcBorders>
            <w:vAlign w:val="center"/>
          </w:tcPr>
          <w:p w14:paraId="09C948BA" w14:textId="3268BBAA"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0</w:t>
            </w:r>
          </w:p>
        </w:tc>
        <w:tc>
          <w:tcPr>
            <w:tcW w:w="1241" w:type="dxa"/>
            <w:tcBorders>
              <w:top w:val="nil"/>
              <w:left w:val="nil"/>
              <w:bottom w:val="nil"/>
              <w:right w:val="nil"/>
            </w:tcBorders>
            <w:vAlign w:val="center"/>
          </w:tcPr>
          <w:p w14:paraId="09F7C8E9" w14:textId="14A8ADE0"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0</w:t>
            </w:r>
          </w:p>
        </w:tc>
        <w:tc>
          <w:tcPr>
            <w:tcW w:w="1119" w:type="dxa"/>
            <w:tcBorders>
              <w:top w:val="nil"/>
              <w:left w:val="nil"/>
              <w:bottom w:val="nil"/>
              <w:right w:val="nil"/>
            </w:tcBorders>
            <w:vAlign w:val="center"/>
          </w:tcPr>
          <w:p w14:paraId="01E3551C" w14:textId="2F56622D"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0</w:t>
            </w:r>
          </w:p>
        </w:tc>
      </w:tr>
      <w:tr w:rsidR="00B55EF1" w:rsidRPr="00305D32" w14:paraId="07E3D2BB" w14:textId="77777777">
        <w:trPr>
          <w:trHeight w:val="285"/>
        </w:trPr>
        <w:tc>
          <w:tcPr>
            <w:tcW w:w="2007" w:type="dxa"/>
            <w:tcBorders>
              <w:top w:val="nil"/>
              <w:left w:val="nil"/>
              <w:bottom w:val="nil"/>
              <w:right w:val="nil"/>
            </w:tcBorders>
            <w:vAlign w:val="center"/>
          </w:tcPr>
          <w:p w14:paraId="2F2F385A" w14:textId="77777777" w:rsidR="00B55EF1" w:rsidRPr="00305D32" w:rsidRDefault="00B55EF1" w:rsidP="00B55EF1">
            <w:pPr>
              <w:spacing w:after="0" w:line="240" w:lineRule="auto"/>
              <w:jc w:val="left"/>
              <w:rPr>
                <w:color w:val="000000"/>
                <w:sz w:val="22"/>
                <w:szCs w:val="22"/>
                <w:lang w:val="es-MX"/>
              </w:rPr>
            </w:pPr>
            <w:r w:rsidRPr="00305D32">
              <w:rPr>
                <w:color w:val="000000"/>
                <w:sz w:val="22"/>
                <w:szCs w:val="22"/>
                <w:lang w:val="es-MX"/>
              </w:rPr>
              <w:t>Oxtankah</w:t>
            </w:r>
          </w:p>
        </w:tc>
        <w:tc>
          <w:tcPr>
            <w:tcW w:w="1197" w:type="dxa"/>
            <w:tcBorders>
              <w:top w:val="nil"/>
              <w:left w:val="nil"/>
              <w:bottom w:val="nil"/>
              <w:right w:val="nil"/>
            </w:tcBorders>
            <w:vAlign w:val="center"/>
          </w:tcPr>
          <w:p w14:paraId="419191C1" w14:textId="07879DEF"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0</w:t>
            </w:r>
          </w:p>
        </w:tc>
        <w:tc>
          <w:tcPr>
            <w:tcW w:w="1241" w:type="dxa"/>
            <w:tcBorders>
              <w:top w:val="nil"/>
              <w:left w:val="nil"/>
              <w:bottom w:val="nil"/>
              <w:right w:val="nil"/>
            </w:tcBorders>
            <w:vAlign w:val="center"/>
          </w:tcPr>
          <w:p w14:paraId="08916522" w14:textId="5818B2A6"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0</w:t>
            </w:r>
          </w:p>
        </w:tc>
        <w:tc>
          <w:tcPr>
            <w:tcW w:w="1119" w:type="dxa"/>
            <w:tcBorders>
              <w:top w:val="nil"/>
              <w:left w:val="nil"/>
              <w:bottom w:val="nil"/>
              <w:right w:val="nil"/>
            </w:tcBorders>
            <w:vAlign w:val="center"/>
          </w:tcPr>
          <w:p w14:paraId="4CE17436" w14:textId="45B236CE"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0</w:t>
            </w:r>
          </w:p>
        </w:tc>
        <w:tc>
          <w:tcPr>
            <w:tcW w:w="1197" w:type="dxa"/>
            <w:tcBorders>
              <w:top w:val="nil"/>
              <w:left w:val="nil"/>
              <w:bottom w:val="nil"/>
              <w:right w:val="nil"/>
            </w:tcBorders>
            <w:vAlign w:val="center"/>
          </w:tcPr>
          <w:p w14:paraId="00341190" w14:textId="652398D2"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311</w:t>
            </w:r>
          </w:p>
        </w:tc>
        <w:tc>
          <w:tcPr>
            <w:tcW w:w="1241" w:type="dxa"/>
            <w:tcBorders>
              <w:top w:val="nil"/>
              <w:left w:val="nil"/>
              <w:bottom w:val="nil"/>
              <w:right w:val="nil"/>
            </w:tcBorders>
            <w:vAlign w:val="center"/>
          </w:tcPr>
          <w:p w14:paraId="689281E6" w14:textId="2836D201"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5,163</w:t>
            </w:r>
          </w:p>
        </w:tc>
        <w:tc>
          <w:tcPr>
            <w:tcW w:w="1119" w:type="dxa"/>
            <w:tcBorders>
              <w:top w:val="nil"/>
              <w:left w:val="nil"/>
              <w:bottom w:val="nil"/>
              <w:right w:val="nil"/>
            </w:tcBorders>
            <w:vAlign w:val="center"/>
          </w:tcPr>
          <w:p w14:paraId="578E446C" w14:textId="14EE5511"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5,474</w:t>
            </w:r>
          </w:p>
        </w:tc>
      </w:tr>
      <w:tr w:rsidR="00B55EF1" w:rsidRPr="00305D32" w14:paraId="154CE0B1" w14:textId="77777777">
        <w:trPr>
          <w:trHeight w:val="285"/>
        </w:trPr>
        <w:tc>
          <w:tcPr>
            <w:tcW w:w="2007" w:type="dxa"/>
            <w:tcBorders>
              <w:top w:val="nil"/>
              <w:left w:val="nil"/>
              <w:bottom w:val="nil"/>
              <w:right w:val="nil"/>
            </w:tcBorders>
            <w:vAlign w:val="center"/>
          </w:tcPr>
          <w:p w14:paraId="4A180E33" w14:textId="77777777" w:rsidR="00B55EF1" w:rsidRPr="00305D32" w:rsidRDefault="00B55EF1" w:rsidP="00B55EF1">
            <w:pPr>
              <w:spacing w:after="0" w:line="240" w:lineRule="auto"/>
              <w:jc w:val="left"/>
              <w:rPr>
                <w:color w:val="000000"/>
                <w:sz w:val="22"/>
                <w:szCs w:val="22"/>
                <w:lang w:val="es-MX"/>
              </w:rPr>
            </w:pPr>
            <w:r w:rsidRPr="00305D32">
              <w:rPr>
                <w:color w:val="000000"/>
                <w:sz w:val="22"/>
                <w:szCs w:val="22"/>
                <w:lang w:val="es-MX"/>
              </w:rPr>
              <w:t>San Gervasio</w:t>
            </w:r>
          </w:p>
        </w:tc>
        <w:tc>
          <w:tcPr>
            <w:tcW w:w="1197" w:type="dxa"/>
            <w:tcBorders>
              <w:top w:val="nil"/>
              <w:left w:val="nil"/>
              <w:bottom w:val="nil"/>
              <w:right w:val="nil"/>
            </w:tcBorders>
            <w:vAlign w:val="center"/>
          </w:tcPr>
          <w:p w14:paraId="17E59232" w14:textId="0A7F4F68"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5,726</w:t>
            </w:r>
          </w:p>
        </w:tc>
        <w:tc>
          <w:tcPr>
            <w:tcW w:w="1241" w:type="dxa"/>
            <w:tcBorders>
              <w:top w:val="nil"/>
              <w:left w:val="nil"/>
              <w:bottom w:val="nil"/>
              <w:right w:val="nil"/>
            </w:tcBorders>
            <w:vAlign w:val="center"/>
          </w:tcPr>
          <w:p w14:paraId="5D264F92" w14:textId="51985760"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84,189</w:t>
            </w:r>
          </w:p>
        </w:tc>
        <w:tc>
          <w:tcPr>
            <w:tcW w:w="1119" w:type="dxa"/>
            <w:tcBorders>
              <w:top w:val="nil"/>
              <w:left w:val="nil"/>
              <w:bottom w:val="nil"/>
              <w:right w:val="nil"/>
            </w:tcBorders>
            <w:vAlign w:val="center"/>
          </w:tcPr>
          <w:p w14:paraId="21C771DA" w14:textId="710016D2"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89,915</w:t>
            </w:r>
          </w:p>
        </w:tc>
        <w:tc>
          <w:tcPr>
            <w:tcW w:w="1197" w:type="dxa"/>
            <w:tcBorders>
              <w:top w:val="nil"/>
              <w:left w:val="nil"/>
              <w:bottom w:val="nil"/>
              <w:right w:val="nil"/>
            </w:tcBorders>
            <w:vAlign w:val="center"/>
          </w:tcPr>
          <w:p w14:paraId="7B677B8D" w14:textId="05D3CB57"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67,577</w:t>
            </w:r>
          </w:p>
        </w:tc>
        <w:tc>
          <w:tcPr>
            <w:tcW w:w="1241" w:type="dxa"/>
            <w:tcBorders>
              <w:top w:val="nil"/>
              <w:left w:val="nil"/>
              <w:bottom w:val="nil"/>
              <w:right w:val="nil"/>
            </w:tcBorders>
            <w:vAlign w:val="center"/>
          </w:tcPr>
          <w:p w14:paraId="4BFBDBBD" w14:textId="285C5D6D"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6,753</w:t>
            </w:r>
          </w:p>
        </w:tc>
        <w:tc>
          <w:tcPr>
            <w:tcW w:w="1119" w:type="dxa"/>
            <w:tcBorders>
              <w:top w:val="nil"/>
              <w:left w:val="nil"/>
              <w:bottom w:val="nil"/>
              <w:right w:val="nil"/>
            </w:tcBorders>
            <w:vAlign w:val="center"/>
          </w:tcPr>
          <w:p w14:paraId="1829C3E5" w14:textId="0C13C70E"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74,330</w:t>
            </w:r>
          </w:p>
        </w:tc>
      </w:tr>
      <w:tr w:rsidR="00B55EF1" w:rsidRPr="00305D32" w14:paraId="0EC2C151" w14:textId="77777777">
        <w:trPr>
          <w:trHeight w:val="285"/>
        </w:trPr>
        <w:tc>
          <w:tcPr>
            <w:tcW w:w="2007" w:type="dxa"/>
            <w:tcBorders>
              <w:top w:val="nil"/>
              <w:left w:val="nil"/>
              <w:bottom w:val="nil"/>
              <w:right w:val="nil"/>
            </w:tcBorders>
            <w:vAlign w:val="center"/>
          </w:tcPr>
          <w:p w14:paraId="41549821" w14:textId="77777777" w:rsidR="00B55EF1" w:rsidRPr="00305D32" w:rsidRDefault="00B55EF1" w:rsidP="00B55EF1">
            <w:pPr>
              <w:spacing w:after="0" w:line="240" w:lineRule="auto"/>
              <w:jc w:val="left"/>
              <w:rPr>
                <w:color w:val="000000"/>
                <w:sz w:val="22"/>
                <w:szCs w:val="22"/>
                <w:lang w:val="es-MX"/>
              </w:rPr>
            </w:pPr>
            <w:r w:rsidRPr="00305D32">
              <w:rPr>
                <w:color w:val="000000"/>
                <w:sz w:val="22"/>
                <w:szCs w:val="22"/>
                <w:lang w:val="es-MX"/>
              </w:rPr>
              <w:t>Tulum</w:t>
            </w:r>
          </w:p>
        </w:tc>
        <w:tc>
          <w:tcPr>
            <w:tcW w:w="1197" w:type="dxa"/>
            <w:tcBorders>
              <w:top w:val="nil"/>
              <w:left w:val="nil"/>
              <w:bottom w:val="nil"/>
              <w:right w:val="nil"/>
            </w:tcBorders>
            <w:vAlign w:val="center"/>
          </w:tcPr>
          <w:p w14:paraId="655CFBCF" w14:textId="47B70DE6"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314,351</w:t>
            </w:r>
          </w:p>
        </w:tc>
        <w:tc>
          <w:tcPr>
            <w:tcW w:w="1241" w:type="dxa"/>
            <w:tcBorders>
              <w:top w:val="nil"/>
              <w:left w:val="nil"/>
              <w:bottom w:val="nil"/>
              <w:right w:val="nil"/>
            </w:tcBorders>
            <w:vAlign w:val="center"/>
          </w:tcPr>
          <w:p w14:paraId="3B351B87" w14:textId="28932BA2"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497,600</w:t>
            </w:r>
          </w:p>
        </w:tc>
        <w:tc>
          <w:tcPr>
            <w:tcW w:w="1119" w:type="dxa"/>
            <w:tcBorders>
              <w:top w:val="nil"/>
              <w:left w:val="nil"/>
              <w:bottom w:val="nil"/>
              <w:right w:val="nil"/>
            </w:tcBorders>
            <w:vAlign w:val="center"/>
          </w:tcPr>
          <w:p w14:paraId="7F6DD006" w14:textId="0C5A5868"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811,951</w:t>
            </w:r>
          </w:p>
        </w:tc>
        <w:tc>
          <w:tcPr>
            <w:tcW w:w="1197" w:type="dxa"/>
            <w:tcBorders>
              <w:top w:val="nil"/>
              <w:left w:val="nil"/>
              <w:bottom w:val="nil"/>
              <w:right w:val="nil"/>
            </w:tcBorders>
            <w:vAlign w:val="center"/>
          </w:tcPr>
          <w:p w14:paraId="32D2690C" w14:textId="31453516"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371,544</w:t>
            </w:r>
          </w:p>
        </w:tc>
        <w:tc>
          <w:tcPr>
            <w:tcW w:w="1241" w:type="dxa"/>
            <w:tcBorders>
              <w:top w:val="nil"/>
              <w:left w:val="nil"/>
              <w:bottom w:val="nil"/>
              <w:right w:val="nil"/>
            </w:tcBorders>
            <w:vAlign w:val="center"/>
          </w:tcPr>
          <w:p w14:paraId="4D14B65E" w14:textId="28A0C3CF"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218,126</w:t>
            </w:r>
          </w:p>
        </w:tc>
        <w:tc>
          <w:tcPr>
            <w:tcW w:w="1119" w:type="dxa"/>
            <w:tcBorders>
              <w:top w:val="nil"/>
              <w:left w:val="nil"/>
              <w:bottom w:val="nil"/>
              <w:right w:val="nil"/>
            </w:tcBorders>
            <w:vAlign w:val="center"/>
          </w:tcPr>
          <w:p w14:paraId="2EA51927" w14:textId="1020311E"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589,670</w:t>
            </w:r>
          </w:p>
        </w:tc>
      </w:tr>
      <w:tr w:rsidR="00B55EF1" w:rsidRPr="00305D32" w14:paraId="3FC5F37A" w14:textId="77777777">
        <w:trPr>
          <w:trHeight w:val="285"/>
        </w:trPr>
        <w:tc>
          <w:tcPr>
            <w:tcW w:w="2007" w:type="dxa"/>
            <w:tcBorders>
              <w:top w:val="nil"/>
              <w:left w:val="nil"/>
              <w:bottom w:val="nil"/>
              <w:right w:val="nil"/>
            </w:tcBorders>
            <w:vAlign w:val="center"/>
          </w:tcPr>
          <w:p w14:paraId="607EF33A" w14:textId="77777777" w:rsidR="00B55EF1" w:rsidRPr="00305D32" w:rsidRDefault="00B55EF1" w:rsidP="00B55EF1">
            <w:pPr>
              <w:spacing w:after="0" w:line="240" w:lineRule="auto"/>
              <w:jc w:val="left"/>
              <w:rPr>
                <w:color w:val="000000"/>
                <w:sz w:val="22"/>
                <w:szCs w:val="22"/>
                <w:lang w:val="es-MX"/>
              </w:rPr>
            </w:pPr>
            <w:r w:rsidRPr="00305D32">
              <w:rPr>
                <w:color w:val="000000"/>
                <w:sz w:val="22"/>
                <w:szCs w:val="22"/>
                <w:lang w:val="es-MX"/>
              </w:rPr>
              <w:t>Xcaret</w:t>
            </w:r>
          </w:p>
        </w:tc>
        <w:tc>
          <w:tcPr>
            <w:tcW w:w="1197" w:type="dxa"/>
            <w:tcBorders>
              <w:top w:val="nil"/>
              <w:left w:val="nil"/>
              <w:bottom w:val="nil"/>
              <w:right w:val="nil"/>
            </w:tcBorders>
            <w:vAlign w:val="center"/>
          </w:tcPr>
          <w:p w14:paraId="0145D7C2" w14:textId="352E71BE"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41</w:t>
            </w:r>
          </w:p>
        </w:tc>
        <w:tc>
          <w:tcPr>
            <w:tcW w:w="1241" w:type="dxa"/>
            <w:tcBorders>
              <w:top w:val="nil"/>
              <w:left w:val="nil"/>
              <w:bottom w:val="nil"/>
              <w:right w:val="nil"/>
            </w:tcBorders>
            <w:vAlign w:val="center"/>
          </w:tcPr>
          <w:p w14:paraId="6F72DF3A" w14:textId="769C4ECF"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11</w:t>
            </w:r>
          </w:p>
        </w:tc>
        <w:tc>
          <w:tcPr>
            <w:tcW w:w="1119" w:type="dxa"/>
            <w:tcBorders>
              <w:top w:val="nil"/>
              <w:left w:val="nil"/>
              <w:bottom w:val="nil"/>
              <w:right w:val="nil"/>
            </w:tcBorders>
            <w:vAlign w:val="center"/>
          </w:tcPr>
          <w:p w14:paraId="24EAA54A" w14:textId="378C99C1"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52</w:t>
            </w:r>
          </w:p>
        </w:tc>
        <w:tc>
          <w:tcPr>
            <w:tcW w:w="1197" w:type="dxa"/>
            <w:tcBorders>
              <w:top w:val="nil"/>
              <w:left w:val="nil"/>
              <w:bottom w:val="nil"/>
              <w:right w:val="nil"/>
            </w:tcBorders>
            <w:vAlign w:val="center"/>
          </w:tcPr>
          <w:p w14:paraId="58D3D894" w14:textId="7D0E36F4"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31</w:t>
            </w:r>
          </w:p>
        </w:tc>
        <w:tc>
          <w:tcPr>
            <w:tcW w:w="1241" w:type="dxa"/>
            <w:tcBorders>
              <w:top w:val="nil"/>
              <w:left w:val="nil"/>
              <w:bottom w:val="nil"/>
              <w:right w:val="nil"/>
            </w:tcBorders>
            <w:vAlign w:val="center"/>
          </w:tcPr>
          <w:p w14:paraId="522897A8" w14:textId="4F1C2BA6"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142</w:t>
            </w:r>
          </w:p>
        </w:tc>
        <w:tc>
          <w:tcPr>
            <w:tcW w:w="1119" w:type="dxa"/>
            <w:tcBorders>
              <w:top w:val="nil"/>
              <w:left w:val="nil"/>
              <w:bottom w:val="nil"/>
              <w:right w:val="nil"/>
            </w:tcBorders>
            <w:vAlign w:val="center"/>
          </w:tcPr>
          <w:p w14:paraId="7A4EE577" w14:textId="0D6B2732"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173</w:t>
            </w:r>
          </w:p>
        </w:tc>
      </w:tr>
      <w:tr w:rsidR="00B55EF1" w:rsidRPr="00305D32" w14:paraId="4EE9B73A" w14:textId="77777777">
        <w:trPr>
          <w:trHeight w:val="285"/>
        </w:trPr>
        <w:tc>
          <w:tcPr>
            <w:tcW w:w="2007" w:type="dxa"/>
            <w:tcBorders>
              <w:top w:val="nil"/>
              <w:left w:val="nil"/>
              <w:bottom w:val="nil"/>
              <w:right w:val="nil"/>
            </w:tcBorders>
            <w:vAlign w:val="center"/>
          </w:tcPr>
          <w:p w14:paraId="281A62DE" w14:textId="77777777" w:rsidR="00B55EF1" w:rsidRPr="00305D32" w:rsidRDefault="00B55EF1" w:rsidP="00B55EF1">
            <w:pPr>
              <w:spacing w:after="0" w:line="240" w:lineRule="auto"/>
              <w:jc w:val="left"/>
              <w:rPr>
                <w:color w:val="000000"/>
                <w:sz w:val="22"/>
                <w:szCs w:val="22"/>
                <w:lang w:val="es-MX"/>
              </w:rPr>
            </w:pPr>
            <w:r w:rsidRPr="00305D32">
              <w:rPr>
                <w:color w:val="000000"/>
                <w:sz w:val="22"/>
                <w:szCs w:val="22"/>
                <w:lang w:val="es-MX"/>
              </w:rPr>
              <w:t>Xel-há</w:t>
            </w:r>
          </w:p>
        </w:tc>
        <w:tc>
          <w:tcPr>
            <w:tcW w:w="1197" w:type="dxa"/>
            <w:tcBorders>
              <w:top w:val="nil"/>
              <w:left w:val="nil"/>
              <w:bottom w:val="nil"/>
              <w:right w:val="nil"/>
            </w:tcBorders>
            <w:vAlign w:val="center"/>
          </w:tcPr>
          <w:p w14:paraId="174FA66F" w14:textId="3D00BF4E"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12</w:t>
            </w:r>
          </w:p>
        </w:tc>
        <w:tc>
          <w:tcPr>
            <w:tcW w:w="1241" w:type="dxa"/>
            <w:tcBorders>
              <w:top w:val="nil"/>
              <w:left w:val="nil"/>
              <w:bottom w:val="nil"/>
              <w:right w:val="nil"/>
            </w:tcBorders>
            <w:vAlign w:val="center"/>
          </w:tcPr>
          <w:p w14:paraId="65B0A43F" w14:textId="0BC20122"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39</w:t>
            </w:r>
          </w:p>
        </w:tc>
        <w:tc>
          <w:tcPr>
            <w:tcW w:w="1119" w:type="dxa"/>
            <w:tcBorders>
              <w:top w:val="nil"/>
              <w:left w:val="nil"/>
              <w:bottom w:val="nil"/>
              <w:right w:val="nil"/>
            </w:tcBorders>
            <w:vAlign w:val="center"/>
          </w:tcPr>
          <w:p w14:paraId="449A005E" w14:textId="4C5621D9"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51</w:t>
            </w:r>
          </w:p>
        </w:tc>
        <w:tc>
          <w:tcPr>
            <w:tcW w:w="1197" w:type="dxa"/>
            <w:tcBorders>
              <w:top w:val="nil"/>
              <w:left w:val="nil"/>
              <w:bottom w:val="nil"/>
              <w:right w:val="nil"/>
            </w:tcBorders>
            <w:vAlign w:val="center"/>
          </w:tcPr>
          <w:p w14:paraId="630CFD2C" w14:textId="318AD046"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0</w:t>
            </w:r>
          </w:p>
        </w:tc>
        <w:tc>
          <w:tcPr>
            <w:tcW w:w="1241" w:type="dxa"/>
            <w:tcBorders>
              <w:top w:val="nil"/>
              <w:left w:val="nil"/>
              <w:bottom w:val="nil"/>
              <w:right w:val="nil"/>
            </w:tcBorders>
            <w:vAlign w:val="center"/>
          </w:tcPr>
          <w:p w14:paraId="045977D3" w14:textId="78B60E81"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0</w:t>
            </w:r>
          </w:p>
        </w:tc>
        <w:tc>
          <w:tcPr>
            <w:tcW w:w="1119" w:type="dxa"/>
            <w:tcBorders>
              <w:top w:val="nil"/>
              <w:left w:val="nil"/>
              <w:bottom w:val="nil"/>
              <w:right w:val="nil"/>
            </w:tcBorders>
            <w:vAlign w:val="center"/>
          </w:tcPr>
          <w:p w14:paraId="77569046" w14:textId="64FDCE20"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0</w:t>
            </w:r>
          </w:p>
        </w:tc>
      </w:tr>
      <w:tr w:rsidR="00B55EF1" w:rsidRPr="00305D32" w14:paraId="0C33E793" w14:textId="77777777">
        <w:trPr>
          <w:trHeight w:val="285"/>
        </w:trPr>
        <w:tc>
          <w:tcPr>
            <w:tcW w:w="2007" w:type="dxa"/>
            <w:tcBorders>
              <w:top w:val="nil"/>
              <w:left w:val="nil"/>
              <w:bottom w:val="nil"/>
              <w:right w:val="nil"/>
            </w:tcBorders>
            <w:vAlign w:val="center"/>
          </w:tcPr>
          <w:p w14:paraId="77271830" w14:textId="77777777" w:rsidR="00B55EF1" w:rsidRPr="00305D32" w:rsidRDefault="00B55EF1" w:rsidP="00B55EF1">
            <w:pPr>
              <w:spacing w:after="0" w:line="240" w:lineRule="auto"/>
              <w:jc w:val="left"/>
              <w:rPr>
                <w:color w:val="000000"/>
                <w:sz w:val="22"/>
                <w:szCs w:val="22"/>
                <w:lang w:val="es-MX"/>
              </w:rPr>
            </w:pPr>
            <w:r w:rsidRPr="00305D32">
              <w:rPr>
                <w:color w:val="000000"/>
                <w:sz w:val="22"/>
                <w:szCs w:val="22"/>
                <w:lang w:val="es-MX"/>
              </w:rPr>
              <w:t>Chacchoben</w:t>
            </w:r>
          </w:p>
        </w:tc>
        <w:tc>
          <w:tcPr>
            <w:tcW w:w="1197" w:type="dxa"/>
            <w:tcBorders>
              <w:top w:val="nil"/>
              <w:left w:val="nil"/>
              <w:bottom w:val="nil"/>
              <w:right w:val="nil"/>
            </w:tcBorders>
            <w:vAlign w:val="center"/>
          </w:tcPr>
          <w:p w14:paraId="31D7EDC3" w14:textId="5BC384F5"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5,669</w:t>
            </w:r>
          </w:p>
        </w:tc>
        <w:tc>
          <w:tcPr>
            <w:tcW w:w="1241" w:type="dxa"/>
            <w:tcBorders>
              <w:top w:val="nil"/>
              <w:left w:val="nil"/>
              <w:bottom w:val="nil"/>
              <w:right w:val="nil"/>
            </w:tcBorders>
            <w:vAlign w:val="center"/>
          </w:tcPr>
          <w:p w14:paraId="43C92349" w14:textId="3973B968"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127,183</w:t>
            </w:r>
          </w:p>
        </w:tc>
        <w:tc>
          <w:tcPr>
            <w:tcW w:w="1119" w:type="dxa"/>
            <w:tcBorders>
              <w:top w:val="nil"/>
              <w:left w:val="nil"/>
              <w:bottom w:val="nil"/>
              <w:right w:val="nil"/>
            </w:tcBorders>
            <w:vAlign w:val="center"/>
          </w:tcPr>
          <w:p w14:paraId="165B925F" w14:textId="3FD17485"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132,852</w:t>
            </w:r>
          </w:p>
        </w:tc>
        <w:tc>
          <w:tcPr>
            <w:tcW w:w="1197" w:type="dxa"/>
            <w:tcBorders>
              <w:top w:val="nil"/>
              <w:left w:val="nil"/>
              <w:bottom w:val="nil"/>
              <w:right w:val="nil"/>
            </w:tcBorders>
            <w:vAlign w:val="center"/>
          </w:tcPr>
          <w:p w14:paraId="520AFABC" w14:textId="6D6255E6"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127,285</w:t>
            </w:r>
          </w:p>
        </w:tc>
        <w:tc>
          <w:tcPr>
            <w:tcW w:w="1241" w:type="dxa"/>
            <w:tcBorders>
              <w:top w:val="nil"/>
              <w:left w:val="nil"/>
              <w:bottom w:val="nil"/>
              <w:right w:val="nil"/>
            </w:tcBorders>
            <w:vAlign w:val="center"/>
          </w:tcPr>
          <w:p w14:paraId="0A41EF4B" w14:textId="6CFC5CBD"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9,721</w:t>
            </w:r>
          </w:p>
        </w:tc>
        <w:tc>
          <w:tcPr>
            <w:tcW w:w="1119" w:type="dxa"/>
            <w:tcBorders>
              <w:top w:val="nil"/>
              <w:left w:val="nil"/>
              <w:bottom w:val="nil"/>
              <w:right w:val="nil"/>
            </w:tcBorders>
            <w:vAlign w:val="center"/>
          </w:tcPr>
          <w:p w14:paraId="1E85C06D" w14:textId="1F22906B"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137,006</w:t>
            </w:r>
          </w:p>
        </w:tc>
      </w:tr>
      <w:tr w:rsidR="00B55EF1" w:rsidRPr="00305D32" w14:paraId="216BEEC8" w14:textId="77777777">
        <w:trPr>
          <w:trHeight w:val="285"/>
        </w:trPr>
        <w:tc>
          <w:tcPr>
            <w:tcW w:w="2007" w:type="dxa"/>
            <w:tcBorders>
              <w:top w:val="nil"/>
              <w:left w:val="nil"/>
              <w:bottom w:val="nil"/>
              <w:right w:val="nil"/>
            </w:tcBorders>
            <w:vAlign w:val="center"/>
          </w:tcPr>
          <w:p w14:paraId="0EF53D55" w14:textId="6D8AB9E8" w:rsidR="00B55EF1" w:rsidRPr="00305D32" w:rsidRDefault="00B55EF1" w:rsidP="00B55EF1">
            <w:pPr>
              <w:spacing w:after="0" w:line="240" w:lineRule="auto"/>
              <w:jc w:val="left"/>
              <w:rPr>
                <w:color w:val="000000"/>
                <w:sz w:val="22"/>
                <w:szCs w:val="22"/>
                <w:lang w:val="es-MX"/>
              </w:rPr>
            </w:pPr>
            <w:r w:rsidRPr="00305D32">
              <w:rPr>
                <w:color w:val="000000"/>
                <w:sz w:val="22"/>
                <w:szCs w:val="22"/>
                <w:lang w:val="es-MX"/>
              </w:rPr>
              <w:t>Museo de la Costa Oriental</w:t>
            </w:r>
          </w:p>
        </w:tc>
        <w:tc>
          <w:tcPr>
            <w:tcW w:w="1197" w:type="dxa"/>
            <w:tcBorders>
              <w:top w:val="nil"/>
              <w:left w:val="nil"/>
              <w:bottom w:val="nil"/>
              <w:right w:val="nil"/>
            </w:tcBorders>
            <w:vAlign w:val="center"/>
          </w:tcPr>
          <w:p w14:paraId="713E8C64" w14:textId="616FE88F"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0</w:t>
            </w:r>
          </w:p>
        </w:tc>
        <w:tc>
          <w:tcPr>
            <w:tcW w:w="1241" w:type="dxa"/>
            <w:tcBorders>
              <w:top w:val="nil"/>
              <w:left w:val="nil"/>
              <w:bottom w:val="nil"/>
              <w:right w:val="nil"/>
            </w:tcBorders>
            <w:vAlign w:val="center"/>
          </w:tcPr>
          <w:p w14:paraId="079CC01C" w14:textId="1D39926A"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0</w:t>
            </w:r>
          </w:p>
        </w:tc>
        <w:tc>
          <w:tcPr>
            <w:tcW w:w="1119" w:type="dxa"/>
            <w:tcBorders>
              <w:top w:val="nil"/>
              <w:left w:val="nil"/>
              <w:bottom w:val="nil"/>
              <w:right w:val="nil"/>
            </w:tcBorders>
            <w:vAlign w:val="center"/>
          </w:tcPr>
          <w:p w14:paraId="23829551" w14:textId="44B2A587"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0</w:t>
            </w:r>
          </w:p>
        </w:tc>
        <w:tc>
          <w:tcPr>
            <w:tcW w:w="1197" w:type="dxa"/>
            <w:tcBorders>
              <w:top w:val="nil"/>
              <w:left w:val="nil"/>
              <w:bottom w:val="nil"/>
              <w:right w:val="nil"/>
            </w:tcBorders>
            <w:vAlign w:val="center"/>
          </w:tcPr>
          <w:p w14:paraId="63A6FF2B" w14:textId="0C0B0F92"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24,479</w:t>
            </w:r>
          </w:p>
        </w:tc>
        <w:tc>
          <w:tcPr>
            <w:tcW w:w="1241" w:type="dxa"/>
            <w:tcBorders>
              <w:top w:val="nil"/>
              <w:left w:val="nil"/>
              <w:bottom w:val="nil"/>
              <w:right w:val="nil"/>
            </w:tcBorders>
            <w:vAlign w:val="center"/>
          </w:tcPr>
          <w:p w14:paraId="1897FE0C" w14:textId="1F611E72"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46,461</w:t>
            </w:r>
          </w:p>
        </w:tc>
        <w:tc>
          <w:tcPr>
            <w:tcW w:w="1119" w:type="dxa"/>
            <w:tcBorders>
              <w:top w:val="nil"/>
              <w:left w:val="nil"/>
              <w:bottom w:val="nil"/>
              <w:right w:val="nil"/>
            </w:tcBorders>
            <w:vAlign w:val="center"/>
          </w:tcPr>
          <w:p w14:paraId="19F9DBA4" w14:textId="6BD9BD0D"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70,940</w:t>
            </w:r>
          </w:p>
        </w:tc>
      </w:tr>
      <w:tr w:rsidR="00B55EF1" w:rsidRPr="00305D32" w14:paraId="2623205B" w14:textId="77777777">
        <w:trPr>
          <w:trHeight w:val="285"/>
        </w:trPr>
        <w:tc>
          <w:tcPr>
            <w:tcW w:w="2007" w:type="dxa"/>
            <w:tcBorders>
              <w:top w:val="nil"/>
              <w:left w:val="nil"/>
              <w:bottom w:val="nil"/>
              <w:right w:val="nil"/>
            </w:tcBorders>
            <w:vAlign w:val="center"/>
          </w:tcPr>
          <w:p w14:paraId="74166C82" w14:textId="0774053B" w:rsidR="00B55EF1" w:rsidRPr="00305D32" w:rsidRDefault="00B55EF1" w:rsidP="00B55EF1">
            <w:pPr>
              <w:spacing w:after="0" w:line="240" w:lineRule="auto"/>
              <w:jc w:val="left"/>
              <w:rPr>
                <w:color w:val="000000"/>
                <w:sz w:val="22"/>
                <w:szCs w:val="22"/>
                <w:lang w:val="es-MX"/>
              </w:rPr>
            </w:pPr>
            <w:r w:rsidRPr="00305D32">
              <w:rPr>
                <w:color w:val="000000"/>
                <w:sz w:val="22"/>
                <w:szCs w:val="22"/>
                <w:lang w:val="es-MX"/>
              </w:rPr>
              <w:t>Ichkabal</w:t>
            </w:r>
          </w:p>
        </w:tc>
        <w:tc>
          <w:tcPr>
            <w:tcW w:w="1197" w:type="dxa"/>
            <w:tcBorders>
              <w:top w:val="nil"/>
              <w:left w:val="nil"/>
              <w:bottom w:val="nil"/>
              <w:right w:val="nil"/>
            </w:tcBorders>
            <w:vAlign w:val="center"/>
          </w:tcPr>
          <w:p w14:paraId="1B4DBE66" w14:textId="14850EA7"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0</w:t>
            </w:r>
          </w:p>
        </w:tc>
        <w:tc>
          <w:tcPr>
            <w:tcW w:w="1241" w:type="dxa"/>
            <w:tcBorders>
              <w:top w:val="nil"/>
              <w:left w:val="nil"/>
              <w:bottom w:val="nil"/>
              <w:right w:val="nil"/>
            </w:tcBorders>
            <w:vAlign w:val="center"/>
          </w:tcPr>
          <w:p w14:paraId="108E1C9C" w14:textId="4F8FD1A4"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0</w:t>
            </w:r>
          </w:p>
        </w:tc>
        <w:tc>
          <w:tcPr>
            <w:tcW w:w="1119" w:type="dxa"/>
            <w:tcBorders>
              <w:top w:val="nil"/>
              <w:left w:val="nil"/>
              <w:bottom w:val="nil"/>
              <w:right w:val="nil"/>
            </w:tcBorders>
            <w:vAlign w:val="center"/>
          </w:tcPr>
          <w:p w14:paraId="36EC4013" w14:textId="5B6A6A86"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0</w:t>
            </w:r>
          </w:p>
        </w:tc>
        <w:tc>
          <w:tcPr>
            <w:tcW w:w="1197" w:type="dxa"/>
            <w:tcBorders>
              <w:top w:val="nil"/>
              <w:left w:val="nil"/>
              <w:bottom w:val="nil"/>
              <w:right w:val="nil"/>
            </w:tcBorders>
            <w:vAlign w:val="center"/>
          </w:tcPr>
          <w:p w14:paraId="2062E39C" w14:textId="1B367A0F"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3,938</w:t>
            </w:r>
          </w:p>
        </w:tc>
        <w:tc>
          <w:tcPr>
            <w:tcW w:w="1241" w:type="dxa"/>
            <w:tcBorders>
              <w:top w:val="nil"/>
              <w:left w:val="nil"/>
              <w:bottom w:val="nil"/>
              <w:right w:val="nil"/>
            </w:tcBorders>
            <w:vAlign w:val="center"/>
          </w:tcPr>
          <w:p w14:paraId="0CC28ED3" w14:textId="13F55F4D"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15,694</w:t>
            </w:r>
          </w:p>
        </w:tc>
        <w:tc>
          <w:tcPr>
            <w:tcW w:w="1119" w:type="dxa"/>
            <w:tcBorders>
              <w:top w:val="nil"/>
              <w:left w:val="nil"/>
              <w:bottom w:val="nil"/>
              <w:right w:val="nil"/>
            </w:tcBorders>
            <w:vAlign w:val="center"/>
          </w:tcPr>
          <w:p w14:paraId="1EEDDC24" w14:textId="4755DC3F"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19,632</w:t>
            </w:r>
          </w:p>
        </w:tc>
      </w:tr>
      <w:tr w:rsidR="00B55EF1" w:rsidRPr="00305D32" w14:paraId="3C909917" w14:textId="77777777">
        <w:trPr>
          <w:trHeight w:val="300"/>
        </w:trPr>
        <w:tc>
          <w:tcPr>
            <w:tcW w:w="2007" w:type="dxa"/>
            <w:tcBorders>
              <w:top w:val="nil"/>
              <w:left w:val="nil"/>
              <w:bottom w:val="single" w:sz="12" w:space="0" w:color="000000"/>
              <w:right w:val="nil"/>
            </w:tcBorders>
            <w:vAlign w:val="center"/>
          </w:tcPr>
          <w:p w14:paraId="3E479AF0" w14:textId="77777777" w:rsidR="00B55EF1" w:rsidRPr="00305D32" w:rsidRDefault="00B55EF1" w:rsidP="00B55EF1">
            <w:pPr>
              <w:spacing w:after="0" w:line="240" w:lineRule="auto"/>
              <w:jc w:val="left"/>
              <w:rPr>
                <w:color w:val="000000"/>
                <w:sz w:val="22"/>
                <w:szCs w:val="22"/>
                <w:lang w:val="es-MX"/>
              </w:rPr>
            </w:pPr>
            <w:r w:rsidRPr="00305D32">
              <w:rPr>
                <w:color w:val="000000"/>
                <w:sz w:val="22"/>
                <w:szCs w:val="22"/>
                <w:lang w:val="es-MX"/>
              </w:rPr>
              <w:t>Total</w:t>
            </w:r>
          </w:p>
        </w:tc>
        <w:tc>
          <w:tcPr>
            <w:tcW w:w="1197" w:type="dxa"/>
            <w:tcBorders>
              <w:top w:val="nil"/>
              <w:left w:val="nil"/>
              <w:bottom w:val="single" w:sz="12" w:space="0" w:color="000000"/>
              <w:right w:val="nil"/>
            </w:tcBorders>
            <w:vAlign w:val="center"/>
          </w:tcPr>
          <w:p w14:paraId="5C0FCD4A" w14:textId="4B0E7861"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402,465</w:t>
            </w:r>
          </w:p>
        </w:tc>
        <w:tc>
          <w:tcPr>
            <w:tcW w:w="1241" w:type="dxa"/>
            <w:tcBorders>
              <w:top w:val="nil"/>
              <w:left w:val="nil"/>
              <w:bottom w:val="single" w:sz="12" w:space="0" w:color="000000"/>
              <w:right w:val="nil"/>
            </w:tcBorders>
            <w:vAlign w:val="center"/>
          </w:tcPr>
          <w:p w14:paraId="6543837F" w14:textId="287E0D64"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845,128</w:t>
            </w:r>
          </w:p>
        </w:tc>
        <w:tc>
          <w:tcPr>
            <w:tcW w:w="1119" w:type="dxa"/>
            <w:tcBorders>
              <w:top w:val="nil"/>
              <w:left w:val="nil"/>
              <w:bottom w:val="single" w:sz="12" w:space="0" w:color="000000"/>
              <w:right w:val="nil"/>
            </w:tcBorders>
            <w:vAlign w:val="center"/>
          </w:tcPr>
          <w:p w14:paraId="6A188363" w14:textId="1EB12DE8"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1,247,593</w:t>
            </w:r>
          </w:p>
        </w:tc>
        <w:tc>
          <w:tcPr>
            <w:tcW w:w="1197" w:type="dxa"/>
            <w:tcBorders>
              <w:top w:val="nil"/>
              <w:left w:val="nil"/>
              <w:bottom w:val="single" w:sz="12" w:space="0" w:color="000000"/>
              <w:right w:val="nil"/>
            </w:tcBorders>
            <w:vAlign w:val="center"/>
          </w:tcPr>
          <w:p w14:paraId="49756E84" w14:textId="4C16039A"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696,869</w:t>
            </w:r>
          </w:p>
        </w:tc>
        <w:tc>
          <w:tcPr>
            <w:tcW w:w="1241" w:type="dxa"/>
            <w:tcBorders>
              <w:top w:val="nil"/>
              <w:left w:val="nil"/>
              <w:bottom w:val="single" w:sz="12" w:space="0" w:color="000000"/>
              <w:right w:val="nil"/>
            </w:tcBorders>
            <w:vAlign w:val="center"/>
          </w:tcPr>
          <w:p w14:paraId="391D99F7" w14:textId="08BCCF7C"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373,366</w:t>
            </w:r>
          </w:p>
        </w:tc>
        <w:tc>
          <w:tcPr>
            <w:tcW w:w="1119" w:type="dxa"/>
            <w:tcBorders>
              <w:top w:val="nil"/>
              <w:left w:val="nil"/>
              <w:bottom w:val="single" w:sz="12" w:space="0" w:color="000000"/>
              <w:right w:val="nil"/>
            </w:tcBorders>
            <w:vAlign w:val="center"/>
          </w:tcPr>
          <w:p w14:paraId="3FA874AB" w14:textId="4E61BCC7" w:rsidR="00B55EF1" w:rsidRPr="00305D32" w:rsidRDefault="00B55EF1" w:rsidP="00850F4F">
            <w:pPr>
              <w:spacing w:after="0" w:line="240" w:lineRule="auto"/>
              <w:jc w:val="right"/>
              <w:rPr>
                <w:color w:val="000000"/>
                <w:sz w:val="22"/>
                <w:szCs w:val="22"/>
                <w:lang w:val="es-MX"/>
              </w:rPr>
            </w:pPr>
            <w:r w:rsidRPr="00305D32">
              <w:rPr>
                <w:color w:val="000000"/>
                <w:sz w:val="22"/>
                <w:szCs w:val="22"/>
                <w:lang w:val="es-MX"/>
              </w:rPr>
              <w:t>1,070,235</w:t>
            </w:r>
          </w:p>
        </w:tc>
      </w:tr>
    </w:tbl>
    <w:p w14:paraId="4D0835F1" w14:textId="2B503609" w:rsidR="00AE57F0" w:rsidRPr="00305D32" w:rsidRDefault="00414F7C">
      <w:pPr>
        <w:spacing w:line="240" w:lineRule="auto"/>
        <w:jc w:val="center"/>
        <w:rPr>
          <w:i/>
          <w:sz w:val="20"/>
          <w:szCs w:val="20"/>
          <w:lang w:val="es-MX"/>
        </w:rPr>
      </w:pPr>
      <w:r w:rsidRPr="00305D32">
        <w:rPr>
          <w:sz w:val="20"/>
          <w:szCs w:val="20"/>
          <w:lang w:val="es-MX"/>
        </w:rPr>
        <w:t>Fuente: Elaboración de la Subsecretaría de Análisis Económico y Finanzas Públicas de la Secretaría de Finanzas y Planeación, con base en datos del INAH (202</w:t>
      </w:r>
      <w:r w:rsidR="00850F4F">
        <w:rPr>
          <w:sz w:val="20"/>
          <w:szCs w:val="20"/>
          <w:lang w:val="es-MX"/>
        </w:rPr>
        <w:t>5</w:t>
      </w:r>
      <w:r w:rsidRPr="00305D32">
        <w:rPr>
          <w:sz w:val="20"/>
          <w:szCs w:val="20"/>
          <w:lang w:val="es-MX"/>
        </w:rPr>
        <w:t xml:space="preserve">). </w:t>
      </w:r>
      <w:r w:rsidRPr="00305D32">
        <w:rPr>
          <w:i/>
          <w:sz w:val="20"/>
          <w:szCs w:val="20"/>
          <w:lang w:val="es-MX"/>
        </w:rPr>
        <w:t>Estadística de Visitantes.</w:t>
      </w:r>
    </w:p>
    <w:p w14:paraId="5A916E68" w14:textId="5E507FFE" w:rsidR="001871AB" w:rsidRPr="001871AB" w:rsidRDefault="001871AB" w:rsidP="001871AB">
      <w:pPr>
        <w:rPr>
          <w:lang w:val="es-MX"/>
        </w:rPr>
      </w:pPr>
      <w:bookmarkStart w:id="92" w:name="_heading=h.3bj1y38" w:colFirst="0" w:colLast="0"/>
      <w:bookmarkEnd w:id="92"/>
      <w:r w:rsidRPr="00305D32">
        <w:rPr>
          <w:lang w:val="es-MX"/>
        </w:rPr>
        <w:t xml:space="preserve">La zona arqueológica más importante de la </w:t>
      </w:r>
      <w:r w:rsidR="00552802">
        <w:rPr>
          <w:lang w:val="es-MX"/>
        </w:rPr>
        <w:t>e</w:t>
      </w:r>
      <w:r w:rsidRPr="00305D32">
        <w:rPr>
          <w:lang w:val="es-MX"/>
        </w:rPr>
        <w:t>ntidad continúa siendo Tulum, que en el periodo enero-agosto de 2024 concentró el 65.08</w:t>
      </w:r>
      <w:r w:rsidR="0019290E">
        <w:rPr>
          <w:lang w:val="es-MX"/>
        </w:rPr>
        <w:t xml:space="preserve"> %</w:t>
      </w:r>
      <w:r w:rsidRPr="00305D32">
        <w:rPr>
          <w:lang w:val="es-MX"/>
        </w:rPr>
        <w:t xml:space="preserve"> del total de turistas que acudieron a los principales sitios arqueológicos, mientras que en enero-agosto de 2025 su participación se redujo al 55.10</w:t>
      </w:r>
      <w:r w:rsidR="0019290E">
        <w:rPr>
          <w:lang w:val="es-MX"/>
        </w:rPr>
        <w:t xml:space="preserve"> %</w:t>
      </w:r>
      <w:r w:rsidRPr="00305D32">
        <w:rPr>
          <w:lang w:val="es-MX"/>
        </w:rPr>
        <w:t xml:space="preserve"> del total estatal, reflejando un cambio en la distribución de los flujos turísticos hacia otras zonas que ya abrieron al público recientemente nuevos recintos, como el Museo de la Costa Oriental o Ichkabal.</w:t>
      </w:r>
    </w:p>
    <w:p w14:paraId="4D0835F5" w14:textId="39CA442C" w:rsidR="00AE57F0" w:rsidRPr="00305D32" w:rsidRDefault="00414F7C">
      <w:pPr>
        <w:pStyle w:val="Ttulo2"/>
        <w:numPr>
          <w:ilvl w:val="1"/>
          <w:numId w:val="3"/>
        </w:numPr>
        <w:rPr>
          <w:lang w:val="es-MX"/>
        </w:rPr>
      </w:pPr>
      <w:r w:rsidRPr="00305D32">
        <w:rPr>
          <w:lang w:val="es-MX"/>
        </w:rPr>
        <w:t>Inflación</w:t>
      </w:r>
    </w:p>
    <w:p w14:paraId="4D0835F6" w14:textId="343BE92B" w:rsidR="00AE57F0" w:rsidRPr="00305D32" w:rsidRDefault="003E041D">
      <w:pPr>
        <w:rPr>
          <w:lang w:val="es-MX"/>
        </w:rPr>
      </w:pPr>
      <w:r>
        <w:rPr>
          <w:lang w:val="es-MX"/>
        </w:rPr>
        <w:t>En esta sección se analiza</w:t>
      </w:r>
      <w:r w:rsidR="000873E4" w:rsidRPr="000873E4">
        <w:rPr>
          <w:lang w:val="es-MX"/>
        </w:rPr>
        <w:t xml:space="preserve"> la evolución de la inflación desglosada a nivel subnacional, </w:t>
      </w:r>
      <w:r>
        <w:rPr>
          <w:lang w:val="es-MX"/>
        </w:rPr>
        <w:t>haciendo la salvedad</w:t>
      </w:r>
      <w:r w:rsidR="000873E4" w:rsidRPr="000873E4">
        <w:rPr>
          <w:lang w:val="es-MX"/>
        </w:rPr>
        <w:t xml:space="preserve"> que la inflación se presenta para fines informativos, en virtud de que el control de la inflación es facultad exclusiva del Banco de México. Un aspecto relevante es que, tradicionalmente, el coste de vida, medido a través del Índice Nacional de Precios al Consumidor (INPC), había sido más alto en Quintana Roo que en el promedio </w:t>
      </w:r>
      <w:r>
        <w:rPr>
          <w:lang w:val="es-MX"/>
        </w:rPr>
        <w:t>nacional durante 2018 y 2019.</w:t>
      </w:r>
      <w:r w:rsidR="000873E4" w:rsidRPr="000873E4">
        <w:rPr>
          <w:lang w:val="es-MX"/>
        </w:rPr>
        <w:t xml:space="preserve"> Sin embargo, a partir del impacto del COVID-19 la inflación estatal se mantuvo por </w:t>
      </w:r>
      <w:r w:rsidR="000873E4" w:rsidRPr="000873E4">
        <w:rPr>
          <w:lang w:val="es-MX"/>
        </w:rPr>
        <w:lastRenderedPageBreak/>
        <w:t>debajo del nivel nacional en el periodo 2020-2024. Conforme a la economía se ha recuperado, la tendencia indica que, para agosto de 2025 la inflación estatal (4.2</w:t>
      </w:r>
      <w:r w:rsidR="0019290E">
        <w:rPr>
          <w:lang w:val="es-MX"/>
        </w:rPr>
        <w:t xml:space="preserve"> %</w:t>
      </w:r>
      <w:r w:rsidR="000873E4" w:rsidRPr="000873E4">
        <w:rPr>
          <w:lang w:val="es-MX"/>
        </w:rPr>
        <w:t>) superó nuevamente a la nacional (3.6</w:t>
      </w:r>
      <w:r w:rsidR="0019290E">
        <w:rPr>
          <w:lang w:val="es-MX"/>
        </w:rPr>
        <w:t xml:space="preserve"> %</w:t>
      </w:r>
      <w:r w:rsidR="000873E4" w:rsidRPr="000873E4">
        <w:rPr>
          <w:lang w:val="es-MX"/>
        </w:rPr>
        <w:t xml:space="preserve">), </w:t>
      </w:r>
      <w:r>
        <w:rPr>
          <w:lang w:val="es-MX"/>
        </w:rPr>
        <w:t>lo cual</w:t>
      </w:r>
      <w:r w:rsidR="000873E4" w:rsidRPr="000873E4">
        <w:rPr>
          <w:lang w:val="es-MX"/>
        </w:rPr>
        <w:t xml:space="preserve"> refleja que Quintana Roo tiene una dinámica inflacionaria más elevada </w:t>
      </w:r>
      <w:r w:rsidR="00090A05" w:rsidRPr="000873E4">
        <w:rPr>
          <w:lang w:val="es-MX"/>
        </w:rPr>
        <w:t>que</w:t>
      </w:r>
      <w:r w:rsidR="000873E4" w:rsidRPr="000873E4">
        <w:rPr>
          <w:lang w:val="es-MX"/>
        </w:rPr>
        <w:t xml:space="preserve"> el promedio del país, como se muestra</w:t>
      </w:r>
      <w:r w:rsidR="00414F7C" w:rsidRPr="00305D32">
        <w:rPr>
          <w:lang w:val="es-MX"/>
        </w:rPr>
        <w:t xml:space="preserve"> en la </w:t>
      </w:r>
      <w:r w:rsidR="00356D63" w:rsidRPr="00305D32">
        <w:rPr>
          <w:lang w:val="es-MX"/>
        </w:rPr>
        <w:fldChar w:fldCharType="begin"/>
      </w:r>
      <w:r w:rsidR="00356D63" w:rsidRPr="00305D32">
        <w:rPr>
          <w:lang w:val="es-MX"/>
        </w:rPr>
        <w:instrText xml:space="preserve"> REF _Ref210293111 \h </w:instrText>
      </w:r>
      <w:r w:rsidR="00356D63" w:rsidRPr="00305D32">
        <w:rPr>
          <w:lang w:val="es-MX"/>
        </w:rPr>
      </w:r>
      <w:r w:rsidR="00356D63" w:rsidRPr="00305D32">
        <w:rPr>
          <w:lang w:val="es-MX"/>
        </w:rPr>
        <w:fldChar w:fldCharType="separate"/>
      </w:r>
      <w:r w:rsidR="00ED1F2F" w:rsidRPr="00305D32">
        <w:rPr>
          <w:lang w:val="es-MX"/>
        </w:rPr>
        <w:t xml:space="preserve">Tabla </w:t>
      </w:r>
      <w:r w:rsidR="00ED1F2F">
        <w:rPr>
          <w:noProof/>
          <w:lang w:val="es-MX"/>
        </w:rPr>
        <w:t>14</w:t>
      </w:r>
      <w:r w:rsidR="00356D63" w:rsidRPr="00305D32">
        <w:rPr>
          <w:lang w:val="es-MX"/>
        </w:rPr>
        <w:fldChar w:fldCharType="end"/>
      </w:r>
      <w:r w:rsidR="00414F7C" w:rsidRPr="00305D32">
        <w:rPr>
          <w:lang w:val="es-MX"/>
        </w:rPr>
        <w:t>.</w:t>
      </w:r>
    </w:p>
    <w:p w14:paraId="4D0835F7" w14:textId="64F01697" w:rsidR="00AE57F0" w:rsidRPr="00305D32" w:rsidRDefault="00414F7C" w:rsidP="003104A4">
      <w:pPr>
        <w:pStyle w:val="Descripcin"/>
        <w:jc w:val="center"/>
        <w:rPr>
          <w:color w:val="000000"/>
          <w:lang w:val="es-MX"/>
        </w:rPr>
      </w:pPr>
      <w:bookmarkStart w:id="93" w:name="_heading=h.1qoc8b1" w:colFirst="0" w:colLast="0"/>
      <w:bookmarkStart w:id="94" w:name="_Ref210293111"/>
      <w:bookmarkEnd w:id="93"/>
      <w:r w:rsidRPr="00305D32">
        <w:rPr>
          <w:lang w:val="es-MX"/>
        </w:rPr>
        <w:t xml:space="preserve">Tabla </w:t>
      </w:r>
      <w:r w:rsidR="003104A4" w:rsidRPr="00305D32">
        <w:rPr>
          <w:lang w:val="es-MX"/>
        </w:rPr>
        <w:fldChar w:fldCharType="begin"/>
      </w:r>
      <w:r w:rsidR="003104A4" w:rsidRPr="00305D32">
        <w:rPr>
          <w:lang w:val="es-MX"/>
        </w:rPr>
        <w:instrText xml:space="preserve"> SEQ Tabla \* ARABIC </w:instrText>
      </w:r>
      <w:r w:rsidR="003104A4" w:rsidRPr="00305D32">
        <w:rPr>
          <w:lang w:val="es-MX"/>
        </w:rPr>
        <w:fldChar w:fldCharType="separate"/>
      </w:r>
      <w:r w:rsidR="00ED1F2F">
        <w:rPr>
          <w:noProof/>
          <w:lang w:val="es-MX"/>
        </w:rPr>
        <w:t>14</w:t>
      </w:r>
      <w:r w:rsidR="003104A4" w:rsidRPr="00305D32">
        <w:rPr>
          <w:lang w:val="es-MX"/>
        </w:rPr>
        <w:fldChar w:fldCharType="end"/>
      </w:r>
      <w:bookmarkEnd w:id="94"/>
      <w:r w:rsidRPr="00305D32">
        <w:rPr>
          <w:color w:val="000000"/>
          <w:lang w:val="es-MX"/>
        </w:rPr>
        <w:t>. Índice Nacional de Precios al Consumidor, Quintana Roo y su desglose para las ciudades de Chetumal y Cancún, 202</w:t>
      </w:r>
      <w:r w:rsidR="00742DE4" w:rsidRPr="00305D32">
        <w:rPr>
          <w:color w:val="000000"/>
          <w:lang w:val="es-MX"/>
        </w:rPr>
        <w:t>2</w:t>
      </w:r>
      <w:r w:rsidRPr="00305D32">
        <w:rPr>
          <w:color w:val="000000"/>
          <w:lang w:val="es-MX"/>
        </w:rPr>
        <w:t>-202</w:t>
      </w:r>
      <w:r w:rsidR="00742DE4" w:rsidRPr="00305D32">
        <w:rPr>
          <w:color w:val="000000"/>
          <w:lang w:val="es-MX"/>
        </w:rPr>
        <w:t>5</w:t>
      </w:r>
    </w:p>
    <w:tbl>
      <w:tblPr>
        <w:tblStyle w:val="ac"/>
        <w:tblW w:w="9083" w:type="dxa"/>
        <w:jc w:val="center"/>
        <w:tblInd w:w="0" w:type="dxa"/>
        <w:tblLayout w:type="fixed"/>
        <w:tblLook w:val="0400" w:firstRow="0" w:lastRow="0" w:firstColumn="0" w:lastColumn="0" w:noHBand="0" w:noVBand="1"/>
      </w:tblPr>
      <w:tblGrid>
        <w:gridCol w:w="2619"/>
        <w:gridCol w:w="1077"/>
        <w:gridCol w:w="1497"/>
        <w:gridCol w:w="1778"/>
        <w:gridCol w:w="2112"/>
      </w:tblGrid>
      <w:tr w:rsidR="00B14123" w:rsidRPr="00305D32" w14:paraId="4F8CDD2C" w14:textId="77777777" w:rsidTr="00D35CC4">
        <w:trPr>
          <w:trHeight w:val="316"/>
          <w:jc w:val="center"/>
        </w:trPr>
        <w:tc>
          <w:tcPr>
            <w:tcW w:w="2619" w:type="dxa"/>
            <w:tcBorders>
              <w:top w:val="single" w:sz="4" w:space="0" w:color="000000"/>
              <w:left w:val="nil"/>
              <w:bottom w:val="single" w:sz="4" w:space="0" w:color="000000"/>
              <w:right w:val="nil"/>
            </w:tcBorders>
            <w:vAlign w:val="center"/>
          </w:tcPr>
          <w:p w14:paraId="2E1978CD" w14:textId="77777777" w:rsidR="00B14123" w:rsidRPr="00305D32" w:rsidRDefault="00B14123" w:rsidP="00D35CC4">
            <w:pPr>
              <w:spacing w:after="0" w:line="240" w:lineRule="auto"/>
              <w:jc w:val="left"/>
              <w:rPr>
                <w:b/>
                <w:color w:val="000000"/>
                <w:sz w:val="20"/>
                <w:szCs w:val="20"/>
                <w:lang w:val="es-MX"/>
              </w:rPr>
            </w:pPr>
            <w:r w:rsidRPr="00305D32">
              <w:rPr>
                <w:b/>
                <w:color w:val="000000"/>
                <w:sz w:val="20"/>
                <w:szCs w:val="20"/>
                <w:lang w:val="es-MX"/>
              </w:rPr>
              <w:t>Fecha</w:t>
            </w:r>
          </w:p>
        </w:tc>
        <w:tc>
          <w:tcPr>
            <w:tcW w:w="1077" w:type="dxa"/>
            <w:tcBorders>
              <w:top w:val="single" w:sz="4" w:space="0" w:color="000000"/>
              <w:left w:val="nil"/>
              <w:bottom w:val="single" w:sz="4" w:space="0" w:color="000000"/>
              <w:right w:val="nil"/>
            </w:tcBorders>
            <w:vAlign w:val="center"/>
          </w:tcPr>
          <w:p w14:paraId="223C206C" w14:textId="77777777" w:rsidR="00B14123" w:rsidRPr="00305D32" w:rsidRDefault="00B14123" w:rsidP="00D35CC4">
            <w:pPr>
              <w:spacing w:after="0" w:line="240" w:lineRule="auto"/>
              <w:jc w:val="center"/>
              <w:rPr>
                <w:b/>
                <w:color w:val="000000"/>
                <w:sz w:val="20"/>
                <w:szCs w:val="20"/>
                <w:lang w:val="es-MX"/>
              </w:rPr>
            </w:pPr>
            <w:r w:rsidRPr="00305D32">
              <w:rPr>
                <w:b/>
                <w:color w:val="000000"/>
                <w:sz w:val="20"/>
                <w:szCs w:val="20"/>
                <w:lang w:val="es-MX"/>
              </w:rPr>
              <w:t>Cancún</w:t>
            </w:r>
          </w:p>
        </w:tc>
        <w:tc>
          <w:tcPr>
            <w:tcW w:w="1497" w:type="dxa"/>
            <w:tcBorders>
              <w:top w:val="single" w:sz="4" w:space="0" w:color="000000"/>
              <w:left w:val="nil"/>
              <w:bottom w:val="single" w:sz="4" w:space="0" w:color="000000"/>
              <w:right w:val="nil"/>
            </w:tcBorders>
            <w:vAlign w:val="center"/>
          </w:tcPr>
          <w:p w14:paraId="77B4A1CD" w14:textId="77777777" w:rsidR="00B14123" w:rsidRPr="00305D32" w:rsidRDefault="00B14123" w:rsidP="00D35CC4">
            <w:pPr>
              <w:spacing w:after="0" w:line="240" w:lineRule="auto"/>
              <w:jc w:val="center"/>
              <w:rPr>
                <w:b/>
                <w:color w:val="000000"/>
                <w:sz w:val="20"/>
                <w:szCs w:val="20"/>
                <w:lang w:val="es-MX"/>
              </w:rPr>
            </w:pPr>
            <w:r w:rsidRPr="00305D32">
              <w:rPr>
                <w:b/>
                <w:color w:val="000000"/>
                <w:sz w:val="20"/>
                <w:szCs w:val="20"/>
                <w:lang w:val="es-MX"/>
              </w:rPr>
              <w:t>Chetumal</w:t>
            </w:r>
          </w:p>
        </w:tc>
        <w:tc>
          <w:tcPr>
            <w:tcW w:w="1778" w:type="dxa"/>
            <w:tcBorders>
              <w:top w:val="single" w:sz="4" w:space="0" w:color="000000"/>
              <w:left w:val="nil"/>
              <w:bottom w:val="single" w:sz="4" w:space="0" w:color="000000"/>
              <w:right w:val="nil"/>
            </w:tcBorders>
            <w:vAlign w:val="center"/>
          </w:tcPr>
          <w:p w14:paraId="67B03C1E" w14:textId="77777777" w:rsidR="00B14123" w:rsidRPr="00305D32" w:rsidRDefault="00B14123" w:rsidP="00D35CC4">
            <w:pPr>
              <w:spacing w:after="0" w:line="240" w:lineRule="auto"/>
              <w:jc w:val="center"/>
              <w:rPr>
                <w:b/>
                <w:color w:val="000000"/>
                <w:sz w:val="20"/>
                <w:szCs w:val="20"/>
                <w:lang w:val="es-MX"/>
              </w:rPr>
            </w:pPr>
            <w:r w:rsidRPr="00305D32">
              <w:rPr>
                <w:b/>
                <w:color w:val="000000"/>
                <w:sz w:val="20"/>
                <w:szCs w:val="20"/>
                <w:lang w:val="es-MX"/>
              </w:rPr>
              <w:t>Quintana Roo</w:t>
            </w:r>
          </w:p>
        </w:tc>
        <w:tc>
          <w:tcPr>
            <w:tcW w:w="2112" w:type="dxa"/>
            <w:tcBorders>
              <w:top w:val="single" w:sz="4" w:space="0" w:color="000000"/>
              <w:left w:val="nil"/>
              <w:bottom w:val="single" w:sz="4" w:space="0" w:color="000000"/>
              <w:right w:val="nil"/>
            </w:tcBorders>
            <w:vAlign w:val="center"/>
          </w:tcPr>
          <w:p w14:paraId="6EFF3478" w14:textId="77777777" w:rsidR="00B14123" w:rsidRPr="00305D32" w:rsidRDefault="00B14123" w:rsidP="00D35CC4">
            <w:pPr>
              <w:spacing w:after="0" w:line="240" w:lineRule="auto"/>
              <w:jc w:val="center"/>
              <w:rPr>
                <w:b/>
                <w:color w:val="000000"/>
                <w:sz w:val="20"/>
                <w:szCs w:val="20"/>
                <w:lang w:val="es-MX"/>
              </w:rPr>
            </w:pPr>
            <w:r w:rsidRPr="00305D32">
              <w:rPr>
                <w:b/>
                <w:color w:val="000000"/>
                <w:sz w:val="20"/>
                <w:szCs w:val="20"/>
                <w:lang w:val="es-MX"/>
              </w:rPr>
              <w:t>Nacional</w:t>
            </w:r>
          </w:p>
        </w:tc>
      </w:tr>
      <w:tr w:rsidR="00B14123" w:rsidRPr="00305D32" w14:paraId="2E3D65E0" w14:textId="77777777" w:rsidTr="00D35CC4">
        <w:trPr>
          <w:trHeight w:val="316"/>
          <w:jc w:val="center"/>
        </w:trPr>
        <w:tc>
          <w:tcPr>
            <w:tcW w:w="9083" w:type="dxa"/>
            <w:gridSpan w:val="5"/>
            <w:tcBorders>
              <w:top w:val="single" w:sz="4" w:space="0" w:color="000000"/>
              <w:left w:val="nil"/>
              <w:bottom w:val="single" w:sz="4" w:space="0" w:color="000000"/>
              <w:right w:val="nil"/>
            </w:tcBorders>
            <w:vAlign w:val="center"/>
          </w:tcPr>
          <w:p w14:paraId="6A0DCB4E" w14:textId="562EE376" w:rsidR="00B14123" w:rsidRPr="00305D32" w:rsidRDefault="00B14123" w:rsidP="00D35CC4">
            <w:pPr>
              <w:spacing w:after="0" w:line="240" w:lineRule="auto"/>
              <w:jc w:val="center"/>
              <w:rPr>
                <w:b/>
                <w:color w:val="000000"/>
                <w:sz w:val="20"/>
                <w:szCs w:val="20"/>
                <w:lang w:val="es-MX"/>
              </w:rPr>
            </w:pPr>
            <w:r w:rsidRPr="00305D32">
              <w:rPr>
                <w:b/>
                <w:color w:val="000000"/>
                <w:sz w:val="20"/>
                <w:szCs w:val="20"/>
                <w:lang w:val="es-MX"/>
              </w:rPr>
              <w:t xml:space="preserve">Índice de </w:t>
            </w:r>
            <w:r w:rsidR="00692D7F" w:rsidRPr="00305D32">
              <w:rPr>
                <w:b/>
                <w:color w:val="000000"/>
                <w:sz w:val="20"/>
                <w:szCs w:val="20"/>
                <w:lang w:val="es-MX"/>
              </w:rPr>
              <w:t>P</w:t>
            </w:r>
            <w:r w:rsidRPr="00305D32">
              <w:rPr>
                <w:b/>
                <w:color w:val="000000"/>
                <w:sz w:val="20"/>
                <w:szCs w:val="20"/>
                <w:lang w:val="es-MX"/>
              </w:rPr>
              <w:t>recios</w:t>
            </w:r>
          </w:p>
        </w:tc>
      </w:tr>
      <w:tr w:rsidR="00FE0DF9" w:rsidRPr="00305D32" w14:paraId="7FB5F889" w14:textId="77777777" w:rsidTr="00D35CC4">
        <w:trPr>
          <w:trHeight w:val="316"/>
          <w:jc w:val="center"/>
        </w:trPr>
        <w:tc>
          <w:tcPr>
            <w:tcW w:w="2619" w:type="dxa"/>
            <w:tcBorders>
              <w:top w:val="nil"/>
              <w:left w:val="nil"/>
              <w:bottom w:val="nil"/>
              <w:right w:val="nil"/>
            </w:tcBorders>
            <w:vAlign w:val="center"/>
          </w:tcPr>
          <w:p w14:paraId="047A037E" w14:textId="3361DC0F" w:rsidR="00FE0DF9" w:rsidRPr="00305D32" w:rsidRDefault="00FE0DF9" w:rsidP="00D35CC4">
            <w:pPr>
              <w:spacing w:after="0" w:line="240" w:lineRule="auto"/>
              <w:jc w:val="left"/>
              <w:rPr>
                <w:color w:val="000000"/>
                <w:sz w:val="20"/>
                <w:szCs w:val="20"/>
                <w:lang w:val="es-MX"/>
              </w:rPr>
            </w:pPr>
            <w:r w:rsidRPr="00305D32">
              <w:rPr>
                <w:color w:val="000000"/>
                <w:sz w:val="20"/>
                <w:szCs w:val="20"/>
                <w:lang w:val="es-MX"/>
              </w:rPr>
              <w:t>Dic 202</w:t>
            </w:r>
            <w:r w:rsidR="000F1C9A" w:rsidRPr="00305D32">
              <w:rPr>
                <w:color w:val="000000"/>
                <w:sz w:val="20"/>
                <w:szCs w:val="20"/>
                <w:lang w:val="es-MX"/>
              </w:rPr>
              <w:t>2</w:t>
            </w:r>
          </w:p>
        </w:tc>
        <w:tc>
          <w:tcPr>
            <w:tcW w:w="1077" w:type="dxa"/>
            <w:tcBorders>
              <w:top w:val="nil"/>
              <w:left w:val="nil"/>
              <w:bottom w:val="nil"/>
              <w:right w:val="nil"/>
            </w:tcBorders>
            <w:vAlign w:val="center"/>
          </w:tcPr>
          <w:p w14:paraId="57E4A654" w14:textId="29ABA188" w:rsidR="00FE0DF9" w:rsidRPr="00305D32" w:rsidRDefault="00FE0DF9" w:rsidP="00D35CC4">
            <w:pPr>
              <w:spacing w:after="0" w:line="240" w:lineRule="auto"/>
              <w:jc w:val="center"/>
              <w:rPr>
                <w:color w:val="000000"/>
                <w:sz w:val="20"/>
                <w:szCs w:val="20"/>
                <w:lang w:val="es-MX"/>
              </w:rPr>
            </w:pPr>
            <w:r w:rsidRPr="00305D32">
              <w:rPr>
                <w:sz w:val="20"/>
                <w:szCs w:val="20"/>
                <w:lang w:val="es-MX"/>
              </w:rPr>
              <w:t>125.11</w:t>
            </w:r>
          </w:p>
        </w:tc>
        <w:tc>
          <w:tcPr>
            <w:tcW w:w="1497" w:type="dxa"/>
            <w:tcBorders>
              <w:top w:val="nil"/>
              <w:left w:val="nil"/>
              <w:bottom w:val="nil"/>
              <w:right w:val="nil"/>
            </w:tcBorders>
            <w:vAlign w:val="center"/>
          </w:tcPr>
          <w:p w14:paraId="79CDCF23" w14:textId="7072471A" w:rsidR="00FE0DF9" w:rsidRPr="00305D32" w:rsidRDefault="00FE0DF9" w:rsidP="00D35CC4">
            <w:pPr>
              <w:spacing w:after="0" w:line="240" w:lineRule="auto"/>
              <w:jc w:val="center"/>
              <w:rPr>
                <w:color w:val="000000"/>
                <w:sz w:val="20"/>
                <w:szCs w:val="20"/>
                <w:lang w:val="es-MX"/>
              </w:rPr>
            </w:pPr>
            <w:r w:rsidRPr="00305D32">
              <w:rPr>
                <w:sz w:val="20"/>
                <w:szCs w:val="20"/>
                <w:lang w:val="es-MX"/>
              </w:rPr>
              <w:t>125.49</w:t>
            </w:r>
          </w:p>
        </w:tc>
        <w:tc>
          <w:tcPr>
            <w:tcW w:w="1778" w:type="dxa"/>
            <w:tcBorders>
              <w:top w:val="nil"/>
              <w:left w:val="nil"/>
              <w:bottom w:val="nil"/>
              <w:right w:val="nil"/>
            </w:tcBorders>
            <w:vAlign w:val="center"/>
          </w:tcPr>
          <w:p w14:paraId="67905DC2" w14:textId="1004A92A" w:rsidR="00FE0DF9" w:rsidRPr="00305D32" w:rsidRDefault="00FE0DF9" w:rsidP="00D35CC4">
            <w:pPr>
              <w:spacing w:after="0" w:line="240" w:lineRule="auto"/>
              <w:jc w:val="center"/>
              <w:rPr>
                <w:color w:val="000000"/>
                <w:sz w:val="20"/>
                <w:szCs w:val="20"/>
                <w:lang w:val="es-MX"/>
              </w:rPr>
            </w:pPr>
            <w:r w:rsidRPr="00305D32">
              <w:rPr>
                <w:sz w:val="20"/>
                <w:szCs w:val="20"/>
                <w:lang w:val="es-MX"/>
              </w:rPr>
              <w:t>125.24</w:t>
            </w:r>
          </w:p>
        </w:tc>
        <w:tc>
          <w:tcPr>
            <w:tcW w:w="2112" w:type="dxa"/>
            <w:tcBorders>
              <w:top w:val="nil"/>
              <w:left w:val="nil"/>
              <w:bottom w:val="nil"/>
              <w:right w:val="nil"/>
            </w:tcBorders>
            <w:vAlign w:val="center"/>
          </w:tcPr>
          <w:p w14:paraId="2869D8FC" w14:textId="614A5146" w:rsidR="00FE0DF9" w:rsidRPr="00305D32" w:rsidRDefault="00FE0DF9" w:rsidP="00D35CC4">
            <w:pPr>
              <w:spacing w:after="0" w:line="240" w:lineRule="auto"/>
              <w:jc w:val="center"/>
              <w:rPr>
                <w:color w:val="000000"/>
                <w:sz w:val="20"/>
                <w:szCs w:val="20"/>
                <w:lang w:val="es-MX"/>
              </w:rPr>
            </w:pPr>
            <w:r w:rsidRPr="00305D32">
              <w:rPr>
                <w:sz w:val="20"/>
                <w:szCs w:val="20"/>
                <w:lang w:val="es-MX"/>
              </w:rPr>
              <w:t>126.48</w:t>
            </w:r>
          </w:p>
        </w:tc>
      </w:tr>
      <w:tr w:rsidR="00FE0DF9" w:rsidRPr="00305D32" w14:paraId="41476740" w14:textId="77777777" w:rsidTr="00D35CC4">
        <w:trPr>
          <w:trHeight w:val="316"/>
          <w:jc w:val="center"/>
        </w:trPr>
        <w:tc>
          <w:tcPr>
            <w:tcW w:w="2619" w:type="dxa"/>
            <w:tcBorders>
              <w:top w:val="nil"/>
              <w:left w:val="nil"/>
              <w:bottom w:val="nil"/>
              <w:right w:val="nil"/>
            </w:tcBorders>
            <w:vAlign w:val="center"/>
          </w:tcPr>
          <w:p w14:paraId="030C9A6E" w14:textId="67EAC0CB" w:rsidR="00FE0DF9" w:rsidRPr="00305D32" w:rsidRDefault="00FE0DF9" w:rsidP="00D35CC4">
            <w:pPr>
              <w:spacing w:after="0" w:line="240" w:lineRule="auto"/>
              <w:jc w:val="left"/>
              <w:rPr>
                <w:color w:val="000000"/>
                <w:sz w:val="20"/>
                <w:szCs w:val="20"/>
                <w:lang w:val="es-MX"/>
              </w:rPr>
            </w:pPr>
            <w:r w:rsidRPr="00305D32">
              <w:rPr>
                <w:color w:val="000000"/>
                <w:sz w:val="20"/>
                <w:szCs w:val="20"/>
                <w:lang w:val="es-MX"/>
              </w:rPr>
              <w:t>Dic 202</w:t>
            </w:r>
            <w:r w:rsidR="000F1C9A" w:rsidRPr="00305D32">
              <w:rPr>
                <w:color w:val="000000"/>
                <w:sz w:val="20"/>
                <w:szCs w:val="20"/>
                <w:lang w:val="es-MX"/>
              </w:rPr>
              <w:t>3</w:t>
            </w:r>
          </w:p>
        </w:tc>
        <w:tc>
          <w:tcPr>
            <w:tcW w:w="1077" w:type="dxa"/>
            <w:tcBorders>
              <w:top w:val="nil"/>
              <w:left w:val="nil"/>
              <w:bottom w:val="nil"/>
              <w:right w:val="nil"/>
            </w:tcBorders>
            <w:vAlign w:val="center"/>
          </w:tcPr>
          <w:p w14:paraId="158D2EC7" w14:textId="1B96863D" w:rsidR="00FE0DF9" w:rsidRPr="00305D32" w:rsidRDefault="00FE0DF9" w:rsidP="00D35CC4">
            <w:pPr>
              <w:spacing w:after="0" w:line="240" w:lineRule="auto"/>
              <w:jc w:val="center"/>
              <w:rPr>
                <w:color w:val="000000"/>
                <w:sz w:val="20"/>
                <w:szCs w:val="20"/>
                <w:lang w:val="es-MX"/>
              </w:rPr>
            </w:pPr>
            <w:r w:rsidRPr="00305D32">
              <w:rPr>
                <w:sz w:val="20"/>
                <w:szCs w:val="20"/>
                <w:lang w:val="es-MX"/>
              </w:rPr>
              <w:t>131.28</w:t>
            </w:r>
          </w:p>
        </w:tc>
        <w:tc>
          <w:tcPr>
            <w:tcW w:w="1497" w:type="dxa"/>
            <w:tcBorders>
              <w:top w:val="nil"/>
              <w:left w:val="nil"/>
              <w:bottom w:val="nil"/>
              <w:right w:val="nil"/>
            </w:tcBorders>
            <w:vAlign w:val="center"/>
          </w:tcPr>
          <w:p w14:paraId="64484057" w14:textId="75D07C3A" w:rsidR="00FE0DF9" w:rsidRPr="00305D32" w:rsidRDefault="00FE0DF9" w:rsidP="00D35CC4">
            <w:pPr>
              <w:spacing w:after="0" w:line="240" w:lineRule="auto"/>
              <w:jc w:val="center"/>
              <w:rPr>
                <w:color w:val="000000"/>
                <w:sz w:val="20"/>
                <w:szCs w:val="20"/>
                <w:lang w:val="es-MX"/>
              </w:rPr>
            </w:pPr>
            <w:r w:rsidRPr="00305D32">
              <w:rPr>
                <w:sz w:val="20"/>
                <w:szCs w:val="20"/>
                <w:lang w:val="es-MX"/>
              </w:rPr>
              <w:t>131.31</w:t>
            </w:r>
          </w:p>
        </w:tc>
        <w:tc>
          <w:tcPr>
            <w:tcW w:w="1778" w:type="dxa"/>
            <w:tcBorders>
              <w:top w:val="nil"/>
              <w:left w:val="nil"/>
              <w:bottom w:val="nil"/>
              <w:right w:val="nil"/>
            </w:tcBorders>
            <w:vAlign w:val="center"/>
          </w:tcPr>
          <w:p w14:paraId="42D9355A" w14:textId="188D8E6C" w:rsidR="00FE0DF9" w:rsidRPr="00305D32" w:rsidRDefault="00FE0DF9" w:rsidP="00D35CC4">
            <w:pPr>
              <w:spacing w:after="0" w:line="240" w:lineRule="auto"/>
              <w:jc w:val="center"/>
              <w:rPr>
                <w:color w:val="000000"/>
                <w:sz w:val="20"/>
                <w:szCs w:val="20"/>
                <w:lang w:val="es-MX"/>
              </w:rPr>
            </w:pPr>
            <w:r w:rsidRPr="00305D32">
              <w:rPr>
                <w:sz w:val="20"/>
                <w:szCs w:val="20"/>
                <w:lang w:val="es-MX"/>
              </w:rPr>
              <w:t>131.29</w:t>
            </w:r>
          </w:p>
        </w:tc>
        <w:tc>
          <w:tcPr>
            <w:tcW w:w="2112" w:type="dxa"/>
            <w:tcBorders>
              <w:top w:val="nil"/>
              <w:left w:val="nil"/>
              <w:bottom w:val="nil"/>
              <w:right w:val="nil"/>
            </w:tcBorders>
            <w:vAlign w:val="center"/>
          </w:tcPr>
          <w:p w14:paraId="21E09F2E" w14:textId="7CE424FB" w:rsidR="00FE0DF9" w:rsidRPr="00305D32" w:rsidRDefault="00FE0DF9" w:rsidP="00D35CC4">
            <w:pPr>
              <w:spacing w:after="0" w:line="240" w:lineRule="auto"/>
              <w:jc w:val="center"/>
              <w:rPr>
                <w:color w:val="000000"/>
                <w:sz w:val="20"/>
                <w:szCs w:val="20"/>
                <w:lang w:val="es-MX"/>
              </w:rPr>
            </w:pPr>
            <w:r w:rsidRPr="00305D32">
              <w:rPr>
                <w:sz w:val="20"/>
                <w:szCs w:val="20"/>
                <w:lang w:val="es-MX"/>
              </w:rPr>
              <w:t>132.37</w:t>
            </w:r>
          </w:p>
        </w:tc>
      </w:tr>
      <w:tr w:rsidR="00FE0DF9" w:rsidRPr="00305D32" w14:paraId="14776936" w14:textId="77777777" w:rsidTr="00D35CC4">
        <w:trPr>
          <w:trHeight w:val="316"/>
          <w:jc w:val="center"/>
        </w:trPr>
        <w:tc>
          <w:tcPr>
            <w:tcW w:w="2619" w:type="dxa"/>
            <w:tcBorders>
              <w:top w:val="nil"/>
              <w:left w:val="nil"/>
              <w:bottom w:val="nil"/>
              <w:right w:val="nil"/>
            </w:tcBorders>
            <w:vAlign w:val="center"/>
          </w:tcPr>
          <w:p w14:paraId="6B50DD49" w14:textId="12EF9AB2" w:rsidR="00FE0DF9" w:rsidRPr="00305D32" w:rsidRDefault="00FE0DF9" w:rsidP="00D35CC4">
            <w:pPr>
              <w:spacing w:after="0" w:line="240" w:lineRule="auto"/>
              <w:jc w:val="left"/>
              <w:rPr>
                <w:color w:val="000000"/>
                <w:sz w:val="20"/>
                <w:szCs w:val="20"/>
                <w:lang w:val="es-MX"/>
              </w:rPr>
            </w:pPr>
            <w:r w:rsidRPr="00305D32">
              <w:rPr>
                <w:color w:val="000000"/>
                <w:sz w:val="20"/>
                <w:szCs w:val="20"/>
                <w:lang w:val="es-MX"/>
              </w:rPr>
              <w:t>Dic 202</w:t>
            </w:r>
            <w:r w:rsidR="000F1C9A" w:rsidRPr="00305D32">
              <w:rPr>
                <w:color w:val="000000"/>
                <w:sz w:val="20"/>
                <w:szCs w:val="20"/>
                <w:lang w:val="es-MX"/>
              </w:rPr>
              <w:t>4</w:t>
            </w:r>
          </w:p>
        </w:tc>
        <w:tc>
          <w:tcPr>
            <w:tcW w:w="1077" w:type="dxa"/>
            <w:tcBorders>
              <w:top w:val="nil"/>
              <w:left w:val="nil"/>
              <w:bottom w:val="nil"/>
              <w:right w:val="nil"/>
            </w:tcBorders>
            <w:vAlign w:val="center"/>
          </w:tcPr>
          <w:p w14:paraId="18462DF6" w14:textId="563C7A45" w:rsidR="00FE0DF9" w:rsidRPr="00305D32" w:rsidRDefault="00FE0DF9" w:rsidP="00D35CC4">
            <w:pPr>
              <w:spacing w:after="0" w:line="240" w:lineRule="auto"/>
              <w:jc w:val="center"/>
              <w:rPr>
                <w:color w:val="000000"/>
                <w:sz w:val="20"/>
                <w:szCs w:val="20"/>
                <w:lang w:val="es-MX"/>
              </w:rPr>
            </w:pPr>
            <w:r w:rsidRPr="00305D32">
              <w:rPr>
                <w:sz w:val="20"/>
                <w:szCs w:val="20"/>
                <w:lang w:val="es-MX"/>
              </w:rPr>
              <w:t>138.16</w:t>
            </w:r>
          </w:p>
        </w:tc>
        <w:tc>
          <w:tcPr>
            <w:tcW w:w="1497" w:type="dxa"/>
            <w:tcBorders>
              <w:top w:val="nil"/>
              <w:left w:val="nil"/>
              <w:bottom w:val="nil"/>
              <w:right w:val="nil"/>
            </w:tcBorders>
            <w:vAlign w:val="center"/>
          </w:tcPr>
          <w:p w14:paraId="575DF455" w14:textId="46B6DF87" w:rsidR="00FE0DF9" w:rsidRPr="00305D32" w:rsidRDefault="00FE0DF9" w:rsidP="00D35CC4">
            <w:pPr>
              <w:spacing w:after="0" w:line="240" w:lineRule="auto"/>
              <w:jc w:val="center"/>
              <w:rPr>
                <w:color w:val="000000"/>
                <w:sz w:val="20"/>
                <w:szCs w:val="20"/>
                <w:lang w:val="es-MX"/>
              </w:rPr>
            </w:pPr>
            <w:r w:rsidRPr="00305D32">
              <w:rPr>
                <w:sz w:val="20"/>
                <w:szCs w:val="20"/>
                <w:lang w:val="es-MX"/>
              </w:rPr>
              <w:t>136.08</w:t>
            </w:r>
          </w:p>
        </w:tc>
        <w:tc>
          <w:tcPr>
            <w:tcW w:w="1778" w:type="dxa"/>
            <w:tcBorders>
              <w:top w:val="nil"/>
              <w:left w:val="nil"/>
              <w:bottom w:val="nil"/>
              <w:right w:val="nil"/>
            </w:tcBorders>
            <w:vAlign w:val="center"/>
          </w:tcPr>
          <w:p w14:paraId="4A734309" w14:textId="4A5FD3E2" w:rsidR="00FE0DF9" w:rsidRPr="00305D32" w:rsidRDefault="00FE0DF9" w:rsidP="00D35CC4">
            <w:pPr>
              <w:spacing w:after="0" w:line="240" w:lineRule="auto"/>
              <w:jc w:val="center"/>
              <w:rPr>
                <w:color w:val="000000"/>
                <w:sz w:val="20"/>
                <w:szCs w:val="20"/>
                <w:lang w:val="es-MX"/>
              </w:rPr>
            </w:pPr>
            <w:r w:rsidRPr="00305D32">
              <w:rPr>
                <w:sz w:val="20"/>
                <w:szCs w:val="20"/>
                <w:lang w:val="es-MX"/>
              </w:rPr>
              <w:t>137.47</w:t>
            </w:r>
          </w:p>
        </w:tc>
        <w:tc>
          <w:tcPr>
            <w:tcW w:w="2112" w:type="dxa"/>
            <w:tcBorders>
              <w:top w:val="nil"/>
              <w:left w:val="nil"/>
              <w:bottom w:val="nil"/>
              <w:right w:val="nil"/>
            </w:tcBorders>
            <w:vAlign w:val="center"/>
          </w:tcPr>
          <w:p w14:paraId="42DF8829" w14:textId="7B3496C5" w:rsidR="00FE0DF9" w:rsidRPr="00305D32" w:rsidRDefault="00FE0DF9" w:rsidP="00D35CC4">
            <w:pPr>
              <w:spacing w:after="0" w:line="240" w:lineRule="auto"/>
              <w:jc w:val="center"/>
              <w:rPr>
                <w:color w:val="000000"/>
                <w:sz w:val="20"/>
                <w:szCs w:val="20"/>
                <w:lang w:val="es-MX"/>
              </w:rPr>
            </w:pPr>
            <w:r w:rsidRPr="00305D32">
              <w:rPr>
                <w:sz w:val="20"/>
                <w:szCs w:val="20"/>
                <w:lang w:val="es-MX"/>
              </w:rPr>
              <w:t>137.95</w:t>
            </w:r>
          </w:p>
        </w:tc>
      </w:tr>
      <w:tr w:rsidR="00FE0DF9" w:rsidRPr="00305D32" w14:paraId="3C4D95B4" w14:textId="77777777" w:rsidTr="00D35CC4">
        <w:trPr>
          <w:trHeight w:val="316"/>
          <w:jc w:val="center"/>
        </w:trPr>
        <w:tc>
          <w:tcPr>
            <w:tcW w:w="2619" w:type="dxa"/>
            <w:tcBorders>
              <w:top w:val="nil"/>
              <w:left w:val="nil"/>
              <w:bottom w:val="nil"/>
              <w:right w:val="nil"/>
            </w:tcBorders>
            <w:vAlign w:val="center"/>
          </w:tcPr>
          <w:p w14:paraId="440BE7B3" w14:textId="78248FC0" w:rsidR="00FE0DF9" w:rsidRPr="00305D32" w:rsidRDefault="00FE0DF9" w:rsidP="00D35CC4">
            <w:pPr>
              <w:spacing w:after="0" w:line="240" w:lineRule="auto"/>
              <w:jc w:val="left"/>
              <w:rPr>
                <w:color w:val="000000"/>
                <w:sz w:val="20"/>
                <w:szCs w:val="20"/>
                <w:lang w:val="es-MX"/>
              </w:rPr>
            </w:pPr>
            <w:r w:rsidRPr="00305D32">
              <w:rPr>
                <w:color w:val="000000"/>
                <w:sz w:val="20"/>
                <w:szCs w:val="20"/>
                <w:lang w:val="es-MX"/>
              </w:rPr>
              <w:t>Ago 202</w:t>
            </w:r>
            <w:r w:rsidR="000F1C9A" w:rsidRPr="00305D32">
              <w:rPr>
                <w:color w:val="000000"/>
                <w:sz w:val="20"/>
                <w:szCs w:val="20"/>
                <w:lang w:val="es-MX"/>
              </w:rPr>
              <w:t>5</w:t>
            </w:r>
          </w:p>
        </w:tc>
        <w:tc>
          <w:tcPr>
            <w:tcW w:w="1077" w:type="dxa"/>
            <w:tcBorders>
              <w:top w:val="nil"/>
              <w:left w:val="nil"/>
              <w:bottom w:val="nil"/>
              <w:right w:val="nil"/>
            </w:tcBorders>
            <w:vAlign w:val="center"/>
          </w:tcPr>
          <w:p w14:paraId="17C4A8E1" w14:textId="43FA9BF3" w:rsidR="00FE0DF9" w:rsidRPr="00305D32" w:rsidRDefault="00FE0DF9" w:rsidP="00D35CC4">
            <w:pPr>
              <w:spacing w:after="0" w:line="240" w:lineRule="auto"/>
              <w:jc w:val="center"/>
              <w:rPr>
                <w:color w:val="000000"/>
                <w:sz w:val="20"/>
                <w:szCs w:val="20"/>
                <w:lang w:val="es-MX"/>
              </w:rPr>
            </w:pPr>
            <w:r w:rsidRPr="00305D32">
              <w:rPr>
                <w:sz w:val="20"/>
                <w:szCs w:val="20"/>
                <w:lang w:val="es-MX"/>
              </w:rPr>
              <w:t>141.05</w:t>
            </w:r>
          </w:p>
        </w:tc>
        <w:tc>
          <w:tcPr>
            <w:tcW w:w="1497" w:type="dxa"/>
            <w:tcBorders>
              <w:top w:val="nil"/>
              <w:left w:val="nil"/>
              <w:bottom w:val="nil"/>
              <w:right w:val="nil"/>
            </w:tcBorders>
            <w:vAlign w:val="center"/>
          </w:tcPr>
          <w:p w14:paraId="6E8F73F6" w14:textId="54C61D21" w:rsidR="00FE0DF9" w:rsidRPr="00305D32" w:rsidRDefault="00FE0DF9" w:rsidP="00D35CC4">
            <w:pPr>
              <w:spacing w:after="0" w:line="240" w:lineRule="auto"/>
              <w:jc w:val="center"/>
              <w:rPr>
                <w:color w:val="000000"/>
                <w:sz w:val="20"/>
                <w:szCs w:val="20"/>
                <w:lang w:val="es-MX"/>
              </w:rPr>
            </w:pPr>
            <w:r w:rsidRPr="00305D32">
              <w:rPr>
                <w:sz w:val="20"/>
                <w:szCs w:val="20"/>
                <w:lang w:val="es-MX"/>
              </w:rPr>
              <w:t>139.99</w:t>
            </w:r>
          </w:p>
        </w:tc>
        <w:tc>
          <w:tcPr>
            <w:tcW w:w="1778" w:type="dxa"/>
            <w:tcBorders>
              <w:top w:val="nil"/>
              <w:left w:val="nil"/>
              <w:bottom w:val="nil"/>
              <w:right w:val="nil"/>
            </w:tcBorders>
            <w:vAlign w:val="center"/>
          </w:tcPr>
          <w:p w14:paraId="1060955D" w14:textId="0E3920DB" w:rsidR="00FE0DF9" w:rsidRPr="00305D32" w:rsidRDefault="00FE0DF9" w:rsidP="00D35CC4">
            <w:pPr>
              <w:spacing w:after="0" w:line="240" w:lineRule="auto"/>
              <w:jc w:val="center"/>
              <w:rPr>
                <w:color w:val="000000"/>
                <w:sz w:val="20"/>
                <w:szCs w:val="20"/>
                <w:lang w:val="es-MX"/>
              </w:rPr>
            </w:pPr>
            <w:r w:rsidRPr="00305D32">
              <w:rPr>
                <w:sz w:val="20"/>
                <w:szCs w:val="20"/>
                <w:lang w:val="es-MX"/>
              </w:rPr>
              <w:t>140.71</w:t>
            </w:r>
          </w:p>
        </w:tc>
        <w:tc>
          <w:tcPr>
            <w:tcW w:w="2112" w:type="dxa"/>
            <w:tcBorders>
              <w:top w:val="nil"/>
              <w:left w:val="nil"/>
              <w:bottom w:val="nil"/>
              <w:right w:val="nil"/>
            </w:tcBorders>
            <w:vAlign w:val="center"/>
          </w:tcPr>
          <w:p w14:paraId="644EC0F6" w14:textId="766D5DCE" w:rsidR="00FE0DF9" w:rsidRPr="00305D32" w:rsidRDefault="00FE0DF9" w:rsidP="00D35CC4">
            <w:pPr>
              <w:spacing w:after="0" w:line="240" w:lineRule="auto"/>
              <w:jc w:val="center"/>
              <w:rPr>
                <w:color w:val="000000"/>
                <w:sz w:val="20"/>
                <w:szCs w:val="20"/>
                <w:lang w:val="es-MX"/>
              </w:rPr>
            </w:pPr>
            <w:r w:rsidRPr="00305D32">
              <w:rPr>
                <w:sz w:val="20"/>
                <w:szCs w:val="20"/>
                <w:lang w:val="es-MX"/>
              </w:rPr>
              <w:t>140.87</w:t>
            </w:r>
          </w:p>
        </w:tc>
      </w:tr>
      <w:tr w:rsidR="00B14123" w:rsidRPr="00305D32" w14:paraId="2B269FFD" w14:textId="77777777" w:rsidTr="00D35CC4">
        <w:trPr>
          <w:trHeight w:val="316"/>
          <w:jc w:val="center"/>
        </w:trPr>
        <w:tc>
          <w:tcPr>
            <w:tcW w:w="9083" w:type="dxa"/>
            <w:gridSpan w:val="5"/>
            <w:tcBorders>
              <w:top w:val="single" w:sz="4" w:space="0" w:color="000000"/>
              <w:left w:val="nil"/>
              <w:bottom w:val="single" w:sz="4" w:space="0" w:color="000000"/>
              <w:right w:val="nil"/>
            </w:tcBorders>
            <w:vAlign w:val="center"/>
          </w:tcPr>
          <w:p w14:paraId="0774E94B" w14:textId="77777777" w:rsidR="00B14123" w:rsidRPr="00305D32" w:rsidRDefault="00B14123" w:rsidP="00D35CC4">
            <w:pPr>
              <w:spacing w:after="0" w:line="240" w:lineRule="auto"/>
              <w:jc w:val="center"/>
              <w:rPr>
                <w:b/>
                <w:color w:val="000000"/>
                <w:sz w:val="20"/>
                <w:szCs w:val="20"/>
                <w:lang w:val="es-MX"/>
              </w:rPr>
            </w:pPr>
            <w:r w:rsidRPr="00305D32">
              <w:rPr>
                <w:b/>
                <w:color w:val="000000"/>
                <w:sz w:val="20"/>
                <w:szCs w:val="20"/>
                <w:lang w:val="es-MX"/>
              </w:rPr>
              <w:t>Inflación</w:t>
            </w:r>
          </w:p>
        </w:tc>
      </w:tr>
      <w:tr w:rsidR="00D35CC4" w:rsidRPr="00305D32" w14:paraId="4F75CC79" w14:textId="77777777" w:rsidTr="00D35CC4">
        <w:trPr>
          <w:trHeight w:val="316"/>
          <w:jc w:val="center"/>
        </w:trPr>
        <w:tc>
          <w:tcPr>
            <w:tcW w:w="2619" w:type="dxa"/>
            <w:tcBorders>
              <w:top w:val="nil"/>
              <w:left w:val="nil"/>
              <w:bottom w:val="nil"/>
              <w:right w:val="nil"/>
            </w:tcBorders>
            <w:vAlign w:val="center"/>
          </w:tcPr>
          <w:p w14:paraId="03D47A2A" w14:textId="22DF0AA9" w:rsidR="00D35CC4" w:rsidRPr="00305D32" w:rsidRDefault="00D35CC4" w:rsidP="00D35CC4">
            <w:pPr>
              <w:spacing w:after="0" w:line="240" w:lineRule="auto"/>
              <w:jc w:val="left"/>
              <w:rPr>
                <w:color w:val="000000"/>
                <w:sz w:val="20"/>
                <w:szCs w:val="20"/>
                <w:lang w:val="es-MX"/>
              </w:rPr>
            </w:pPr>
            <w:r w:rsidRPr="00305D32">
              <w:rPr>
                <w:color w:val="000000"/>
                <w:sz w:val="20"/>
                <w:szCs w:val="20"/>
                <w:lang w:val="es-MX"/>
              </w:rPr>
              <w:t>Dic 202</w:t>
            </w:r>
            <w:r w:rsidR="00537756" w:rsidRPr="00305D32">
              <w:rPr>
                <w:color w:val="000000"/>
                <w:sz w:val="20"/>
                <w:szCs w:val="20"/>
                <w:lang w:val="es-MX"/>
              </w:rPr>
              <w:t>3</w:t>
            </w:r>
          </w:p>
        </w:tc>
        <w:tc>
          <w:tcPr>
            <w:tcW w:w="1077" w:type="dxa"/>
            <w:tcBorders>
              <w:top w:val="nil"/>
              <w:left w:val="nil"/>
              <w:bottom w:val="nil"/>
              <w:right w:val="nil"/>
            </w:tcBorders>
            <w:vAlign w:val="center"/>
          </w:tcPr>
          <w:p w14:paraId="095F5B27" w14:textId="7D561615" w:rsidR="00D35CC4" w:rsidRPr="00305D32" w:rsidRDefault="00D35CC4" w:rsidP="00D35CC4">
            <w:pPr>
              <w:spacing w:after="0" w:line="240" w:lineRule="auto"/>
              <w:jc w:val="center"/>
              <w:rPr>
                <w:color w:val="000000"/>
                <w:sz w:val="20"/>
                <w:szCs w:val="20"/>
                <w:lang w:val="es-MX"/>
              </w:rPr>
            </w:pPr>
            <w:r w:rsidRPr="00305D32">
              <w:rPr>
                <w:sz w:val="20"/>
                <w:szCs w:val="20"/>
                <w:lang w:val="es-MX"/>
              </w:rPr>
              <w:t>4.9</w:t>
            </w:r>
            <w:r w:rsidR="0019290E">
              <w:rPr>
                <w:sz w:val="20"/>
                <w:szCs w:val="20"/>
                <w:lang w:val="es-MX"/>
              </w:rPr>
              <w:t xml:space="preserve"> %</w:t>
            </w:r>
          </w:p>
        </w:tc>
        <w:tc>
          <w:tcPr>
            <w:tcW w:w="1497" w:type="dxa"/>
            <w:tcBorders>
              <w:top w:val="nil"/>
              <w:left w:val="nil"/>
              <w:bottom w:val="nil"/>
              <w:right w:val="nil"/>
            </w:tcBorders>
            <w:vAlign w:val="center"/>
          </w:tcPr>
          <w:p w14:paraId="2A389BFE" w14:textId="37B94467" w:rsidR="00D35CC4" w:rsidRPr="00305D32" w:rsidRDefault="00D35CC4" w:rsidP="00D35CC4">
            <w:pPr>
              <w:spacing w:after="0" w:line="240" w:lineRule="auto"/>
              <w:jc w:val="center"/>
              <w:rPr>
                <w:color w:val="000000"/>
                <w:sz w:val="20"/>
                <w:szCs w:val="20"/>
                <w:lang w:val="es-MX"/>
              </w:rPr>
            </w:pPr>
            <w:r w:rsidRPr="00305D32">
              <w:rPr>
                <w:sz w:val="20"/>
                <w:szCs w:val="20"/>
                <w:lang w:val="es-MX"/>
              </w:rPr>
              <w:t>4.6</w:t>
            </w:r>
            <w:r w:rsidR="0019290E">
              <w:rPr>
                <w:sz w:val="20"/>
                <w:szCs w:val="20"/>
                <w:lang w:val="es-MX"/>
              </w:rPr>
              <w:t xml:space="preserve"> %</w:t>
            </w:r>
          </w:p>
        </w:tc>
        <w:tc>
          <w:tcPr>
            <w:tcW w:w="1778" w:type="dxa"/>
            <w:tcBorders>
              <w:top w:val="nil"/>
              <w:left w:val="nil"/>
              <w:bottom w:val="nil"/>
              <w:right w:val="nil"/>
            </w:tcBorders>
            <w:vAlign w:val="center"/>
          </w:tcPr>
          <w:p w14:paraId="58C53B49" w14:textId="6ACF3F4B" w:rsidR="00D35CC4" w:rsidRPr="00305D32" w:rsidRDefault="00D35CC4" w:rsidP="00D35CC4">
            <w:pPr>
              <w:spacing w:after="0" w:line="240" w:lineRule="auto"/>
              <w:jc w:val="center"/>
              <w:rPr>
                <w:color w:val="000000"/>
                <w:sz w:val="20"/>
                <w:szCs w:val="20"/>
                <w:lang w:val="es-MX"/>
              </w:rPr>
            </w:pPr>
            <w:r w:rsidRPr="00305D32">
              <w:rPr>
                <w:sz w:val="20"/>
                <w:szCs w:val="20"/>
                <w:lang w:val="es-MX"/>
              </w:rPr>
              <w:t>4.8</w:t>
            </w:r>
            <w:r w:rsidR="0019290E">
              <w:rPr>
                <w:sz w:val="20"/>
                <w:szCs w:val="20"/>
                <w:lang w:val="es-MX"/>
              </w:rPr>
              <w:t xml:space="preserve"> %</w:t>
            </w:r>
          </w:p>
        </w:tc>
        <w:tc>
          <w:tcPr>
            <w:tcW w:w="2112" w:type="dxa"/>
            <w:tcBorders>
              <w:top w:val="nil"/>
              <w:left w:val="nil"/>
              <w:bottom w:val="nil"/>
              <w:right w:val="nil"/>
            </w:tcBorders>
            <w:vAlign w:val="center"/>
          </w:tcPr>
          <w:p w14:paraId="21803B75" w14:textId="687B2CE0" w:rsidR="00D35CC4" w:rsidRPr="00305D32" w:rsidRDefault="00D35CC4" w:rsidP="00D35CC4">
            <w:pPr>
              <w:spacing w:after="0" w:line="240" w:lineRule="auto"/>
              <w:jc w:val="center"/>
              <w:rPr>
                <w:color w:val="000000"/>
                <w:sz w:val="20"/>
                <w:szCs w:val="20"/>
                <w:lang w:val="es-MX"/>
              </w:rPr>
            </w:pPr>
            <w:r w:rsidRPr="00305D32">
              <w:rPr>
                <w:sz w:val="20"/>
                <w:szCs w:val="20"/>
                <w:lang w:val="es-MX"/>
              </w:rPr>
              <w:t>4.7</w:t>
            </w:r>
            <w:r w:rsidR="0019290E">
              <w:rPr>
                <w:sz w:val="20"/>
                <w:szCs w:val="20"/>
                <w:lang w:val="es-MX"/>
              </w:rPr>
              <w:t xml:space="preserve"> %</w:t>
            </w:r>
          </w:p>
        </w:tc>
      </w:tr>
      <w:tr w:rsidR="00D35CC4" w:rsidRPr="00305D32" w14:paraId="4ADF2FCD" w14:textId="77777777" w:rsidTr="00D35CC4">
        <w:trPr>
          <w:trHeight w:val="316"/>
          <w:jc w:val="center"/>
        </w:trPr>
        <w:tc>
          <w:tcPr>
            <w:tcW w:w="2619" w:type="dxa"/>
            <w:tcBorders>
              <w:top w:val="nil"/>
              <w:left w:val="nil"/>
              <w:bottom w:val="nil"/>
              <w:right w:val="nil"/>
            </w:tcBorders>
            <w:vAlign w:val="center"/>
          </w:tcPr>
          <w:p w14:paraId="7532170B" w14:textId="2C8F4EC4" w:rsidR="00D35CC4" w:rsidRPr="00305D32" w:rsidRDefault="00D35CC4" w:rsidP="00D35CC4">
            <w:pPr>
              <w:spacing w:after="0" w:line="240" w:lineRule="auto"/>
              <w:jc w:val="left"/>
              <w:rPr>
                <w:color w:val="000000"/>
                <w:sz w:val="20"/>
                <w:szCs w:val="20"/>
                <w:lang w:val="es-MX"/>
              </w:rPr>
            </w:pPr>
            <w:r w:rsidRPr="00305D32">
              <w:rPr>
                <w:color w:val="000000"/>
                <w:sz w:val="20"/>
                <w:szCs w:val="20"/>
                <w:lang w:val="es-MX"/>
              </w:rPr>
              <w:t>Dic 202</w:t>
            </w:r>
            <w:r w:rsidR="00537756" w:rsidRPr="00305D32">
              <w:rPr>
                <w:color w:val="000000"/>
                <w:sz w:val="20"/>
                <w:szCs w:val="20"/>
                <w:lang w:val="es-MX"/>
              </w:rPr>
              <w:t>4</w:t>
            </w:r>
          </w:p>
        </w:tc>
        <w:tc>
          <w:tcPr>
            <w:tcW w:w="1077" w:type="dxa"/>
            <w:tcBorders>
              <w:top w:val="nil"/>
              <w:left w:val="nil"/>
              <w:bottom w:val="nil"/>
              <w:right w:val="nil"/>
            </w:tcBorders>
            <w:vAlign w:val="center"/>
          </w:tcPr>
          <w:p w14:paraId="1DAB0014" w14:textId="2B8C9493" w:rsidR="00D35CC4" w:rsidRPr="00305D32" w:rsidRDefault="00D35CC4" w:rsidP="00D35CC4">
            <w:pPr>
              <w:spacing w:after="0" w:line="240" w:lineRule="auto"/>
              <w:jc w:val="center"/>
              <w:rPr>
                <w:color w:val="000000"/>
                <w:sz w:val="20"/>
                <w:szCs w:val="20"/>
                <w:lang w:val="es-MX"/>
              </w:rPr>
            </w:pPr>
            <w:r w:rsidRPr="00305D32">
              <w:rPr>
                <w:sz w:val="20"/>
                <w:szCs w:val="20"/>
                <w:lang w:val="es-MX"/>
              </w:rPr>
              <w:t>5.2</w:t>
            </w:r>
            <w:r w:rsidR="0019290E">
              <w:rPr>
                <w:sz w:val="20"/>
                <w:szCs w:val="20"/>
                <w:lang w:val="es-MX"/>
              </w:rPr>
              <w:t xml:space="preserve"> %</w:t>
            </w:r>
          </w:p>
        </w:tc>
        <w:tc>
          <w:tcPr>
            <w:tcW w:w="1497" w:type="dxa"/>
            <w:tcBorders>
              <w:top w:val="nil"/>
              <w:left w:val="nil"/>
              <w:bottom w:val="nil"/>
              <w:right w:val="nil"/>
            </w:tcBorders>
            <w:vAlign w:val="center"/>
          </w:tcPr>
          <w:p w14:paraId="442EB524" w14:textId="0A72F135" w:rsidR="00D35CC4" w:rsidRPr="00305D32" w:rsidRDefault="00D35CC4" w:rsidP="00D35CC4">
            <w:pPr>
              <w:spacing w:after="0" w:line="240" w:lineRule="auto"/>
              <w:jc w:val="center"/>
              <w:rPr>
                <w:color w:val="000000"/>
                <w:sz w:val="20"/>
                <w:szCs w:val="20"/>
                <w:lang w:val="es-MX"/>
              </w:rPr>
            </w:pPr>
            <w:r w:rsidRPr="00305D32">
              <w:rPr>
                <w:sz w:val="20"/>
                <w:szCs w:val="20"/>
                <w:lang w:val="es-MX"/>
              </w:rPr>
              <w:t>3.6</w:t>
            </w:r>
            <w:r w:rsidR="0019290E">
              <w:rPr>
                <w:sz w:val="20"/>
                <w:szCs w:val="20"/>
                <w:lang w:val="es-MX"/>
              </w:rPr>
              <w:t xml:space="preserve"> %</w:t>
            </w:r>
          </w:p>
        </w:tc>
        <w:tc>
          <w:tcPr>
            <w:tcW w:w="1778" w:type="dxa"/>
            <w:tcBorders>
              <w:top w:val="nil"/>
              <w:left w:val="nil"/>
              <w:bottom w:val="nil"/>
              <w:right w:val="nil"/>
            </w:tcBorders>
            <w:vAlign w:val="center"/>
          </w:tcPr>
          <w:p w14:paraId="4EE7F08E" w14:textId="63012F86" w:rsidR="00D35CC4" w:rsidRPr="00305D32" w:rsidRDefault="00D35CC4" w:rsidP="00D35CC4">
            <w:pPr>
              <w:spacing w:after="0" w:line="240" w:lineRule="auto"/>
              <w:jc w:val="center"/>
              <w:rPr>
                <w:color w:val="000000"/>
                <w:sz w:val="20"/>
                <w:szCs w:val="20"/>
                <w:lang w:val="es-MX"/>
              </w:rPr>
            </w:pPr>
            <w:r w:rsidRPr="00305D32">
              <w:rPr>
                <w:sz w:val="20"/>
                <w:szCs w:val="20"/>
                <w:lang w:val="es-MX"/>
              </w:rPr>
              <w:t>4.7</w:t>
            </w:r>
            <w:r w:rsidR="0019290E">
              <w:rPr>
                <w:sz w:val="20"/>
                <w:szCs w:val="20"/>
                <w:lang w:val="es-MX"/>
              </w:rPr>
              <w:t xml:space="preserve"> %</w:t>
            </w:r>
          </w:p>
        </w:tc>
        <w:tc>
          <w:tcPr>
            <w:tcW w:w="2112" w:type="dxa"/>
            <w:tcBorders>
              <w:top w:val="nil"/>
              <w:left w:val="nil"/>
              <w:bottom w:val="nil"/>
              <w:right w:val="nil"/>
            </w:tcBorders>
            <w:vAlign w:val="center"/>
          </w:tcPr>
          <w:p w14:paraId="3304668E" w14:textId="08CF3D2E" w:rsidR="00D35CC4" w:rsidRPr="00305D32" w:rsidRDefault="00D35CC4" w:rsidP="00D35CC4">
            <w:pPr>
              <w:spacing w:after="0" w:line="240" w:lineRule="auto"/>
              <w:jc w:val="center"/>
              <w:rPr>
                <w:color w:val="000000"/>
                <w:sz w:val="20"/>
                <w:szCs w:val="20"/>
                <w:lang w:val="es-MX"/>
              </w:rPr>
            </w:pPr>
            <w:r w:rsidRPr="00305D32">
              <w:rPr>
                <w:sz w:val="20"/>
                <w:szCs w:val="20"/>
                <w:lang w:val="es-MX"/>
              </w:rPr>
              <w:t>4.2</w:t>
            </w:r>
            <w:r w:rsidR="0019290E">
              <w:rPr>
                <w:sz w:val="20"/>
                <w:szCs w:val="20"/>
                <w:lang w:val="es-MX"/>
              </w:rPr>
              <w:t xml:space="preserve"> %</w:t>
            </w:r>
          </w:p>
        </w:tc>
      </w:tr>
      <w:tr w:rsidR="00D35CC4" w:rsidRPr="00305D32" w14:paraId="3FCE5ACF" w14:textId="77777777" w:rsidTr="00D35CC4">
        <w:trPr>
          <w:trHeight w:val="316"/>
          <w:jc w:val="center"/>
        </w:trPr>
        <w:tc>
          <w:tcPr>
            <w:tcW w:w="2619" w:type="dxa"/>
            <w:tcBorders>
              <w:top w:val="nil"/>
              <w:left w:val="nil"/>
              <w:right w:val="nil"/>
            </w:tcBorders>
            <w:vAlign w:val="center"/>
          </w:tcPr>
          <w:p w14:paraId="6F39999F" w14:textId="35566460" w:rsidR="00D35CC4" w:rsidRPr="00305D32" w:rsidRDefault="00D35CC4" w:rsidP="00D35CC4">
            <w:pPr>
              <w:spacing w:after="0" w:line="240" w:lineRule="auto"/>
              <w:jc w:val="left"/>
              <w:rPr>
                <w:color w:val="000000"/>
                <w:sz w:val="20"/>
                <w:szCs w:val="20"/>
                <w:lang w:val="es-MX"/>
              </w:rPr>
            </w:pPr>
            <w:r w:rsidRPr="00305D32">
              <w:rPr>
                <w:color w:val="000000"/>
                <w:sz w:val="20"/>
                <w:szCs w:val="20"/>
                <w:lang w:val="es-MX"/>
              </w:rPr>
              <w:t>Ago 202</w:t>
            </w:r>
            <w:r w:rsidR="00537756" w:rsidRPr="00305D32">
              <w:rPr>
                <w:color w:val="000000"/>
                <w:sz w:val="20"/>
                <w:szCs w:val="20"/>
                <w:lang w:val="es-MX"/>
              </w:rPr>
              <w:t>5</w:t>
            </w:r>
            <w:r w:rsidRPr="00305D32">
              <w:rPr>
                <w:color w:val="000000"/>
                <w:sz w:val="20"/>
                <w:szCs w:val="20"/>
                <w:lang w:val="es-MX"/>
              </w:rPr>
              <w:t xml:space="preserve"> (avance)</w:t>
            </w:r>
          </w:p>
        </w:tc>
        <w:tc>
          <w:tcPr>
            <w:tcW w:w="1077" w:type="dxa"/>
            <w:tcBorders>
              <w:top w:val="nil"/>
              <w:left w:val="nil"/>
              <w:right w:val="nil"/>
            </w:tcBorders>
            <w:vAlign w:val="center"/>
          </w:tcPr>
          <w:p w14:paraId="0FC753EA" w14:textId="44FE3D14" w:rsidR="00D35CC4" w:rsidRPr="00305D32" w:rsidRDefault="00D35CC4" w:rsidP="00D35CC4">
            <w:pPr>
              <w:spacing w:after="0" w:line="240" w:lineRule="auto"/>
              <w:jc w:val="center"/>
              <w:rPr>
                <w:color w:val="000000"/>
                <w:sz w:val="20"/>
                <w:szCs w:val="20"/>
                <w:lang w:val="es-MX"/>
              </w:rPr>
            </w:pPr>
            <w:r w:rsidRPr="00305D32">
              <w:rPr>
                <w:sz w:val="20"/>
                <w:szCs w:val="20"/>
                <w:lang w:val="es-MX"/>
              </w:rPr>
              <w:t>2.1</w:t>
            </w:r>
            <w:r w:rsidR="0019290E">
              <w:rPr>
                <w:sz w:val="20"/>
                <w:szCs w:val="20"/>
                <w:lang w:val="es-MX"/>
              </w:rPr>
              <w:t xml:space="preserve"> %</w:t>
            </w:r>
          </w:p>
        </w:tc>
        <w:tc>
          <w:tcPr>
            <w:tcW w:w="1497" w:type="dxa"/>
            <w:tcBorders>
              <w:top w:val="nil"/>
              <w:left w:val="nil"/>
              <w:right w:val="nil"/>
            </w:tcBorders>
            <w:vAlign w:val="center"/>
          </w:tcPr>
          <w:p w14:paraId="6CEAE1E4" w14:textId="2BFA541F" w:rsidR="00D35CC4" w:rsidRPr="00305D32" w:rsidRDefault="00D35CC4" w:rsidP="00D35CC4">
            <w:pPr>
              <w:spacing w:after="0" w:line="240" w:lineRule="auto"/>
              <w:jc w:val="center"/>
              <w:rPr>
                <w:color w:val="000000"/>
                <w:sz w:val="20"/>
                <w:szCs w:val="20"/>
                <w:lang w:val="es-MX"/>
              </w:rPr>
            </w:pPr>
            <w:r w:rsidRPr="00305D32">
              <w:rPr>
                <w:sz w:val="20"/>
                <w:szCs w:val="20"/>
                <w:lang w:val="es-MX"/>
              </w:rPr>
              <w:t>2.9</w:t>
            </w:r>
            <w:r w:rsidR="0019290E">
              <w:rPr>
                <w:sz w:val="20"/>
                <w:szCs w:val="20"/>
                <w:lang w:val="es-MX"/>
              </w:rPr>
              <w:t xml:space="preserve"> %</w:t>
            </w:r>
          </w:p>
        </w:tc>
        <w:tc>
          <w:tcPr>
            <w:tcW w:w="1778" w:type="dxa"/>
            <w:tcBorders>
              <w:top w:val="nil"/>
              <w:left w:val="nil"/>
              <w:right w:val="nil"/>
            </w:tcBorders>
            <w:vAlign w:val="center"/>
          </w:tcPr>
          <w:p w14:paraId="09E8D647" w14:textId="08358367" w:rsidR="00D35CC4" w:rsidRPr="00305D32" w:rsidRDefault="00D35CC4" w:rsidP="00D35CC4">
            <w:pPr>
              <w:spacing w:after="0" w:line="240" w:lineRule="auto"/>
              <w:jc w:val="center"/>
              <w:rPr>
                <w:color w:val="000000"/>
                <w:sz w:val="20"/>
                <w:szCs w:val="20"/>
                <w:lang w:val="es-MX"/>
              </w:rPr>
            </w:pPr>
            <w:r w:rsidRPr="00305D32">
              <w:rPr>
                <w:sz w:val="20"/>
                <w:szCs w:val="20"/>
                <w:lang w:val="es-MX"/>
              </w:rPr>
              <w:t>2.4</w:t>
            </w:r>
            <w:r w:rsidR="0019290E">
              <w:rPr>
                <w:sz w:val="20"/>
                <w:szCs w:val="20"/>
                <w:lang w:val="es-MX"/>
              </w:rPr>
              <w:t xml:space="preserve"> %</w:t>
            </w:r>
          </w:p>
        </w:tc>
        <w:tc>
          <w:tcPr>
            <w:tcW w:w="2112" w:type="dxa"/>
            <w:tcBorders>
              <w:top w:val="nil"/>
              <w:left w:val="nil"/>
              <w:right w:val="nil"/>
            </w:tcBorders>
            <w:vAlign w:val="center"/>
          </w:tcPr>
          <w:p w14:paraId="44710B61" w14:textId="53988791" w:rsidR="00D35CC4" w:rsidRPr="00305D32" w:rsidRDefault="00D35CC4" w:rsidP="00D35CC4">
            <w:pPr>
              <w:spacing w:after="0" w:line="240" w:lineRule="auto"/>
              <w:jc w:val="center"/>
              <w:rPr>
                <w:color w:val="000000"/>
                <w:sz w:val="20"/>
                <w:szCs w:val="20"/>
                <w:lang w:val="es-MX"/>
              </w:rPr>
            </w:pPr>
            <w:r w:rsidRPr="00305D32">
              <w:rPr>
                <w:sz w:val="20"/>
                <w:szCs w:val="20"/>
                <w:lang w:val="es-MX"/>
              </w:rPr>
              <w:t>2.1</w:t>
            </w:r>
            <w:r w:rsidR="0019290E">
              <w:rPr>
                <w:sz w:val="20"/>
                <w:szCs w:val="20"/>
                <w:lang w:val="es-MX"/>
              </w:rPr>
              <w:t xml:space="preserve"> %</w:t>
            </w:r>
          </w:p>
        </w:tc>
      </w:tr>
      <w:tr w:rsidR="00D35CC4" w:rsidRPr="00305D32" w14:paraId="58320D4A" w14:textId="77777777" w:rsidTr="00D35CC4">
        <w:trPr>
          <w:trHeight w:val="316"/>
          <w:jc w:val="center"/>
        </w:trPr>
        <w:tc>
          <w:tcPr>
            <w:tcW w:w="2619" w:type="dxa"/>
            <w:tcBorders>
              <w:top w:val="nil"/>
              <w:left w:val="nil"/>
              <w:bottom w:val="single" w:sz="4" w:space="0" w:color="000000"/>
              <w:right w:val="nil"/>
            </w:tcBorders>
            <w:vAlign w:val="center"/>
          </w:tcPr>
          <w:p w14:paraId="6A7E977B" w14:textId="199E9B52" w:rsidR="00D35CC4" w:rsidRPr="00305D32" w:rsidRDefault="00D35CC4" w:rsidP="00D35CC4">
            <w:pPr>
              <w:spacing w:after="0" w:line="240" w:lineRule="auto"/>
              <w:jc w:val="left"/>
              <w:rPr>
                <w:color w:val="000000"/>
                <w:sz w:val="20"/>
                <w:szCs w:val="20"/>
                <w:lang w:val="es-MX"/>
              </w:rPr>
            </w:pPr>
            <w:r w:rsidRPr="00305D32">
              <w:rPr>
                <w:color w:val="000000"/>
                <w:sz w:val="20"/>
                <w:szCs w:val="20"/>
                <w:lang w:val="es-MX"/>
              </w:rPr>
              <w:t>Ago 202</w:t>
            </w:r>
            <w:r w:rsidR="00537756" w:rsidRPr="00305D32">
              <w:rPr>
                <w:color w:val="000000"/>
                <w:sz w:val="20"/>
                <w:szCs w:val="20"/>
                <w:lang w:val="es-MX"/>
              </w:rPr>
              <w:t>5</w:t>
            </w:r>
            <w:r w:rsidRPr="00305D32">
              <w:rPr>
                <w:color w:val="000000"/>
                <w:sz w:val="20"/>
                <w:szCs w:val="20"/>
                <w:lang w:val="es-MX"/>
              </w:rPr>
              <w:t xml:space="preserve"> (interanual)</w:t>
            </w:r>
          </w:p>
        </w:tc>
        <w:tc>
          <w:tcPr>
            <w:tcW w:w="1077" w:type="dxa"/>
            <w:tcBorders>
              <w:top w:val="nil"/>
              <w:left w:val="nil"/>
              <w:bottom w:val="single" w:sz="4" w:space="0" w:color="000000"/>
              <w:right w:val="nil"/>
            </w:tcBorders>
            <w:vAlign w:val="center"/>
          </w:tcPr>
          <w:p w14:paraId="1586332F" w14:textId="12B03EA0" w:rsidR="00D35CC4" w:rsidRPr="00305D32" w:rsidRDefault="00D35CC4" w:rsidP="00D35CC4">
            <w:pPr>
              <w:spacing w:after="0" w:line="240" w:lineRule="auto"/>
              <w:jc w:val="center"/>
              <w:rPr>
                <w:color w:val="000000"/>
                <w:sz w:val="20"/>
                <w:szCs w:val="20"/>
                <w:lang w:val="es-MX"/>
              </w:rPr>
            </w:pPr>
            <w:r w:rsidRPr="00305D32">
              <w:rPr>
                <w:sz w:val="20"/>
                <w:szCs w:val="20"/>
                <w:lang w:val="es-MX"/>
              </w:rPr>
              <w:t>3.9</w:t>
            </w:r>
            <w:r w:rsidR="0019290E">
              <w:rPr>
                <w:sz w:val="20"/>
                <w:szCs w:val="20"/>
                <w:lang w:val="es-MX"/>
              </w:rPr>
              <w:t xml:space="preserve"> %</w:t>
            </w:r>
          </w:p>
        </w:tc>
        <w:tc>
          <w:tcPr>
            <w:tcW w:w="1497" w:type="dxa"/>
            <w:tcBorders>
              <w:top w:val="nil"/>
              <w:left w:val="nil"/>
              <w:bottom w:val="single" w:sz="4" w:space="0" w:color="000000"/>
              <w:right w:val="nil"/>
            </w:tcBorders>
            <w:vAlign w:val="center"/>
          </w:tcPr>
          <w:p w14:paraId="58666252" w14:textId="75AD2838" w:rsidR="00D35CC4" w:rsidRPr="00305D32" w:rsidRDefault="00D35CC4" w:rsidP="00D35CC4">
            <w:pPr>
              <w:spacing w:after="0" w:line="240" w:lineRule="auto"/>
              <w:jc w:val="center"/>
              <w:rPr>
                <w:color w:val="000000"/>
                <w:sz w:val="20"/>
                <w:szCs w:val="20"/>
                <w:lang w:val="es-MX"/>
              </w:rPr>
            </w:pPr>
            <w:r w:rsidRPr="00305D32">
              <w:rPr>
                <w:sz w:val="20"/>
                <w:szCs w:val="20"/>
                <w:lang w:val="es-MX"/>
              </w:rPr>
              <w:t>4.8</w:t>
            </w:r>
            <w:r w:rsidR="0019290E">
              <w:rPr>
                <w:sz w:val="20"/>
                <w:szCs w:val="20"/>
                <w:lang w:val="es-MX"/>
              </w:rPr>
              <w:t xml:space="preserve"> %</w:t>
            </w:r>
          </w:p>
        </w:tc>
        <w:tc>
          <w:tcPr>
            <w:tcW w:w="1778" w:type="dxa"/>
            <w:tcBorders>
              <w:top w:val="nil"/>
              <w:left w:val="nil"/>
              <w:bottom w:val="single" w:sz="4" w:space="0" w:color="000000"/>
              <w:right w:val="nil"/>
            </w:tcBorders>
            <w:vAlign w:val="center"/>
          </w:tcPr>
          <w:p w14:paraId="6AD6D23B" w14:textId="2E6A3494" w:rsidR="00D35CC4" w:rsidRPr="00305D32" w:rsidRDefault="00D35CC4" w:rsidP="00D35CC4">
            <w:pPr>
              <w:spacing w:after="0" w:line="240" w:lineRule="auto"/>
              <w:jc w:val="center"/>
              <w:rPr>
                <w:color w:val="000000"/>
                <w:sz w:val="20"/>
                <w:szCs w:val="20"/>
                <w:lang w:val="es-MX"/>
              </w:rPr>
            </w:pPr>
            <w:r w:rsidRPr="00305D32">
              <w:rPr>
                <w:sz w:val="20"/>
                <w:szCs w:val="20"/>
                <w:lang w:val="es-MX"/>
              </w:rPr>
              <w:t>4.2</w:t>
            </w:r>
            <w:r w:rsidR="0019290E">
              <w:rPr>
                <w:sz w:val="20"/>
                <w:szCs w:val="20"/>
                <w:lang w:val="es-MX"/>
              </w:rPr>
              <w:t xml:space="preserve"> %</w:t>
            </w:r>
          </w:p>
        </w:tc>
        <w:tc>
          <w:tcPr>
            <w:tcW w:w="2112" w:type="dxa"/>
            <w:tcBorders>
              <w:top w:val="nil"/>
              <w:left w:val="nil"/>
              <w:bottom w:val="single" w:sz="4" w:space="0" w:color="000000"/>
              <w:right w:val="nil"/>
            </w:tcBorders>
            <w:vAlign w:val="center"/>
          </w:tcPr>
          <w:p w14:paraId="4E4C1798" w14:textId="4DEB1F49" w:rsidR="00D35CC4" w:rsidRPr="00305D32" w:rsidRDefault="00D35CC4" w:rsidP="00D35CC4">
            <w:pPr>
              <w:spacing w:after="0" w:line="240" w:lineRule="auto"/>
              <w:jc w:val="center"/>
              <w:rPr>
                <w:color w:val="000000"/>
                <w:sz w:val="20"/>
                <w:szCs w:val="20"/>
                <w:lang w:val="es-MX"/>
              </w:rPr>
            </w:pPr>
            <w:r w:rsidRPr="00305D32">
              <w:rPr>
                <w:sz w:val="20"/>
                <w:szCs w:val="20"/>
                <w:lang w:val="es-MX"/>
              </w:rPr>
              <w:t>3.6</w:t>
            </w:r>
            <w:r w:rsidR="0019290E">
              <w:rPr>
                <w:sz w:val="20"/>
                <w:szCs w:val="20"/>
                <w:lang w:val="es-MX"/>
              </w:rPr>
              <w:t xml:space="preserve"> %</w:t>
            </w:r>
          </w:p>
        </w:tc>
      </w:tr>
    </w:tbl>
    <w:p w14:paraId="4D083632" w14:textId="71B42CA6" w:rsidR="00AE57F0" w:rsidRPr="00305D32" w:rsidRDefault="00414F7C" w:rsidP="00850F4F">
      <w:pPr>
        <w:spacing w:line="240" w:lineRule="auto"/>
        <w:jc w:val="center"/>
        <w:rPr>
          <w:i/>
          <w:sz w:val="20"/>
          <w:szCs w:val="20"/>
          <w:lang w:val="es-MX"/>
        </w:rPr>
      </w:pPr>
      <w:r w:rsidRPr="00305D32">
        <w:rPr>
          <w:sz w:val="20"/>
          <w:szCs w:val="20"/>
          <w:lang w:val="es-MX"/>
        </w:rPr>
        <w:t>Fuente: Elaboración de la Subsecretaría de Análisis Económico y Finanzas Públicas de la Secretaría de Finanzas y Planeación, con base en datos del INEGI (202</w:t>
      </w:r>
      <w:r w:rsidR="00081D31" w:rsidRPr="00305D32">
        <w:rPr>
          <w:sz w:val="20"/>
          <w:szCs w:val="20"/>
          <w:lang w:val="es-MX"/>
        </w:rPr>
        <w:t>5</w:t>
      </w:r>
      <w:r w:rsidRPr="00305D32">
        <w:rPr>
          <w:sz w:val="20"/>
          <w:szCs w:val="20"/>
          <w:lang w:val="es-MX"/>
        </w:rPr>
        <w:t xml:space="preserve">). </w:t>
      </w:r>
      <w:r w:rsidRPr="00305D32">
        <w:rPr>
          <w:i/>
          <w:sz w:val="20"/>
          <w:szCs w:val="20"/>
          <w:lang w:val="es-MX"/>
        </w:rPr>
        <w:t>Índices de Precios. Índice Nacional de Precios al Consumidor (INPC). Base Segunda Quincena de Julio 2018.</w:t>
      </w:r>
    </w:p>
    <w:p w14:paraId="6CD8AACB" w14:textId="22E59696" w:rsidR="00572172" w:rsidRPr="00305D32" w:rsidRDefault="009134DD">
      <w:pPr>
        <w:rPr>
          <w:lang w:val="es-MX"/>
        </w:rPr>
      </w:pPr>
      <w:r w:rsidRPr="009134DD">
        <w:rPr>
          <w:lang w:val="es-MX"/>
        </w:rPr>
        <w:t>Para 2023, la inflación fue mayor en Quintana Roo (4.8</w:t>
      </w:r>
      <w:r w:rsidR="0019290E">
        <w:rPr>
          <w:lang w:val="es-MX"/>
        </w:rPr>
        <w:t xml:space="preserve"> %</w:t>
      </w:r>
      <w:r w:rsidRPr="009134DD">
        <w:rPr>
          <w:lang w:val="es-MX"/>
        </w:rPr>
        <w:t>) que a nivel nacional (4.7</w:t>
      </w:r>
      <w:r w:rsidR="0019290E">
        <w:rPr>
          <w:lang w:val="es-MX"/>
        </w:rPr>
        <w:t xml:space="preserve"> %</w:t>
      </w:r>
      <w:r w:rsidRPr="009134DD">
        <w:rPr>
          <w:lang w:val="es-MX"/>
        </w:rPr>
        <w:t>), registrando Cancún (4.9</w:t>
      </w:r>
      <w:r w:rsidR="0019290E">
        <w:rPr>
          <w:lang w:val="es-MX"/>
        </w:rPr>
        <w:t xml:space="preserve"> %</w:t>
      </w:r>
      <w:r w:rsidRPr="009134DD">
        <w:rPr>
          <w:lang w:val="es-MX"/>
        </w:rPr>
        <w:t>) un incremento de los precios superior al de Chetumal (4.6</w:t>
      </w:r>
      <w:r w:rsidR="0019290E">
        <w:rPr>
          <w:lang w:val="es-MX"/>
        </w:rPr>
        <w:t xml:space="preserve"> %</w:t>
      </w:r>
      <w:r w:rsidRPr="009134DD">
        <w:rPr>
          <w:lang w:val="es-MX"/>
        </w:rPr>
        <w:t>) como puede visualizarse en</w:t>
      </w:r>
      <w:r w:rsidR="00414F7C" w:rsidRPr="00305D32">
        <w:rPr>
          <w:lang w:val="es-MX"/>
        </w:rPr>
        <w:t xml:space="preserve"> la </w:t>
      </w:r>
      <w:r w:rsidR="00BC0A6A" w:rsidRPr="00305D32">
        <w:rPr>
          <w:lang w:val="es-MX"/>
        </w:rPr>
        <w:fldChar w:fldCharType="begin"/>
      </w:r>
      <w:r w:rsidR="00BC0A6A" w:rsidRPr="00305D32">
        <w:rPr>
          <w:lang w:val="es-MX"/>
        </w:rPr>
        <w:instrText xml:space="preserve"> REF _Ref210293306 \h </w:instrText>
      </w:r>
      <w:r w:rsidR="00BC0A6A" w:rsidRPr="00305D32">
        <w:rPr>
          <w:lang w:val="es-MX"/>
        </w:rPr>
      </w:r>
      <w:r w:rsidR="00BC0A6A" w:rsidRPr="00305D32">
        <w:rPr>
          <w:lang w:val="es-MX"/>
        </w:rPr>
        <w:fldChar w:fldCharType="separate"/>
      </w:r>
      <w:r w:rsidR="00ED1F2F" w:rsidRPr="00305D32">
        <w:rPr>
          <w:lang w:val="es-MX"/>
        </w:rPr>
        <w:t xml:space="preserve">Figura </w:t>
      </w:r>
      <w:r w:rsidR="00ED1F2F">
        <w:rPr>
          <w:noProof/>
          <w:lang w:val="es-MX"/>
        </w:rPr>
        <w:t>30</w:t>
      </w:r>
      <w:r w:rsidR="00BC0A6A" w:rsidRPr="00305D32">
        <w:rPr>
          <w:lang w:val="es-MX"/>
        </w:rPr>
        <w:fldChar w:fldCharType="end"/>
      </w:r>
      <w:r w:rsidR="00414F7C" w:rsidRPr="00305D32">
        <w:rPr>
          <w:lang w:val="es-MX"/>
        </w:rPr>
        <w:t xml:space="preserve">. </w:t>
      </w:r>
      <w:r w:rsidR="00B06405" w:rsidRPr="00B06405">
        <w:rPr>
          <w:lang w:val="es-MX"/>
        </w:rPr>
        <w:t>Durante 2024, la inflación nacional se ubicó en 4.2</w:t>
      </w:r>
      <w:r w:rsidR="0019290E">
        <w:rPr>
          <w:lang w:val="es-MX"/>
        </w:rPr>
        <w:t xml:space="preserve"> %</w:t>
      </w:r>
      <w:r w:rsidR="00B06405" w:rsidRPr="00B06405">
        <w:rPr>
          <w:lang w:val="es-MX"/>
        </w:rPr>
        <w:t xml:space="preserve"> mientras que Quintana Roo alcanzó 4.7</w:t>
      </w:r>
      <w:r w:rsidR="0019290E">
        <w:rPr>
          <w:lang w:val="es-MX"/>
        </w:rPr>
        <w:t xml:space="preserve"> %</w:t>
      </w:r>
      <w:r w:rsidR="00B06405" w:rsidRPr="00B06405">
        <w:rPr>
          <w:lang w:val="es-MX"/>
        </w:rPr>
        <w:t>, siendo nuevamente mayor en Cancún (5.2</w:t>
      </w:r>
      <w:r w:rsidR="0019290E">
        <w:rPr>
          <w:lang w:val="es-MX"/>
        </w:rPr>
        <w:t xml:space="preserve"> %</w:t>
      </w:r>
      <w:r w:rsidR="00B06405" w:rsidRPr="00B06405">
        <w:rPr>
          <w:lang w:val="es-MX"/>
        </w:rPr>
        <w:t>) que en Chetumal (3.6</w:t>
      </w:r>
      <w:r w:rsidR="0019290E">
        <w:rPr>
          <w:lang w:val="es-MX"/>
        </w:rPr>
        <w:t xml:space="preserve"> %</w:t>
      </w:r>
      <w:r w:rsidR="00B06405" w:rsidRPr="00B06405">
        <w:rPr>
          <w:lang w:val="es-MX"/>
        </w:rPr>
        <w:t>).</w:t>
      </w:r>
    </w:p>
    <w:p w14:paraId="201AA314" w14:textId="79F76B11" w:rsidR="00F25599" w:rsidRPr="00305D32" w:rsidRDefault="005C55B8" w:rsidP="00F25599">
      <w:pPr>
        <w:rPr>
          <w:highlight w:val="yellow"/>
          <w:lang w:val="es-MX"/>
        </w:rPr>
      </w:pPr>
      <w:r w:rsidRPr="005C55B8">
        <w:rPr>
          <w:lang w:val="es-MX"/>
        </w:rPr>
        <w:t>La evolución de la inflación durante 2025 muestra una tendencia descendente, con valores por debajo del 3</w:t>
      </w:r>
      <w:r w:rsidR="0019290E">
        <w:rPr>
          <w:lang w:val="es-MX"/>
        </w:rPr>
        <w:t xml:space="preserve"> %</w:t>
      </w:r>
      <w:r w:rsidRPr="005C55B8">
        <w:rPr>
          <w:lang w:val="es-MX"/>
        </w:rPr>
        <w:t>. El avance de agosto de 2025 (medido contra diciembre de 2024) indica que la inflación nacional acumulada es de 2.1</w:t>
      </w:r>
      <w:r w:rsidR="0019290E">
        <w:rPr>
          <w:lang w:val="es-MX"/>
        </w:rPr>
        <w:t xml:space="preserve"> %</w:t>
      </w:r>
      <w:r w:rsidRPr="005C55B8">
        <w:rPr>
          <w:lang w:val="es-MX"/>
        </w:rPr>
        <w:t>, mientras que la estatal es de 2.4</w:t>
      </w:r>
      <w:r w:rsidR="0019290E">
        <w:rPr>
          <w:lang w:val="es-MX"/>
        </w:rPr>
        <w:t xml:space="preserve"> %</w:t>
      </w:r>
      <w:r w:rsidRPr="005C55B8">
        <w:rPr>
          <w:lang w:val="es-MX"/>
        </w:rPr>
        <w:t xml:space="preserve">. Si se mide la inflación de forma interanual (agosto de 2024 - </w:t>
      </w:r>
      <w:r w:rsidRPr="005C55B8">
        <w:rPr>
          <w:lang w:val="es-MX"/>
        </w:rPr>
        <w:lastRenderedPageBreak/>
        <w:t>agosto de 2025), la inflación nacional asciende a 3.6</w:t>
      </w:r>
      <w:r w:rsidR="0019290E">
        <w:rPr>
          <w:lang w:val="es-MX"/>
        </w:rPr>
        <w:t xml:space="preserve"> %</w:t>
      </w:r>
      <w:r w:rsidRPr="005C55B8">
        <w:rPr>
          <w:lang w:val="es-MX"/>
        </w:rPr>
        <w:t xml:space="preserve"> y la de Quintana Roo a 4.2</w:t>
      </w:r>
      <w:r w:rsidR="0019290E">
        <w:rPr>
          <w:lang w:val="es-MX"/>
        </w:rPr>
        <w:t xml:space="preserve"> %</w:t>
      </w:r>
      <w:r w:rsidRPr="005C55B8">
        <w:rPr>
          <w:lang w:val="es-MX"/>
        </w:rPr>
        <w:t>, excediendo de manera mínima el límite de 4</w:t>
      </w:r>
      <w:r w:rsidR="0019290E">
        <w:rPr>
          <w:lang w:val="es-MX"/>
        </w:rPr>
        <w:t xml:space="preserve"> %</w:t>
      </w:r>
      <w:r w:rsidRPr="005C55B8">
        <w:rPr>
          <w:lang w:val="es-MX"/>
        </w:rPr>
        <w:t xml:space="preserve"> establecido por Banxico</w:t>
      </w:r>
      <w:r w:rsidR="00F25599" w:rsidRPr="00305D32">
        <w:rPr>
          <w:lang w:val="es-MX"/>
        </w:rPr>
        <w:t>.</w:t>
      </w:r>
    </w:p>
    <w:p w14:paraId="4D083635" w14:textId="024F489B" w:rsidR="00AE57F0" w:rsidRPr="00305D32" w:rsidRDefault="0028067C" w:rsidP="00FF7EB6">
      <w:pPr>
        <w:rPr>
          <w:b/>
          <w:lang w:val="es-MX"/>
        </w:rPr>
      </w:pPr>
      <w:r w:rsidRPr="0028067C">
        <w:rPr>
          <w:lang w:val="es-MX"/>
        </w:rPr>
        <w:t>Estos resultados revelan que persiste un fenómeno inflacionario que converge de manera gradual hacia el objetivo de Banxico. El pronóstico de inflación para Quintana Roo considerando proyecciones para el periodo faltante del año (septiembre- diciembre), se estima en 4.33</w:t>
      </w:r>
      <w:r w:rsidR="0019290E">
        <w:rPr>
          <w:lang w:val="es-MX"/>
        </w:rPr>
        <w:t xml:space="preserve"> %</w:t>
      </w:r>
      <w:r w:rsidRPr="0028067C">
        <w:rPr>
          <w:lang w:val="es-MX"/>
        </w:rPr>
        <w:t>, considerando una desaceleración en el crecimiento de los precios por la actual política monetaria restrictiva</w:t>
      </w:r>
      <w:r w:rsidR="00414F7C" w:rsidRPr="00305D32">
        <w:rPr>
          <w:lang w:val="es-MX"/>
        </w:rPr>
        <w:t>.</w:t>
      </w:r>
    </w:p>
    <w:p w14:paraId="4D083636" w14:textId="3EA46AB7" w:rsidR="00AE57F0" w:rsidRPr="00305D32" w:rsidRDefault="00414F7C" w:rsidP="006B3A1E">
      <w:pPr>
        <w:pStyle w:val="Descripcin"/>
        <w:jc w:val="center"/>
        <w:rPr>
          <w:color w:val="000000"/>
          <w:lang w:val="es-MX"/>
        </w:rPr>
      </w:pPr>
      <w:bookmarkStart w:id="95" w:name="_heading=h.4anzqyu" w:colFirst="0" w:colLast="0"/>
      <w:bookmarkStart w:id="96" w:name="_Ref210293306"/>
      <w:bookmarkStart w:id="97" w:name="_Ref210293301"/>
      <w:bookmarkEnd w:id="95"/>
      <w:r w:rsidRPr="00305D32">
        <w:rPr>
          <w:lang w:val="es-MX"/>
        </w:rPr>
        <w:t xml:space="preserve">Figura </w:t>
      </w:r>
      <w:r w:rsidR="00356D63" w:rsidRPr="00305D32">
        <w:rPr>
          <w:lang w:val="es-MX"/>
        </w:rPr>
        <w:fldChar w:fldCharType="begin"/>
      </w:r>
      <w:r w:rsidR="00356D63" w:rsidRPr="00305D32">
        <w:rPr>
          <w:lang w:val="es-MX"/>
        </w:rPr>
        <w:instrText xml:space="preserve"> SEQ Figura \* ARABIC </w:instrText>
      </w:r>
      <w:r w:rsidR="00356D63" w:rsidRPr="00305D32">
        <w:rPr>
          <w:lang w:val="es-MX"/>
        </w:rPr>
        <w:fldChar w:fldCharType="separate"/>
      </w:r>
      <w:r w:rsidR="00ED1F2F">
        <w:rPr>
          <w:noProof/>
          <w:lang w:val="es-MX"/>
        </w:rPr>
        <w:t>30</w:t>
      </w:r>
      <w:r w:rsidR="00356D63" w:rsidRPr="00305D32">
        <w:rPr>
          <w:lang w:val="es-MX"/>
        </w:rPr>
        <w:fldChar w:fldCharType="end"/>
      </w:r>
      <w:bookmarkEnd w:id="96"/>
      <w:r w:rsidRPr="00305D32">
        <w:rPr>
          <w:color w:val="000000"/>
          <w:lang w:val="es-MX"/>
        </w:rPr>
        <w:t>. Inflación a nivel nacional, Quintana Roo, Chetumal y Cancún, 202</w:t>
      </w:r>
      <w:r w:rsidR="002B5FCA" w:rsidRPr="00305D32">
        <w:rPr>
          <w:color w:val="000000"/>
          <w:lang w:val="es-MX"/>
        </w:rPr>
        <w:t>3</w:t>
      </w:r>
      <w:r w:rsidRPr="00305D32">
        <w:rPr>
          <w:color w:val="000000"/>
          <w:lang w:val="es-MX"/>
        </w:rPr>
        <w:t>-202</w:t>
      </w:r>
      <w:r w:rsidR="002B5FCA" w:rsidRPr="00305D32">
        <w:rPr>
          <w:color w:val="000000"/>
          <w:lang w:val="es-MX"/>
        </w:rPr>
        <w:t>5</w:t>
      </w:r>
      <w:bookmarkEnd w:id="97"/>
    </w:p>
    <w:p w14:paraId="0CEA0AAC" w14:textId="70A9BF1A" w:rsidR="0012070B" w:rsidRPr="00305D32" w:rsidRDefault="0012070B">
      <w:pPr>
        <w:spacing w:after="0"/>
        <w:rPr>
          <w:lang w:val="es-MX"/>
        </w:rPr>
      </w:pPr>
      <w:r w:rsidRPr="00305D32">
        <w:rPr>
          <w:noProof/>
          <w:lang w:val="es-MX" w:eastAsia="es-MX"/>
        </w:rPr>
        <w:drawing>
          <wp:inline distT="0" distB="0" distL="0" distR="0" wp14:anchorId="3B153ADD" wp14:editId="47F02EA0">
            <wp:extent cx="5677200" cy="2610000"/>
            <wp:effectExtent l="0" t="0" r="0" b="0"/>
            <wp:docPr id="1512417747" name="Gráfico 1">
              <a:extLst xmlns:a="http://schemas.openxmlformats.org/drawingml/2006/main">
                <a:ext uri="{FF2B5EF4-FFF2-40B4-BE49-F238E27FC236}">
                  <a16:creationId xmlns:a16="http://schemas.microsoft.com/office/drawing/2014/main" id="{6532CDD7-204A-43A2-B587-9ECF0E616B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D083638" w14:textId="55C4DE24" w:rsidR="00AE57F0" w:rsidRPr="00305D32" w:rsidRDefault="00414F7C">
      <w:pPr>
        <w:spacing w:line="240"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base en datos del INEGI (202</w:t>
      </w:r>
      <w:r w:rsidR="002B5FCA" w:rsidRPr="00305D32">
        <w:rPr>
          <w:sz w:val="20"/>
          <w:szCs w:val="20"/>
          <w:lang w:val="es-MX"/>
        </w:rPr>
        <w:t>5</w:t>
      </w:r>
      <w:r w:rsidRPr="00305D32">
        <w:rPr>
          <w:sz w:val="20"/>
          <w:szCs w:val="20"/>
          <w:lang w:val="es-MX"/>
        </w:rPr>
        <w:t xml:space="preserve">) </w:t>
      </w:r>
      <w:r w:rsidRPr="00305D32">
        <w:rPr>
          <w:i/>
          <w:sz w:val="20"/>
          <w:szCs w:val="20"/>
          <w:lang w:val="es-MX"/>
        </w:rPr>
        <w:t>Índice Nacional de Precios al Consumidor</w:t>
      </w:r>
      <w:r w:rsidRPr="00305D32">
        <w:rPr>
          <w:sz w:val="20"/>
          <w:szCs w:val="20"/>
          <w:lang w:val="es-MX"/>
        </w:rPr>
        <w:t>.</w:t>
      </w:r>
    </w:p>
    <w:p w14:paraId="2B6D48C7" w14:textId="5DEBD18B" w:rsidR="004B3FC4" w:rsidRPr="00305D32" w:rsidRDefault="003747FF">
      <w:pPr>
        <w:rPr>
          <w:lang w:val="es-MX"/>
        </w:rPr>
      </w:pPr>
      <w:r w:rsidRPr="003747FF">
        <w:rPr>
          <w:lang w:val="es-MX"/>
        </w:rPr>
        <w:t xml:space="preserve">La inflación también se puede dividir por objeto de gasto, como se muestra </w:t>
      </w:r>
      <w:r w:rsidR="00414F7C" w:rsidRPr="00305D32">
        <w:rPr>
          <w:lang w:val="es-MX"/>
        </w:rPr>
        <w:t xml:space="preserve">en la </w:t>
      </w:r>
      <w:r w:rsidR="00565333" w:rsidRPr="00305D32">
        <w:rPr>
          <w:lang w:val="es-MX"/>
        </w:rPr>
        <w:fldChar w:fldCharType="begin"/>
      </w:r>
      <w:r w:rsidR="00565333" w:rsidRPr="00305D32">
        <w:rPr>
          <w:lang w:val="es-MX"/>
        </w:rPr>
        <w:instrText xml:space="preserve"> REF _Ref210293803 \h </w:instrText>
      </w:r>
      <w:r w:rsidR="00565333" w:rsidRPr="00305D32">
        <w:rPr>
          <w:lang w:val="es-MX"/>
        </w:rPr>
      </w:r>
      <w:r w:rsidR="00565333" w:rsidRPr="00305D32">
        <w:rPr>
          <w:lang w:val="es-MX"/>
        </w:rPr>
        <w:fldChar w:fldCharType="separate"/>
      </w:r>
      <w:r w:rsidR="00ED1F2F" w:rsidRPr="00305D32">
        <w:rPr>
          <w:lang w:val="es-MX"/>
        </w:rPr>
        <w:t xml:space="preserve">Figura </w:t>
      </w:r>
      <w:r w:rsidR="00ED1F2F">
        <w:rPr>
          <w:noProof/>
          <w:lang w:val="es-MX"/>
        </w:rPr>
        <w:t>31</w:t>
      </w:r>
      <w:r w:rsidR="00565333" w:rsidRPr="00305D32">
        <w:rPr>
          <w:lang w:val="es-MX"/>
        </w:rPr>
        <w:fldChar w:fldCharType="end"/>
      </w:r>
      <w:r w:rsidR="00414F7C" w:rsidRPr="00305D32">
        <w:rPr>
          <w:lang w:val="es-MX"/>
        </w:rPr>
        <w:t xml:space="preserve">. </w:t>
      </w:r>
      <w:r w:rsidR="00570FAF" w:rsidRPr="00570FAF">
        <w:rPr>
          <w:lang w:val="es-MX"/>
        </w:rPr>
        <w:t>La inflación general en Quintana Roo disminuy</w:t>
      </w:r>
      <w:r w:rsidR="003E041D">
        <w:rPr>
          <w:lang w:val="es-MX"/>
        </w:rPr>
        <w:t>ó</w:t>
      </w:r>
      <w:r w:rsidR="00570FAF" w:rsidRPr="00570FAF">
        <w:rPr>
          <w:lang w:val="es-MX"/>
        </w:rPr>
        <w:t xml:space="preserve"> a 4.21</w:t>
      </w:r>
      <w:r w:rsidR="0019290E">
        <w:rPr>
          <w:lang w:val="es-MX"/>
        </w:rPr>
        <w:t xml:space="preserve"> %</w:t>
      </w:r>
      <w:r w:rsidR="00570FAF" w:rsidRPr="00570FAF">
        <w:rPr>
          <w:lang w:val="es-MX"/>
        </w:rPr>
        <w:t xml:space="preserve"> (medida de agosto de 2024 a agosto de 2025). Asimismo, los rubros de Ropa, calzado y accesorios (4.92</w:t>
      </w:r>
      <w:r w:rsidR="0019290E">
        <w:rPr>
          <w:lang w:val="es-MX"/>
        </w:rPr>
        <w:t xml:space="preserve"> %</w:t>
      </w:r>
      <w:r w:rsidR="00570FAF" w:rsidRPr="00570FAF">
        <w:rPr>
          <w:lang w:val="es-MX"/>
        </w:rPr>
        <w:t>); Vivienda (4.29</w:t>
      </w:r>
      <w:r w:rsidR="0019290E">
        <w:rPr>
          <w:lang w:val="es-MX"/>
        </w:rPr>
        <w:t xml:space="preserve"> %</w:t>
      </w:r>
      <w:r w:rsidR="00570FAF" w:rsidRPr="00570FAF">
        <w:rPr>
          <w:lang w:val="es-MX"/>
        </w:rPr>
        <w:t>); Muebles, aparatos y accesorios domésticos (1.64</w:t>
      </w:r>
      <w:r w:rsidR="0019290E">
        <w:rPr>
          <w:lang w:val="es-MX"/>
        </w:rPr>
        <w:t xml:space="preserve"> %</w:t>
      </w:r>
      <w:r w:rsidR="00570FAF" w:rsidRPr="00570FAF">
        <w:rPr>
          <w:lang w:val="es-MX"/>
        </w:rPr>
        <w:t>); Salud y cuidado personal (4.31</w:t>
      </w:r>
      <w:r w:rsidR="0019290E">
        <w:rPr>
          <w:lang w:val="es-MX"/>
        </w:rPr>
        <w:t xml:space="preserve"> %</w:t>
      </w:r>
      <w:r w:rsidR="00570FAF" w:rsidRPr="00570FAF">
        <w:rPr>
          <w:lang w:val="es-MX"/>
        </w:rPr>
        <w:t>), Educación y esparcimiento (3.03</w:t>
      </w:r>
      <w:r w:rsidR="0019290E">
        <w:rPr>
          <w:lang w:val="es-MX"/>
        </w:rPr>
        <w:t xml:space="preserve"> %</w:t>
      </w:r>
      <w:r w:rsidR="00570FAF" w:rsidRPr="00570FAF">
        <w:rPr>
          <w:lang w:val="es-MX"/>
        </w:rPr>
        <w:t xml:space="preserve">); y </w:t>
      </w:r>
      <w:r w:rsidR="00570FAF" w:rsidRPr="00570FAF">
        <w:rPr>
          <w:lang w:val="es-MX"/>
        </w:rPr>
        <w:lastRenderedPageBreak/>
        <w:t>Otros servicios (8.92</w:t>
      </w:r>
      <w:r w:rsidR="0019290E">
        <w:rPr>
          <w:lang w:val="es-MX"/>
        </w:rPr>
        <w:t xml:space="preserve"> %</w:t>
      </w:r>
      <w:r w:rsidR="00570FAF" w:rsidRPr="00570FAF">
        <w:rPr>
          <w:lang w:val="es-MX"/>
        </w:rPr>
        <w:t>) han experimentado incremento en los precios respecto al mismo periodo de 2024. Los rubros donde el ritmo de crecimiento de los precios es menor son Alimentos, bebidas y tabaco (3.69</w:t>
      </w:r>
      <w:r w:rsidR="0019290E">
        <w:rPr>
          <w:lang w:val="es-MX"/>
        </w:rPr>
        <w:t xml:space="preserve"> %</w:t>
      </w:r>
      <w:r w:rsidR="00570FAF" w:rsidRPr="00570FAF">
        <w:rPr>
          <w:lang w:val="es-MX"/>
        </w:rPr>
        <w:t>) y Transporte (2.47</w:t>
      </w:r>
      <w:r w:rsidR="0019290E">
        <w:rPr>
          <w:lang w:val="es-MX"/>
        </w:rPr>
        <w:t xml:space="preserve"> %</w:t>
      </w:r>
      <w:r w:rsidR="00570FAF" w:rsidRPr="00570FAF">
        <w:rPr>
          <w:lang w:val="es-MX"/>
        </w:rPr>
        <w:t>).</w:t>
      </w:r>
    </w:p>
    <w:p w14:paraId="4D08363A" w14:textId="08BD69FC" w:rsidR="00AE57F0" w:rsidRPr="00305D32" w:rsidRDefault="00414F7C" w:rsidP="006B3A1E">
      <w:pPr>
        <w:pStyle w:val="Descripcin"/>
        <w:jc w:val="center"/>
        <w:rPr>
          <w:color w:val="000000"/>
          <w:lang w:val="es-MX"/>
        </w:rPr>
      </w:pPr>
      <w:bookmarkStart w:id="98" w:name="_heading=h.2pta16n" w:colFirst="0" w:colLast="0"/>
      <w:bookmarkStart w:id="99" w:name="_Ref210293803"/>
      <w:bookmarkEnd w:id="98"/>
      <w:r w:rsidRPr="00305D32">
        <w:rPr>
          <w:lang w:val="es-MX"/>
        </w:rPr>
        <w:t xml:space="preserve">Figura </w:t>
      </w:r>
      <w:r w:rsidR="006B3A1E" w:rsidRPr="00305D32">
        <w:rPr>
          <w:lang w:val="es-MX"/>
        </w:rPr>
        <w:fldChar w:fldCharType="begin"/>
      </w:r>
      <w:r w:rsidR="006B3A1E" w:rsidRPr="00305D32">
        <w:rPr>
          <w:lang w:val="es-MX"/>
        </w:rPr>
        <w:instrText xml:space="preserve"> SEQ Figura \* ARABIC </w:instrText>
      </w:r>
      <w:r w:rsidR="006B3A1E" w:rsidRPr="00305D32">
        <w:rPr>
          <w:lang w:val="es-MX"/>
        </w:rPr>
        <w:fldChar w:fldCharType="separate"/>
      </w:r>
      <w:r w:rsidR="00ED1F2F">
        <w:rPr>
          <w:noProof/>
          <w:lang w:val="es-MX"/>
        </w:rPr>
        <w:t>31</w:t>
      </w:r>
      <w:r w:rsidR="006B3A1E" w:rsidRPr="00305D32">
        <w:rPr>
          <w:lang w:val="es-MX"/>
        </w:rPr>
        <w:fldChar w:fldCharType="end"/>
      </w:r>
      <w:bookmarkEnd w:id="99"/>
      <w:r w:rsidRPr="00305D32">
        <w:rPr>
          <w:color w:val="000000"/>
          <w:lang w:val="es-MX"/>
        </w:rPr>
        <w:t>. Inflación en Quintana Roo por objeto de gasto, 2024-202</w:t>
      </w:r>
      <w:r w:rsidR="00565333" w:rsidRPr="00305D32">
        <w:rPr>
          <w:color w:val="000000"/>
          <w:lang w:val="es-MX"/>
        </w:rPr>
        <w:t>5</w:t>
      </w:r>
    </w:p>
    <w:p w14:paraId="09A4C6EF" w14:textId="445AFB6F" w:rsidR="000F5EC5" w:rsidRPr="00305D32" w:rsidRDefault="000F5EC5">
      <w:pPr>
        <w:spacing w:after="0"/>
        <w:jc w:val="center"/>
        <w:rPr>
          <w:lang w:val="es-MX"/>
        </w:rPr>
      </w:pPr>
      <w:r w:rsidRPr="00305D32">
        <w:rPr>
          <w:noProof/>
          <w:lang w:val="es-MX" w:eastAsia="es-MX"/>
        </w:rPr>
        <w:drawing>
          <wp:inline distT="0" distB="0" distL="0" distR="0" wp14:anchorId="716C9EDF" wp14:editId="6040A515">
            <wp:extent cx="5162400" cy="3373200"/>
            <wp:effectExtent l="0" t="0" r="635" b="17780"/>
            <wp:docPr id="1093900581" name="Gráfico 1">
              <a:extLst xmlns:a="http://schemas.openxmlformats.org/drawingml/2006/main">
                <a:ext uri="{FF2B5EF4-FFF2-40B4-BE49-F238E27FC236}">
                  <a16:creationId xmlns:a16="http://schemas.microsoft.com/office/drawing/2014/main" id="{3AC0D2B3-4CF1-4198-94CB-D0936DB51D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D08363E" w14:textId="5BF62DB5" w:rsidR="00AE57F0" w:rsidRPr="001871AB" w:rsidRDefault="00414F7C" w:rsidP="001871AB">
      <w:pPr>
        <w:spacing w:line="240"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base en datos del INEGI (202</w:t>
      </w:r>
      <w:r w:rsidR="007E6E6C" w:rsidRPr="00305D32">
        <w:rPr>
          <w:sz w:val="20"/>
          <w:szCs w:val="20"/>
          <w:lang w:val="es-MX"/>
        </w:rPr>
        <w:t>5</w:t>
      </w:r>
      <w:r w:rsidRPr="00305D32">
        <w:rPr>
          <w:sz w:val="20"/>
          <w:szCs w:val="20"/>
          <w:lang w:val="es-MX"/>
        </w:rPr>
        <w:t xml:space="preserve">) </w:t>
      </w:r>
      <w:r w:rsidRPr="00305D32">
        <w:rPr>
          <w:i/>
          <w:sz w:val="20"/>
          <w:szCs w:val="20"/>
          <w:lang w:val="es-MX"/>
        </w:rPr>
        <w:t>Índice Nacional de Precios al Consumidor</w:t>
      </w:r>
      <w:r w:rsidRPr="00305D32">
        <w:rPr>
          <w:sz w:val="20"/>
          <w:szCs w:val="20"/>
          <w:lang w:val="es-MX"/>
        </w:rPr>
        <w:t>.</w:t>
      </w:r>
    </w:p>
    <w:p w14:paraId="4D08363F" w14:textId="5C100304" w:rsidR="00AE57F0" w:rsidRPr="00305D32" w:rsidRDefault="00414F7C">
      <w:pPr>
        <w:pStyle w:val="Ttulo2"/>
        <w:numPr>
          <w:ilvl w:val="1"/>
          <w:numId w:val="3"/>
        </w:numPr>
        <w:rPr>
          <w:lang w:val="es-MX"/>
        </w:rPr>
      </w:pPr>
      <w:bookmarkStart w:id="100" w:name="_heading=h.14ykbeg" w:colFirst="0" w:colLast="0"/>
      <w:bookmarkEnd w:id="100"/>
      <w:r w:rsidRPr="00305D32">
        <w:rPr>
          <w:lang w:val="es-MX"/>
        </w:rPr>
        <w:t>Sector Externo</w:t>
      </w:r>
    </w:p>
    <w:p w14:paraId="580FE1A9" w14:textId="1D2D7730" w:rsidR="003057B7" w:rsidRPr="00305D32" w:rsidRDefault="00684DE6" w:rsidP="003057B7">
      <w:pPr>
        <w:rPr>
          <w:lang w:val="es-MX"/>
        </w:rPr>
      </w:pPr>
      <w:r w:rsidRPr="00684DE6">
        <w:rPr>
          <w:color w:val="000000"/>
          <w:lang w:val="es-MX"/>
        </w:rPr>
        <w:t>La Inversión Extranjera Directa (IED) se clasifica en cuentas entre compañías, nuevas inversiones y reinversión de utilidades, las cuales representan las principales formas de captación de IED en entidades federativas</w:t>
      </w:r>
      <w:r>
        <w:rPr>
          <w:color w:val="000000"/>
          <w:lang w:val="es-MX"/>
        </w:rPr>
        <w:t xml:space="preserve">. </w:t>
      </w:r>
      <w:r w:rsidR="00414F7C" w:rsidRPr="00305D32">
        <w:rPr>
          <w:lang w:val="es-MX"/>
        </w:rPr>
        <w:t xml:space="preserve">De acuerdo con la </w:t>
      </w:r>
      <w:r w:rsidR="00F91455" w:rsidRPr="00305D32">
        <w:rPr>
          <w:lang w:val="es-MX"/>
        </w:rPr>
        <w:fldChar w:fldCharType="begin"/>
      </w:r>
      <w:r w:rsidR="00F91455" w:rsidRPr="00305D32">
        <w:rPr>
          <w:lang w:val="es-MX"/>
        </w:rPr>
        <w:instrText xml:space="preserve"> REF _Ref210294038 \h </w:instrText>
      </w:r>
      <w:r w:rsidR="00F91455" w:rsidRPr="00305D32">
        <w:rPr>
          <w:lang w:val="es-MX"/>
        </w:rPr>
      </w:r>
      <w:r w:rsidR="00F91455" w:rsidRPr="00305D32">
        <w:rPr>
          <w:lang w:val="es-MX"/>
        </w:rPr>
        <w:fldChar w:fldCharType="separate"/>
      </w:r>
      <w:r w:rsidR="00ED1F2F" w:rsidRPr="00305D32">
        <w:rPr>
          <w:lang w:val="es-MX"/>
        </w:rPr>
        <w:t xml:space="preserve">Tabla </w:t>
      </w:r>
      <w:r w:rsidR="00ED1F2F">
        <w:rPr>
          <w:noProof/>
          <w:lang w:val="es-MX"/>
        </w:rPr>
        <w:t>15</w:t>
      </w:r>
      <w:r w:rsidR="00F91455" w:rsidRPr="00305D32">
        <w:rPr>
          <w:lang w:val="es-MX"/>
        </w:rPr>
        <w:fldChar w:fldCharType="end"/>
      </w:r>
      <w:r w:rsidR="004462EC">
        <w:rPr>
          <w:lang w:val="es-MX"/>
        </w:rPr>
        <w:t>,</w:t>
      </w:r>
      <w:r w:rsidR="00414F7C" w:rsidRPr="00305D32">
        <w:rPr>
          <w:lang w:val="es-MX"/>
        </w:rPr>
        <w:t xml:space="preserve"> </w:t>
      </w:r>
      <w:r w:rsidR="004462EC" w:rsidRPr="004462EC">
        <w:rPr>
          <w:lang w:val="es-MX"/>
        </w:rPr>
        <w:t>la tasa de crecimiento de 2023 a 2024 de la IED a nivel nacional fue de 2.62</w:t>
      </w:r>
      <w:r w:rsidR="0019290E">
        <w:rPr>
          <w:lang w:val="es-MX"/>
        </w:rPr>
        <w:t xml:space="preserve"> %</w:t>
      </w:r>
      <w:r w:rsidR="004462EC" w:rsidRPr="004462EC">
        <w:rPr>
          <w:lang w:val="es-MX"/>
        </w:rPr>
        <w:t xml:space="preserve"> y en Quintana Roo se registró una disminución de 4.07</w:t>
      </w:r>
      <w:r w:rsidR="0019290E">
        <w:rPr>
          <w:lang w:val="es-MX"/>
        </w:rPr>
        <w:t xml:space="preserve"> %</w:t>
      </w:r>
      <w:r w:rsidR="004462EC" w:rsidRPr="004462EC">
        <w:rPr>
          <w:lang w:val="es-MX"/>
        </w:rPr>
        <w:t>. La dinámica ha sido distinta a nivel federal donde disminuyeron las nuevas inversiones (-22.6</w:t>
      </w:r>
      <w:r w:rsidR="0019290E">
        <w:rPr>
          <w:lang w:val="es-MX"/>
        </w:rPr>
        <w:t xml:space="preserve"> %</w:t>
      </w:r>
      <w:r w:rsidR="004462EC" w:rsidRPr="004462EC">
        <w:rPr>
          <w:lang w:val="es-MX"/>
        </w:rPr>
        <w:t xml:space="preserve">) e incrementaron </w:t>
      </w:r>
      <w:r w:rsidR="004462EC" w:rsidRPr="004462EC">
        <w:rPr>
          <w:lang w:val="es-MX"/>
        </w:rPr>
        <w:lastRenderedPageBreak/>
        <w:t>la reinversión de utilidades (7.77</w:t>
      </w:r>
      <w:r w:rsidR="0019290E">
        <w:rPr>
          <w:lang w:val="es-MX"/>
        </w:rPr>
        <w:t xml:space="preserve"> %</w:t>
      </w:r>
      <w:r w:rsidR="004462EC" w:rsidRPr="004462EC">
        <w:rPr>
          <w:lang w:val="es-MX"/>
        </w:rPr>
        <w:t>) y las cuentas entre compañías (1.67</w:t>
      </w:r>
      <w:r w:rsidR="0019290E">
        <w:rPr>
          <w:lang w:val="es-MX"/>
        </w:rPr>
        <w:t xml:space="preserve"> %</w:t>
      </w:r>
      <w:r w:rsidR="004462EC" w:rsidRPr="004462EC">
        <w:rPr>
          <w:lang w:val="es-MX"/>
        </w:rPr>
        <w:t>); en contraste, a nivel estatal se incrementaron la reinversión de utilidades (5.35</w:t>
      </w:r>
      <w:r w:rsidR="0019290E">
        <w:rPr>
          <w:lang w:val="es-MX"/>
        </w:rPr>
        <w:t xml:space="preserve"> %</w:t>
      </w:r>
      <w:r w:rsidR="004462EC" w:rsidRPr="004462EC">
        <w:rPr>
          <w:lang w:val="es-MX"/>
        </w:rPr>
        <w:t>) y las cuentas entre compañías (239.32</w:t>
      </w:r>
      <w:r w:rsidR="0019290E">
        <w:rPr>
          <w:lang w:val="es-MX"/>
        </w:rPr>
        <w:t xml:space="preserve"> %</w:t>
      </w:r>
      <w:r w:rsidR="004462EC" w:rsidRPr="004462EC">
        <w:rPr>
          <w:lang w:val="es-MX"/>
        </w:rPr>
        <w:t xml:space="preserve">), aunque </w:t>
      </w:r>
      <w:r w:rsidR="004462EC" w:rsidRPr="00097B5D">
        <w:rPr>
          <w:lang w:val="es-MX"/>
        </w:rPr>
        <w:t>disminuyeron las nuevas inversiones (-16.16</w:t>
      </w:r>
      <w:r w:rsidR="0019290E">
        <w:rPr>
          <w:lang w:val="es-MX"/>
        </w:rPr>
        <w:t xml:space="preserve"> %</w:t>
      </w:r>
      <w:r w:rsidR="004462EC" w:rsidRPr="00097B5D">
        <w:rPr>
          <w:lang w:val="es-MX"/>
        </w:rPr>
        <w:t>).</w:t>
      </w:r>
      <w:r w:rsidR="003057B7" w:rsidRPr="00305D32">
        <w:rPr>
          <w:lang w:val="es-MX"/>
        </w:rPr>
        <w:t xml:space="preserve"> </w:t>
      </w:r>
    </w:p>
    <w:p w14:paraId="7450FD1D" w14:textId="2B6B4C49" w:rsidR="003057B7" w:rsidRPr="00305D32" w:rsidRDefault="003057B7" w:rsidP="003057B7">
      <w:pPr>
        <w:rPr>
          <w:lang w:val="es-MX"/>
        </w:rPr>
      </w:pPr>
      <w:r w:rsidRPr="00305D32">
        <w:rPr>
          <w:lang w:val="es-MX"/>
        </w:rPr>
        <w:t>Los resultados para el primer semestre de</w:t>
      </w:r>
      <w:r w:rsidRPr="00305D32" w:rsidDel="008C6EC7">
        <w:rPr>
          <w:lang w:val="es-MX"/>
        </w:rPr>
        <w:t xml:space="preserve"> </w:t>
      </w:r>
      <w:r w:rsidR="008C6EC7" w:rsidRPr="00305D32">
        <w:rPr>
          <w:lang w:val="es-MX"/>
        </w:rPr>
        <w:t xml:space="preserve">2025 </w:t>
      </w:r>
      <w:r w:rsidRPr="00305D32">
        <w:rPr>
          <w:lang w:val="es-MX"/>
        </w:rPr>
        <w:t>muestran que Quintana Roo ha experimentado un</w:t>
      </w:r>
      <w:r w:rsidR="001A6E97" w:rsidRPr="00305D32">
        <w:rPr>
          <w:lang w:val="es-MX"/>
        </w:rPr>
        <w:t xml:space="preserve">a </w:t>
      </w:r>
      <w:r w:rsidR="00690B92" w:rsidRPr="00305D32">
        <w:rPr>
          <w:lang w:val="es-MX"/>
        </w:rPr>
        <w:t xml:space="preserve">disminución </w:t>
      </w:r>
      <w:r w:rsidRPr="00305D32">
        <w:rPr>
          <w:lang w:val="es-MX"/>
        </w:rPr>
        <w:t xml:space="preserve">en la reinversión de utilidades de </w:t>
      </w:r>
      <w:r w:rsidR="006155E5" w:rsidRPr="00305D32">
        <w:rPr>
          <w:lang w:val="es-MX"/>
        </w:rPr>
        <w:t>475</w:t>
      </w:r>
      <w:r w:rsidRPr="00305D32">
        <w:rPr>
          <w:lang w:val="es-MX"/>
        </w:rPr>
        <w:t>.</w:t>
      </w:r>
      <w:r w:rsidR="006155E5" w:rsidRPr="00305D32">
        <w:rPr>
          <w:lang w:val="es-MX"/>
        </w:rPr>
        <w:t>1</w:t>
      </w:r>
      <w:r w:rsidRPr="00305D32">
        <w:rPr>
          <w:lang w:val="es-MX"/>
        </w:rPr>
        <w:t xml:space="preserve"> millones de dólares en 202</w:t>
      </w:r>
      <w:r w:rsidR="006155E5" w:rsidRPr="00305D32">
        <w:rPr>
          <w:lang w:val="es-MX"/>
        </w:rPr>
        <w:t>4</w:t>
      </w:r>
      <w:r w:rsidRPr="00305D32">
        <w:rPr>
          <w:lang w:val="es-MX"/>
        </w:rPr>
        <w:t xml:space="preserve"> a </w:t>
      </w:r>
      <w:r w:rsidR="00690B92" w:rsidRPr="00305D32">
        <w:rPr>
          <w:lang w:val="es-MX"/>
        </w:rPr>
        <w:t>111</w:t>
      </w:r>
      <w:r w:rsidRPr="00305D32">
        <w:rPr>
          <w:lang w:val="es-MX"/>
        </w:rPr>
        <w:t xml:space="preserve"> </w:t>
      </w:r>
      <w:r w:rsidR="00C9698D">
        <w:rPr>
          <w:lang w:val="es-MX"/>
        </w:rPr>
        <w:t xml:space="preserve">millones </w:t>
      </w:r>
      <w:r w:rsidRPr="00305D32">
        <w:rPr>
          <w:lang w:val="es-MX"/>
        </w:rPr>
        <w:t>en 202</w:t>
      </w:r>
      <w:r w:rsidR="00690B92" w:rsidRPr="00305D32">
        <w:rPr>
          <w:lang w:val="es-MX"/>
        </w:rPr>
        <w:t>5</w:t>
      </w:r>
      <w:r w:rsidRPr="00305D32">
        <w:rPr>
          <w:lang w:val="es-MX"/>
        </w:rPr>
        <w:t xml:space="preserve">, equivalente a un </w:t>
      </w:r>
      <w:r w:rsidR="00690B92" w:rsidRPr="00305D32">
        <w:rPr>
          <w:lang w:val="es-MX"/>
        </w:rPr>
        <w:t>-</w:t>
      </w:r>
      <w:r w:rsidR="00577D53" w:rsidRPr="00305D32">
        <w:rPr>
          <w:lang w:val="es-MX"/>
        </w:rPr>
        <w:t>76.6</w:t>
      </w:r>
      <w:r w:rsidR="006416D5" w:rsidRPr="00305D32">
        <w:rPr>
          <w:lang w:val="es-MX"/>
        </w:rPr>
        <w:t>5</w:t>
      </w:r>
      <w:r w:rsidR="0019290E">
        <w:rPr>
          <w:lang w:val="es-MX"/>
        </w:rPr>
        <w:t xml:space="preserve"> %</w:t>
      </w:r>
      <w:r w:rsidRPr="00305D32">
        <w:rPr>
          <w:lang w:val="es-MX"/>
        </w:rPr>
        <w:t xml:space="preserve">. Se </w:t>
      </w:r>
      <w:r w:rsidR="008E3F37">
        <w:rPr>
          <w:lang w:val="es-MX"/>
        </w:rPr>
        <w:t>registran incrementos</w:t>
      </w:r>
      <w:r w:rsidRPr="00305D32">
        <w:rPr>
          <w:lang w:val="es-MX"/>
        </w:rPr>
        <w:t xml:space="preserve"> en las nuevas inversiones (4</w:t>
      </w:r>
      <w:r w:rsidR="00FA6AEA" w:rsidRPr="00305D32">
        <w:rPr>
          <w:lang w:val="es-MX"/>
        </w:rPr>
        <w:t>8</w:t>
      </w:r>
      <w:r w:rsidRPr="00305D32">
        <w:rPr>
          <w:lang w:val="es-MX"/>
        </w:rPr>
        <w:t>.5</w:t>
      </w:r>
      <w:r w:rsidR="006416D5" w:rsidRPr="00305D32">
        <w:rPr>
          <w:lang w:val="es-MX"/>
        </w:rPr>
        <w:t>1</w:t>
      </w:r>
      <w:r w:rsidR="0019290E">
        <w:rPr>
          <w:lang w:val="es-MX"/>
        </w:rPr>
        <w:t xml:space="preserve"> %</w:t>
      </w:r>
      <w:r w:rsidRPr="00305D32">
        <w:rPr>
          <w:lang w:val="es-MX"/>
        </w:rPr>
        <w:t>) y en las cuentas entre compañías (</w:t>
      </w:r>
      <w:r w:rsidR="00D113E1" w:rsidRPr="00305D32">
        <w:rPr>
          <w:lang w:val="es-MX"/>
        </w:rPr>
        <w:t>41</w:t>
      </w:r>
      <w:r w:rsidRPr="00305D32">
        <w:rPr>
          <w:lang w:val="es-MX"/>
        </w:rPr>
        <w:t>.</w:t>
      </w:r>
      <w:r w:rsidR="00D113E1" w:rsidRPr="00305D32">
        <w:rPr>
          <w:lang w:val="es-MX"/>
        </w:rPr>
        <w:t>6</w:t>
      </w:r>
      <w:r w:rsidR="0019290E">
        <w:rPr>
          <w:lang w:val="es-MX"/>
        </w:rPr>
        <w:t xml:space="preserve"> %</w:t>
      </w:r>
      <w:r w:rsidRPr="00305D32">
        <w:rPr>
          <w:lang w:val="es-MX"/>
        </w:rPr>
        <w:t xml:space="preserve">). </w:t>
      </w:r>
      <w:r w:rsidR="00723D8A" w:rsidRPr="00305D32">
        <w:rPr>
          <w:lang w:val="es-MX"/>
        </w:rPr>
        <w:t>A</w:t>
      </w:r>
      <w:r w:rsidRPr="00305D32">
        <w:rPr>
          <w:lang w:val="es-MX"/>
        </w:rPr>
        <w:t xml:space="preserve"> nivel nacional, en el primer semestre de 202</w:t>
      </w:r>
      <w:r w:rsidR="00473EEE" w:rsidRPr="00305D32">
        <w:rPr>
          <w:lang w:val="es-MX"/>
        </w:rPr>
        <w:t>5</w:t>
      </w:r>
      <w:r w:rsidRPr="00305D32">
        <w:rPr>
          <w:lang w:val="es-MX"/>
        </w:rPr>
        <w:t xml:space="preserve"> </w:t>
      </w:r>
      <w:r w:rsidR="00723D8A" w:rsidRPr="00305D32">
        <w:rPr>
          <w:lang w:val="es-MX"/>
        </w:rPr>
        <w:t xml:space="preserve">solo </w:t>
      </w:r>
      <w:r w:rsidRPr="00305D32">
        <w:rPr>
          <w:lang w:val="es-MX"/>
        </w:rPr>
        <w:t xml:space="preserve">se ha </w:t>
      </w:r>
      <w:r w:rsidR="00B139FB">
        <w:rPr>
          <w:lang w:val="es-MX"/>
        </w:rPr>
        <w:t>incrementado</w:t>
      </w:r>
      <w:r w:rsidRPr="00305D32">
        <w:rPr>
          <w:lang w:val="es-MX"/>
        </w:rPr>
        <w:t xml:space="preserve"> la captación de inversión extranjera directa en 2.2</w:t>
      </w:r>
      <w:r w:rsidR="00D654AD" w:rsidRPr="00305D32">
        <w:rPr>
          <w:lang w:val="es-MX"/>
        </w:rPr>
        <w:t>2</w:t>
      </w:r>
      <w:r w:rsidR="0019290E">
        <w:rPr>
          <w:lang w:val="es-MX"/>
        </w:rPr>
        <w:t xml:space="preserve"> %</w:t>
      </w:r>
      <w:r w:rsidR="00723D8A" w:rsidRPr="00305D32">
        <w:rPr>
          <w:lang w:val="es-MX"/>
        </w:rPr>
        <w:t>, mientras que</w:t>
      </w:r>
      <w:r w:rsidR="00EA10F3" w:rsidRPr="00305D32">
        <w:rPr>
          <w:lang w:val="es-MX"/>
        </w:rPr>
        <w:t>,</w:t>
      </w:r>
      <w:r w:rsidR="00723D8A" w:rsidRPr="00305D32">
        <w:rPr>
          <w:lang w:val="es-MX"/>
        </w:rPr>
        <w:t xml:space="preserve"> a nivel estatal </w:t>
      </w:r>
      <w:r w:rsidR="002F7723">
        <w:rPr>
          <w:lang w:val="es-MX"/>
        </w:rPr>
        <w:t xml:space="preserve">se observa una disminución significativa </w:t>
      </w:r>
      <w:r w:rsidR="00B243B6" w:rsidRPr="00305D32">
        <w:rPr>
          <w:lang w:val="es-MX"/>
        </w:rPr>
        <w:t>de 30.31</w:t>
      </w:r>
      <w:r w:rsidR="0019290E">
        <w:rPr>
          <w:lang w:val="es-MX"/>
        </w:rPr>
        <w:t xml:space="preserve"> %</w:t>
      </w:r>
      <w:r w:rsidR="00B243B6" w:rsidRPr="00305D32">
        <w:rPr>
          <w:lang w:val="es-MX"/>
        </w:rPr>
        <w:t>.</w:t>
      </w:r>
    </w:p>
    <w:p w14:paraId="4D083642" w14:textId="2A2C4774" w:rsidR="00AE57F0" w:rsidRPr="00305D32" w:rsidRDefault="00414F7C" w:rsidP="00636AF5">
      <w:pPr>
        <w:pStyle w:val="Descripcin"/>
        <w:jc w:val="center"/>
        <w:rPr>
          <w:color w:val="000000"/>
          <w:lang w:val="es-MX"/>
        </w:rPr>
      </w:pPr>
      <w:bookmarkStart w:id="101" w:name="_Ref210294038"/>
      <w:r w:rsidRPr="00305D32">
        <w:rPr>
          <w:lang w:val="es-MX"/>
        </w:rPr>
        <w:t xml:space="preserve">Tabla </w:t>
      </w:r>
      <w:r w:rsidR="00636AF5" w:rsidRPr="00305D32">
        <w:rPr>
          <w:lang w:val="es-MX"/>
        </w:rPr>
        <w:fldChar w:fldCharType="begin"/>
      </w:r>
      <w:r w:rsidR="00636AF5" w:rsidRPr="00305D32">
        <w:rPr>
          <w:lang w:val="es-MX"/>
        </w:rPr>
        <w:instrText xml:space="preserve"> SEQ Tabla \* ARABIC </w:instrText>
      </w:r>
      <w:r w:rsidR="00636AF5" w:rsidRPr="00305D32">
        <w:rPr>
          <w:lang w:val="es-MX"/>
        </w:rPr>
        <w:fldChar w:fldCharType="separate"/>
      </w:r>
      <w:r w:rsidR="00ED1F2F">
        <w:rPr>
          <w:noProof/>
          <w:lang w:val="es-MX"/>
        </w:rPr>
        <w:t>15</w:t>
      </w:r>
      <w:r w:rsidR="00636AF5" w:rsidRPr="00305D32">
        <w:rPr>
          <w:lang w:val="es-MX"/>
        </w:rPr>
        <w:fldChar w:fldCharType="end"/>
      </w:r>
      <w:bookmarkEnd w:id="101"/>
      <w:r w:rsidRPr="00305D32">
        <w:rPr>
          <w:color w:val="000000"/>
          <w:lang w:val="es-MX"/>
        </w:rPr>
        <w:t>. Inversión Extranjera Directa, Nacional y Quintana Roo, millones de dólares corrientes 202</w:t>
      </w:r>
      <w:r w:rsidR="007150D9" w:rsidRPr="00305D32">
        <w:rPr>
          <w:color w:val="000000"/>
          <w:lang w:val="es-MX"/>
        </w:rPr>
        <w:t>3</w:t>
      </w:r>
      <w:r w:rsidRPr="00305D32">
        <w:rPr>
          <w:color w:val="000000"/>
          <w:lang w:val="es-MX"/>
        </w:rPr>
        <w:t>-202</w:t>
      </w:r>
      <w:r w:rsidR="007150D9" w:rsidRPr="00305D32">
        <w:rPr>
          <w:color w:val="000000"/>
          <w:lang w:val="es-MX"/>
        </w:rPr>
        <w:t>5</w:t>
      </w:r>
    </w:p>
    <w:tbl>
      <w:tblPr>
        <w:tblStyle w:val="ad"/>
        <w:tblW w:w="9121" w:type="dxa"/>
        <w:jc w:val="center"/>
        <w:tblInd w:w="0" w:type="dxa"/>
        <w:tblLayout w:type="fixed"/>
        <w:tblLook w:val="0400" w:firstRow="0" w:lastRow="0" w:firstColumn="0" w:lastColumn="0" w:noHBand="0" w:noVBand="1"/>
      </w:tblPr>
      <w:tblGrid>
        <w:gridCol w:w="2660"/>
        <w:gridCol w:w="997"/>
        <w:gridCol w:w="997"/>
        <w:gridCol w:w="1113"/>
        <w:gridCol w:w="1120"/>
        <w:gridCol w:w="1120"/>
        <w:gridCol w:w="1114"/>
      </w:tblGrid>
      <w:tr w:rsidR="00682D55" w:rsidRPr="00305D32" w14:paraId="3A4114A4" w14:textId="77777777" w:rsidTr="00685AB9">
        <w:trPr>
          <w:trHeight w:val="390"/>
          <w:tblHeader/>
          <w:jc w:val="center"/>
        </w:trPr>
        <w:tc>
          <w:tcPr>
            <w:tcW w:w="2660" w:type="dxa"/>
            <w:tcBorders>
              <w:top w:val="single" w:sz="12" w:space="0" w:color="000000"/>
              <w:left w:val="nil"/>
              <w:bottom w:val="single" w:sz="12" w:space="0" w:color="000000"/>
              <w:right w:val="nil"/>
            </w:tcBorders>
            <w:vAlign w:val="center"/>
          </w:tcPr>
          <w:p w14:paraId="327779D3" w14:textId="77777777" w:rsidR="00682D55" w:rsidRPr="00305D32" w:rsidRDefault="00682D55">
            <w:pPr>
              <w:spacing w:after="0" w:line="240" w:lineRule="auto"/>
              <w:jc w:val="center"/>
              <w:rPr>
                <w:b/>
                <w:color w:val="000000"/>
                <w:sz w:val="20"/>
                <w:szCs w:val="20"/>
                <w:lang w:val="es-MX"/>
              </w:rPr>
            </w:pPr>
            <w:r w:rsidRPr="00305D32">
              <w:rPr>
                <w:b/>
                <w:color w:val="000000"/>
                <w:sz w:val="20"/>
                <w:szCs w:val="20"/>
                <w:lang w:val="es-MX"/>
              </w:rPr>
              <w:t>Tipo de inversión</w:t>
            </w:r>
          </w:p>
        </w:tc>
        <w:tc>
          <w:tcPr>
            <w:tcW w:w="997" w:type="dxa"/>
            <w:tcBorders>
              <w:top w:val="single" w:sz="12" w:space="0" w:color="000000"/>
              <w:left w:val="nil"/>
              <w:bottom w:val="single" w:sz="12" w:space="0" w:color="000000"/>
              <w:right w:val="nil"/>
            </w:tcBorders>
            <w:vAlign w:val="center"/>
          </w:tcPr>
          <w:p w14:paraId="2C896660" w14:textId="523DB2FB" w:rsidR="00682D55" w:rsidRPr="00305D32" w:rsidRDefault="00EA1468">
            <w:pPr>
              <w:spacing w:after="0" w:line="240" w:lineRule="auto"/>
              <w:jc w:val="center"/>
              <w:rPr>
                <w:b/>
                <w:color w:val="000000"/>
                <w:sz w:val="20"/>
                <w:szCs w:val="20"/>
                <w:lang w:val="es-MX"/>
              </w:rPr>
            </w:pPr>
            <w:r w:rsidRPr="00305D32">
              <w:rPr>
                <w:b/>
                <w:bCs/>
                <w:color w:val="000000"/>
                <w:sz w:val="20"/>
                <w:szCs w:val="20"/>
                <w:lang w:val="es-MX"/>
              </w:rPr>
              <w:t>2023</w:t>
            </w:r>
          </w:p>
        </w:tc>
        <w:tc>
          <w:tcPr>
            <w:tcW w:w="997" w:type="dxa"/>
            <w:tcBorders>
              <w:top w:val="single" w:sz="12" w:space="0" w:color="000000"/>
              <w:left w:val="nil"/>
              <w:bottom w:val="single" w:sz="12" w:space="0" w:color="000000"/>
              <w:right w:val="nil"/>
            </w:tcBorders>
            <w:vAlign w:val="center"/>
          </w:tcPr>
          <w:p w14:paraId="2E2938BC" w14:textId="6996B5F1" w:rsidR="00682D55" w:rsidRPr="00305D32" w:rsidRDefault="00EA1468">
            <w:pPr>
              <w:spacing w:after="0" w:line="240" w:lineRule="auto"/>
              <w:jc w:val="center"/>
              <w:rPr>
                <w:b/>
                <w:color w:val="000000"/>
                <w:sz w:val="20"/>
                <w:szCs w:val="20"/>
                <w:lang w:val="es-MX"/>
              </w:rPr>
            </w:pPr>
            <w:r w:rsidRPr="00305D32">
              <w:rPr>
                <w:b/>
                <w:bCs/>
                <w:color w:val="000000"/>
                <w:sz w:val="20"/>
                <w:szCs w:val="20"/>
                <w:lang w:val="es-MX"/>
              </w:rPr>
              <w:t>2024</w:t>
            </w:r>
          </w:p>
        </w:tc>
        <w:tc>
          <w:tcPr>
            <w:tcW w:w="1113" w:type="dxa"/>
            <w:tcBorders>
              <w:top w:val="single" w:sz="12" w:space="0" w:color="000000"/>
              <w:left w:val="nil"/>
              <w:bottom w:val="single" w:sz="12" w:space="0" w:color="000000"/>
              <w:right w:val="nil"/>
            </w:tcBorders>
            <w:vAlign w:val="center"/>
          </w:tcPr>
          <w:p w14:paraId="7E723F30" w14:textId="7935F5B5" w:rsidR="00682D55" w:rsidRPr="00305D32" w:rsidRDefault="005861F1">
            <w:pPr>
              <w:spacing w:after="0" w:line="240" w:lineRule="auto"/>
              <w:jc w:val="center"/>
              <w:rPr>
                <w:b/>
                <w:color w:val="000000"/>
                <w:sz w:val="20"/>
                <w:szCs w:val="20"/>
                <w:lang w:val="es-MX"/>
              </w:rPr>
            </w:pPr>
            <w:r w:rsidRPr="00305D32">
              <w:rPr>
                <w:b/>
                <w:color w:val="000000"/>
                <w:sz w:val="20"/>
                <w:szCs w:val="20"/>
                <w:lang w:val="es-MX"/>
              </w:rPr>
              <w:t>Var.</w:t>
            </w:r>
            <w:r w:rsidR="0019290E">
              <w:rPr>
                <w:b/>
                <w:color w:val="000000"/>
                <w:sz w:val="20"/>
                <w:szCs w:val="20"/>
                <w:lang w:val="es-MX"/>
              </w:rPr>
              <w:t xml:space="preserve"> %</w:t>
            </w:r>
            <w:r w:rsidR="00682D55" w:rsidRPr="00305D32">
              <w:rPr>
                <w:b/>
                <w:color w:val="000000"/>
                <w:sz w:val="20"/>
                <w:szCs w:val="20"/>
                <w:lang w:val="es-MX"/>
              </w:rPr>
              <w:t xml:space="preserve"> 2023</w:t>
            </w:r>
            <w:r w:rsidR="00EA1468" w:rsidRPr="00305D32">
              <w:rPr>
                <w:b/>
                <w:bCs/>
                <w:color w:val="000000"/>
                <w:sz w:val="20"/>
                <w:szCs w:val="20"/>
                <w:lang w:val="es-MX"/>
              </w:rPr>
              <w:t>-2024</w:t>
            </w:r>
          </w:p>
        </w:tc>
        <w:tc>
          <w:tcPr>
            <w:tcW w:w="1120" w:type="dxa"/>
            <w:tcBorders>
              <w:top w:val="single" w:sz="12" w:space="0" w:color="000000"/>
              <w:left w:val="nil"/>
              <w:bottom w:val="single" w:sz="12" w:space="0" w:color="000000"/>
              <w:right w:val="nil"/>
            </w:tcBorders>
            <w:vAlign w:val="center"/>
          </w:tcPr>
          <w:p w14:paraId="7FEF0BCB" w14:textId="40C80AE4" w:rsidR="00682D55" w:rsidRPr="00305D32" w:rsidRDefault="00682D55">
            <w:pPr>
              <w:spacing w:after="0" w:line="240" w:lineRule="auto"/>
              <w:jc w:val="center"/>
              <w:rPr>
                <w:b/>
                <w:color w:val="000000"/>
                <w:sz w:val="20"/>
                <w:szCs w:val="20"/>
                <w:lang w:val="es-MX"/>
              </w:rPr>
            </w:pPr>
            <w:r w:rsidRPr="00305D32">
              <w:rPr>
                <w:b/>
                <w:color w:val="000000"/>
                <w:sz w:val="20"/>
                <w:szCs w:val="20"/>
                <w:lang w:val="es-MX"/>
              </w:rPr>
              <w:t xml:space="preserve">Ene-Jun </w:t>
            </w:r>
            <w:r w:rsidR="002151A7" w:rsidRPr="00305D32">
              <w:rPr>
                <w:b/>
                <w:bCs/>
                <w:color w:val="000000"/>
                <w:sz w:val="20"/>
                <w:szCs w:val="20"/>
                <w:lang w:val="es-MX"/>
              </w:rPr>
              <w:t>2024</w:t>
            </w:r>
          </w:p>
        </w:tc>
        <w:tc>
          <w:tcPr>
            <w:tcW w:w="1120" w:type="dxa"/>
            <w:tcBorders>
              <w:top w:val="single" w:sz="12" w:space="0" w:color="000000"/>
              <w:left w:val="nil"/>
              <w:bottom w:val="single" w:sz="12" w:space="0" w:color="000000"/>
              <w:right w:val="nil"/>
            </w:tcBorders>
            <w:vAlign w:val="center"/>
          </w:tcPr>
          <w:p w14:paraId="10A47897" w14:textId="76AF7206" w:rsidR="00682D55" w:rsidRPr="00305D32" w:rsidRDefault="00682D55">
            <w:pPr>
              <w:spacing w:after="0" w:line="240" w:lineRule="auto"/>
              <w:jc w:val="center"/>
              <w:rPr>
                <w:b/>
                <w:color w:val="000000"/>
                <w:sz w:val="20"/>
                <w:szCs w:val="20"/>
                <w:lang w:val="es-MX"/>
              </w:rPr>
            </w:pPr>
            <w:r w:rsidRPr="00305D32">
              <w:rPr>
                <w:b/>
                <w:color w:val="000000"/>
                <w:sz w:val="20"/>
                <w:szCs w:val="20"/>
                <w:lang w:val="es-MX"/>
              </w:rPr>
              <w:t xml:space="preserve">Ene-Jun </w:t>
            </w:r>
            <w:r w:rsidR="002151A7" w:rsidRPr="00305D32">
              <w:rPr>
                <w:b/>
                <w:bCs/>
                <w:color w:val="000000"/>
                <w:sz w:val="20"/>
                <w:szCs w:val="20"/>
                <w:lang w:val="es-MX"/>
              </w:rPr>
              <w:t>2025</w:t>
            </w:r>
          </w:p>
        </w:tc>
        <w:tc>
          <w:tcPr>
            <w:tcW w:w="1114" w:type="dxa"/>
            <w:tcBorders>
              <w:top w:val="single" w:sz="12" w:space="0" w:color="000000"/>
              <w:left w:val="nil"/>
              <w:bottom w:val="single" w:sz="12" w:space="0" w:color="000000"/>
              <w:right w:val="nil"/>
            </w:tcBorders>
            <w:vAlign w:val="center"/>
          </w:tcPr>
          <w:p w14:paraId="10B2E67D" w14:textId="39E50571" w:rsidR="00682D55" w:rsidRPr="00305D32" w:rsidRDefault="005861F1">
            <w:pPr>
              <w:spacing w:after="0" w:line="240" w:lineRule="auto"/>
              <w:jc w:val="center"/>
              <w:rPr>
                <w:b/>
                <w:color w:val="000000"/>
                <w:sz w:val="20"/>
                <w:szCs w:val="20"/>
                <w:lang w:val="es-MX"/>
              </w:rPr>
            </w:pPr>
            <w:r w:rsidRPr="00305D32">
              <w:rPr>
                <w:b/>
                <w:color w:val="000000"/>
                <w:sz w:val="20"/>
                <w:szCs w:val="20"/>
                <w:lang w:val="es-MX"/>
              </w:rPr>
              <w:t>Var.</w:t>
            </w:r>
            <w:r w:rsidR="0019290E">
              <w:rPr>
                <w:b/>
                <w:color w:val="000000"/>
                <w:sz w:val="20"/>
                <w:szCs w:val="20"/>
                <w:lang w:val="es-MX"/>
              </w:rPr>
              <w:t xml:space="preserve"> %</w:t>
            </w:r>
            <w:r w:rsidR="00682D55" w:rsidRPr="00305D32">
              <w:rPr>
                <w:b/>
                <w:color w:val="000000"/>
                <w:sz w:val="20"/>
                <w:szCs w:val="20"/>
                <w:lang w:val="es-MX"/>
              </w:rPr>
              <w:t xml:space="preserve"> 2024</w:t>
            </w:r>
            <w:r w:rsidR="002151A7" w:rsidRPr="00305D32">
              <w:rPr>
                <w:b/>
                <w:bCs/>
                <w:color w:val="000000"/>
                <w:sz w:val="20"/>
                <w:szCs w:val="20"/>
                <w:lang w:val="es-MX"/>
              </w:rPr>
              <w:t>-2025</w:t>
            </w:r>
          </w:p>
        </w:tc>
      </w:tr>
      <w:tr w:rsidR="00682D55" w:rsidRPr="00305D32" w14:paraId="0A096AEA" w14:textId="77777777" w:rsidTr="00685AB9">
        <w:trPr>
          <w:trHeight w:val="390"/>
          <w:jc w:val="center"/>
        </w:trPr>
        <w:tc>
          <w:tcPr>
            <w:tcW w:w="2660" w:type="dxa"/>
            <w:tcBorders>
              <w:top w:val="single" w:sz="12" w:space="0" w:color="000000"/>
              <w:left w:val="nil"/>
              <w:bottom w:val="single" w:sz="4" w:space="0" w:color="auto"/>
              <w:right w:val="nil"/>
            </w:tcBorders>
            <w:vAlign w:val="center"/>
          </w:tcPr>
          <w:p w14:paraId="6DC19923" w14:textId="77777777" w:rsidR="00682D55" w:rsidRPr="00305D32" w:rsidRDefault="00682D55">
            <w:pPr>
              <w:spacing w:after="0" w:line="240" w:lineRule="auto"/>
              <w:jc w:val="left"/>
              <w:rPr>
                <w:b/>
                <w:color w:val="000000"/>
                <w:sz w:val="20"/>
                <w:szCs w:val="20"/>
                <w:lang w:val="es-MX"/>
              </w:rPr>
            </w:pPr>
            <w:r w:rsidRPr="00305D32">
              <w:rPr>
                <w:b/>
                <w:color w:val="000000"/>
                <w:sz w:val="20"/>
                <w:szCs w:val="20"/>
                <w:lang w:val="es-MX"/>
              </w:rPr>
              <w:t>Nacional</w:t>
            </w:r>
          </w:p>
        </w:tc>
        <w:tc>
          <w:tcPr>
            <w:tcW w:w="997" w:type="dxa"/>
            <w:tcBorders>
              <w:top w:val="single" w:sz="12" w:space="0" w:color="000000"/>
              <w:left w:val="nil"/>
              <w:bottom w:val="single" w:sz="4" w:space="0" w:color="auto"/>
              <w:right w:val="nil"/>
            </w:tcBorders>
            <w:vAlign w:val="center"/>
          </w:tcPr>
          <w:p w14:paraId="371CD172" w14:textId="7853712D" w:rsidR="00682D55" w:rsidRPr="00305D32" w:rsidRDefault="00682D55">
            <w:pPr>
              <w:spacing w:after="0" w:line="240" w:lineRule="auto"/>
              <w:jc w:val="right"/>
              <w:rPr>
                <w:b/>
                <w:color w:val="000000"/>
                <w:sz w:val="20"/>
                <w:szCs w:val="20"/>
                <w:lang w:val="es-MX"/>
              </w:rPr>
            </w:pPr>
            <w:r w:rsidRPr="00305D32">
              <w:rPr>
                <w:b/>
                <w:color w:val="000000"/>
                <w:sz w:val="20"/>
                <w:szCs w:val="20"/>
                <w:lang w:val="es-MX"/>
              </w:rPr>
              <w:t>36,</w:t>
            </w:r>
            <w:r w:rsidR="00EA1468" w:rsidRPr="00305D32">
              <w:rPr>
                <w:b/>
                <w:bCs/>
                <w:color w:val="000000"/>
                <w:sz w:val="20"/>
                <w:szCs w:val="20"/>
                <w:lang w:val="es-MX"/>
              </w:rPr>
              <w:t>800.6</w:t>
            </w:r>
          </w:p>
        </w:tc>
        <w:tc>
          <w:tcPr>
            <w:tcW w:w="997" w:type="dxa"/>
            <w:tcBorders>
              <w:top w:val="single" w:sz="12" w:space="0" w:color="000000"/>
              <w:left w:val="nil"/>
              <w:bottom w:val="single" w:sz="4" w:space="0" w:color="auto"/>
              <w:right w:val="nil"/>
            </w:tcBorders>
            <w:vAlign w:val="center"/>
          </w:tcPr>
          <w:p w14:paraId="679BD475" w14:textId="40AF6659" w:rsidR="00682D55" w:rsidRPr="00305D32" w:rsidRDefault="00EA1468">
            <w:pPr>
              <w:spacing w:after="0" w:line="240" w:lineRule="auto"/>
              <w:jc w:val="right"/>
              <w:rPr>
                <w:b/>
                <w:color w:val="000000"/>
                <w:sz w:val="20"/>
                <w:szCs w:val="20"/>
                <w:lang w:val="es-MX"/>
              </w:rPr>
            </w:pPr>
            <w:r w:rsidRPr="00305D32">
              <w:rPr>
                <w:b/>
                <w:bCs/>
                <w:color w:val="000000"/>
                <w:sz w:val="20"/>
                <w:szCs w:val="20"/>
                <w:lang w:val="es-MX"/>
              </w:rPr>
              <w:t>37,764.4</w:t>
            </w:r>
          </w:p>
        </w:tc>
        <w:tc>
          <w:tcPr>
            <w:tcW w:w="1113" w:type="dxa"/>
            <w:tcBorders>
              <w:top w:val="single" w:sz="12" w:space="0" w:color="000000"/>
              <w:left w:val="nil"/>
              <w:bottom w:val="single" w:sz="4" w:space="0" w:color="auto"/>
              <w:right w:val="nil"/>
            </w:tcBorders>
            <w:vAlign w:val="center"/>
          </w:tcPr>
          <w:p w14:paraId="603288BC" w14:textId="26F01D75" w:rsidR="00682D55" w:rsidRPr="00305D32" w:rsidRDefault="00EA1468">
            <w:pPr>
              <w:spacing w:after="0" w:line="240" w:lineRule="auto"/>
              <w:jc w:val="right"/>
              <w:rPr>
                <w:b/>
                <w:color w:val="000000"/>
                <w:sz w:val="20"/>
                <w:szCs w:val="20"/>
                <w:lang w:val="es-MX"/>
              </w:rPr>
            </w:pPr>
            <w:r w:rsidRPr="00305D32">
              <w:rPr>
                <w:b/>
                <w:bCs/>
                <w:color w:val="000000"/>
                <w:sz w:val="20"/>
                <w:szCs w:val="20"/>
                <w:lang w:val="es-MX"/>
              </w:rPr>
              <w:t>2.6</w:t>
            </w:r>
            <w:r w:rsidR="00011E9F" w:rsidRPr="00305D32">
              <w:rPr>
                <w:b/>
                <w:bCs/>
                <w:color w:val="000000"/>
                <w:sz w:val="20"/>
                <w:szCs w:val="20"/>
                <w:lang w:val="es-MX"/>
              </w:rPr>
              <w:t>2</w:t>
            </w:r>
            <w:r w:rsidR="0019290E">
              <w:rPr>
                <w:b/>
                <w:color w:val="000000"/>
                <w:sz w:val="20"/>
                <w:szCs w:val="20"/>
                <w:lang w:val="es-MX"/>
              </w:rPr>
              <w:t xml:space="preserve"> %</w:t>
            </w:r>
          </w:p>
        </w:tc>
        <w:tc>
          <w:tcPr>
            <w:tcW w:w="1120" w:type="dxa"/>
            <w:tcBorders>
              <w:top w:val="single" w:sz="12" w:space="0" w:color="000000"/>
              <w:left w:val="nil"/>
              <w:bottom w:val="single" w:sz="4" w:space="0" w:color="auto"/>
              <w:right w:val="nil"/>
            </w:tcBorders>
            <w:vAlign w:val="center"/>
          </w:tcPr>
          <w:p w14:paraId="0DB47449" w14:textId="44FCE85A" w:rsidR="00682D55" w:rsidRPr="00305D32" w:rsidRDefault="002151A7">
            <w:pPr>
              <w:spacing w:after="0" w:line="240" w:lineRule="auto"/>
              <w:jc w:val="right"/>
              <w:rPr>
                <w:b/>
                <w:color w:val="000000"/>
                <w:sz w:val="20"/>
                <w:szCs w:val="20"/>
                <w:lang w:val="es-MX"/>
              </w:rPr>
            </w:pPr>
            <w:r w:rsidRPr="00305D32">
              <w:rPr>
                <w:b/>
                <w:bCs/>
                <w:color w:val="000000"/>
                <w:sz w:val="20"/>
                <w:szCs w:val="20"/>
                <w:lang w:val="es-MX"/>
              </w:rPr>
              <w:t>33,519.0</w:t>
            </w:r>
          </w:p>
        </w:tc>
        <w:tc>
          <w:tcPr>
            <w:tcW w:w="1120" w:type="dxa"/>
            <w:tcBorders>
              <w:top w:val="single" w:sz="12" w:space="0" w:color="000000"/>
              <w:left w:val="nil"/>
              <w:bottom w:val="single" w:sz="4" w:space="0" w:color="auto"/>
              <w:right w:val="nil"/>
            </w:tcBorders>
            <w:vAlign w:val="center"/>
          </w:tcPr>
          <w:p w14:paraId="5EDDBBC8" w14:textId="53E0FB81" w:rsidR="00682D55" w:rsidRPr="00305D32" w:rsidRDefault="002151A7">
            <w:pPr>
              <w:spacing w:after="0" w:line="240" w:lineRule="auto"/>
              <w:jc w:val="right"/>
              <w:rPr>
                <w:b/>
                <w:color w:val="000000"/>
                <w:sz w:val="20"/>
                <w:szCs w:val="20"/>
                <w:lang w:val="es-MX"/>
              </w:rPr>
            </w:pPr>
            <w:r w:rsidRPr="00305D32">
              <w:rPr>
                <w:b/>
                <w:bCs/>
                <w:color w:val="000000"/>
                <w:sz w:val="20"/>
                <w:szCs w:val="20"/>
                <w:lang w:val="es-MX"/>
              </w:rPr>
              <w:t>34,264.6</w:t>
            </w:r>
          </w:p>
        </w:tc>
        <w:tc>
          <w:tcPr>
            <w:tcW w:w="1114" w:type="dxa"/>
            <w:tcBorders>
              <w:top w:val="single" w:sz="12" w:space="0" w:color="000000"/>
              <w:left w:val="nil"/>
              <w:bottom w:val="single" w:sz="4" w:space="0" w:color="auto"/>
              <w:right w:val="nil"/>
            </w:tcBorders>
            <w:vAlign w:val="center"/>
          </w:tcPr>
          <w:p w14:paraId="7B79C863" w14:textId="6ED0EC7B" w:rsidR="00682D55" w:rsidRPr="00305D32" w:rsidRDefault="002151A7">
            <w:pPr>
              <w:spacing w:after="0" w:line="240" w:lineRule="auto"/>
              <w:jc w:val="right"/>
              <w:rPr>
                <w:b/>
                <w:color w:val="000000"/>
                <w:sz w:val="20"/>
                <w:szCs w:val="20"/>
                <w:lang w:val="es-MX"/>
              </w:rPr>
            </w:pPr>
            <w:r w:rsidRPr="00305D32">
              <w:rPr>
                <w:b/>
                <w:bCs/>
                <w:color w:val="000000"/>
                <w:sz w:val="20"/>
                <w:szCs w:val="20"/>
                <w:lang w:val="es-MX"/>
              </w:rPr>
              <w:t>2</w:t>
            </w:r>
            <w:r w:rsidR="00682D55" w:rsidRPr="00305D32">
              <w:rPr>
                <w:b/>
                <w:color w:val="000000"/>
                <w:sz w:val="20"/>
                <w:szCs w:val="20"/>
                <w:lang w:val="es-MX"/>
              </w:rPr>
              <w:t>.2</w:t>
            </w:r>
            <w:r w:rsidR="00BC5FC3" w:rsidRPr="00305D32">
              <w:rPr>
                <w:b/>
                <w:color w:val="000000"/>
                <w:sz w:val="20"/>
                <w:szCs w:val="20"/>
                <w:lang w:val="es-MX"/>
              </w:rPr>
              <w:t>2</w:t>
            </w:r>
            <w:r w:rsidR="0019290E">
              <w:rPr>
                <w:b/>
                <w:color w:val="000000"/>
                <w:sz w:val="20"/>
                <w:szCs w:val="20"/>
                <w:lang w:val="es-MX"/>
              </w:rPr>
              <w:t xml:space="preserve"> %</w:t>
            </w:r>
          </w:p>
        </w:tc>
      </w:tr>
      <w:tr w:rsidR="00682D55" w:rsidRPr="00305D32" w14:paraId="61FD2DE9" w14:textId="77777777" w:rsidTr="00685AB9">
        <w:trPr>
          <w:trHeight w:val="375"/>
          <w:jc w:val="center"/>
        </w:trPr>
        <w:tc>
          <w:tcPr>
            <w:tcW w:w="2660" w:type="dxa"/>
            <w:tcBorders>
              <w:top w:val="single" w:sz="4" w:space="0" w:color="auto"/>
              <w:left w:val="nil"/>
              <w:bottom w:val="nil"/>
              <w:right w:val="nil"/>
            </w:tcBorders>
            <w:vAlign w:val="center"/>
          </w:tcPr>
          <w:p w14:paraId="26574AAE" w14:textId="77777777" w:rsidR="00682D55" w:rsidRPr="00305D32" w:rsidRDefault="00682D55">
            <w:pPr>
              <w:spacing w:after="0" w:line="240" w:lineRule="auto"/>
              <w:jc w:val="left"/>
              <w:rPr>
                <w:color w:val="000000"/>
                <w:sz w:val="20"/>
                <w:szCs w:val="20"/>
                <w:lang w:val="es-MX"/>
              </w:rPr>
            </w:pPr>
            <w:r w:rsidRPr="00305D32">
              <w:rPr>
                <w:color w:val="000000"/>
                <w:sz w:val="20"/>
                <w:szCs w:val="20"/>
                <w:lang w:val="es-MX"/>
              </w:rPr>
              <w:t>Nuevas inversiones</w:t>
            </w:r>
          </w:p>
        </w:tc>
        <w:tc>
          <w:tcPr>
            <w:tcW w:w="997" w:type="dxa"/>
            <w:tcBorders>
              <w:top w:val="single" w:sz="4" w:space="0" w:color="auto"/>
              <w:left w:val="nil"/>
              <w:bottom w:val="nil"/>
              <w:right w:val="nil"/>
            </w:tcBorders>
            <w:vAlign w:val="center"/>
          </w:tcPr>
          <w:p w14:paraId="7DD8CD79" w14:textId="39FB014D" w:rsidR="00682D55" w:rsidRPr="00305D32" w:rsidRDefault="00EA1468">
            <w:pPr>
              <w:spacing w:after="0" w:line="240" w:lineRule="auto"/>
              <w:jc w:val="right"/>
              <w:rPr>
                <w:color w:val="000000"/>
                <w:sz w:val="20"/>
                <w:szCs w:val="20"/>
                <w:lang w:val="es-MX"/>
              </w:rPr>
            </w:pPr>
            <w:r w:rsidRPr="00305D32">
              <w:rPr>
                <w:color w:val="000000"/>
                <w:sz w:val="20"/>
                <w:szCs w:val="20"/>
                <w:lang w:val="es-MX"/>
              </w:rPr>
              <w:t>5,269.5</w:t>
            </w:r>
          </w:p>
        </w:tc>
        <w:tc>
          <w:tcPr>
            <w:tcW w:w="997" w:type="dxa"/>
            <w:tcBorders>
              <w:top w:val="single" w:sz="4" w:space="0" w:color="auto"/>
              <w:left w:val="nil"/>
              <w:bottom w:val="nil"/>
              <w:right w:val="nil"/>
            </w:tcBorders>
            <w:vAlign w:val="center"/>
          </w:tcPr>
          <w:p w14:paraId="014F9A1D" w14:textId="26E998F8" w:rsidR="00682D55" w:rsidRPr="00305D32" w:rsidRDefault="00EA1468">
            <w:pPr>
              <w:spacing w:after="0" w:line="240" w:lineRule="auto"/>
              <w:jc w:val="right"/>
              <w:rPr>
                <w:color w:val="000000"/>
                <w:sz w:val="20"/>
                <w:szCs w:val="20"/>
                <w:lang w:val="es-MX"/>
              </w:rPr>
            </w:pPr>
            <w:r w:rsidRPr="00305D32">
              <w:rPr>
                <w:color w:val="000000"/>
                <w:sz w:val="20"/>
                <w:szCs w:val="20"/>
                <w:lang w:val="es-MX"/>
              </w:rPr>
              <w:t>4,080</w:t>
            </w:r>
            <w:r w:rsidR="00682D55" w:rsidRPr="00305D32">
              <w:rPr>
                <w:color w:val="000000"/>
                <w:sz w:val="20"/>
                <w:szCs w:val="20"/>
                <w:lang w:val="es-MX"/>
              </w:rPr>
              <w:t>.8</w:t>
            </w:r>
          </w:p>
        </w:tc>
        <w:tc>
          <w:tcPr>
            <w:tcW w:w="1113" w:type="dxa"/>
            <w:tcBorders>
              <w:top w:val="single" w:sz="4" w:space="0" w:color="auto"/>
              <w:left w:val="nil"/>
              <w:bottom w:val="nil"/>
              <w:right w:val="nil"/>
            </w:tcBorders>
            <w:vAlign w:val="center"/>
          </w:tcPr>
          <w:p w14:paraId="65D80773" w14:textId="70C65FBA" w:rsidR="00682D55" w:rsidRPr="00305D32" w:rsidRDefault="00682D55">
            <w:pPr>
              <w:spacing w:after="0" w:line="240" w:lineRule="auto"/>
              <w:jc w:val="right"/>
              <w:rPr>
                <w:color w:val="000000"/>
                <w:sz w:val="20"/>
                <w:szCs w:val="20"/>
                <w:lang w:val="es-MX"/>
              </w:rPr>
            </w:pPr>
            <w:r w:rsidRPr="00305D32">
              <w:rPr>
                <w:color w:val="000000"/>
                <w:sz w:val="20"/>
                <w:szCs w:val="20"/>
                <w:lang w:val="es-MX"/>
              </w:rPr>
              <w:t>-</w:t>
            </w:r>
            <w:r w:rsidR="00EA1468" w:rsidRPr="00305D32">
              <w:rPr>
                <w:color w:val="000000"/>
                <w:sz w:val="20"/>
                <w:szCs w:val="20"/>
                <w:lang w:val="es-MX"/>
              </w:rPr>
              <w:t>22.</w:t>
            </w:r>
            <w:r w:rsidR="00011E9F" w:rsidRPr="00305D32">
              <w:rPr>
                <w:color w:val="000000"/>
                <w:sz w:val="20"/>
                <w:szCs w:val="20"/>
                <w:lang w:val="es-MX"/>
              </w:rPr>
              <w:t>5</w:t>
            </w:r>
            <w:r w:rsidR="00EA1468" w:rsidRPr="00305D32">
              <w:rPr>
                <w:color w:val="000000"/>
                <w:sz w:val="20"/>
                <w:szCs w:val="20"/>
                <w:lang w:val="es-MX"/>
              </w:rPr>
              <w:t>6</w:t>
            </w:r>
            <w:r w:rsidR="0019290E">
              <w:rPr>
                <w:color w:val="000000"/>
                <w:sz w:val="20"/>
                <w:szCs w:val="20"/>
                <w:lang w:val="es-MX"/>
              </w:rPr>
              <w:t xml:space="preserve"> %</w:t>
            </w:r>
          </w:p>
        </w:tc>
        <w:tc>
          <w:tcPr>
            <w:tcW w:w="1120" w:type="dxa"/>
            <w:tcBorders>
              <w:top w:val="single" w:sz="4" w:space="0" w:color="auto"/>
              <w:left w:val="nil"/>
              <w:bottom w:val="nil"/>
              <w:right w:val="nil"/>
            </w:tcBorders>
            <w:vAlign w:val="center"/>
          </w:tcPr>
          <w:p w14:paraId="2BA2BA78" w14:textId="78586046" w:rsidR="00682D55" w:rsidRPr="00305D32" w:rsidRDefault="002151A7">
            <w:pPr>
              <w:spacing w:after="0" w:line="240" w:lineRule="auto"/>
              <w:jc w:val="right"/>
              <w:rPr>
                <w:color w:val="000000"/>
                <w:sz w:val="20"/>
                <w:szCs w:val="20"/>
                <w:lang w:val="es-MX"/>
              </w:rPr>
            </w:pPr>
            <w:r w:rsidRPr="00305D32">
              <w:rPr>
                <w:color w:val="000000"/>
                <w:sz w:val="20"/>
                <w:szCs w:val="20"/>
                <w:lang w:val="es-MX"/>
              </w:rPr>
              <w:t>1,875.6</w:t>
            </w:r>
          </w:p>
        </w:tc>
        <w:tc>
          <w:tcPr>
            <w:tcW w:w="1120" w:type="dxa"/>
            <w:tcBorders>
              <w:top w:val="single" w:sz="4" w:space="0" w:color="auto"/>
              <w:left w:val="nil"/>
              <w:bottom w:val="nil"/>
              <w:right w:val="nil"/>
            </w:tcBorders>
            <w:vAlign w:val="center"/>
          </w:tcPr>
          <w:p w14:paraId="1CD85DEB" w14:textId="48EF7F16" w:rsidR="00682D55" w:rsidRPr="00305D32" w:rsidRDefault="002151A7">
            <w:pPr>
              <w:spacing w:after="0" w:line="240" w:lineRule="auto"/>
              <w:jc w:val="right"/>
              <w:rPr>
                <w:color w:val="000000"/>
                <w:sz w:val="20"/>
                <w:szCs w:val="20"/>
                <w:lang w:val="es-MX"/>
              </w:rPr>
            </w:pPr>
            <w:r w:rsidRPr="00305D32">
              <w:rPr>
                <w:color w:val="000000"/>
                <w:sz w:val="20"/>
                <w:szCs w:val="20"/>
                <w:lang w:val="es-MX"/>
              </w:rPr>
              <w:t>3,148.5</w:t>
            </w:r>
          </w:p>
        </w:tc>
        <w:tc>
          <w:tcPr>
            <w:tcW w:w="1114" w:type="dxa"/>
            <w:tcBorders>
              <w:top w:val="single" w:sz="4" w:space="0" w:color="auto"/>
              <w:left w:val="nil"/>
              <w:bottom w:val="nil"/>
              <w:right w:val="nil"/>
            </w:tcBorders>
            <w:vAlign w:val="center"/>
          </w:tcPr>
          <w:p w14:paraId="3397CF6C" w14:textId="6BAAB01E" w:rsidR="00682D55" w:rsidRPr="00305D32" w:rsidRDefault="002151A7">
            <w:pPr>
              <w:spacing w:after="0" w:line="240" w:lineRule="auto"/>
              <w:jc w:val="right"/>
              <w:rPr>
                <w:color w:val="000000"/>
                <w:sz w:val="20"/>
                <w:szCs w:val="20"/>
                <w:lang w:val="es-MX"/>
              </w:rPr>
            </w:pPr>
            <w:r w:rsidRPr="00305D32">
              <w:rPr>
                <w:color w:val="000000"/>
                <w:sz w:val="20"/>
                <w:szCs w:val="20"/>
                <w:lang w:val="es-MX"/>
              </w:rPr>
              <w:t>67.</w:t>
            </w:r>
            <w:r w:rsidR="00BC5FC3" w:rsidRPr="00305D32">
              <w:rPr>
                <w:color w:val="000000"/>
                <w:sz w:val="20"/>
                <w:szCs w:val="20"/>
                <w:lang w:val="es-MX"/>
              </w:rPr>
              <w:t>87</w:t>
            </w:r>
            <w:r w:rsidR="0019290E">
              <w:rPr>
                <w:color w:val="000000"/>
                <w:sz w:val="20"/>
                <w:szCs w:val="20"/>
                <w:lang w:val="es-MX"/>
              </w:rPr>
              <w:t xml:space="preserve"> %</w:t>
            </w:r>
          </w:p>
        </w:tc>
      </w:tr>
      <w:tr w:rsidR="00682D55" w:rsidRPr="00305D32" w14:paraId="60871AFB" w14:textId="77777777">
        <w:trPr>
          <w:trHeight w:val="360"/>
          <w:jc w:val="center"/>
        </w:trPr>
        <w:tc>
          <w:tcPr>
            <w:tcW w:w="2660" w:type="dxa"/>
            <w:tcBorders>
              <w:top w:val="nil"/>
              <w:left w:val="nil"/>
              <w:bottom w:val="nil"/>
              <w:right w:val="nil"/>
            </w:tcBorders>
            <w:vAlign w:val="center"/>
          </w:tcPr>
          <w:p w14:paraId="48D72F04" w14:textId="77777777" w:rsidR="00682D55" w:rsidRPr="00305D32" w:rsidRDefault="00682D55">
            <w:pPr>
              <w:spacing w:after="0" w:line="240" w:lineRule="auto"/>
              <w:jc w:val="left"/>
              <w:rPr>
                <w:color w:val="000000"/>
                <w:sz w:val="20"/>
                <w:szCs w:val="20"/>
                <w:lang w:val="es-MX"/>
              </w:rPr>
            </w:pPr>
            <w:r w:rsidRPr="00305D32">
              <w:rPr>
                <w:color w:val="000000"/>
                <w:sz w:val="20"/>
                <w:szCs w:val="20"/>
                <w:lang w:val="es-MX"/>
              </w:rPr>
              <w:t>Reinversión de utilidades</w:t>
            </w:r>
          </w:p>
        </w:tc>
        <w:tc>
          <w:tcPr>
            <w:tcW w:w="997" w:type="dxa"/>
            <w:tcBorders>
              <w:top w:val="nil"/>
              <w:left w:val="nil"/>
              <w:bottom w:val="nil"/>
              <w:right w:val="nil"/>
            </w:tcBorders>
            <w:vAlign w:val="center"/>
          </w:tcPr>
          <w:p w14:paraId="02339176" w14:textId="503DB639" w:rsidR="00682D55" w:rsidRPr="00305D32" w:rsidRDefault="00EA1468">
            <w:pPr>
              <w:spacing w:after="0" w:line="240" w:lineRule="auto"/>
              <w:jc w:val="right"/>
              <w:rPr>
                <w:color w:val="000000"/>
                <w:sz w:val="20"/>
                <w:szCs w:val="20"/>
                <w:lang w:val="es-MX"/>
              </w:rPr>
            </w:pPr>
            <w:r w:rsidRPr="00305D32">
              <w:rPr>
                <w:color w:val="000000"/>
                <w:sz w:val="20"/>
                <w:szCs w:val="20"/>
                <w:lang w:val="es-MX"/>
              </w:rPr>
              <w:t>26,639.2</w:t>
            </w:r>
          </w:p>
        </w:tc>
        <w:tc>
          <w:tcPr>
            <w:tcW w:w="997" w:type="dxa"/>
            <w:tcBorders>
              <w:top w:val="nil"/>
              <w:left w:val="nil"/>
              <w:bottom w:val="nil"/>
              <w:right w:val="nil"/>
            </w:tcBorders>
            <w:vAlign w:val="center"/>
          </w:tcPr>
          <w:p w14:paraId="0F6009A7" w14:textId="7B6B25AE" w:rsidR="00682D55" w:rsidRPr="00305D32" w:rsidRDefault="00EA1468">
            <w:pPr>
              <w:spacing w:after="0" w:line="240" w:lineRule="auto"/>
              <w:jc w:val="right"/>
              <w:rPr>
                <w:color w:val="000000"/>
                <w:sz w:val="20"/>
                <w:szCs w:val="20"/>
                <w:lang w:val="es-MX"/>
              </w:rPr>
            </w:pPr>
            <w:r w:rsidRPr="00305D32">
              <w:rPr>
                <w:color w:val="000000"/>
                <w:sz w:val="20"/>
                <w:szCs w:val="20"/>
                <w:lang w:val="es-MX"/>
              </w:rPr>
              <w:t>28,710.3</w:t>
            </w:r>
          </w:p>
        </w:tc>
        <w:tc>
          <w:tcPr>
            <w:tcW w:w="1113" w:type="dxa"/>
            <w:tcBorders>
              <w:top w:val="nil"/>
              <w:left w:val="nil"/>
              <w:bottom w:val="nil"/>
              <w:right w:val="nil"/>
            </w:tcBorders>
            <w:vAlign w:val="center"/>
          </w:tcPr>
          <w:p w14:paraId="725EFE78" w14:textId="664E295C" w:rsidR="00682D55" w:rsidRPr="00305D32" w:rsidRDefault="00EA1468">
            <w:pPr>
              <w:spacing w:after="0" w:line="240" w:lineRule="auto"/>
              <w:jc w:val="right"/>
              <w:rPr>
                <w:color w:val="000000"/>
                <w:sz w:val="20"/>
                <w:szCs w:val="20"/>
                <w:lang w:val="es-MX"/>
              </w:rPr>
            </w:pPr>
            <w:r w:rsidRPr="00305D32">
              <w:rPr>
                <w:color w:val="000000"/>
                <w:sz w:val="20"/>
                <w:szCs w:val="20"/>
                <w:lang w:val="es-MX"/>
              </w:rPr>
              <w:t>7.</w:t>
            </w:r>
            <w:r w:rsidR="00011E9F" w:rsidRPr="00305D32">
              <w:rPr>
                <w:color w:val="000000"/>
                <w:sz w:val="20"/>
                <w:szCs w:val="20"/>
                <w:lang w:val="es-MX"/>
              </w:rPr>
              <w:t>77</w:t>
            </w:r>
            <w:r w:rsidR="0019290E">
              <w:rPr>
                <w:color w:val="000000"/>
                <w:sz w:val="20"/>
                <w:szCs w:val="20"/>
                <w:lang w:val="es-MX"/>
              </w:rPr>
              <w:t xml:space="preserve"> %</w:t>
            </w:r>
          </w:p>
        </w:tc>
        <w:tc>
          <w:tcPr>
            <w:tcW w:w="1120" w:type="dxa"/>
            <w:tcBorders>
              <w:top w:val="nil"/>
              <w:left w:val="nil"/>
              <w:bottom w:val="nil"/>
              <w:right w:val="nil"/>
            </w:tcBorders>
            <w:vAlign w:val="center"/>
          </w:tcPr>
          <w:p w14:paraId="41553848" w14:textId="29677B4C" w:rsidR="00682D55" w:rsidRPr="00305D32" w:rsidRDefault="002151A7">
            <w:pPr>
              <w:spacing w:after="0" w:line="240" w:lineRule="auto"/>
              <w:jc w:val="right"/>
              <w:rPr>
                <w:color w:val="000000"/>
                <w:sz w:val="20"/>
                <w:szCs w:val="20"/>
                <w:lang w:val="es-MX"/>
              </w:rPr>
            </w:pPr>
            <w:r w:rsidRPr="00305D32">
              <w:rPr>
                <w:color w:val="000000"/>
                <w:sz w:val="20"/>
                <w:szCs w:val="20"/>
                <w:lang w:val="es-MX"/>
              </w:rPr>
              <w:t>31,458.4</w:t>
            </w:r>
          </w:p>
        </w:tc>
        <w:tc>
          <w:tcPr>
            <w:tcW w:w="1120" w:type="dxa"/>
            <w:tcBorders>
              <w:top w:val="nil"/>
              <w:left w:val="nil"/>
              <w:bottom w:val="nil"/>
              <w:right w:val="nil"/>
            </w:tcBorders>
            <w:vAlign w:val="center"/>
          </w:tcPr>
          <w:p w14:paraId="7D5CF134" w14:textId="35F52CE3" w:rsidR="00682D55" w:rsidRPr="00305D32" w:rsidRDefault="002151A7">
            <w:pPr>
              <w:spacing w:after="0" w:line="240" w:lineRule="auto"/>
              <w:jc w:val="right"/>
              <w:rPr>
                <w:color w:val="000000"/>
                <w:sz w:val="20"/>
                <w:szCs w:val="20"/>
                <w:lang w:val="es-MX"/>
              </w:rPr>
            </w:pPr>
            <w:r w:rsidRPr="00305D32">
              <w:rPr>
                <w:color w:val="000000"/>
                <w:sz w:val="20"/>
                <w:szCs w:val="20"/>
                <w:lang w:val="es-MX"/>
              </w:rPr>
              <w:t>28,914.1</w:t>
            </w:r>
          </w:p>
        </w:tc>
        <w:tc>
          <w:tcPr>
            <w:tcW w:w="1114" w:type="dxa"/>
            <w:tcBorders>
              <w:top w:val="nil"/>
              <w:left w:val="nil"/>
              <w:bottom w:val="nil"/>
              <w:right w:val="nil"/>
            </w:tcBorders>
            <w:vAlign w:val="center"/>
          </w:tcPr>
          <w:p w14:paraId="719E49EE" w14:textId="0A0BBC50" w:rsidR="00682D55" w:rsidRPr="00305D32" w:rsidRDefault="002151A7">
            <w:pPr>
              <w:spacing w:after="0" w:line="240" w:lineRule="auto"/>
              <w:jc w:val="right"/>
              <w:rPr>
                <w:color w:val="000000"/>
                <w:sz w:val="20"/>
                <w:szCs w:val="20"/>
                <w:lang w:val="es-MX"/>
              </w:rPr>
            </w:pPr>
            <w:r w:rsidRPr="00305D32">
              <w:rPr>
                <w:color w:val="000000"/>
                <w:sz w:val="20"/>
                <w:szCs w:val="20"/>
                <w:lang w:val="es-MX"/>
              </w:rPr>
              <w:t>-8.</w:t>
            </w:r>
            <w:r w:rsidR="00BC5FC3" w:rsidRPr="00305D32">
              <w:rPr>
                <w:color w:val="000000"/>
                <w:sz w:val="20"/>
                <w:szCs w:val="20"/>
                <w:lang w:val="es-MX"/>
              </w:rPr>
              <w:t>09</w:t>
            </w:r>
            <w:r w:rsidR="0019290E">
              <w:rPr>
                <w:color w:val="000000"/>
                <w:sz w:val="20"/>
                <w:szCs w:val="20"/>
                <w:lang w:val="es-MX"/>
              </w:rPr>
              <w:t xml:space="preserve"> %</w:t>
            </w:r>
          </w:p>
        </w:tc>
      </w:tr>
      <w:tr w:rsidR="00682D55" w:rsidRPr="00305D32" w14:paraId="5A7CAC86" w14:textId="77777777" w:rsidTr="00685AB9">
        <w:trPr>
          <w:trHeight w:val="375"/>
          <w:jc w:val="center"/>
        </w:trPr>
        <w:tc>
          <w:tcPr>
            <w:tcW w:w="2660" w:type="dxa"/>
            <w:tcBorders>
              <w:top w:val="nil"/>
              <w:left w:val="nil"/>
              <w:bottom w:val="single" w:sz="4" w:space="0" w:color="auto"/>
              <w:right w:val="nil"/>
            </w:tcBorders>
            <w:vAlign w:val="center"/>
          </w:tcPr>
          <w:p w14:paraId="3A230233" w14:textId="77777777" w:rsidR="00682D55" w:rsidRPr="00305D32" w:rsidRDefault="00682D55">
            <w:pPr>
              <w:spacing w:after="0" w:line="240" w:lineRule="auto"/>
              <w:jc w:val="left"/>
              <w:rPr>
                <w:color w:val="000000"/>
                <w:sz w:val="20"/>
                <w:szCs w:val="20"/>
                <w:lang w:val="es-MX"/>
              </w:rPr>
            </w:pPr>
            <w:r w:rsidRPr="00305D32">
              <w:rPr>
                <w:color w:val="000000"/>
                <w:sz w:val="20"/>
                <w:szCs w:val="20"/>
                <w:lang w:val="es-MX"/>
              </w:rPr>
              <w:t>Cuentas entre compañías</w:t>
            </w:r>
          </w:p>
        </w:tc>
        <w:tc>
          <w:tcPr>
            <w:tcW w:w="997" w:type="dxa"/>
            <w:tcBorders>
              <w:top w:val="nil"/>
              <w:left w:val="nil"/>
              <w:bottom w:val="single" w:sz="4" w:space="0" w:color="auto"/>
              <w:right w:val="nil"/>
            </w:tcBorders>
            <w:vAlign w:val="center"/>
          </w:tcPr>
          <w:p w14:paraId="6C183165" w14:textId="5FDCBBE9" w:rsidR="00682D55" w:rsidRPr="00305D32" w:rsidRDefault="00EA1468">
            <w:pPr>
              <w:spacing w:after="0" w:line="240" w:lineRule="auto"/>
              <w:jc w:val="right"/>
              <w:rPr>
                <w:color w:val="000000"/>
                <w:sz w:val="20"/>
                <w:szCs w:val="20"/>
                <w:lang w:val="es-MX"/>
              </w:rPr>
            </w:pPr>
            <w:r w:rsidRPr="00305D32">
              <w:rPr>
                <w:color w:val="000000"/>
                <w:sz w:val="20"/>
                <w:szCs w:val="20"/>
                <w:lang w:val="es-MX"/>
              </w:rPr>
              <w:t>4,891.8</w:t>
            </w:r>
          </w:p>
        </w:tc>
        <w:tc>
          <w:tcPr>
            <w:tcW w:w="997" w:type="dxa"/>
            <w:tcBorders>
              <w:top w:val="nil"/>
              <w:left w:val="nil"/>
              <w:bottom w:val="single" w:sz="4" w:space="0" w:color="auto"/>
              <w:right w:val="nil"/>
            </w:tcBorders>
            <w:vAlign w:val="center"/>
          </w:tcPr>
          <w:p w14:paraId="772BEBD8" w14:textId="54CC6CBD" w:rsidR="00682D55" w:rsidRPr="00305D32" w:rsidRDefault="00682D55">
            <w:pPr>
              <w:spacing w:after="0" w:line="240" w:lineRule="auto"/>
              <w:jc w:val="right"/>
              <w:rPr>
                <w:color w:val="000000"/>
                <w:sz w:val="20"/>
                <w:szCs w:val="20"/>
                <w:lang w:val="es-MX"/>
              </w:rPr>
            </w:pPr>
            <w:r w:rsidRPr="00305D32">
              <w:rPr>
                <w:color w:val="000000"/>
                <w:sz w:val="20"/>
                <w:szCs w:val="20"/>
                <w:lang w:val="es-MX"/>
              </w:rPr>
              <w:t>4,</w:t>
            </w:r>
            <w:r w:rsidR="00EA1468" w:rsidRPr="00305D32">
              <w:rPr>
                <w:color w:val="000000"/>
                <w:sz w:val="20"/>
                <w:szCs w:val="20"/>
                <w:lang w:val="es-MX"/>
              </w:rPr>
              <w:t>973.3</w:t>
            </w:r>
          </w:p>
        </w:tc>
        <w:tc>
          <w:tcPr>
            <w:tcW w:w="1113" w:type="dxa"/>
            <w:tcBorders>
              <w:top w:val="nil"/>
              <w:left w:val="nil"/>
              <w:bottom w:val="single" w:sz="4" w:space="0" w:color="auto"/>
              <w:right w:val="nil"/>
            </w:tcBorders>
            <w:vAlign w:val="center"/>
          </w:tcPr>
          <w:p w14:paraId="6B03BCEB" w14:textId="6E4A6B28" w:rsidR="00682D55" w:rsidRPr="00305D32" w:rsidRDefault="00EA1468">
            <w:pPr>
              <w:spacing w:after="0" w:line="240" w:lineRule="auto"/>
              <w:jc w:val="right"/>
              <w:rPr>
                <w:color w:val="000000"/>
                <w:sz w:val="20"/>
                <w:szCs w:val="20"/>
                <w:lang w:val="es-MX"/>
              </w:rPr>
            </w:pPr>
            <w:r w:rsidRPr="00305D32">
              <w:rPr>
                <w:color w:val="000000"/>
                <w:sz w:val="20"/>
                <w:szCs w:val="20"/>
                <w:lang w:val="es-MX"/>
              </w:rPr>
              <w:t>1.67</w:t>
            </w:r>
            <w:r w:rsidR="0019290E">
              <w:rPr>
                <w:color w:val="000000"/>
                <w:sz w:val="20"/>
                <w:szCs w:val="20"/>
                <w:lang w:val="es-MX"/>
              </w:rPr>
              <w:t xml:space="preserve"> %</w:t>
            </w:r>
          </w:p>
        </w:tc>
        <w:tc>
          <w:tcPr>
            <w:tcW w:w="1120" w:type="dxa"/>
            <w:tcBorders>
              <w:top w:val="nil"/>
              <w:left w:val="nil"/>
              <w:bottom w:val="single" w:sz="4" w:space="0" w:color="auto"/>
              <w:right w:val="nil"/>
            </w:tcBorders>
            <w:vAlign w:val="center"/>
          </w:tcPr>
          <w:p w14:paraId="09738287" w14:textId="1FBBF14B" w:rsidR="00682D55" w:rsidRPr="00305D32" w:rsidRDefault="002151A7">
            <w:pPr>
              <w:spacing w:after="0" w:line="240" w:lineRule="auto"/>
              <w:jc w:val="right"/>
              <w:rPr>
                <w:color w:val="000000"/>
                <w:sz w:val="20"/>
                <w:szCs w:val="20"/>
                <w:lang w:val="es-MX"/>
              </w:rPr>
            </w:pPr>
            <w:r w:rsidRPr="00305D32">
              <w:rPr>
                <w:color w:val="000000"/>
                <w:sz w:val="20"/>
                <w:szCs w:val="20"/>
                <w:lang w:val="es-MX"/>
              </w:rPr>
              <w:t>184.9</w:t>
            </w:r>
          </w:p>
        </w:tc>
        <w:tc>
          <w:tcPr>
            <w:tcW w:w="1120" w:type="dxa"/>
            <w:tcBorders>
              <w:top w:val="nil"/>
              <w:left w:val="nil"/>
              <w:bottom w:val="single" w:sz="4" w:space="0" w:color="auto"/>
              <w:right w:val="nil"/>
            </w:tcBorders>
            <w:vAlign w:val="center"/>
          </w:tcPr>
          <w:p w14:paraId="2F6331F6" w14:textId="7E1FAF89" w:rsidR="00682D55" w:rsidRPr="00305D32" w:rsidRDefault="002151A7">
            <w:pPr>
              <w:spacing w:after="0" w:line="240" w:lineRule="auto"/>
              <w:jc w:val="right"/>
              <w:rPr>
                <w:color w:val="000000"/>
                <w:sz w:val="20"/>
                <w:szCs w:val="20"/>
                <w:lang w:val="es-MX"/>
              </w:rPr>
            </w:pPr>
            <w:r w:rsidRPr="00305D32">
              <w:rPr>
                <w:color w:val="000000"/>
                <w:sz w:val="20"/>
                <w:szCs w:val="20"/>
                <w:lang w:val="es-MX"/>
              </w:rPr>
              <w:t>2,201.9</w:t>
            </w:r>
          </w:p>
        </w:tc>
        <w:tc>
          <w:tcPr>
            <w:tcW w:w="1114" w:type="dxa"/>
            <w:tcBorders>
              <w:top w:val="nil"/>
              <w:left w:val="nil"/>
              <w:bottom w:val="single" w:sz="4" w:space="0" w:color="auto"/>
              <w:right w:val="nil"/>
            </w:tcBorders>
            <w:vAlign w:val="center"/>
          </w:tcPr>
          <w:p w14:paraId="0B8077B2" w14:textId="1E0B6B42" w:rsidR="00682D55" w:rsidRPr="00305D32" w:rsidRDefault="002151A7">
            <w:pPr>
              <w:spacing w:after="0" w:line="240" w:lineRule="auto"/>
              <w:jc w:val="right"/>
              <w:rPr>
                <w:color w:val="000000"/>
                <w:sz w:val="20"/>
                <w:szCs w:val="20"/>
                <w:lang w:val="es-MX"/>
              </w:rPr>
            </w:pPr>
            <w:r w:rsidRPr="00305D32">
              <w:rPr>
                <w:color w:val="000000"/>
                <w:sz w:val="20"/>
                <w:szCs w:val="20"/>
                <w:lang w:val="es-MX"/>
              </w:rPr>
              <w:t>1090.65</w:t>
            </w:r>
            <w:r w:rsidR="0019290E">
              <w:rPr>
                <w:color w:val="000000"/>
                <w:sz w:val="20"/>
                <w:szCs w:val="20"/>
                <w:lang w:val="es-MX"/>
              </w:rPr>
              <w:t xml:space="preserve"> %</w:t>
            </w:r>
          </w:p>
        </w:tc>
      </w:tr>
      <w:tr w:rsidR="00682D55" w:rsidRPr="00305D32" w14:paraId="0FAFA3F6" w14:textId="77777777" w:rsidTr="00685AB9">
        <w:trPr>
          <w:trHeight w:val="390"/>
          <w:jc w:val="center"/>
        </w:trPr>
        <w:tc>
          <w:tcPr>
            <w:tcW w:w="2660" w:type="dxa"/>
            <w:tcBorders>
              <w:top w:val="single" w:sz="4" w:space="0" w:color="auto"/>
              <w:left w:val="nil"/>
              <w:bottom w:val="single" w:sz="4" w:space="0" w:color="auto"/>
              <w:right w:val="nil"/>
            </w:tcBorders>
            <w:vAlign w:val="center"/>
          </w:tcPr>
          <w:p w14:paraId="7BF367BE" w14:textId="77777777" w:rsidR="00682D55" w:rsidRPr="00305D32" w:rsidRDefault="00682D55">
            <w:pPr>
              <w:spacing w:after="0" w:line="240" w:lineRule="auto"/>
              <w:jc w:val="left"/>
              <w:rPr>
                <w:b/>
                <w:color w:val="000000"/>
                <w:sz w:val="20"/>
                <w:szCs w:val="20"/>
                <w:lang w:val="es-MX"/>
              </w:rPr>
            </w:pPr>
            <w:r w:rsidRPr="00305D32">
              <w:rPr>
                <w:b/>
                <w:color w:val="000000"/>
                <w:sz w:val="20"/>
                <w:szCs w:val="20"/>
                <w:lang w:val="es-MX"/>
              </w:rPr>
              <w:t>Quintana Roo</w:t>
            </w:r>
          </w:p>
        </w:tc>
        <w:tc>
          <w:tcPr>
            <w:tcW w:w="997" w:type="dxa"/>
            <w:tcBorders>
              <w:top w:val="single" w:sz="4" w:space="0" w:color="auto"/>
              <w:left w:val="nil"/>
              <w:bottom w:val="single" w:sz="4" w:space="0" w:color="auto"/>
              <w:right w:val="nil"/>
            </w:tcBorders>
            <w:vAlign w:val="center"/>
          </w:tcPr>
          <w:p w14:paraId="43DFE6C6" w14:textId="2D4680BB" w:rsidR="00682D55" w:rsidRPr="00305D32" w:rsidRDefault="00EA1468">
            <w:pPr>
              <w:spacing w:after="0" w:line="240" w:lineRule="auto"/>
              <w:jc w:val="right"/>
              <w:rPr>
                <w:b/>
                <w:color w:val="000000"/>
                <w:sz w:val="20"/>
                <w:szCs w:val="20"/>
                <w:lang w:val="es-MX"/>
              </w:rPr>
            </w:pPr>
            <w:r w:rsidRPr="00305D32">
              <w:rPr>
                <w:b/>
                <w:bCs/>
                <w:color w:val="000000"/>
                <w:sz w:val="20"/>
                <w:szCs w:val="20"/>
                <w:lang w:val="es-MX"/>
              </w:rPr>
              <w:t>1,030.6</w:t>
            </w:r>
          </w:p>
        </w:tc>
        <w:tc>
          <w:tcPr>
            <w:tcW w:w="997" w:type="dxa"/>
            <w:tcBorders>
              <w:top w:val="single" w:sz="4" w:space="0" w:color="auto"/>
              <w:left w:val="nil"/>
              <w:bottom w:val="single" w:sz="4" w:space="0" w:color="auto"/>
              <w:right w:val="nil"/>
            </w:tcBorders>
            <w:vAlign w:val="center"/>
          </w:tcPr>
          <w:p w14:paraId="7FA5126B" w14:textId="1E82D3F2" w:rsidR="00682D55" w:rsidRPr="00305D32" w:rsidRDefault="00EA1468">
            <w:pPr>
              <w:spacing w:after="0" w:line="240" w:lineRule="auto"/>
              <w:jc w:val="right"/>
              <w:rPr>
                <w:b/>
                <w:color w:val="000000"/>
                <w:sz w:val="20"/>
                <w:szCs w:val="20"/>
                <w:lang w:val="es-MX"/>
              </w:rPr>
            </w:pPr>
            <w:r w:rsidRPr="00305D32">
              <w:rPr>
                <w:b/>
                <w:bCs/>
                <w:color w:val="000000"/>
                <w:sz w:val="20"/>
                <w:szCs w:val="20"/>
                <w:lang w:val="es-MX"/>
              </w:rPr>
              <w:t>988.7</w:t>
            </w:r>
          </w:p>
        </w:tc>
        <w:tc>
          <w:tcPr>
            <w:tcW w:w="1113" w:type="dxa"/>
            <w:tcBorders>
              <w:top w:val="single" w:sz="4" w:space="0" w:color="auto"/>
              <w:left w:val="nil"/>
              <w:bottom w:val="single" w:sz="4" w:space="0" w:color="auto"/>
              <w:right w:val="nil"/>
            </w:tcBorders>
            <w:vAlign w:val="center"/>
          </w:tcPr>
          <w:p w14:paraId="7AC08090" w14:textId="28202164" w:rsidR="00682D55" w:rsidRPr="00305D32" w:rsidRDefault="00EA1468">
            <w:pPr>
              <w:spacing w:after="0" w:line="240" w:lineRule="auto"/>
              <w:jc w:val="right"/>
              <w:rPr>
                <w:b/>
                <w:color w:val="000000"/>
                <w:sz w:val="20"/>
                <w:szCs w:val="20"/>
                <w:lang w:val="es-MX"/>
              </w:rPr>
            </w:pPr>
            <w:r w:rsidRPr="00305D32">
              <w:rPr>
                <w:b/>
                <w:bCs/>
                <w:color w:val="000000"/>
                <w:sz w:val="20"/>
                <w:szCs w:val="20"/>
                <w:lang w:val="es-MX"/>
              </w:rPr>
              <w:t>-</w:t>
            </w:r>
            <w:r w:rsidR="00682D55" w:rsidRPr="00305D32">
              <w:rPr>
                <w:b/>
                <w:color w:val="000000"/>
                <w:sz w:val="20"/>
                <w:szCs w:val="20"/>
                <w:lang w:val="es-MX"/>
              </w:rPr>
              <w:t>4</w:t>
            </w:r>
            <w:r w:rsidRPr="00305D32">
              <w:rPr>
                <w:b/>
                <w:bCs/>
                <w:color w:val="000000"/>
                <w:sz w:val="20"/>
                <w:szCs w:val="20"/>
                <w:lang w:val="es-MX"/>
              </w:rPr>
              <w:t>.07</w:t>
            </w:r>
            <w:r w:rsidR="0019290E">
              <w:rPr>
                <w:b/>
                <w:color w:val="000000"/>
                <w:sz w:val="20"/>
                <w:szCs w:val="20"/>
                <w:lang w:val="es-MX"/>
              </w:rPr>
              <w:t xml:space="preserve"> %</w:t>
            </w:r>
          </w:p>
        </w:tc>
        <w:tc>
          <w:tcPr>
            <w:tcW w:w="1120" w:type="dxa"/>
            <w:tcBorders>
              <w:top w:val="single" w:sz="4" w:space="0" w:color="auto"/>
              <w:left w:val="nil"/>
              <w:bottom w:val="single" w:sz="4" w:space="0" w:color="auto"/>
              <w:right w:val="nil"/>
            </w:tcBorders>
            <w:vAlign w:val="center"/>
          </w:tcPr>
          <w:p w14:paraId="46111185" w14:textId="6B5B4157" w:rsidR="00682D55" w:rsidRPr="00305D32" w:rsidRDefault="002151A7">
            <w:pPr>
              <w:spacing w:after="0" w:line="240" w:lineRule="auto"/>
              <w:jc w:val="right"/>
              <w:rPr>
                <w:b/>
                <w:color w:val="000000"/>
                <w:sz w:val="20"/>
                <w:szCs w:val="20"/>
                <w:lang w:val="es-MX"/>
              </w:rPr>
            </w:pPr>
            <w:r w:rsidRPr="00305D32">
              <w:rPr>
                <w:b/>
                <w:bCs/>
                <w:color w:val="000000"/>
                <w:sz w:val="20"/>
                <w:szCs w:val="20"/>
                <w:lang w:val="es-MX"/>
              </w:rPr>
              <w:t>730.5</w:t>
            </w:r>
          </w:p>
        </w:tc>
        <w:tc>
          <w:tcPr>
            <w:tcW w:w="1120" w:type="dxa"/>
            <w:tcBorders>
              <w:top w:val="single" w:sz="4" w:space="0" w:color="auto"/>
              <w:left w:val="nil"/>
              <w:bottom w:val="single" w:sz="4" w:space="0" w:color="auto"/>
              <w:right w:val="nil"/>
            </w:tcBorders>
            <w:vAlign w:val="center"/>
          </w:tcPr>
          <w:p w14:paraId="17D9E2E0" w14:textId="750279EA" w:rsidR="00682D55" w:rsidRPr="00305D32" w:rsidRDefault="002151A7">
            <w:pPr>
              <w:spacing w:after="0" w:line="240" w:lineRule="auto"/>
              <w:jc w:val="right"/>
              <w:rPr>
                <w:b/>
                <w:color w:val="000000"/>
                <w:sz w:val="20"/>
                <w:szCs w:val="20"/>
                <w:lang w:val="es-MX"/>
              </w:rPr>
            </w:pPr>
            <w:r w:rsidRPr="00305D32">
              <w:rPr>
                <w:b/>
                <w:bCs/>
                <w:color w:val="000000"/>
                <w:sz w:val="20"/>
                <w:szCs w:val="20"/>
                <w:lang w:val="es-MX"/>
              </w:rPr>
              <w:t>509.1</w:t>
            </w:r>
          </w:p>
        </w:tc>
        <w:tc>
          <w:tcPr>
            <w:tcW w:w="1114" w:type="dxa"/>
            <w:tcBorders>
              <w:top w:val="single" w:sz="4" w:space="0" w:color="auto"/>
              <w:left w:val="nil"/>
              <w:bottom w:val="single" w:sz="4" w:space="0" w:color="auto"/>
              <w:right w:val="nil"/>
            </w:tcBorders>
            <w:vAlign w:val="center"/>
          </w:tcPr>
          <w:p w14:paraId="1CE170C3" w14:textId="6AC7F59D" w:rsidR="00682D55" w:rsidRPr="00305D32" w:rsidRDefault="0035014F">
            <w:pPr>
              <w:spacing w:after="0" w:line="240" w:lineRule="auto"/>
              <w:jc w:val="right"/>
              <w:rPr>
                <w:b/>
                <w:color w:val="000000"/>
                <w:sz w:val="20"/>
                <w:szCs w:val="20"/>
                <w:lang w:val="es-MX"/>
              </w:rPr>
            </w:pPr>
            <w:r w:rsidRPr="00305D32">
              <w:rPr>
                <w:b/>
                <w:bCs/>
                <w:color w:val="000000"/>
                <w:sz w:val="20"/>
                <w:szCs w:val="20"/>
                <w:lang w:val="es-MX"/>
              </w:rPr>
              <w:t>-30.31</w:t>
            </w:r>
            <w:r w:rsidR="0019290E">
              <w:rPr>
                <w:b/>
                <w:bCs/>
                <w:color w:val="000000"/>
                <w:sz w:val="20"/>
                <w:szCs w:val="20"/>
                <w:lang w:val="es-MX"/>
              </w:rPr>
              <w:t xml:space="preserve"> %</w:t>
            </w:r>
          </w:p>
        </w:tc>
      </w:tr>
      <w:tr w:rsidR="00682D55" w:rsidRPr="00305D32" w14:paraId="60CEC079" w14:textId="77777777" w:rsidTr="00685AB9">
        <w:trPr>
          <w:trHeight w:val="375"/>
          <w:jc w:val="center"/>
        </w:trPr>
        <w:tc>
          <w:tcPr>
            <w:tcW w:w="2660" w:type="dxa"/>
            <w:tcBorders>
              <w:top w:val="single" w:sz="4" w:space="0" w:color="auto"/>
              <w:left w:val="nil"/>
              <w:bottom w:val="nil"/>
              <w:right w:val="nil"/>
            </w:tcBorders>
            <w:vAlign w:val="center"/>
          </w:tcPr>
          <w:p w14:paraId="6031D3E8" w14:textId="77777777" w:rsidR="00682D55" w:rsidRPr="00305D32" w:rsidRDefault="00682D55">
            <w:pPr>
              <w:spacing w:after="0" w:line="240" w:lineRule="auto"/>
              <w:jc w:val="left"/>
              <w:rPr>
                <w:color w:val="000000"/>
                <w:sz w:val="20"/>
                <w:szCs w:val="20"/>
                <w:lang w:val="es-MX"/>
              </w:rPr>
            </w:pPr>
            <w:r w:rsidRPr="00305D32">
              <w:rPr>
                <w:color w:val="000000"/>
                <w:sz w:val="20"/>
                <w:szCs w:val="20"/>
                <w:lang w:val="es-MX"/>
              </w:rPr>
              <w:t>Nuevas inversiones</w:t>
            </w:r>
          </w:p>
        </w:tc>
        <w:tc>
          <w:tcPr>
            <w:tcW w:w="997" w:type="dxa"/>
            <w:tcBorders>
              <w:top w:val="single" w:sz="4" w:space="0" w:color="auto"/>
              <w:left w:val="nil"/>
              <w:bottom w:val="nil"/>
              <w:right w:val="nil"/>
            </w:tcBorders>
            <w:vAlign w:val="center"/>
          </w:tcPr>
          <w:p w14:paraId="729B4651" w14:textId="3BB469F8" w:rsidR="00682D55" w:rsidRPr="00305D32" w:rsidRDefault="00EA1468">
            <w:pPr>
              <w:spacing w:after="0" w:line="240" w:lineRule="auto"/>
              <w:jc w:val="right"/>
              <w:rPr>
                <w:color w:val="000000"/>
                <w:sz w:val="20"/>
                <w:szCs w:val="20"/>
                <w:lang w:val="es-MX"/>
              </w:rPr>
            </w:pPr>
            <w:r w:rsidRPr="00305D32">
              <w:rPr>
                <w:color w:val="000000"/>
                <w:sz w:val="20"/>
                <w:szCs w:val="20"/>
                <w:lang w:val="es-MX"/>
              </w:rPr>
              <w:t>639</w:t>
            </w:r>
            <w:r w:rsidR="00682D55" w:rsidRPr="00305D32">
              <w:rPr>
                <w:color w:val="000000"/>
                <w:sz w:val="20"/>
                <w:szCs w:val="20"/>
                <w:lang w:val="es-MX"/>
              </w:rPr>
              <w:t>.8</w:t>
            </w:r>
          </w:p>
        </w:tc>
        <w:tc>
          <w:tcPr>
            <w:tcW w:w="997" w:type="dxa"/>
            <w:tcBorders>
              <w:top w:val="single" w:sz="4" w:space="0" w:color="auto"/>
              <w:left w:val="nil"/>
              <w:bottom w:val="nil"/>
              <w:right w:val="nil"/>
            </w:tcBorders>
            <w:vAlign w:val="center"/>
          </w:tcPr>
          <w:p w14:paraId="49E585DD" w14:textId="52694574" w:rsidR="00682D55" w:rsidRPr="00305D32" w:rsidRDefault="00EA1468">
            <w:pPr>
              <w:spacing w:after="0" w:line="240" w:lineRule="auto"/>
              <w:jc w:val="right"/>
              <w:rPr>
                <w:color w:val="000000"/>
                <w:sz w:val="20"/>
                <w:szCs w:val="20"/>
                <w:lang w:val="es-MX"/>
              </w:rPr>
            </w:pPr>
            <w:r w:rsidRPr="00305D32">
              <w:rPr>
                <w:color w:val="000000"/>
                <w:sz w:val="20"/>
                <w:szCs w:val="20"/>
                <w:lang w:val="es-MX"/>
              </w:rPr>
              <w:t>536.4</w:t>
            </w:r>
          </w:p>
        </w:tc>
        <w:tc>
          <w:tcPr>
            <w:tcW w:w="1113" w:type="dxa"/>
            <w:tcBorders>
              <w:top w:val="single" w:sz="4" w:space="0" w:color="auto"/>
              <w:left w:val="nil"/>
              <w:bottom w:val="nil"/>
              <w:right w:val="nil"/>
            </w:tcBorders>
            <w:vAlign w:val="center"/>
          </w:tcPr>
          <w:p w14:paraId="054D539E" w14:textId="2522DF76" w:rsidR="00682D55" w:rsidRPr="00305D32" w:rsidRDefault="00EA1468">
            <w:pPr>
              <w:spacing w:after="0" w:line="240" w:lineRule="auto"/>
              <w:jc w:val="right"/>
              <w:rPr>
                <w:color w:val="000000"/>
                <w:sz w:val="20"/>
                <w:szCs w:val="20"/>
                <w:lang w:val="es-MX"/>
              </w:rPr>
            </w:pPr>
            <w:r w:rsidRPr="00305D32">
              <w:rPr>
                <w:color w:val="000000"/>
                <w:sz w:val="20"/>
                <w:szCs w:val="20"/>
                <w:lang w:val="es-MX"/>
              </w:rPr>
              <w:t>-16.</w:t>
            </w:r>
            <w:r w:rsidR="00011E9F" w:rsidRPr="00305D32">
              <w:rPr>
                <w:color w:val="000000"/>
                <w:sz w:val="20"/>
                <w:szCs w:val="20"/>
                <w:lang w:val="es-MX"/>
              </w:rPr>
              <w:t>16</w:t>
            </w:r>
            <w:r w:rsidR="0019290E">
              <w:rPr>
                <w:color w:val="000000"/>
                <w:sz w:val="20"/>
                <w:szCs w:val="20"/>
                <w:lang w:val="es-MX"/>
              </w:rPr>
              <w:t xml:space="preserve"> %</w:t>
            </w:r>
          </w:p>
        </w:tc>
        <w:tc>
          <w:tcPr>
            <w:tcW w:w="1120" w:type="dxa"/>
            <w:tcBorders>
              <w:top w:val="single" w:sz="4" w:space="0" w:color="auto"/>
              <w:left w:val="nil"/>
              <w:bottom w:val="nil"/>
              <w:right w:val="nil"/>
            </w:tcBorders>
            <w:vAlign w:val="center"/>
          </w:tcPr>
          <w:p w14:paraId="028D9032" w14:textId="133DE6A5" w:rsidR="00682D55" w:rsidRPr="00305D32" w:rsidRDefault="002151A7">
            <w:pPr>
              <w:spacing w:after="0" w:line="240" w:lineRule="auto"/>
              <w:jc w:val="right"/>
              <w:rPr>
                <w:color w:val="000000"/>
                <w:sz w:val="20"/>
                <w:szCs w:val="20"/>
                <w:lang w:val="es-MX"/>
              </w:rPr>
            </w:pPr>
            <w:r w:rsidRPr="00305D32">
              <w:rPr>
                <w:color w:val="000000"/>
                <w:sz w:val="20"/>
                <w:szCs w:val="20"/>
                <w:lang w:val="es-MX"/>
              </w:rPr>
              <w:t>276.3</w:t>
            </w:r>
          </w:p>
        </w:tc>
        <w:tc>
          <w:tcPr>
            <w:tcW w:w="1120" w:type="dxa"/>
            <w:tcBorders>
              <w:top w:val="single" w:sz="4" w:space="0" w:color="auto"/>
              <w:left w:val="nil"/>
              <w:bottom w:val="nil"/>
              <w:right w:val="nil"/>
            </w:tcBorders>
            <w:vAlign w:val="center"/>
          </w:tcPr>
          <w:p w14:paraId="0BE17FB2" w14:textId="7186E44B" w:rsidR="00682D55" w:rsidRPr="00305D32" w:rsidRDefault="002151A7">
            <w:pPr>
              <w:spacing w:after="0" w:line="240" w:lineRule="auto"/>
              <w:jc w:val="right"/>
              <w:rPr>
                <w:color w:val="000000"/>
                <w:sz w:val="20"/>
                <w:szCs w:val="20"/>
                <w:lang w:val="es-MX"/>
              </w:rPr>
            </w:pPr>
            <w:r w:rsidRPr="00305D32">
              <w:rPr>
                <w:color w:val="000000"/>
                <w:sz w:val="20"/>
                <w:szCs w:val="20"/>
                <w:lang w:val="es-MX"/>
              </w:rPr>
              <w:t>410.3</w:t>
            </w:r>
          </w:p>
        </w:tc>
        <w:tc>
          <w:tcPr>
            <w:tcW w:w="1114" w:type="dxa"/>
            <w:tcBorders>
              <w:top w:val="single" w:sz="4" w:space="0" w:color="auto"/>
              <w:left w:val="nil"/>
              <w:bottom w:val="nil"/>
              <w:right w:val="nil"/>
            </w:tcBorders>
            <w:vAlign w:val="center"/>
          </w:tcPr>
          <w:p w14:paraId="64EC859D" w14:textId="42573440" w:rsidR="00682D55" w:rsidRPr="00305D32" w:rsidRDefault="002151A7">
            <w:pPr>
              <w:spacing w:after="0" w:line="240" w:lineRule="auto"/>
              <w:jc w:val="right"/>
              <w:rPr>
                <w:color w:val="000000"/>
                <w:sz w:val="20"/>
                <w:szCs w:val="20"/>
                <w:lang w:val="es-MX"/>
              </w:rPr>
            </w:pPr>
            <w:r w:rsidRPr="00305D32">
              <w:rPr>
                <w:color w:val="000000"/>
                <w:sz w:val="20"/>
                <w:szCs w:val="20"/>
                <w:lang w:val="es-MX"/>
              </w:rPr>
              <w:t>48</w:t>
            </w:r>
            <w:r w:rsidR="00682D55" w:rsidRPr="00305D32">
              <w:rPr>
                <w:color w:val="000000"/>
                <w:sz w:val="20"/>
                <w:szCs w:val="20"/>
                <w:lang w:val="es-MX"/>
              </w:rPr>
              <w:t>.5</w:t>
            </w:r>
            <w:r w:rsidR="00BC5FC3" w:rsidRPr="00305D32">
              <w:rPr>
                <w:color w:val="000000"/>
                <w:sz w:val="20"/>
                <w:szCs w:val="20"/>
                <w:lang w:val="es-MX"/>
              </w:rPr>
              <w:t>2</w:t>
            </w:r>
            <w:r w:rsidR="0019290E">
              <w:rPr>
                <w:color w:val="000000"/>
                <w:sz w:val="20"/>
                <w:szCs w:val="20"/>
                <w:lang w:val="es-MX"/>
              </w:rPr>
              <w:t xml:space="preserve"> %</w:t>
            </w:r>
          </w:p>
        </w:tc>
      </w:tr>
      <w:tr w:rsidR="00682D55" w:rsidRPr="00305D32" w14:paraId="333006AD" w14:textId="77777777" w:rsidTr="00685AB9">
        <w:trPr>
          <w:trHeight w:val="360"/>
          <w:jc w:val="center"/>
        </w:trPr>
        <w:tc>
          <w:tcPr>
            <w:tcW w:w="2660" w:type="dxa"/>
            <w:tcBorders>
              <w:top w:val="nil"/>
              <w:left w:val="nil"/>
              <w:right w:val="nil"/>
            </w:tcBorders>
            <w:vAlign w:val="center"/>
          </w:tcPr>
          <w:p w14:paraId="76BADAD0" w14:textId="77777777" w:rsidR="00682D55" w:rsidRPr="00305D32" w:rsidRDefault="00682D55">
            <w:pPr>
              <w:spacing w:after="0" w:line="240" w:lineRule="auto"/>
              <w:jc w:val="left"/>
              <w:rPr>
                <w:color w:val="000000"/>
                <w:sz w:val="20"/>
                <w:szCs w:val="20"/>
                <w:lang w:val="es-MX"/>
              </w:rPr>
            </w:pPr>
            <w:r w:rsidRPr="00305D32">
              <w:rPr>
                <w:color w:val="000000"/>
                <w:sz w:val="20"/>
                <w:szCs w:val="20"/>
                <w:lang w:val="es-MX"/>
              </w:rPr>
              <w:t>Reinversión de utilidades</w:t>
            </w:r>
          </w:p>
        </w:tc>
        <w:tc>
          <w:tcPr>
            <w:tcW w:w="997" w:type="dxa"/>
            <w:tcBorders>
              <w:top w:val="nil"/>
              <w:left w:val="nil"/>
              <w:right w:val="nil"/>
            </w:tcBorders>
            <w:vAlign w:val="center"/>
          </w:tcPr>
          <w:p w14:paraId="79695D3D" w14:textId="585FF82D" w:rsidR="00682D55" w:rsidRPr="00305D32" w:rsidRDefault="00EA1468">
            <w:pPr>
              <w:spacing w:after="0" w:line="240" w:lineRule="auto"/>
              <w:jc w:val="right"/>
              <w:rPr>
                <w:color w:val="000000"/>
                <w:sz w:val="20"/>
                <w:szCs w:val="20"/>
                <w:lang w:val="es-MX"/>
              </w:rPr>
            </w:pPr>
            <w:r w:rsidRPr="00305D32">
              <w:rPr>
                <w:color w:val="000000"/>
                <w:sz w:val="20"/>
                <w:szCs w:val="20"/>
                <w:lang w:val="es-MX"/>
              </w:rPr>
              <w:t>413.7</w:t>
            </w:r>
          </w:p>
        </w:tc>
        <w:tc>
          <w:tcPr>
            <w:tcW w:w="997" w:type="dxa"/>
            <w:tcBorders>
              <w:top w:val="nil"/>
              <w:left w:val="nil"/>
              <w:right w:val="nil"/>
            </w:tcBorders>
            <w:vAlign w:val="center"/>
          </w:tcPr>
          <w:p w14:paraId="5A2ADAC7" w14:textId="1F818F9F" w:rsidR="00682D55" w:rsidRPr="00305D32" w:rsidRDefault="00EA1468">
            <w:pPr>
              <w:spacing w:after="0" w:line="240" w:lineRule="auto"/>
              <w:jc w:val="right"/>
              <w:rPr>
                <w:color w:val="000000"/>
                <w:sz w:val="20"/>
                <w:szCs w:val="20"/>
                <w:lang w:val="es-MX"/>
              </w:rPr>
            </w:pPr>
            <w:r w:rsidRPr="00305D32">
              <w:rPr>
                <w:color w:val="000000"/>
                <w:sz w:val="20"/>
                <w:szCs w:val="20"/>
                <w:lang w:val="es-MX"/>
              </w:rPr>
              <w:t>435.8</w:t>
            </w:r>
          </w:p>
        </w:tc>
        <w:tc>
          <w:tcPr>
            <w:tcW w:w="1113" w:type="dxa"/>
            <w:tcBorders>
              <w:top w:val="nil"/>
              <w:left w:val="nil"/>
              <w:right w:val="nil"/>
            </w:tcBorders>
            <w:vAlign w:val="center"/>
          </w:tcPr>
          <w:p w14:paraId="3917FA9B" w14:textId="096095F9" w:rsidR="00682D55" w:rsidRPr="00305D32" w:rsidRDefault="00EA1468">
            <w:pPr>
              <w:spacing w:after="0" w:line="240" w:lineRule="auto"/>
              <w:jc w:val="right"/>
              <w:rPr>
                <w:color w:val="000000"/>
                <w:sz w:val="20"/>
                <w:szCs w:val="20"/>
                <w:lang w:val="es-MX"/>
              </w:rPr>
            </w:pPr>
            <w:r w:rsidRPr="00305D32">
              <w:rPr>
                <w:color w:val="000000"/>
                <w:sz w:val="20"/>
                <w:szCs w:val="20"/>
                <w:lang w:val="es-MX"/>
              </w:rPr>
              <w:t>5.3</w:t>
            </w:r>
            <w:r w:rsidR="00011E9F" w:rsidRPr="00305D32">
              <w:rPr>
                <w:color w:val="000000"/>
                <w:sz w:val="20"/>
                <w:szCs w:val="20"/>
                <w:lang w:val="es-MX"/>
              </w:rPr>
              <w:t>5</w:t>
            </w:r>
            <w:r w:rsidR="0019290E">
              <w:rPr>
                <w:color w:val="000000"/>
                <w:sz w:val="20"/>
                <w:szCs w:val="20"/>
                <w:lang w:val="es-MX"/>
              </w:rPr>
              <w:t xml:space="preserve"> %</w:t>
            </w:r>
          </w:p>
        </w:tc>
        <w:tc>
          <w:tcPr>
            <w:tcW w:w="1120" w:type="dxa"/>
            <w:tcBorders>
              <w:top w:val="nil"/>
              <w:left w:val="nil"/>
              <w:right w:val="nil"/>
            </w:tcBorders>
            <w:vAlign w:val="center"/>
          </w:tcPr>
          <w:p w14:paraId="67F5DEE1" w14:textId="6181F729" w:rsidR="00682D55" w:rsidRPr="00305D32" w:rsidRDefault="002151A7">
            <w:pPr>
              <w:spacing w:after="0" w:line="240" w:lineRule="auto"/>
              <w:jc w:val="right"/>
              <w:rPr>
                <w:color w:val="000000"/>
                <w:sz w:val="20"/>
                <w:szCs w:val="20"/>
                <w:lang w:val="es-MX"/>
              </w:rPr>
            </w:pPr>
            <w:r w:rsidRPr="00305D32">
              <w:rPr>
                <w:color w:val="000000"/>
                <w:sz w:val="20"/>
                <w:szCs w:val="20"/>
                <w:lang w:val="es-MX"/>
              </w:rPr>
              <w:t>475.1</w:t>
            </w:r>
          </w:p>
        </w:tc>
        <w:tc>
          <w:tcPr>
            <w:tcW w:w="1120" w:type="dxa"/>
            <w:tcBorders>
              <w:top w:val="nil"/>
              <w:left w:val="nil"/>
              <w:right w:val="nil"/>
            </w:tcBorders>
            <w:vAlign w:val="center"/>
          </w:tcPr>
          <w:p w14:paraId="5E743E05" w14:textId="1053FA03" w:rsidR="00682D55" w:rsidRPr="00305D32" w:rsidRDefault="002151A7">
            <w:pPr>
              <w:spacing w:after="0" w:line="240" w:lineRule="auto"/>
              <w:jc w:val="right"/>
              <w:rPr>
                <w:color w:val="000000"/>
                <w:sz w:val="20"/>
                <w:szCs w:val="20"/>
                <w:lang w:val="es-MX"/>
              </w:rPr>
            </w:pPr>
            <w:r w:rsidRPr="00305D32">
              <w:rPr>
                <w:color w:val="000000"/>
                <w:sz w:val="20"/>
                <w:szCs w:val="20"/>
                <w:lang w:val="es-MX"/>
              </w:rPr>
              <w:t>111.0</w:t>
            </w:r>
          </w:p>
        </w:tc>
        <w:tc>
          <w:tcPr>
            <w:tcW w:w="1114" w:type="dxa"/>
            <w:tcBorders>
              <w:top w:val="nil"/>
              <w:left w:val="nil"/>
              <w:right w:val="nil"/>
            </w:tcBorders>
            <w:vAlign w:val="center"/>
          </w:tcPr>
          <w:p w14:paraId="2C7C2F51" w14:textId="3EFCD27D" w:rsidR="00682D55" w:rsidRPr="00305D32" w:rsidRDefault="002151A7">
            <w:pPr>
              <w:spacing w:after="0" w:line="240" w:lineRule="auto"/>
              <w:jc w:val="right"/>
              <w:rPr>
                <w:color w:val="000000"/>
                <w:sz w:val="20"/>
                <w:szCs w:val="20"/>
                <w:lang w:val="es-MX"/>
              </w:rPr>
            </w:pPr>
            <w:r w:rsidRPr="00305D32">
              <w:rPr>
                <w:color w:val="000000"/>
                <w:sz w:val="20"/>
                <w:szCs w:val="20"/>
                <w:lang w:val="es-MX"/>
              </w:rPr>
              <w:t>-76.6</w:t>
            </w:r>
            <w:r w:rsidR="00BC5FC3" w:rsidRPr="00305D32">
              <w:rPr>
                <w:color w:val="000000"/>
                <w:sz w:val="20"/>
                <w:szCs w:val="20"/>
                <w:lang w:val="es-MX"/>
              </w:rPr>
              <w:t>5</w:t>
            </w:r>
            <w:r w:rsidR="0019290E">
              <w:rPr>
                <w:color w:val="000000"/>
                <w:sz w:val="20"/>
                <w:szCs w:val="20"/>
                <w:lang w:val="es-MX"/>
              </w:rPr>
              <w:t xml:space="preserve"> %</w:t>
            </w:r>
          </w:p>
        </w:tc>
      </w:tr>
      <w:tr w:rsidR="00682D55" w:rsidRPr="00305D32" w14:paraId="3EBC4CD9" w14:textId="77777777" w:rsidTr="00685AB9">
        <w:trPr>
          <w:trHeight w:val="375"/>
          <w:jc w:val="center"/>
        </w:trPr>
        <w:tc>
          <w:tcPr>
            <w:tcW w:w="2660" w:type="dxa"/>
            <w:tcBorders>
              <w:top w:val="nil"/>
              <w:left w:val="nil"/>
              <w:bottom w:val="single" w:sz="18" w:space="0" w:color="auto"/>
              <w:right w:val="nil"/>
            </w:tcBorders>
            <w:vAlign w:val="center"/>
          </w:tcPr>
          <w:p w14:paraId="547CE2EE" w14:textId="77777777" w:rsidR="00682D55" w:rsidRPr="00305D32" w:rsidRDefault="00682D55">
            <w:pPr>
              <w:spacing w:after="0" w:line="240" w:lineRule="auto"/>
              <w:jc w:val="left"/>
              <w:rPr>
                <w:color w:val="000000"/>
                <w:sz w:val="20"/>
                <w:szCs w:val="20"/>
                <w:lang w:val="es-MX"/>
              </w:rPr>
            </w:pPr>
            <w:r w:rsidRPr="00305D32">
              <w:rPr>
                <w:color w:val="000000"/>
                <w:sz w:val="20"/>
                <w:szCs w:val="20"/>
                <w:lang w:val="es-MX"/>
              </w:rPr>
              <w:t>Cuentas entre compañías</w:t>
            </w:r>
          </w:p>
        </w:tc>
        <w:tc>
          <w:tcPr>
            <w:tcW w:w="997" w:type="dxa"/>
            <w:tcBorders>
              <w:top w:val="nil"/>
              <w:left w:val="nil"/>
              <w:bottom w:val="single" w:sz="18" w:space="0" w:color="auto"/>
              <w:right w:val="nil"/>
            </w:tcBorders>
            <w:vAlign w:val="center"/>
          </w:tcPr>
          <w:p w14:paraId="561A9442" w14:textId="783581E1" w:rsidR="00682D55" w:rsidRPr="00305D32" w:rsidRDefault="00EA1468">
            <w:pPr>
              <w:spacing w:after="0" w:line="240" w:lineRule="auto"/>
              <w:jc w:val="right"/>
              <w:rPr>
                <w:color w:val="000000"/>
                <w:sz w:val="20"/>
                <w:szCs w:val="20"/>
                <w:lang w:val="es-MX"/>
              </w:rPr>
            </w:pPr>
            <w:r w:rsidRPr="00305D32">
              <w:rPr>
                <w:color w:val="000000"/>
                <w:sz w:val="20"/>
                <w:szCs w:val="20"/>
                <w:lang w:val="es-MX"/>
              </w:rPr>
              <w:t>-11.9</w:t>
            </w:r>
          </w:p>
        </w:tc>
        <w:tc>
          <w:tcPr>
            <w:tcW w:w="997" w:type="dxa"/>
            <w:tcBorders>
              <w:top w:val="nil"/>
              <w:left w:val="nil"/>
              <w:bottom w:val="single" w:sz="18" w:space="0" w:color="auto"/>
              <w:right w:val="nil"/>
            </w:tcBorders>
            <w:vAlign w:val="center"/>
          </w:tcPr>
          <w:p w14:paraId="54B692F9" w14:textId="0BD7B032" w:rsidR="00682D55" w:rsidRPr="00305D32" w:rsidRDefault="00EA1468">
            <w:pPr>
              <w:spacing w:after="0" w:line="240" w:lineRule="auto"/>
              <w:jc w:val="right"/>
              <w:rPr>
                <w:color w:val="000000"/>
                <w:sz w:val="20"/>
                <w:szCs w:val="20"/>
                <w:lang w:val="es-MX"/>
              </w:rPr>
            </w:pPr>
            <w:r w:rsidRPr="00305D32">
              <w:rPr>
                <w:color w:val="000000"/>
                <w:sz w:val="20"/>
                <w:szCs w:val="20"/>
                <w:lang w:val="es-MX"/>
              </w:rPr>
              <w:t>16.5</w:t>
            </w:r>
          </w:p>
        </w:tc>
        <w:tc>
          <w:tcPr>
            <w:tcW w:w="1113" w:type="dxa"/>
            <w:tcBorders>
              <w:top w:val="nil"/>
              <w:left w:val="nil"/>
              <w:bottom w:val="single" w:sz="18" w:space="0" w:color="auto"/>
              <w:right w:val="nil"/>
            </w:tcBorders>
            <w:vAlign w:val="center"/>
          </w:tcPr>
          <w:p w14:paraId="7B3142FB" w14:textId="6D41628D" w:rsidR="00682D55" w:rsidRPr="00305D32" w:rsidRDefault="00EA1468">
            <w:pPr>
              <w:spacing w:after="0" w:line="240" w:lineRule="auto"/>
              <w:jc w:val="right"/>
              <w:rPr>
                <w:color w:val="000000"/>
                <w:sz w:val="20"/>
                <w:szCs w:val="20"/>
                <w:lang w:val="es-MX"/>
              </w:rPr>
            </w:pPr>
            <w:r w:rsidRPr="00305D32">
              <w:rPr>
                <w:color w:val="000000"/>
                <w:sz w:val="20"/>
                <w:szCs w:val="20"/>
                <w:lang w:val="es-MX"/>
              </w:rPr>
              <w:t>239.3</w:t>
            </w:r>
            <w:r w:rsidR="00011E9F" w:rsidRPr="00305D32">
              <w:rPr>
                <w:color w:val="000000"/>
                <w:sz w:val="20"/>
                <w:szCs w:val="20"/>
                <w:lang w:val="es-MX"/>
              </w:rPr>
              <w:t>2</w:t>
            </w:r>
            <w:r w:rsidR="0019290E">
              <w:rPr>
                <w:color w:val="000000"/>
                <w:sz w:val="20"/>
                <w:szCs w:val="20"/>
                <w:lang w:val="es-MX"/>
              </w:rPr>
              <w:t xml:space="preserve"> %</w:t>
            </w:r>
          </w:p>
        </w:tc>
        <w:tc>
          <w:tcPr>
            <w:tcW w:w="1120" w:type="dxa"/>
            <w:tcBorders>
              <w:top w:val="nil"/>
              <w:left w:val="nil"/>
              <w:bottom w:val="single" w:sz="18" w:space="0" w:color="auto"/>
              <w:right w:val="nil"/>
            </w:tcBorders>
            <w:vAlign w:val="center"/>
          </w:tcPr>
          <w:p w14:paraId="2BE37FEF" w14:textId="3B873368" w:rsidR="00682D55" w:rsidRPr="00305D32" w:rsidRDefault="002151A7">
            <w:pPr>
              <w:spacing w:after="0" w:line="240" w:lineRule="auto"/>
              <w:jc w:val="right"/>
              <w:rPr>
                <w:color w:val="000000"/>
                <w:sz w:val="20"/>
                <w:szCs w:val="20"/>
                <w:lang w:val="es-MX"/>
              </w:rPr>
            </w:pPr>
            <w:r w:rsidRPr="00305D32">
              <w:rPr>
                <w:color w:val="000000"/>
                <w:sz w:val="20"/>
                <w:szCs w:val="20"/>
                <w:lang w:val="es-MX"/>
              </w:rPr>
              <w:t>-20.8</w:t>
            </w:r>
          </w:p>
        </w:tc>
        <w:tc>
          <w:tcPr>
            <w:tcW w:w="1120" w:type="dxa"/>
            <w:tcBorders>
              <w:top w:val="nil"/>
              <w:left w:val="nil"/>
              <w:bottom w:val="single" w:sz="18" w:space="0" w:color="auto"/>
              <w:right w:val="nil"/>
            </w:tcBorders>
            <w:vAlign w:val="center"/>
          </w:tcPr>
          <w:p w14:paraId="51AFCB44" w14:textId="47457475" w:rsidR="00682D55" w:rsidRPr="00305D32" w:rsidRDefault="00682D55">
            <w:pPr>
              <w:spacing w:after="0" w:line="240" w:lineRule="auto"/>
              <w:jc w:val="right"/>
              <w:rPr>
                <w:color w:val="000000"/>
                <w:sz w:val="20"/>
                <w:szCs w:val="20"/>
                <w:lang w:val="es-MX"/>
              </w:rPr>
            </w:pPr>
            <w:r w:rsidRPr="00305D32">
              <w:rPr>
                <w:color w:val="000000"/>
                <w:sz w:val="20"/>
                <w:szCs w:val="20"/>
                <w:lang w:val="es-MX"/>
              </w:rPr>
              <w:t>-</w:t>
            </w:r>
            <w:r w:rsidR="002151A7" w:rsidRPr="00305D32">
              <w:rPr>
                <w:color w:val="000000"/>
                <w:sz w:val="20"/>
                <w:szCs w:val="20"/>
                <w:lang w:val="es-MX"/>
              </w:rPr>
              <w:t>12</w:t>
            </w:r>
            <w:r w:rsidRPr="00305D32">
              <w:rPr>
                <w:color w:val="000000"/>
                <w:sz w:val="20"/>
                <w:szCs w:val="20"/>
                <w:lang w:val="es-MX"/>
              </w:rPr>
              <w:t>.2</w:t>
            </w:r>
          </w:p>
        </w:tc>
        <w:tc>
          <w:tcPr>
            <w:tcW w:w="1114" w:type="dxa"/>
            <w:tcBorders>
              <w:top w:val="nil"/>
              <w:left w:val="nil"/>
              <w:bottom w:val="single" w:sz="18" w:space="0" w:color="auto"/>
              <w:right w:val="nil"/>
            </w:tcBorders>
            <w:vAlign w:val="center"/>
          </w:tcPr>
          <w:p w14:paraId="6015C891" w14:textId="31DFC484" w:rsidR="00682D55" w:rsidRPr="00305D32" w:rsidRDefault="002151A7">
            <w:pPr>
              <w:spacing w:after="0" w:line="240" w:lineRule="auto"/>
              <w:jc w:val="right"/>
              <w:rPr>
                <w:color w:val="000000"/>
                <w:sz w:val="20"/>
                <w:szCs w:val="20"/>
                <w:lang w:val="es-MX"/>
              </w:rPr>
            </w:pPr>
            <w:r w:rsidRPr="00305D32">
              <w:rPr>
                <w:color w:val="000000"/>
                <w:sz w:val="20"/>
                <w:szCs w:val="20"/>
                <w:lang w:val="es-MX"/>
              </w:rPr>
              <w:t>41.6</w:t>
            </w:r>
            <w:r w:rsidR="00BC5FC3" w:rsidRPr="00305D32">
              <w:rPr>
                <w:color w:val="000000"/>
                <w:sz w:val="20"/>
                <w:szCs w:val="20"/>
                <w:lang w:val="es-MX"/>
              </w:rPr>
              <w:t>0</w:t>
            </w:r>
            <w:r w:rsidR="0019290E">
              <w:rPr>
                <w:color w:val="000000"/>
                <w:sz w:val="20"/>
                <w:szCs w:val="20"/>
                <w:lang w:val="es-MX"/>
              </w:rPr>
              <w:t xml:space="preserve"> %</w:t>
            </w:r>
          </w:p>
        </w:tc>
      </w:tr>
    </w:tbl>
    <w:p w14:paraId="4D08368B" w14:textId="15914B4D" w:rsidR="00AE57F0" w:rsidRPr="00305D32" w:rsidRDefault="00414F7C">
      <w:pPr>
        <w:spacing w:line="240" w:lineRule="auto"/>
        <w:jc w:val="center"/>
        <w:rPr>
          <w:i/>
          <w:sz w:val="20"/>
          <w:szCs w:val="20"/>
          <w:lang w:val="es-MX"/>
        </w:rPr>
      </w:pPr>
      <w:r w:rsidRPr="00305D32">
        <w:rPr>
          <w:sz w:val="20"/>
          <w:szCs w:val="20"/>
          <w:lang w:val="es-MX"/>
        </w:rPr>
        <w:t>Fuente: Elaboración de la Subsecretaría de Análisis Económico y Finanzas Públicas de la Secretaría de Finanzas y Planeación, con base en datos de la Secretaría de Economía (202</w:t>
      </w:r>
      <w:r w:rsidR="007150D9" w:rsidRPr="00305D32">
        <w:rPr>
          <w:sz w:val="20"/>
          <w:szCs w:val="20"/>
          <w:lang w:val="es-MX"/>
        </w:rPr>
        <w:t>5</w:t>
      </w:r>
      <w:r w:rsidRPr="00305D32">
        <w:rPr>
          <w:sz w:val="20"/>
          <w:szCs w:val="20"/>
          <w:lang w:val="es-MX"/>
        </w:rPr>
        <w:t xml:space="preserve">) </w:t>
      </w:r>
      <w:r w:rsidRPr="00305D32">
        <w:rPr>
          <w:i/>
          <w:sz w:val="20"/>
          <w:szCs w:val="20"/>
          <w:lang w:val="es-MX"/>
        </w:rPr>
        <w:t>Inversión Extranjera Directa. Estadística oficial de los flujos de IED hacia México.</w:t>
      </w:r>
      <w:r w:rsidRPr="00305D32">
        <w:rPr>
          <w:sz w:val="20"/>
          <w:szCs w:val="20"/>
          <w:lang w:val="es-MX"/>
        </w:rPr>
        <w:t xml:space="preserve"> Cifras redondeadas.</w:t>
      </w:r>
    </w:p>
    <w:p w14:paraId="5ADBF2D0" w14:textId="7FF2FB15" w:rsidR="009670ED" w:rsidRPr="00305D32" w:rsidRDefault="005902B2" w:rsidP="009670ED">
      <w:pPr>
        <w:rPr>
          <w:lang w:val="es-MX"/>
        </w:rPr>
      </w:pPr>
      <w:bookmarkStart w:id="102" w:name="_heading=h.243i4a2" w:colFirst="0" w:colLast="0"/>
      <w:bookmarkEnd w:id="102"/>
      <w:r w:rsidRPr="005902B2">
        <w:rPr>
          <w:lang w:val="es-MX"/>
        </w:rPr>
        <w:t xml:space="preserve">La otra variable relevante para Quintana Roo son las exportaciones, pues estas permiten medir el nivel de intercambio comercial de México o de las entidades con el </w:t>
      </w:r>
      <w:r w:rsidRPr="005902B2">
        <w:rPr>
          <w:lang w:val="es-MX"/>
        </w:rPr>
        <w:lastRenderedPageBreak/>
        <w:t>exterior.  Mientras mayor volumen de exportaciones, mayor dinamismo económico se observa entre las diferentes entidades en su relación con el sector externo</w:t>
      </w:r>
      <w:r w:rsidR="009670ED" w:rsidRPr="00305D32">
        <w:rPr>
          <w:lang w:val="es-MX"/>
        </w:rPr>
        <w:t>.</w:t>
      </w:r>
    </w:p>
    <w:p w14:paraId="42FF04FB" w14:textId="4BB338F9" w:rsidR="009670ED" w:rsidRPr="00305D32" w:rsidRDefault="009670ED" w:rsidP="009670ED">
      <w:pPr>
        <w:rPr>
          <w:lang w:val="es-MX"/>
        </w:rPr>
      </w:pPr>
      <w:r w:rsidRPr="00305D32">
        <w:rPr>
          <w:lang w:val="es-MX"/>
        </w:rPr>
        <w:t>Las exportaciones en Quintana Roo (</w:t>
      </w:r>
      <w:r w:rsidR="00F91455" w:rsidRPr="00305D32">
        <w:rPr>
          <w:lang w:val="es-MX"/>
        </w:rPr>
        <w:fldChar w:fldCharType="begin"/>
      </w:r>
      <w:r w:rsidR="00F91455" w:rsidRPr="00305D32">
        <w:rPr>
          <w:lang w:val="es-MX"/>
        </w:rPr>
        <w:instrText xml:space="preserve"> REF _Ref210294072 \h </w:instrText>
      </w:r>
      <w:r w:rsidR="00F91455" w:rsidRPr="00305D32">
        <w:rPr>
          <w:lang w:val="es-MX"/>
        </w:rPr>
      </w:r>
      <w:r w:rsidR="00F91455" w:rsidRPr="00305D32">
        <w:rPr>
          <w:lang w:val="es-MX"/>
        </w:rPr>
        <w:fldChar w:fldCharType="separate"/>
      </w:r>
      <w:r w:rsidR="00ED1F2F" w:rsidRPr="00305D32">
        <w:rPr>
          <w:lang w:val="es-MX"/>
        </w:rPr>
        <w:t xml:space="preserve">Tabla </w:t>
      </w:r>
      <w:r w:rsidR="00ED1F2F">
        <w:rPr>
          <w:noProof/>
          <w:lang w:val="es-MX"/>
        </w:rPr>
        <w:t>16</w:t>
      </w:r>
      <w:r w:rsidR="00F91455" w:rsidRPr="00305D32">
        <w:rPr>
          <w:lang w:val="es-MX"/>
        </w:rPr>
        <w:fldChar w:fldCharType="end"/>
      </w:r>
      <w:r w:rsidRPr="00305D32">
        <w:rPr>
          <w:lang w:val="es-MX"/>
        </w:rPr>
        <w:t xml:space="preserve">) </w:t>
      </w:r>
      <w:r w:rsidR="00440A4A" w:rsidRPr="00440A4A">
        <w:rPr>
          <w:lang w:val="es-MX"/>
        </w:rPr>
        <w:t>también mostraron un comportamiento ligeramente desfavorable en 2024, cuando alcanzaron un monto de 36.25 millones de dólares, cifra inferior en -2.07</w:t>
      </w:r>
      <w:r w:rsidR="0019290E">
        <w:rPr>
          <w:lang w:val="es-MX"/>
        </w:rPr>
        <w:t xml:space="preserve"> %</w:t>
      </w:r>
      <w:r w:rsidR="00440A4A" w:rsidRPr="00440A4A">
        <w:rPr>
          <w:lang w:val="es-MX"/>
        </w:rPr>
        <w:t xml:space="preserve"> respecto a los 37.02 millones de dólares de 2023. Asimismo, los datos disponibles para el primer semestre de 2025 indican una disminución significativa de -16.9</w:t>
      </w:r>
      <w:r w:rsidR="0019290E">
        <w:rPr>
          <w:lang w:val="es-MX"/>
        </w:rPr>
        <w:t xml:space="preserve"> %</w:t>
      </w:r>
      <w:r w:rsidR="00440A4A" w:rsidRPr="00440A4A">
        <w:rPr>
          <w:lang w:val="es-MX"/>
        </w:rPr>
        <w:t>, al pasar de 17.5 millones en el primer semestre de 2024 a 14.55 millones de 2025. En contraste, las exportaciones nacionales aumentaron 4.5</w:t>
      </w:r>
      <w:r w:rsidR="0019290E">
        <w:rPr>
          <w:lang w:val="es-MX"/>
        </w:rPr>
        <w:t xml:space="preserve"> %</w:t>
      </w:r>
      <w:r w:rsidR="00440A4A" w:rsidRPr="00440A4A">
        <w:rPr>
          <w:lang w:val="es-MX"/>
        </w:rPr>
        <w:t xml:space="preserve"> en ese mismo periodo.</w:t>
      </w:r>
    </w:p>
    <w:p w14:paraId="4D08368E" w14:textId="7BB77E38" w:rsidR="00AE57F0" w:rsidRPr="00305D32" w:rsidRDefault="00414F7C" w:rsidP="00F91455">
      <w:pPr>
        <w:pStyle w:val="Descripcin"/>
        <w:jc w:val="center"/>
        <w:rPr>
          <w:lang w:val="es-MX"/>
        </w:rPr>
      </w:pPr>
      <w:bookmarkStart w:id="103" w:name="_Ref210294072"/>
      <w:r w:rsidRPr="00305D32">
        <w:rPr>
          <w:lang w:val="es-MX"/>
        </w:rPr>
        <w:t xml:space="preserve">Tabla </w:t>
      </w:r>
      <w:r w:rsidR="00F91455" w:rsidRPr="00305D32">
        <w:rPr>
          <w:lang w:val="es-MX"/>
        </w:rPr>
        <w:fldChar w:fldCharType="begin"/>
      </w:r>
      <w:r w:rsidR="00F91455" w:rsidRPr="00305D32">
        <w:rPr>
          <w:lang w:val="es-MX"/>
        </w:rPr>
        <w:instrText xml:space="preserve"> SEQ Tabla \* ARABIC </w:instrText>
      </w:r>
      <w:r w:rsidR="00F91455" w:rsidRPr="00305D32">
        <w:rPr>
          <w:lang w:val="es-MX"/>
        </w:rPr>
        <w:fldChar w:fldCharType="separate"/>
      </w:r>
      <w:r w:rsidR="00ED1F2F">
        <w:rPr>
          <w:noProof/>
          <w:lang w:val="es-MX"/>
        </w:rPr>
        <w:t>16</w:t>
      </w:r>
      <w:r w:rsidR="00F91455" w:rsidRPr="00305D32">
        <w:rPr>
          <w:lang w:val="es-MX"/>
        </w:rPr>
        <w:fldChar w:fldCharType="end"/>
      </w:r>
      <w:bookmarkEnd w:id="103"/>
      <w:r w:rsidRPr="00305D32">
        <w:rPr>
          <w:lang w:val="es-MX"/>
        </w:rPr>
        <w:t>. Exportaciones totales, nacional y Quintana Roo, millones de dólares corrientes 202</w:t>
      </w:r>
      <w:r w:rsidR="00EF24E8" w:rsidRPr="00305D32">
        <w:rPr>
          <w:lang w:val="es-MX"/>
        </w:rPr>
        <w:t>2</w:t>
      </w:r>
      <w:r w:rsidRPr="00305D32">
        <w:rPr>
          <w:lang w:val="es-MX"/>
        </w:rPr>
        <w:t>-202</w:t>
      </w:r>
      <w:r w:rsidR="00EF24E8" w:rsidRPr="00305D32">
        <w:rPr>
          <w:lang w:val="es-MX"/>
        </w:rPr>
        <w:t>5</w:t>
      </w:r>
    </w:p>
    <w:tbl>
      <w:tblPr>
        <w:tblStyle w:val="ae"/>
        <w:tblW w:w="9121" w:type="dxa"/>
        <w:tblInd w:w="0" w:type="dxa"/>
        <w:tblLayout w:type="fixed"/>
        <w:tblLook w:val="0400" w:firstRow="0" w:lastRow="0" w:firstColumn="0" w:lastColumn="0" w:noHBand="0" w:noVBand="1"/>
      </w:tblPr>
      <w:tblGrid>
        <w:gridCol w:w="1380"/>
        <w:gridCol w:w="1313"/>
        <w:gridCol w:w="1417"/>
        <w:gridCol w:w="992"/>
        <w:gridCol w:w="1419"/>
        <w:gridCol w:w="1558"/>
        <w:gridCol w:w="1042"/>
      </w:tblGrid>
      <w:tr w:rsidR="005852EE" w:rsidRPr="00305D32" w14:paraId="79314678" w14:textId="77777777">
        <w:trPr>
          <w:trHeight w:val="282"/>
        </w:trPr>
        <w:tc>
          <w:tcPr>
            <w:tcW w:w="1380" w:type="dxa"/>
            <w:tcBorders>
              <w:top w:val="single" w:sz="12" w:space="0" w:color="000000"/>
              <w:left w:val="nil"/>
              <w:bottom w:val="single" w:sz="12" w:space="0" w:color="000000"/>
              <w:right w:val="nil"/>
            </w:tcBorders>
            <w:vAlign w:val="center"/>
          </w:tcPr>
          <w:p w14:paraId="4B921524" w14:textId="77777777" w:rsidR="005852EE" w:rsidRPr="00305D32" w:rsidRDefault="005852EE">
            <w:pPr>
              <w:spacing w:after="0" w:line="240" w:lineRule="auto"/>
              <w:jc w:val="center"/>
              <w:rPr>
                <w:b/>
                <w:color w:val="000000"/>
                <w:sz w:val="22"/>
                <w:szCs w:val="22"/>
                <w:lang w:val="es-MX"/>
              </w:rPr>
            </w:pPr>
          </w:p>
        </w:tc>
        <w:tc>
          <w:tcPr>
            <w:tcW w:w="1313" w:type="dxa"/>
            <w:tcBorders>
              <w:top w:val="single" w:sz="12" w:space="0" w:color="000000"/>
              <w:left w:val="nil"/>
              <w:bottom w:val="single" w:sz="12" w:space="0" w:color="000000"/>
              <w:right w:val="nil"/>
            </w:tcBorders>
            <w:vAlign w:val="center"/>
          </w:tcPr>
          <w:p w14:paraId="3E41D38E" w14:textId="50229C34" w:rsidR="005852EE" w:rsidRPr="00305D32" w:rsidRDefault="0061232A">
            <w:pPr>
              <w:spacing w:after="0" w:line="240" w:lineRule="auto"/>
              <w:jc w:val="center"/>
              <w:rPr>
                <w:b/>
                <w:color w:val="000000"/>
                <w:sz w:val="22"/>
                <w:szCs w:val="22"/>
                <w:lang w:val="es-MX"/>
              </w:rPr>
            </w:pPr>
            <w:r w:rsidRPr="00305D32">
              <w:rPr>
                <w:b/>
                <w:bCs/>
                <w:color w:val="000000"/>
                <w:sz w:val="22"/>
                <w:szCs w:val="22"/>
                <w:lang w:val="es-MX"/>
              </w:rPr>
              <w:t>2023</w:t>
            </w:r>
          </w:p>
        </w:tc>
        <w:tc>
          <w:tcPr>
            <w:tcW w:w="1417" w:type="dxa"/>
            <w:tcBorders>
              <w:top w:val="single" w:sz="12" w:space="0" w:color="000000"/>
              <w:left w:val="nil"/>
              <w:bottom w:val="single" w:sz="12" w:space="0" w:color="000000"/>
              <w:right w:val="nil"/>
            </w:tcBorders>
            <w:vAlign w:val="center"/>
          </w:tcPr>
          <w:p w14:paraId="7E5DC161" w14:textId="5F391D84" w:rsidR="005852EE" w:rsidRPr="00305D32" w:rsidRDefault="0061232A">
            <w:pPr>
              <w:spacing w:after="0" w:line="240" w:lineRule="auto"/>
              <w:jc w:val="center"/>
              <w:rPr>
                <w:b/>
                <w:color w:val="000000"/>
                <w:sz w:val="22"/>
                <w:szCs w:val="22"/>
                <w:lang w:val="es-MX"/>
              </w:rPr>
            </w:pPr>
            <w:r w:rsidRPr="00305D32">
              <w:rPr>
                <w:b/>
                <w:bCs/>
                <w:color w:val="000000"/>
                <w:sz w:val="22"/>
                <w:szCs w:val="22"/>
                <w:lang w:val="es-MX"/>
              </w:rPr>
              <w:t>2024</w:t>
            </w:r>
          </w:p>
        </w:tc>
        <w:tc>
          <w:tcPr>
            <w:tcW w:w="992" w:type="dxa"/>
            <w:tcBorders>
              <w:top w:val="single" w:sz="12" w:space="0" w:color="000000"/>
              <w:left w:val="nil"/>
              <w:bottom w:val="single" w:sz="12" w:space="0" w:color="000000"/>
              <w:right w:val="nil"/>
            </w:tcBorders>
            <w:vAlign w:val="center"/>
          </w:tcPr>
          <w:p w14:paraId="6DD09B6C" w14:textId="1BDF3295" w:rsidR="005852EE" w:rsidRPr="00305D32" w:rsidRDefault="005861F1">
            <w:pPr>
              <w:spacing w:after="0" w:line="240" w:lineRule="auto"/>
              <w:jc w:val="center"/>
              <w:rPr>
                <w:b/>
                <w:color w:val="000000"/>
                <w:sz w:val="22"/>
                <w:szCs w:val="22"/>
                <w:lang w:val="es-MX"/>
              </w:rPr>
            </w:pPr>
            <w:r w:rsidRPr="00305D32">
              <w:rPr>
                <w:b/>
                <w:color w:val="000000"/>
                <w:sz w:val="22"/>
                <w:szCs w:val="22"/>
                <w:lang w:val="es-MX"/>
              </w:rPr>
              <w:t>Var.</w:t>
            </w:r>
            <w:r w:rsidR="0019290E">
              <w:rPr>
                <w:b/>
                <w:color w:val="000000"/>
                <w:sz w:val="22"/>
                <w:szCs w:val="22"/>
                <w:lang w:val="es-MX"/>
              </w:rPr>
              <w:t xml:space="preserve"> %</w:t>
            </w:r>
            <w:r w:rsidR="005852EE" w:rsidRPr="00305D32">
              <w:rPr>
                <w:b/>
                <w:color w:val="000000"/>
                <w:sz w:val="22"/>
                <w:szCs w:val="22"/>
                <w:lang w:val="es-MX"/>
              </w:rPr>
              <w:t xml:space="preserve"> 2023</w:t>
            </w:r>
            <w:r w:rsidR="00AA224E" w:rsidRPr="00305D32">
              <w:rPr>
                <w:b/>
                <w:bCs/>
                <w:color w:val="000000"/>
                <w:sz w:val="22"/>
                <w:szCs w:val="22"/>
                <w:lang w:val="es-MX"/>
              </w:rPr>
              <w:t>-2024</w:t>
            </w:r>
          </w:p>
        </w:tc>
        <w:tc>
          <w:tcPr>
            <w:tcW w:w="1419" w:type="dxa"/>
            <w:tcBorders>
              <w:top w:val="single" w:sz="12" w:space="0" w:color="000000"/>
              <w:left w:val="nil"/>
              <w:bottom w:val="single" w:sz="12" w:space="0" w:color="000000"/>
              <w:right w:val="nil"/>
            </w:tcBorders>
            <w:vAlign w:val="center"/>
          </w:tcPr>
          <w:p w14:paraId="76E781BB" w14:textId="16C14425" w:rsidR="005852EE" w:rsidRPr="00305D32" w:rsidRDefault="005852EE">
            <w:pPr>
              <w:spacing w:after="0" w:line="240" w:lineRule="auto"/>
              <w:jc w:val="center"/>
              <w:rPr>
                <w:b/>
                <w:color w:val="000000"/>
                <w:sz w:val="22"/>
                <w:szCs w:val="22"/>
                <w:lang w:val="es-MX"/>
              </w:rPr>
            </w:pPr>
            <w:r w:rsidRPr="00305D32">
              <w:rPr>
                <w:b/>
                <w:color w:val="000000"/>
                <w:sz w:val="22"/>
                <w:szCs w:val="22"/>
                <w:lang w:val="es-MX"/>
              </w:rPr>
              <w:t>Ene-</w:t>
            </w:r>
            <w:r w:rsidR="00C87815" w:rsidRPr="00305D32">
              <w:rPr>
                <w:b/>
                <w:color w:val="000000"/>
                <w:sz w:val="22"/>
                <w:szCs w:val="22"/>
                <w:lang w:val="es-MX"/>
              </w:rPr>
              <w:t>Jun</w:t>
            </w:r>
            <w:r w:rsidRPr="00305D32">
              <w:rPr>
                <w:b/>
                <w:color w:val="000000"/>
                <w:sz w:val="22"/>
                <w:szCs w:val="22"/>
                <w:lang w:val="es-MX"/>
              </w:rPr>
              <w:t xml:space="preserve"> </w:t>
            </w:r>
            <w:r w:rsidR="00C629A6" w:rsidRPr="00305D32">
              <w:rPr>
                <w:b/>
                <w:bCs/>
                <w:color w:val="000000"/>
                <w:sz w:val="22"/>
                <w:szCs w:val="22"/>
                <w:lang w:val="es-MX"/>
              </w:rPr>
              <w:t>2024</w:t>
            </w:r>
          </w:p>
        </w:tc>
        <w:tc>
          <w:tcPr>
            <w:tcW w:w="1558" w:type="dxa"/>
            <w:tcBorders>
              <w:top w:val="single" w:sz="12" w:space="0" w:color="000000"/>
              <w:left w:val="nil"/>
              <w:bottom w:val="single" w:sz="12" w:space="0" w:color="000000"/>
              <w:right w:val="nil"/>
            </w:tcBorders>
            <w:vAlign w:val="center"/>
          </w:tcPr>
          <w:p w14:paraId="2A68DABF" w14:textId="61846B4C" w:rsidR="005852EE" w:rsidRPr="00305D32" w:rsidRDefault="005852EE">
            <w:pPr>
              <w:spacing w:after="0" w:line="240" w:lineRule="auto"/>
              <w:jc w:val="center"/>
              <w:rPr>
                <w:b/>
                <w:color w:val="000000"/>
                <w:sz w:val="22"/>
                <w:szCs w:val="22"/>
                <w:lang w:val="es-MX"/>
              </w:rPr>
            </w:pPr>
            <w:r w:rsidRPr="00305D32">
              <w:rPr>
                <w:b/>
                <w:color w:val="000000"/>
                <w:sz w:val="22"/>
                <w:szCs w:val="22"/>
                <w:lang w:val="es-MX"/>
              </w:rPr>
              <w:t>Ene-</w:t>
            </w:r>
            <w:r w:rsidR="00C87815" w:rsidRPr="00305D32">
              <w:rPr>
                <w:b/>
                <w:color w:val="000000"/>
                <w:sz w:val="22"/>
                <w:szCs w:val="22"/>
                <w:lang w:val="es-MX"/>
              </w:rPr>
              <w:t>Jun</w:t>
            </w:r>
            <w:r w:rsidRPr="00305D32">
              <w:rPr>
                <w:b/>
                <w:color w:val="000000"/>
                <w:sz w:val="22"/>
                <w:szCs w:val="22"/>
                <w:lang w:val="es-MX"/>
              </w:rPr>
              <w:t xml:space="preserve"> </w:t>
            </w:r>
            <w:r w:rsidR="00C629A6" w:rsidRPr="00305D32">
              <w:rPr>
                <w:b/>
                <w:bCs/>
                <w:color w:val="000000"/>
                <w:sz w:val="22"/>
                <w:szCs w:val="22"/>
                <w:lang w:val="es-MX"/>
              </w:rPr>
              <w:t>2025</w:t>
            </w:r>
          </w:p>
        </w:tc>
        <w:tc>
          <w:tcPr>
            <w:tcW w:w="1042" w:type="dxa"/>
            <w:tcBorders>
              <w:top w:val="single" w:sz="12" w:space="0" w:color="000000"/>
              <w:left w:val="nil"/>
              <w:bottom w:val="single" w:sz="12" w:space="0" w:color="000000"/>
              <w:right w:val="nil"/>
            </w:tcBorders>
            <w:vAlign w:val="center"/>
          </w:tcPr>
          <w:p w14:paraId="139C95F3" w14:textId="2406E25A" w:rsidR="005852EE" w:rsidRPr="00305D32" w:rsidRDefault="005861F1">
            <w:pPr>
              <w:spacing w:after="0" w:line="240" w:lineRule="auto"/>
              <w:jc w:val="center"/>
              <w:rPr>
                <w:b/>
                <w:color w:val="000000"/>
                <w:sz w:val="22"/>
                <w:szCs w:val="22"/>
                <w:lang w:val="es-MX"/>
              </w:rPr>
            </w:pPr>
            <w:r w:rsidRPr="00305D32">
              <w:rPr>
                <w:b/>
                <w:color w:val="000000"/>
                <w:sz w:val="22"/>
                <w:szCs w:val="22"/>
                <w:lang w:val="es-MX"/>
              </w:rPr>
              <w:t>Var.</w:t>
            </w:r>
            <w:r w:rsidR="0019290E">
              <w:rPr>
                <w:b/>
                <w:color w:val="000000"/>
                <w:sz w:val="22"/>
                <w:szCs w:val="22"/>
                <w:lang w:val="es-MX"/>
              </w:rPr>
              <w:t xml:space="preserve"> %</w:t>
            </w:r>
            <w:r w:rsidR="005852EE" w:rsidRPr="00305D32">
              <w:rPr>
                <w:b/>
                <w:color w:val="000000"/>
                <w:sz w:val="22"/>
                <w:szCs w:val="22"/>
                <w:lang w:val="es-MX"/>
              </w:rPr>
              <w:t xml:space="preserve"> 2024</w:t>
            </w:r>
            <w:r w:rsidR="00C629A6" w:rsidRPr="00305D32">
              <w:rPr>
                <w:b/>
                <w:bCs/>
                <w:color w:val="000000"/>
                <w:sz w:val="22"/>
                <w:szCs w:val="22"/>
                <w:lang w:val="es-MX"/>
              </w:rPr>
              <w:t>-2025</w:t>
            </w:r>
          </w:p>
        </w:tc>
      </w:tr>
      <w:tr w:rsidR="005852EE" w:rsidRPr="00305D32" w14:paraId="73F04BDB" w14:textId="77777777" w:rsidTr="00685AB9">
        <w:trPr>
          <w:trHeight w:val="486"/>
        </w:trPr>
        <w:tc>
          <w:tcPr>
            <w:tcW w:w="1380" w:type="dxa"/>
            <w:tcBorders>
              <w:top w:val="nil"/>
              <w:left w:val="nil"/>
              <w:bottom w:val="nil"/>
              <w:right w:val="nil"/>
            </w:tcBorders>
            <w:vAlign w:val="center"/>
          </w:tcPr>
          <w:p w14:paraId="72695676" w14:textId="77777777" w:rsidR="005852EE" w:rsidRPr="00305D32" w:rsidRDefault="005852EE">
            <w:pPr>
              <w:spacing w:after="0" w:line="240" w:lineRule="auto"/>
              <w:jc w:val="left"/>
              <w:rPr>
                <w:color w:val="000000"/>
                <w:sz w:val="22"/>
                <w:szCs w:val="22"/>
                <w:lang w:val="es-MX"/>
              </w:rPr>
            </w:pPr>
            <w:r w:rsidRPr="00305D32">
              <w:rPr>
                <w:color w:val="000000"/>
                <w:sz w:val="22"/>
                <w:szCs w:val="22"/>
                <w:lang w:val="es-MX"/>
              </w:rPr>
              <w:t>Nacional</w:t>
            </w:r>
          </w:p>
        </w:tc>
        <w:tc>
          <w:tcPr>
            <w:tcW w:w="1313" w:type="dxa"/>
            <w:tcBorders>
              <w:top w:val="nil"/>
              <w:left w:val="nil"/>
              <w:bottom w:val="nil"/>
              <w:right w:val="nil"/>
            </w:tcBorders>
            <w:vAlign w:val="center"/>
          </w:tcPr>
          <w:p w14:paraId="4E26EA39" w14:textId="1E6A42A5" w:rsidR="005852EE" w:rsidRPr="00305D32" w:rsidRDefault="00111634" w:rsidP="00C629A6">
            <w:pPr>
              <w:spacing w:after="0" w:line="240" w:lineRule="auto"/>
              <w:jc w:val="center"/>
              <w:rPr>
                <w:color w:val="000000"/>
                <w:sz w:val="22"/>
                <w:szCs w:val="22"/>
                <w:lang w:val="es-MX"/>
              </w:rPr>
            </w:pPr>
            <w:r w:rsidRPr="00305D32">
              <w:rPr>
                <w:color w:val="000000"/>
                <w:sz w:val="22"/>
                <w:szCs w:val="22"/>
                <w:lang w:val="es-MX"/>
              </w:rPr>
              <w:t>533,773.09</w:t>
            </w:r>
          </w:p>
        </w:tc>
        <w:tc>
          <w:tcPr>
            <w:tcW w:w="1417" w:type="dxa"/>
            <w:tcBorders>
              <w:top w:val="nil"/>
              <w:left w:val="nil"/>
              <w:bottom w:val="nil"/>
              <w:right w:val="nil"/>
            </w:tcBorders>
            <w:vAlign w:val="center"/>
          </w:tcPr>
          <w:p w14:paraId="45F46233" w14:textId="02FB4A9D" w:rsidR="005852EE" w:rsidRPr="00305D32" w:rsidRDefault="00111634" w:rsidP="00C629A6">
            <w:pPr>
              <w:spacing w:after="0" w:line="240" w:lineRule="auto"/>
              <w:jc w:val="center"/>
              <w:rPr>
                <w:color w:val="000000"/>
                <w:sz w:val="22"/>
                <w:szCs w:val="22"/>
                <w:lang w:val="es-MX"/>
              </w:rPr>
            </w:pPr>
            <w:r w:rsidRPr="00305D32">
              <w:rPr>
                <w:color w:val="000000"/>
                <w:sz w:val="22"/>
                <w:szCs w:val="22"/>
                <w:lang w:val="es-MX"/>
              </w:rPr>
              <w:t>552,724.00</w:t>
            </w:r>
          </w:p>
        </w:tc>
        <w:tc>
          <w:tcPr>
            <w:tcW w:w="992" w:type="dxa"/>
            <w:tcBorders>
              <w:top w:val="nil"/>
              <w:left w:val="nil"/>
              <w:bottom w:val="nil"/>
              <w:right w:val="nil"/>
            </w:tcBorders>
            <w:vAlign w:val="center"/>
          </w:tcPr>
          <w:p w14:paraId="4B682208" w14:textId="540F1F1C" w:rsidR="005852EE" w:rsidRPr="00305D32" w:rsidRDefault="00AA224E" w:rsidP="00C629A6">
            <w:pPr>
              <w:spacing w:after="0" w:line="240" w:lineRule="auto"/>
              <w:jc w:val="center"/>
              <w:rPr>
                <w:color w:val="000000"/>
                <w:sz w:val="22"/>
                <w:szCs w:val="22"/>
                <w:lang w:val="es-MX"/>
              </w:rPr>
            </w:pPr>
            <w:r w:rsidRPr="00305D32">
              <w:rPr>
                <w:color w:val="000000"/>
                <w:sz w:val="22"/>
                <w:szCs w:val="22"/>
                <w:lang w:val="es-MX"/>
              </w:rPr>
              <w:t>3.55</w:t>
            </w:r>
            <w:r w:rsidR="0019290E">
              <w:rPr>
                <w:color w:val="000000"/>
                <w:sz w:val="22"/>
                <w:szCs w:val="22"/>
                <w:lang w:val="es-MX"/>
              </w:rPr>
              <w:t xml:space="preserve"> %</w:t>
            </w:r>
          </w:p>
        </w:tc>
        <w:tc>
          <w:tcPr>
            <w:tcW w:w="1419" w:type="dxa"/>
            <w:tcBorders>
              <w:top w:val="nil"/>
              <w:left w:val="nil"/>
              <w:bottom w:val="nil"/>
              <w:right w:val="nil"/>
            </w:tcBorders>
            <w:vAlign w:val="center"/>
          </w:tcPr>
          <w:p w14:paraId="74EE6F22" w14:textId="02D71B78" w:rsidR="005852EE" w:rsidRPr="00305D32" w:rsidRDefault="003506E5" w:rsidP="00C629A6">
            <w:pPr>
              <w:spacing w:after="0" w:line="240" w:lineRule="auto"/>
              <w:jc w:val="center"/>
              <w:rPr>
                <w:color w:val="000000"/>
                <w:sz w:val="22"/>
                <w:szCs w:val="22"/>
                <w:lang w:val="es-MX"/>
              </w:rPr>
            </w:pPr>
            <w:r w:rsidRPr="00305D32">
              <w:rPr>
                <w:sz w:val="22"/>
                <w:szCs w:val="22"/>
                <w:lang w:val="es-MX"/>
              </w:rPr>
              <w:t>268</w:t>
            </w:r>
            <w:r w:rsidR="006B0DBD" w:rsidRPr="00305D32">
              <w:rPr>
                <w:sz w:val="22"/>
                <w:szCs w:val="22"/>
                <w:lang w:val="es-MX"/>
              </w:rPr>
              <w:t>,</w:t>
            </w:r>
            <w:r w:rsidRPr="00305D32">
              <w:rPr>
                <w:sz w:val="22"/>
                <w:szCs w:val="22"/>
                <w:lang w:val="es-MX"/>
              </w:rPr>
              <w:t>630.6</w:t>
            </w:r>
            <w:r w:rsidR="006B0DBD" w:rsidRPr="00305D32">
              <w:rPr>
                <w:sz w:val="22"/>
                <w:szCs w:val="22"/>
                <w:lang w:val="es-MX"/>
              </w:rPr>
              <w:t>6</w:t>
            </w:r>
          </w:p>
        </w:tc>
        <w:tc>
          <w:tcPr>
            <w:tcW w:w="1558" w:type="dxa"/>
            <w:tcBorders>
              <w:top w:val="nil"/>
              <w:left w:val="nil"/>
              <w:bottom w:val="nil"/>
              <w:right w:val="nil"/>
            </w:tcBorders>
            <w:vAlign w:val="center"/>
          </w:tcPr>
          <w:p w14:paraId="7A2A7092" w14:textId="5AE202EE" w:rsidR="005852EE" w:rsidRPr="00305D32" w:rsidRDefault="003506E5" w:rsidP="00C629A6">
            <w:pPr>
              <w:spacing w:after="0" w:line="240" w:lineRule="auto"/>
              <w:jc w:val="center"/>
              <w:rPr>
                <w:color w:val="000000"/>
                <w:sz w:val="22"/>
                <w:szCs w:val="22"/>
                <w:lang w:val="es-MX"/>
              </w:rPr>
            </w:pPr>
            <w:r w:rsidRPr="00305D32">
              <w:rPr>
                <w:sz w:val="22"/>
                <w:szCs w:val="22"/>
                <w:lang w:val="es-MX"/>
              </w:rPr>
              <w:t>280</w:t>
            </w:r>
            <w:r w:rsidR="0071456D" w:rsidRPr="00305D32">
              <w:rPr>
                <w:sz w:val="22"/>
                <w:szCs w:val="22"/>
                <w:lang w:val="es-MX"/>
              </w:rPr>
              <w:t>,</w:t>
            </w:r>
            <w:r w:rsidRPr="00305D32">
              <w:rPr>
                <w:sz w:val="22"/>
                <w:szCs w:val="22"/>
                <w:lang w:val="es-MX"/>
              </w:rPr>
              <w:t>608.45</w:t>
            </w:r>
          </w:p>
        </w:tc>
        <w:tc>
          <w:tcPr>
            <w:tcW w:w="1042" w:type="dxa"/>
            <w:tcBorders>
              <w:top w:val="nil"/>
              <w:left w:val="nil"/>
              <w:bottom w:val="nil"/>
              <w:right w:val="nil"/>
            </w:tcBorders>
            <w:vAlign w:val="center"/>
          </w:tcPr>
          <w:p w14:paraId="492D8FBE" w14:textId="460D7221" w:rsidR="005852EE" w:rsidRPr="00305D32" w:rsidRDefault="0071456D" w:rsidP="00C629A6">
            <w:pPr>
              <w:spacing w:after="0" w:line="240" w:lineRule="auto"/>
              <w:jc w:val="center"/>
              <w:rPr>
                <w:color w:val="000000"/>
                <w:sz w:val="22"/>
                <w:szCs w:val="22"/>
                <w:lang w:val="es-MX"/>
              </w:rPr>
            </w:pPr>
            <w:r w:rsidRPr="00305D32">
              <w:rPr>
                <w:color w:val="000000"/>
                <w:sz w:val="22"/>
                <w:szCs w:val="22"/>
                <w:lang w:val="es-MX"/>
              </w:rPr>
              <w:t>4</w:t>
            </w:r>
            <w:r w:rsidR="003506E5" w:rsidRPr="00305D32">
              <w:rPr>
                <w:color w:val="000000"/>
                <w:sz w:val="22"/>
                <w:szCs w:val="22"/>
                <w:lang w:val="es-MX"/>
              </w:rPr>
              <w:t>.</w:t>
            </w:r>
            <w:r w:rsidRPr="00305D32">
              <w:rPr>
                <w:color w:val="000000"/>
                <w:sz w:val="22"/>
                <w:szCs w:val="22"/>
                <w:lang w:val="es-MX"/>
              </w:rPr>
              <w:t>5</w:t>
            </w:r>
            <w:r w:rsidR="0019290E">
              <w:rPr>
                <w:color w:val="000000"/>
                <w:sz w:val="22"/>
                <w:szCs w:val="22"/>
                <w:lang w:val="es-MX"/>
              </w:rPr>
              <w:t xml:space="preserve"> %</w:t>
            </w:r>
          </w:p>
        </w:tc>
      </w:tr>
      <w:tr w:rsidR="005852EE" w:rsidRPr="00305D32" w14:paraId="331F7C8D" w14:textId="77777777">
        <w:trPr>
          <w:trHeight w:val="300"/>
        </w:trPr>
        <w:tc>
          <w:tcPr>
            <w:tcW w:w="1380" w:type="dxa"/>
            <w:tcBorders>
              <w:top w:val="nil"/>
              <w:left w:val="nil"/>
              <w:bottom w:val="single" w:sz="12" w:space="0" w:color="000000"/>
              <w:right w:val="nil"/>
            </w:tcBorders>
            <w:vAlign w:val="center"/>
          </w:tcPr>
          <w:p w14:paraId="649AF69C" w14:textId="77777777" w:rsidR="005852EE" w:rsidRPr="00305D32" w:rsidRDefault="005852EE">
            <w:pPr>
              <w:spacing w:after="0" w:line="240" w:lineRule="auto"/>
              <w:jc w:val="left"/>
              <w:rPr>
                <w:color w:val="000000"/>
                <w:sz w:val="22"/>
                <w:szCs w:val="22"/>
                <w:lang w:val="es-MX"/>
              </w:rPr>
            </w:pPr>
            <w:r w:rsidRPr="00305D32">
              <w:rPr>
                <w:color w:val="000000"/>
                <w:sz w:val="22"/>
                <w:szCs w:val="22"/>
                <w:lang w:val="es-MX"/>
              </w:rPr>
              <w:t>Quintana Roo</w:t>
            </w:r>
          </w:p>
        </w:tc>
        <w:tc>
          <w:tcPr>
            <w:tcW w:w="1313" w:type="dxa"/>
            <w:tcBorders>
              <w:top w:val="nil"/>
              <w:left w:val="nil"/>
              <w:bottom w:val="single" w:sz="12" w:space="0" w:color="000000"/>
              <w:right w:val="nil"/>
            </w:tcBorders>
            <w:vAlign w:val="center"/>
          </w:tcPr>
          <w:p w14:paraId="27F3A7CC" w14:textId="1B8356F6" w:rsidR="005852EE" w:rsidRPr="00305D32" w:rsidRDefault="00C629A6" w:rsidP="00C629A6">
            <w:pPr>
              <w:spacing w:after="0" w:line="240" w:lineRule="auto"/>
              <w:jc w:val="center"/>
              <w:rPr>
                <w:color w:val="000000"/>
                <w:sz w:val="22"/>
                <w:szCs w:val="22"/>
                <w:lang w:val="es-MX"/>
              </w:rPr>
            </w:pPr>
            <w:r w:rsidRPr="00305D32">
              <w:rPr>
                <w:color w:val="000000"/>
                <w:sz w:val="22"/>
                <w:szCs w:val="22"/>
                <w:lang w:val="es-MX"/>
              </w:rPr>
              <w:t>37.02</w:t>
            </w:r>
          </w:p>
        </w:tc>
        <w:tc>
          <w:tcPr>
            <w:tcW w:w="1417" w:type="dxa"/>
            <w:tcBorders>
              <w:top w:val="nil"/>
              <w:left w:val="nil"/>
              <w:bottom w:val="single" w:sz="12" w:space="0" w:color="000000"/>
              <w:right w:val="nil"/>
            </w:tcBorders>
            <w:vAlign w:val="center"/>
          </w:tcPr>
          <w:p w14:paraId="497910E1" w14:textId="07C3D28F" w:rsidR="005852EE" w:rsidRPr="00305D32" w:rsidRDefault="00C629A6" w:rsidP="00C629A6">
            <w:pPr>
              <w:spacing w:after="0" w:line="240" w:lineRule="auto"/>
              <w:jc w:val="center"/>
              <w:rPr>
                <w:color w:val="000000"/>
                <w:sz w:val="22"/>
                <w:szCs w:val="22"/>
                <w:lang w:val="es-MX"/>
              </w:rPr>
            </w:pPr>
            <w:r w:rsidRPr="00305D32">
              <w:rPr>
                <w:color w:val="000000"/>
                <w:sz w:val="22"/>
                <w:szCs w:val="22"/>
                <w:lang w:val="es-MX"/>
              </w:rPr>
              <w:t>36.25</w:t>
            </w:r>
          </w:p>
        </w:tc>
        <w:tc>
          <w:tcPr>
            <w:tcW w:w="992" w:type="dxa"/>
            <w:tcBorders>
              <w:top w:val="nil"/>
              <w:left w:val="nil"/>
              <w:bottom w:val="single" w:sz="12" w:space="0" w:color="000000"/>
              <w:right w:val="nil"/>
            </w:tcBorders>
            <w:vAlign w:val="center"/>
          </w:tcPr>
          <w:p w14:paraId="4489646D" w14:textId="0EEE49AB" w:rsidR="005852EE" w:rsidRPr="00305D32" w:rsidRDefault="005852EE" w:rsidP="00C629A6">
            <w:pPr>
              <w:spacing w:after="0" w:line="240" w:lineRule="auto"/>
              <w:jc w:val="center"/>
              <w:rPr>
                <w:color w:val="000000"/>
                <w:sz w:val="22"/>
                <w:szCs w:val="22"/>
                <w:lang w:val="es-MX"/>
              </w:rPr>
            </w:pPr>
            <w:r w:rsidRPr="00305D32">
              <w:rPr>
                <w:color w:val="000000"/>
                <w:sz w:val="22"/>
                <w:szCs w:val="22"/>
                <w:lang w:val="es-MX"/>
              </w:rPr>
              <w:t>-</w:t>
            </w:r>
            <w:r w:rsidR="00AA224E" w:rsidRPr="00305D32">
              <w:rPr>
                <w:color w:val="000000"/>
                <w:sz w:val="22"/>
                <w:szCs w:val="22"/>
                <w:lang w:val="es-MX"/>
              </w:rPr>
              <w:t>2.07</w:t>
            </w:r>
            <w:r w:rsidR="0019290E">
              <w:rPr>
                <w:color w:val="000000"/>
                <w:sz w:val="22"/>
                <w:szCs w:val="22"/>
                <w:lang w:val="es-MX"/>
              </w:rPr>
              <w:t xml:space="preserve"> %</w:t>
            </w:r>
          </w:p>
        </w:tc>
        <w:tc>
          <w:tcPr>
            <w:tcW w:w="1419" w:type="dxa"/>
            <w:tcBorders>
              <w:top w:val="nil"/>
              <w:left w:val="nil"/>
              <w:bottom w:val="single" w:sz="12" w:space="0" w:color="000000"/>
              <w:right w:val="nil"/>
            </w:tcBorders>
            <w:vAlign w:val="center"/>
          </w:tcPr>
          <w:p w14:paraId="65DE7785" w14:textId="4C0CCB28" w:rsidR="005852EE" w:rsidRPr="00305D32" w:rsidRDefault="00C629A6" w:rsidP="00C629A6">
            <w:pPr>
              <w:spacing w:after="0" w:line="240" w:lineRule="auto"/>
              <w:jc w:val="center"/>
              <w:rPr>
                <w:color w:val="000000"/>
                <w:sz w:val="22"/>
                <w:szCs w:val="22"/>
                <w:lang w:val="es-MX"/>
              </w:rPr>
            </w:pPr>
            <w:r w:rsidRPr="00305D32">
              <w:rPr>
                <w:color w:val="000000"/>
                <w:sz w:val="22"/>
                <w:szCs w:val="22"/>
                <w:lang w:val="es-MX"/>
              </w:rPr>
              <w:t>1</w:t>
            </w:r>
            <w:r w:rsidR="0016226A" w:rsidRPr="00305D32">
              <w:rPr>
                <w:color w:val="000000"/>
                <w:sz w:val="22"/>
                <w:szCs w:val="22"/>
                <w:lang w:val="es-MX"/>
              </w:rPr>
              <w:t>7</w:t>
            </w:r>
            <w:r w:rsidRPr="00305D32">
              <w:rPr>
                <w:color w:val="000000"/>
                <w:sz w:val="22"/>
                <w:szCs w:val="22"/>
                <w:lang w:val="es-MX"/>
              </w:rPr>
              <w:t>.</w:t>
            </w:r>
            <w:r w:rsidR="0016226A" w:rsidRPr="00305D32">
              <w:rPr>
                <w:color w:val="000000"/>
                <w:sz w:val="22"/>
                <w:szCs w:val="22"/>
                <w:lang w:val="es-MX"/>
              </w:rPr>
              <w:t>50</w:t>
            </w:r>
          </w:p>
        </w:tc>
        <w:tc>
          <w:tcPr>
            <w:tcW w:w="1558" w:type="dxa"/>
            <w:tcBorders>
              <w:top w:val="nil"/>
              <w:left w:val="nil"/>
              <w:bottom w:val="single" w:sz="12" w:space="0" w:color="000000"/>
              <w:right w:val="nil"/>
            </w:tcBorders>
            <w:vAlign w:val="center"/>
          </w:tcPr>
          <w:p w14:paraId="229C25ED" w14:textId="51A65737" w:rsidR="005852EE" w:rsidRPr="00305D32" w:rsidRDefault="0071456D" w:rsidP="00C629A6">
            <w:pPr>
              <w:spacing w:after="0" w:line="240" w:lineRule="auto"/>
              <w:jc w:val="center"/>
              <w:rPr>
                <w:color w:val="000000"/>
                <w:sz w:val="22"/>
                <w:szCs w:val="22"/>
                <w:lang w:val="es-MX"/>
              </w:rPr>
            </w:pPr>
            <w:r w:rsidRPr="00305D32">
              <w:rPr>
                <w:color w:val="000000"/>
                <w:sz w:val="22"/>
                <w:szCs w:val="22"/>
                <w:lang w:val="es-MX"/>
              </w:rPr>
              <w:t>14</w:t>
            </w:r>
            <w:r w:rsidR="00C629A6" w:rsidRPr="00305D32">
              <w:rPr>
                <w:color w:val="000000"/>
                <w:sz w:val="22"/>
                <w:szCs w:val="22"/>
                <w:lang w:val="es-MX"/>
              </w:rPr>
              <w:t>.</w:t>
            </w:r>
            <w:r w:rsidRPr="00305D32">
              <w:rPr>
                <w:color w:val="000000"/>
                <w:sz w:val="22"/>
                <w:szCs w:val="22"/>
                <w:lang w:val="es-MX"/>
              </w:rPr>
              <w:t>55</w:t>
            </w:r>
          </w:p>
        </w:tc>
        <w:tc>
          <w:tcPr>
            <w:tcW w:w="1042" w:type="dxa"/>
            <w:tcBorders>
              <w:top w:val="nil"/>
              <w:left w:val="nil"/>
              <w:bottom w:val="single" w:sz="12" w:space="0" w:color="000000"/>
              <w:right w:val="nil"/>
            </w:tcBorders>
            <w:vAlign w:val="center"/>
          </w:tcPr>
          <w:p w14:paraId="5B67AB32" w14:textId="43E85C8E" w:rsidR="005852EE" w:rsidRPr="00305D32" w:rsidRDefault="00C629A6" w:rsidP="00C629A6">
            <w:pPr>
              <w:spacing w:after="0" w:line="240" w:lineRule="auto"/>
              <w:jc w:val="center"/>
              <w:rPr>
                <w:color w:val="000000"/>
                <w:sz w:val="22"/>
                <w:szCs w:val="22"/>
                <w:lang w:val="es-MX"/>
              </w:rPr>
            </w:pPr>
            <w:r w:rsidRPr="00305D32">
              <w:rPr>
                <w:color w:val="000000"/>
                <w:sz w:val="22"/>
                <w:szCs w:val="22"/>
                <w:lang w:val="es-MX"/>
              </w:rPr>
              <w:t>-</w:t>
            </w:r>
            <w:r w:rsidR="0071456D" w:rsidRPr="00305D32">
              <w:rPr>
                <w:color w:val="000000"/>
                <w:sz w:val="22"/>
                <w:szCs w:val="22"/>
                <w:lang w:val="es-MX"/>
              </w:rPr>
              <w:t>16</w:t>
            </w:r>
            <w:r w:rsidRPr="00305D32">
              <w:rPr>
                <w:color w:val="000000"/>
                <w:sz w:val="22"/>
                <w:szCs w:val="22"/>
                <w:lang w:val="es-MX"/>
              </w:rPr>
              <w:t>.</w:t>
            </w:r>
            <w:r w:rsidR="0071456D" w:rsidRPr="00305D32">
              <w:rPr>
                <w:color w:val="000000"/>
                <w:sz w:val="22"/>
                <w:szCs w:val="22"/>
                <w:lang w:val="es-MX"/>
              </w:rPr>
              <w:t>9</w:t>
            </w:r>
            <w:r w:rsidR="0019290E">
              <w:rPr>
                <w:color w:val="000000"/>
                <w:sz w:val="22"/>
                <w:szCs w:val="22"/>
                <w:lang w:val="es-MX"/>
              </w:rPr>
              <w:t xml:space="preserve"> %</w:t>
            </w:r>
          </w:p>
        </w:tc>
      </w:tr>
    </w:tbl>
    <w:p w14:paraId="4D0836A8" w14:textId="4853B313" w:rsidR="00AE57F0" w:rsidRPr="001871AB" w:rsidRDefault="00414F7C" w:rsidP="001871AB">
      <w:pPr>
        <w:spacing w:line="240"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base en datos del INEGI (202</w:t>
      </w:r>
      <w:r w:rsidR="00EF24E8" w:rsidRPr="00305D32">
        <w:rPr>
          <w:sz w:val="20"/>
          <w:szCs w:val="20"/>
          <w:lang w:val="es-MX"/>
        </w:rPr>
        <w:t>5</w:t>
      </w:r>
      <w:r w:rsidRPr="00305D32">
        <w:rPr>
          <w:sz w:val="20"/>
          <w:szCs w:val="20"/>
          <w:lang w:val="es-MX"/>
        </w:rPr>
        <w:t xml:space="preserve">) </w:t>
      </w:r>
      <w:r w:rsidRPr="00305D32">
        <w:rPr>
          <w:i/>
          <w:sz w:val="20"/>
          <w:szCs w:val="20"/>
          <w:lang w:val="es-MX"/>
        </w:rPr>
        <w:t>Exportaciones por Entidad Federativa</w:t>
      </w:r>
      <w:r w:rsidRPr="00305D32">
        <w:rPr>
          <w:sz w:val="20"/>
          <w:szCs w:val="20"/>
          <w:lang w:val="es-MX"/>
        </w:rPr>
        <w:t>.</w:t>
      </w:r>
    </w:p>
    <w:p w14:paraId="4D0836AA" w14:textId="77777777" w:rsidR="00AE57F0" w:rsidRPr="00305D32" w:rsidRDefault="00414F7C">
      <w:pPr>
        <w:pStyle w:val="Ttulo2"/>
        <w:numPr>
          <w:ilvl w:val="1"/>
          <w:numId w:val="3"/>
        </w:numPr>
        <w:rPr>
          <w:lang w:val="es-MX"/>
        </w:rPr>
      </w:pPr>
      <w:bookmarkStart w:id="104" w:name="_heading=h.j8sehv" w:colFirst="0" w:colLast="0"/>
      <w:bookmarkEnd w:id="104"/>
      <w:r w:rsidRPr="00305D32">
        <w:rPr>
          <w:lang w:val="es-MX"/>
        </w:rPr>
        <w:t>Mercado laboral</w:t>
      </w:r>
    </w:p>
    <w:p w14:paraId="01B0928B" w14:textId="759E2FE4" w:rsidR="00F17665" w:rsidRPr="00305D32" w:rsidRDefault="00F17665" w:rsidP="00F17665">
      <w:pPr>
        <w:rPr>
          <w:lang w:val="es-MX"/>
        </w:rPr>
      </w:pPr>
      <w:r w:rsidRPr="00305D32">
        <w:rPr>
          <w:lang w:val="es-MX"/>
        </w:rPr>
        <w:t xml:space="preserve">La tasa de desocupación, según el INEGI, es el porcentaje de la población económicamente activa (PEA) que se encuentra desocupada. En Quintana Roo esta tasa </w:t>
      </w:r>
      <w:r w:rsidR="00CB0396" w:rsidRPr="00305D32">
        <w:rPr>
          <w:lang w:val="es-MX"/>
        </w:rPr>
        <w:t>se mantuvo</w:t>
      </w:r>
      <w:r w:rsidR="00D15801">
        <w:rPr>
          <w:lang w:val="es-MX"/>
        </w:rPr>
        <w:t xml:space="preserve"> en un rango de</w:t>
      </w:r>
      <w:r w:rsidR="00CB0396" w:rsidRPr="00305D32">
        <w:rPr>
          <w:lang w:val="es-MX"/>
        </w:rPr>
        <w:t xml:space="preserve"> entre 2.5</w:t>
      </w:r>
      <w:r w:rsidR="0019290E">
        <w:rPr>
          <w:lang w:val="es-MX"/>
        </w:rPr>
        <w:t xml:space="preserve"> %</w:t>
      </w:r>
      <w:r w:rsidRPr="00305D32">
        <w:rPr>
          <w:lang w:val="es-MX"/>
        </w:rPr>
        <w:t xml:space="preserve"> a 2</w:t>
      </w:r>
      <w:r w:rsidR="00CB0396" w:rsidRPr="00305D32">
        <w:rPr>
          <w:lang w:val="es-MX"/>
        </w:rPr>
        <w:t>.7</w:t>
      </w:r>
      <w:r w:rsidR="0019290E">
        <w:rPr>
          <w:lang w:val="es-MX"/>
        </w:rPr>
        <w:t xml:space="preserve"> %</w:t>
      </w:r>
      <w:r w:rsidRPr="00305D32">
        <w:rPr>
          <w:lang w:val="es-MX"/>
        </w:rPr>
        <w:t xml:space="preserve"> del primer </w:t>
      </w:r>
      <w:r w:rsidR="00CE254F" w:rsidRPr="00305D32">
        <w:rPr>
          <w:lang w:val="es-MX"/>
        </w:rPr>
        <w:t xml:space="preserve">trimestre de 2023 </w:t>
      </w:r>
      <w:r w:rsidRPr="00305D32">
        <w:rPr>
          <w:lang w:val="es-MX"/>
        </w:rPr>
        <w:t xml:space="preserve">al </w:t>
      </w:r>
      <w:r w:rsidR="004A6D9A" w:rsidRPr="00305D32">
        <w:rPr>
          <w:lang w:val="es-MX"/>
        </w:rPr>
        <w:t xml:space="preserve">primer </w:t>
      </w:r>
      <w:r w:rsidRPr="00305D32">
        <w:rPr>
          <w:lang w:val="es-MX"/>
        </w:rPr>
        <w:t>trimestre de 202</w:t>
      </w:r>
      <w:r w:rsidR="004A6D9A" w:rsidRPr="00305D32">
        <w:rPr>
          <w:lang w:val="es-MX"/>
        </w:rPr>
        <w:t>5</w:t>
      </w:r>
      <w:r w:rsidRPr="00305D32">
        <w:rPr>
          <w:lang w:val="es-MX"/>
        </w:rPr>
        <w:t xml:space="preserve"> respectivamente (Figura 3</w:t>
      </w:r>
      <w:r w:rsidR="00BF019A">
        <w:rPr>
          <w:lang w:val="es-MX"/>
        </w:rPr>
        <w:t>2</w:t>
      </w:r>
      <w:r w:rsidRPr="00305D32">
        <w:rPr>
          <w:lang w:val="es-MX"/>
        </w:rPr>
        <w:t>)</w:t>
      </w:r>
      <w:r w:rsidR="00F9769C" w:rsidRPr="00305D32">
        <w:rPr>
          <w:lang w:val="es-MX"/>
        </w:rPr>
        <w:t>; d</w:t>
      </w:r>
      <w:r w:rsidRPr="00305D32">
        <w:rPr>
          <w:lang w:val="es-MX"/>
        </w:rPr>
        <w:t xml:space="preserve">urante </w:t>
      </w:r>
      <w:r w:rsidR="00644B29" w:rsidRPr="00305D32">
        <w:rPr>
          <w:lang w:val="es-MX"/>
        </w:rPr>
        <w:t xml:space="preserve">el segundo trimestre de 2025 </w:t>
      </w:r>
      <w:r w:rsidRPr="00305D32">
        <w:rPr>
          <w:lang w:val="es-MX"/>
        </w:rPr>
        <w:t xml:space="preserve">esta tasa se </w:t>
      </w:r>
      <w:r w:rsidR="00CB0396" w:rsidRPr="00305D32">
        <w:rPr>
          <w:lang w:val="es-MX"/>
        </w:rPr>
        <w:t>aument</w:t>
      </w:r>
      <w:r w:rsidR="00720776" w:rsidRPr="00305D32">
        <w:rPr>
          <w:lang w:val="es-MX"/>
        </w:rPr>
        <w:t xml:space="preserve">ó </w:t>
      </w:r>
      <w:r w:rsidR="006A4AEA" w:rsidRPr="00305D32">
        <w:rPr>
          <w:lang w:val="es-MX"/>
        </w:rPr>
        <w:t xml:space="preserve">de </w:t>
      </w:r>
      <w:r w:rsidRPr="00305D32">
        <w:rPr>
          <w:lang w:val="es-MX"/>
        </w:rPr>
        <w:t>2.</w:t>
      </w:r>
      <w:r w:rsidR="00644B29" w:rsidRPr="00305D32">
        <w:rPr>
          <w:lang w:val="es-MX"/>
        </w:rPr>
        <w:t>4</w:t>
      </w:r>
      <w:r w:rsidR="0019290E">
        <w:rPr>
          <w:lang w:val="es-MX"/>
        </w:rPr>
        <w:t xml:space="preserve"> %</w:t>
      </w:r>
      <w:r w:rsidR="00535244" w:rsidRPr="00305D32">
        <w:rPr>
          <w:lang w:val="es-MX"/>
        </w:rPr>
        <w:t xml:space="preserve"> a</w:t>
      </w:r>
      <w:r w:rsidRPr="00305D32">
        <w:rPr>
          <w:lang w:val="es-MX"/>
        </w:rPr>
        <w:t xml:space="preserve"> 2.</w:t>
      </w:r>
      <w:r w:rsidR="00644B29" w:rsidRPr="00305D32">
        <w:rPr>
          <w:lang w:val="es-MX"/>
        </w:rPr>
        <w:t>8</w:t>
      </w:r>
      <w:r w:rsidR="0019290E">
        <w:rPr>
          <w:lang w:val="es-MX"/>
        </w:rPr>
        <w:t xml:space="preserve"> %</w:t>
      </w:r>
      <w:r w:rsidRPr="00305D32">
        <w:rPr>
          <w:lang w:val="es-MX"/>
        </w:rPr>
        <w:t>.</w:t>
      </w:r>
    </w:p>
    <w:p w14:paraId="6DF298B7" w14:textId="26C040F6" w:rsidR="00F17665" w:rsidRPr="00305D32" w:rsidRDefault="008621F5" w:rsidP="00F17665">
      <w:pPr>
        <w:rPr>
          <w:lang w:val="es-MX"/>
        </w:rPr>
      </w:pPr>
      <w:r w:rsidRPr="008621F5">
        <w:rPr>
          <w:lang w:val="es-MX"/>
        </w:rPr>
        <w:t xml:space="preserve">Es posible destacar que Quintana Roo ha mostrado un desempeño más sólido que el promedio nacional. En 2023, a pesar de los fuertes impactos en el empleo estatal </w:t>
      </w:r>
      <w:r w:rsidRPr="008621F5">
        <w:rPr>
          <w:lang w:val="es-MX"/>
        </w:rPr>
        <w:lastRenderedPageBreak/>
        <w:t>derivados de la pandemia, la tasa de desempleo estatal fue menor que la observada a nivel nacional. El aumento del desempleo no es exclusivo de Quintana Roo, sino una tendencia presente también a nivel nacional, como se observa</w:t>
      </w:r>
      <w:r>
        <w:rPr>
          <w:lang w:val="es-MX"/>
        </w:rPr>
        <w:t xml:space="preserve"> </w:t>
      </w:r>
      <w:r w:rsidR="00F17665" w:rsidRPr="00305D32">
        <w:rPr>
          <w:lang w:val="es-MX"/>
        </w:rPr>
        <w:t xml:space="preserve">en la </w:t>
      </w:r>
      <w:r w:rsidR="00B950D5" w:rsidRPr="00305D32">
        <w:rPr>
          <w:lang w:val="es-MX"/>
        </w:rPr>
        <w:fldChar w:fldCharType="begin"/>
      </w:r>
      <w:r w:rsidR="00B950D5" w:rsidRPr="00305D32">
        <w:rPr>
          <w:lang w:val="es-MX"/>
        </w:rPr>
        <w:instrText xml:space="preserve"> REF _Ref210294893 \h </w:instrText>
      </w:r>
      <w:r w:rsidR="00B950D5" w:rsidRPr="00305D32">
        <w:rPr>
          <w:lang w:val="es-MX"/>
        </w:rPr>
      </w:r>
      <w:r w:rsidR="00B950D5" w:rsidRPr="00305D32">
        <w:rPr>
          <w:lang w:val="es-MX"/>
        </w:rPr>
        <w:fldChar w:fldCharType="separate"/>
      </w:r>
      <w:r w:rsidR="00ED1F2F" w:rsidRPr="00305D32">
        <w:rPr>
          <w:lang w:val="es-MX"/>
        </w:rPr>
        <w:t xml:space="preserve">Figura </w:t>
      </w:r>
      <w:r w:rsidR="00ED1F2F">
        <w:rPr>
          <w:noProof/>
          <w:lang w:val="es-MX"/>
        </w:rPr>
        <w:t>32</w:t>
      </w:r>
      <w:r w:rsidR="00B950D5" w:rsidRPr="00305D32">
        <w:rPr>
          <w:lang w:val="es-MX"/>
        </w:rPr>
        <w:fldChar w:fldCharType="end"/>
      </w:r>
      <w:r w:rsidR="00A91856" w:rsidRPr="00A91856">
        <w:t xml:space="preserve"> </w:t>
      </w:r>
      <w:r w:rsidR="00A91856" w:rsidRPr="00A91856">
        <w:rPr>
          <w:lang w:val="es-MX"/>
        </w:rPr>
        <w:t xml:space="preserve">el comportamiento de esta variable durante el primer semestre de 2025 mantiene una </w:t>
      </w:r>
      <w:r w:rsidR="00DD6AE7" w:rsidRPr="00A91856">
        <w:rPr>
          <w:lang w:val="es-MX"/>
        </w:rPr>
        <w:t>evolución similar</w:t>
      </w:r>
      <w:r w:rsidR="00A91856" w:rsidRPr="00A91856">
        <w:rPr>
          <w:lang w:val="es-MX"/>
        </w:rPr>
        <w:t>.</w:t>
      </w:r>
    </w:p>
    <w:p w14:paraId="4D0836AD" w14:textId="031271C1" w:rsidR="00AE57F0" w:rsidRPr="00305D32" w:rsidRDefault="00414F7C" w:rsidP="00B950D5">
      <w:pPr>
        <w:pStyle w:val="Descripcin"/>
        <w:jc w:val="center"/>
        <w:rPr>
          <w:b w:val="0"/>
          <w:color w:val="000000"/>
          <w:lang w:val="es-MX"/>
        </w:rPr>
      </w:pPr>
      <w:bookmarkStart w:id="105" w:name="_heading=h.338fx5o" w:colFirst="0" w:colLast="0"/>
      <w:bookmarkStart w:id="106" w:name="_Ref210294893"/>
      <w:bookmarkEnd w:id="105"/>
      <w:r w:rsidRPr="00305D32">
        <w:rPr>
          <w:lang w:val="es-MX"/>
        </w:rPr>
        <w:t xml:space="preserve">Figura </w:t>
      </w:r>
      <w:r w:rsidR="00B950D5" w:rsidRPr="00305D32">
        <w:rPr>
          <w:lang w:val="es-MX"/>
        </w:rPr>
        <w:fldChar w:fldCharType="begin"/>
      </w:r>
      <w:r w:rsidR="00B950D5" w:rsidRPr="00305D32">
        <w:rPr>
          <w:lang w:val="es-MX"/>
        </w:rPr>
        <w:instrText xml:space="preserve"> SEQ Figura \* ARABIC </w:instrText>
      </w:r>
      <w:r w:rsidR="00B950D5" w:rsidRPr="00305D32">
        <w:rPr>
          <w:lang w:val="es-MX"/>
        </w:rPr>
        <w:fldChar w:fldCharType="separate"/>
      </w:r>
      <w:r w:rsidR="00ED1F2F">
        <w:rPr>
          <w:noProof/>
          <w:lang w:val="es-MX"/>
        </w:rPr>
        <w:t>32</w:t>
      </w:r>
      <w:r w:rsidR="00B950D5" w:rsidRPr="00305D32">
        <w:rPr>
          <w:lang w:val="es-MX"/>
        </w:rPr>
        <w:fldChar w:fldCharType="end"/>
      </w:r>
      <w:bookmarkEnd w:id="106"/>
      <w:r w:rsidRPr="00305D32">
        <w:rPr>
          <w:color w:val="000000"/>
          <w:lang w:val="es-MX"/>
        </w:rPr>
        <w:t>. Tasa de desocupación, comparativo Quintana Roo vs media nacional, 202</w:t>
      </w:r>
      <w:r w:rsidR="00E14513" w:rsidRPr="00305D32">
        <w:rPr>
          <w:color w:val="000000"/>
          <w:lang w:val="es-MX"/>
        </w:rPr>
        <w:t>3</w:t>
      </w:r>
      <w:r w:rsidRPr="00305D32">
        <w:rPr>
          <w:color w:val="000000"/>
          <w:lang w:val="es-MX"/>
        </w:rPr>
        <w:t>- 202</w:t>
      </w:r>
      <w:r w:rsidR="00E14513" w:rsidRPr="00305D32">
        <w:rPr>
          <w:color w:val="000000"/>
          <w:lang w:val="es-MX"/>
        </w:rPr>
        <w:t>5</w:t>
      </w:r>
    </w:p>
    <w:p w14:paraId="18468E51" w14:textId="4D41807E" w:rsidR="00CA1E3A" w:rsidRPr="00305D32" w:rsidRDefault="00CA1E3A">
      <w:pPr>
        <w:spacing w:after="0"/>
        <w:jc w:val="center"/>
        <w:rPr>
          <w:lang w:val="es-MX"/>
        </w:rPr>
      </w:pPr>
      <w:r w:rsidRPr="00305D32">
        <w:rPr>
          <w:noProof/>
          <w:lang w:val="es-MX" w:eastAsia="es-MX"/>
        </w:rPr>
        <w:drawing>
          <wp:inline distT="0" distB="0" distL="0" distR="0" wp14:anchorId="64EB3697" wp14:editId="41053459">
            <wp:extent cx="5313600" cy="2534400"/>
            <wp:effectExtent l="0" t="0" r="1905" b="18415"/>
            <wp:docPr id="2138189739" name="Gráfico 1">
              <a:extLst xmlns:a="http://schemas.openxmlformats.org/drawingml/2006/main">
                <a:ext uri="{FF2B5EF4-FFF2-40B4-BE49-F238E27FC236}">
                  <a16:creationId xmlns:a16="http://schemas.microsoft.com/office/drawing/2014/main" id="{362A0F7C-91D4-4DD8-98EF-368380F9E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D0836AF" w14:textId="10CA5D41" w:rsidR="00AE57F0" w:rsidRPr="00305D32" w:rsidRDefault="00414F7C">
      <w:pPr>
        <w:spacing w:line="240" w:lineRule="auto"/>
        <w:jc w:val="center"/>
        <w:rPr>
          <w:lang w:val="es-MX"/>
        </w:rPr>
      </w:pPr>
      <w:r w:rsidRPr="00305D32">
        <w:rPr>
          <w:sz w:val="20"/>
          <w:szCs w:val="20"/>
          <w:lang w:val="es-MX"/>
        </w:rPr>
        <w:t>Fuente: Elaboración de la Subsecretaría de Análisis Económico y Finanzas Públicas de la Secretaría de Finanzas y Planeación, con base en datos del Instituto Nacional de Geografía y Estadística (202</w:t>
      </w:r>
      <w:r w:rsidR="00C204EB" w:rsidRPr="00305D32">
        <w:rPr>
          <w:sz w:val="20"/>
          <w:szCs w:val="20"/>
          <w:lang w:val="es-MX"/>
        </w:rPr>
        <w:t>5</w:t>
      </w:r>
      <w:r w:rsidRPr="00305D32">
        <w:rPr>
          <w:sz w:val="20"/>
          <w:szCs w:val="20"/>
          <w:lang w:val="es-MX"/>
        </w:rPr>
        <w:t>)</w:t>
      </w:r>
      <w:r w:rsidRPr="00305D32">
        <w:rPr>
          <w:i/>
          <w:sz w:val="20"/>
          <w:szCs w:val="20"/>
          <w:lang w:val="es-MX"/>
        </w:rPr>
        <w:t xml:space="preserve"> Encuesta Nacional de Ocupación y Empleo.</w:t>
      </w:r>
    </w:p>
    <w:p w14:paraId="6C88213C" w14:textId="54E2C562" w:rsidR="00E82C92" w:rsidRPr="00305D32" w:rsidRDefault="00E82C92" w:rsidP="00E82C92">
      <w:pPr>
        <w:rPr>
          <w:lang w:val="es-MX"/>
        </w:rPr>
      </w:pPr>
      <w:bookmarkStart w:id="107" w:name="_heading=h.1idq7dh" w:colFirst="0" w:colLast="0"/>
      <w:bookmarkEnd w:id="107"/>
      <w:r w:rsidRPr="00305D32">
        <w:rPr>
          <w:lang w:val="es-MX"/>
        </w:rPr>
        <w:t>El incremento de la tasa de desocupación en Quintana Roo es consecuencia del incremento de la incorporación de más personas a la PEA y</w:t>
      </w:r>
      <w:r w:rsidR="00DD6AE7">
        <w:rPr>
          <w:lang w:val="es-MX"/>
        </w:rPr>
        <w:t xml:space="preserve"> de</w:t>
      </w:r>
      <w:r w:rsidRPr="00305D32">
        <w:rPr>
          <w:lang w:val="es-MX"/>
        </w:rPr>
        <w:t xml:space="preserve"> la baja absorción de esta a la población ocupada.</w:t>
      </w:r>
    </w:p>
    <w:p w14:paraId="3D6FE01A" w14:textId="269B0670" w:rsidR="00E82C92" w:rsidRPr="00305D32" w:rsidRDefault="00E82C92" w:rsidP="00E82C92">
      <w:pPr>
        <w:rPr>
          <w:lang w:val="es-MX"/>
        </w:rPr>
      </w:pPr>
      <w:r w:rsidRPr="00305D32">
        <w:rPr>
          <w:lang w:val="es-MX"/>
        </w:rPr>
        <w:t>La población ocupada (</w:t>
      </w:r>
      <w:r w:rsidR="00B950D5" w:rsidRPr="00305D32">
        <w:rPr>
          <w:lang w:val="es-MX"/>
        </w:rPr>
        <w:fldChar w:fldCharType="begin"/>
      </w:r>
      <w:r w:rsidR="00B950D5" w:rsidRPr="00305D32">
        <w:rPr>
          <w:lang w:val="es-MX"/>
        </w:rPr>
        <w:instrText xml:space="preserve"> REF _Ref210294932 \h </w:instrText>
      </w:r>
      <w:r w:rsidR="00B950D5" w:rsidRPr="00305D32">
        <w:rPr>
          <w:lang w:val="es-MX"/>
        </w:rPr>
      </w:r>
      <w:r w:rsidR="00B950D5" w:rsidRPr="00305D32">
        <w:rPr>
          <w:lang w:val="es-MX"/>
        </w:rPr>
        <w:fldChar w:fldCharType="separate"/>
      </w:r>
      <w:r w:rsidR="00ED1F2F" w:rsidRPr="00305D32">
        <w:rPr>
          <w:lang w:val="es-MX"/>
        </w:rPr>
        <w:t xml:space="preserve">Tabla </w:t>
      </w:r>
      <w:r w:rsidR="00ED1F2F">
        <w:rPr>
          <w:noProof/>
          <w:lang w:val="es-MX"/>
        </w:rPr>
        <w:t>17</w:t>
      </w:r>
      <w:r w:rsidR="00B950D5" w:rsidRPr="00305D32">
        <w:rPr>
          <w:lang w:val="es-MX"/>
        </w:rPr>
        <w:fldChar w:fldCharType="end"/>
      </w:r>
      <w:r w:rsidRPr="00305D32">
        <w:rPr>
          <w:lang w:val="es-MX"/>
        </w:rPr>
        <w:t>) al segundo trimestre de 202</w:t>
      </w:r>
      <w:r w:rsidR="002327DE" w:rsidRPr="00305D32">
        <w:rPr>
          <w:lang w:val="es-MX"/>
        </w:rPr>
        <w:t>5</w:t>
      </w:r>
      <w:r w:rsidRPr="00305D32">
        <w:rPr>
          <w:lang w:val="es-MX"/>
        </w:rPr>
        <w:t>, fue de 9</w:t>
      </w:r>
      <w:r w:rsidR="002327DE" w:rsidRPr="00305D32">
        <w:rPr>
          <w:lang w:val="es-MX"/>
        </w:rPr>
        <w:t>87</w:t>
      </w:r>
      <w:r w:rsidR="004950AF">
        <w:rPr>
          <w:lang w:val="es-MX"/>
        </w:rPr>
        <w:t>,</w:t>
      </w:r>
      <w:r w:rsidR="00C77645" w:rsidRPr="00305D32">
        <w:rPr>
          <w:lang w:val="es-MX"/>
        </w:rPr>
        <w:t>728</w:t>
      </w:r>
      <w:r w:rsidRPr="00305D32">
        <w:rPr>
          <w:lang w:val="es-MX"/>
        </w:rPr>
        <w:t xml:space="preserve"> personas que se encontraban laborando tanto en el sector formal como en el informal. Entre las personas ocupadas destacan </w:t>
      </w:r>
      <w:r w:rsidR="003743DE" w:rsidRPr="00305D32">
        <w:rPr>
          <w:lang w:val="es-MX"/>
        </w:rPr>
        <w:t>los 756,426 trabajadores subordinados y remunerados</w:t>
      </w:r>
      <w:r w:rsidRPr="00305D32">
        <w:rPr>
          <w:lang w:val="es-MX"/>
        </w:rPr>
        <w:t xml:space="preserve"> </w:t>
      </w:r>
      <w:r w:rsidR="00E30814">
        <w:rPr>
          <w:lang w:val="es-MX"/>
        </w:rPr>
        <w:t>que representan</w:t>
      </w:r>
      <w:r w:rsidRPr="00305D32">
        <w:rPr>
          <w:lang w:val="es-MX"/>
        </w:rPr>
        <w:t xml:space="preserve"> el 7</w:t>
      </w:r>
      <w:r w:rsidR="00AC3CC2" w:rsidRPr="00305D32">
        <w:rPr>
          <w:lang w:val="es-MX"/>
        </w:rPr>
        <w:t>6</w:t>
      </w:r>
      <w:r w:rsidRPr="00305D32">
        <w:rPr>
          <w:lang w:val="es-MX"/>
        </w:rPr>
        <w:t>.</w:t>
      </w:r>
      <w:r w:rsidR="00AC3CC2" w:rsidRPr="00305D32">
        <w:rPr>
          <w:lang w:val="es-MX"/>
        </w:rPr>
        <w:t>58</w:t>
      </w:r>
      <w:r w:rsidR="0019290E">
        <w:rPr>
          <w:lang w:val="es-MX"/>
        </w:rPr>
        <w:t xml:space="preserve"> %</w:t>
      </w:r>
      <w:r w:rsidRPr="00305D32">
        <w:rPr>
          <w:lang w:val="es-MX"/>
        </w:rPr>
        <w:t xml:space="preserve"> del total de la población </w:t>
      </w:r>
      <w:r w:rsidRPr="00305D32">
        <w:rPr>
          <w:lang w:val="es-MX"/>
        </w:rPr>
        <w:lastRenderedPageBreak/>
        <w:t xml:space="preserve">ocupada. Del total de trabajadores asalariados y remunerados, </w:t>
      </w:r>
      <w:r w:rsidR="00007437" w:rsidRPr="00305D32">
        <w:rPr>
          <w:lang w:val="es-MX"/>
        </w:rPr>
        <w:t>712</w:t>
      </w:r>
      <w:r w:rsidR="003743DE">
        <w:rPr>
          <w:lang w:val="es-MX"/>
        </w:rPr>
        <w:t>,</w:t>
      </w:r>
      <w:r w:rsidR="00007437" w:rsidRPr="00305D32">
        <w:rPr>
          <w:lang w:val="es-MX"/>
        </w:rPr>
        <w:t>29</w:t>
      </w:r>
      <w:r w:rsidR="00984EDD" w:rsidRPr="00305D32">
        <w:rPr>
          <w:lang w:val="es-MX"/>
        </w:rPr>
        <w:t>0</w:t>
      </w:r>
      <w:r w:rsidRPr="00305D32">
        <w:rPr>
          <w:lang w:val="es-MX"/>
        </w:rPr>
        <w:t xml:space="preserve"> personas fueron asalariadas </w:t>
      </w:r>
      <w:r w:rsidR="003743DE">
        <w:rPr>
          <w:lang w:val="es-MX"/>
        </w:rPr>
        <w:t xml:space="preserve">mientras que </w:t>
      </w:r>
      <w:r w:rsidRPr="00305D32">
        <w:rPr>
          <w:lang w:val="es-MX"/>
        </w:rPr>
        <w:t xml:space="preserve">el resto </w:t>
      </w:r>
      <w:r w:rsidR="00265D5B">
        <w:rPr>
          <w:lang w:val="es-MX"/>
        </w:rPr>
        <w:t>reciben</w:t>
      </w:r>
      <w:r w:rsidRPr="00305D32">
        <w:rPr>
          <w:lang w:val="es-MX"/>
        </w:rPr>
        <w:t xml:space="preserve"> </w:t>
      </w:r>
      <w:r w:rsidR="006A6A57">
        <w:rPr>
          <w:lang w:val="es-MX"/>
        </w:rPr>
        <w:t>ingresos</w:t>
      </w:r>
      <w:r w:rsidRPr="00305D32">
        <w:rPr>
          <w:lang w:val="es-MX"/>
        </w:rPr>
        <w:t xml:space="preserve"> no salariales</w:t>
      </w:r>
      <w:r w:rsidR="00265D5B">
        <w:rPr>
          <w:lang w:val="es-MX"/>
        </w:rPr>
        <w:t xml:space="preserve">, </w:t>
      </w:r>
      <w:r w:rsidRPr="00305D32">
        <w:rPr>
          <w:lang w:val="es-MX"/>
        </w:rPr>
        <w:t>como comisiones</w:t>
      </w:r>
      <w:r w:rsidR="00C165AA">
        <w:rPr>
          <w:lang w:val="es-MX"/>
        </w:rPr>
        <w:t>,</w:t>
      </w:r>
      <w:r w:rsidRPr="00305D32">
        <w:rPr>
          <w:lang w:val="es-MX"/>
        </w:rPr>
        <w:t xml:space="preserve"> propinas </w:t>
      </w:r>
      <w:r w:rsidR="00C165AA">
        <w:rPr>
          <w:lang w:val="es-MX"/>
        </w:rPr>
        <w:t xml:space="preserve">u otros esquemas </w:t>
      </w:r>
      <w:r w:rsidRPr="00305D32">
        <w:rPr>
          <w:lang w:val="es-MX"/>
        </w:rPr>
        <w:t>similares.</w:t>
      </w:r>
    </w:p>
    <w:p w14:paraId="42EDB84C" w14:textId="73C11C36" w:rsidR="00E82C92" w:rsidRPr="00305D32" w:rsidRDefault="006A076F">
      <w:pPr>
        <w:rPr>
          <w:lang w:val="es-MX"/>
        </w:rPr>
      </w:pPr>
      <w:r w:rsidRPr="006A076F">
        <w:rPr>
          <w:lang w:val="es-MX"/>
        </w:rPr>
        <w:t>El 5.82</w:t>
      </w:r>
      <w:r w:rsidR="0019290E">
        <w:rPr>
          <w:lang w:val="es-MX"/>
        </w:rPr>
        <w:t xml:space="preserve"> %</w:t>
      </w:r>
      <w:r w:rsidRPr="006A076F">
        <w:rPr>
          <w:lang w:val="es-MX"/>
        </w:rPr>
        <w:t xml:space="preserve"> de la población ocupada (57,469 personas) correspondió a empleadores, el 16.02</w:t>
      </w:r>
      <w:r w:rsidR="0019290E">
        <w:rPr>
          <w:lang w:val="es-MX"/>
        </w:rPr>
        <w:t xml:space="preserve"> %</w:t>
      </w:r>
      <w:r w:rsidRPr="006A076F">
        <w:rPr>
          <w:lang w:val="es-MX"/>
        </w:rPr>
        <w:t xml:space="preserve"> a trabajadores por cuenta propia (158,208 personas) y el 1.58</w:t>
      </w:r>
      <w:r w:rsidR="0019290E">
        <w:rPr>
          <w:lang w:val="es-MX"/>
        </w:rPr>
        <w:t xml:space="preserve"> %</w:t>
      </w:r>
      <w:r w:rsidRPr="006A076F">
        <w:rPr>
          <w:lang w:val="es-MX"/>
        </w:rPr>
        <w:t xml:space="preserve"> a trabajadores no remunerados (15,628 personas)</w:t>
      </w:r>
      <w:r w:rsidR="00E82C92" w:rsidRPr="00305D32">
        <w:rPr>
          <w:lang w:val="es-MX"/>
        </w:rPr>
        <w:t>.</w:t>
      </w:r>
    </w:p>
    <w:p w14:paraId="4D0836B3" w14:textId="5AE54BCA" w:rsidR="00AE57F0" w:rsidRPr="00305D32" w:rsidRDefault="00414F7C" w:rsidP="00B950D5">
      <w:pPr>
        <w:pStyle w:val="Descripcin"/>
        <w:jc w:val="center"/>
        <w:rPr>
          <w:color w:val="000000"/>
          <w:lang w:val="es-MX"/>
        </w:rPr>
      </w:pPr>
      <w:bookmarkStart w:id="108" w:name="_Ref210294932"/>
      <w:r w:rsidRPr="00305D32">
        <w:rPr>
          <w:lang w:val="es-MX"/>
        </w:rPr>
        <w:t xml:space="preserve">Tabla </w:t>
      </w:r>
      <w:r w:rsidR="00B950D5" w:rsidRPr="00305D32">
        <w:rPr>
          <w:lang w:val="es-MX"/>
        </w:rPr>
        <w:fldChar w:fldCharType="begin"/>
      </w:r>
      <w:r w:rsidR="00B950D5" w:rsidRPr="00305D32">
        <w:rPr>
          <w:lang w:val="es-MX"/>
        </w:rPr>
        <w:instrText xml:space="preserve"> SEQ Tabla \* ARABIC </w:instrText>
      </w:r>
      <w:r w:rsidR="00B950D5" w:rsidRPr="00305D32">
        <w:rPr>
          <w:lang w:val="es-MX"/>
        </w:rPr>
        <w:fldChar w:fldCharType="separate"/>
      </w:r>
      <w:r w:rsidR="00ED1F2F">
        <w:rPr>
          <w:noProof/>
          <w:lang w:val="es-MX"/>
        </w:rPr>
        <w:t>17</w:t>
      </w:r>
      <w:r w:rsidR="00B950D5" w:rsidRPr="00305D32">
        <w:rPr>
          <w:lang w:val="es-MX"/>
        </w:rPr>
        <w:fldChar w:fldCharType="end"/>
      </w:r>
      <w:bookmarkEnd w:id="108"/>
      <w:r w:rsidRPr="00305D32">
        <w:rPr>
          <w:color w:val="000000"/>
          <w:lang w:val="es-MX"/>
        </w:rPr>
        <w:t>. Población ocupada según posición en la ocupación en Quintana Roo, 202</w:t>
      </w:r>
      <w:r w:rsidR="00360C2C" w:rsidRPr="00305D32">
        <w:rPr>
          <w:color w:val="000000"/>
          <w:lang w:val="es-MX"/>
        </w:rPr>
        <w:t xml:space="preserve">3 - </w:t>
      </w:r>
      <w:r w:rsidRPr="00305D32">
        <w:rPr>
          <w:color w:val="000000"/>
          <w:lang w:val="es-MX"/>
        </w:rPr>
        <w:t>202</w:t>
      </w:r>
      <w:r w:rsidR="00360C2C" w:rsidRPr="00305D32">
        <w:rPr>
          <w:color w:val="000000"/>
          <w:lang w:val="es-MX"/>
        </w:rPr>
        <w:t>5</w:t>
      </w:r>
    </w:p>
    <w:tbl>
      <w:tblPr>
        <w:tblStyle w:val="af"/>
        <w:tblW w:w="9126" w:type="dxa"/>
        <w:tblInd w:w="0" w:type="dxa"/>
        <w:tblLayout w:type="fixed"/>
        <w:tblLook w:val="0400" w:firstRow="0" w:lastRow="0" w:firstColumn="0" w:lastColumn="0" w:noHBand="0" w:noVBand="1"/>
      </w:tblPr>
      <w:tblGrid>
        <w:gridCol w:w="4992"/>
        <w:gridCol w:w="1568"/>
        <w:gridCol w:w="1157"/>
        <w:gridCol w:w="1409"/>
      </w:tblGrid>
      <w:tr w:rsidR="00360C2C" w:rsidRPr="00305D32" w14:paraId="2E12C25A" w14:textId="77777777">
        <w:trPr>
          <w:trHeight w:val="334"/>
        </w:trPr>
        <w:tc>
          <w:tcPr>
            <w:tcW w:w="4992" w:type="dxa"/>
            <w:tcBorders>
              <w:top w:val="single" w:sz="8" w:space="0" w:color="000000"/>
              <w:left w:val="nil"/>
              <w:bottom w:val="nil"/>
              <w:right w:val="nil"/>
            </w:tcBorders>
            <w:vAlign w:val="center"/>
          </w:tcPr>
          <w:p w14:paraId="3ECE77BA" w14:textId="77777777" w:rsidR="00360C2C" w:rsidRPr="00305D32" w:rsidRDefault="00360C2C">
            <w:pPr>
              <w:spacing w:after="0" w:line="240" w:lineRule="auto"/>
              <w:jc w:val="center"/>
              <w:rPr>
                <w:b/>
                <w:color w:val="000000"/>
                <w:lang w:val="es-MX"/>
              </w:rPr>
            </w:pPr>
            <w:r w:rsidRPr="00305D32">
              <w:rPr>
                <w:b/>
                <w:color w:val="000000"/>
                <w:lang w:val="es-MX"/>
              </w:rPr>
              <w:t>Año</w:t>
            </w:r>
          </w:p>
        </w:tc>
        <w:tc>
          <w:tcPr>
            <w:tcW w:w="1568" w:type="dxa"/>
            <w:tcBorders>
              <w:top w:val="single" w:sz="8" w:space="0" w:color="000000"/>
              <w:left w:val="nil"/>
              <w:bottom w:val="nil"/>
              <w:right w:val="nil"/>
            </w:tcBorders>
            <w:vAlign w:val="center"/>
          </w:tcPr>
          <w:p w14:paraId="11D3F1B7" w14:textId="14C0EF08" w:rsidR="00360C2C" w:rsidRPr="00305D32" w:rsidRDefault="00360C2C">
            <w:pPr>
              <w:spacing w:after="0" w:line="240" w:lineRule="auto"/>
              <w:jc w:val="center"/>
              <w:rPr>
                <w:b/>
                <w:color w:val="000000"/>
                <w:lang w:val="es-MX"/>
              </w:rPr>
            </w:pPr>
            <w:r w:rsidRPr="00305D32">
              <w:rPr>
                <w:b/>
                <w:color w:val="000000"/>
                <w:lang w:val="es-MX"/>
              </w:rPr>
              <w:t>202</w:t>
            </w:r>
            <w:r w:rsidR="004B39A3" w:rsidRPr="00305D32">
              <w:rPr>
                <w:b/>
                <w:color w:val="000000"/>
                <w:lang w:val="es-MX"/>
              </w:rPr>
              <w:t>3</w:t>
            </w:r>
          </w:p>
        </w:tc>
        <w:tc>
          <w:tcPr>
            <w:tcW w:w="1157" w:type="dxa"/>
            <w:tcBorders>
              <w:top w:val="single" w:sz="8" w:space="0" w:color="000000"/>
              <w:left w:val="nil"/>
              <w:bottom w:val="nil"/>
              <w:right w:val="nil"/>
            </w:tcBorders>
            <w:vAlign w:val="center"/>
          </w:tcPr>
          <w:p w14:paraId="0AECB67A" w14:textId="0C9F51C0" w:rsidR="00360C2C" w:rsidRPr="00305D32" w:rsidRDefault="00360C2C">
            <w:pPr>
              <w:spacing w:after="0" w:line="240" w:lineRule="auto"/>
              <w:jc w:val="center"/>
              <w:rPr>
                <w:b/>
                <w:color w:val="000000"/>
                <w:lang w:val="es-MX"/>
              </w:rPr>
            </w:pPr>
            <w:r w:rsidRPr="00305D32">
              <w:rPr>
                <w:b/>
                <w:color w:val="000000"/>
                <w:lang w:val="es-MX"/>
              </w:rPr>
              <w:t>202</w:t>
            </w:r>
            <w:r w:rsidR="004B39A3" w:rsidRPr="00305D32">
              <w:rPr>
                <w:b/>
                <w:color w:val="000000"/>
                <w:lang w:val="es-MX"/>
              </w:rPr>
              <w:t>4</w:t>
            </w:r>
          </w:p>
        </w:tc>
        <w:tc>
          <w:tcPr>
            <w:tcW w:w="1409" w:type="dxa"/>
            <w:tcBorders>
              <w:top w:val="single" w:sz="8" w:space="0" w:color="000000"/>
              <w:left w:val="nil"/>
              <w:bottom w:val="nil"/>
              <w:right w:val="nil"/>
            </w:tcBorders>
            <w:vAlign w:val="center"/>
          </w:tcPr>
          <w:p w14:paraId="36211441" w14:textId="1950619D" w:rsidR="00360C2C" w:rsidRPr="00305D32" w:rsidRDefault="00360C2C">
            <w:pPr>
              <w:spacing w:after="0" w:line="240" w:lineRule="auto"/>
              <w:jc w:val="center"/>
              <w:rPr>
                <w:b/>
                <w:color w:val="000000"/>
                <w:lang w:val="es-MX"/>
              </w:rPr>
            </w:pPr>
            <w:r w:rsidRPr="00305D32">
              <w:rPr>
                <w:b/>
                <w:color w:val="000000"/>
                <w:lang w:val="es-MX"/>
              </w:rPr>
              <w:t>202</w:t>
            </w:r>
            <w:r w:rsidR="004B39A3" w:rsidRPr="00305D32">
              <w:rPr>
                <w:b/>
                <w:color w:val="000000"/>
                <w:lang w:val="es-MX"/>
              </w:rPr>
              <w:t>5</w:t>
            </w:r>
          </w:p>
        </w:tc>
      </w:tr>
      <w:tr w:rsidR="00360C2C" w:rsidRPr="00305D32" w14:paraId="3D00C1BD" w14:textId="77777777">
        <w:trPr>
          <w:trHeight w:val="350"/>
        </w:trPr>
        <w:tc>
          <w:tcPr>
            <w:tcW w:w="4992" w:type="dxa"/>
            <w:tcBorders>
              <w:top w:val="nil"/>
              <w:left w:val="nil"/>
              <w:bottom w:val="single" w:sz="8" w:space="0" w:color="000000"/>
              <w:right w:val="nil"/>
            </w:tcBorders>
            <w:vAlign w:val="center"/>
          </w:tcPr>
          <w:p w14:paraId="20B6CE24" w14:textId="77777777" w:rsidR="00360C2C" w:rsidRPr="00305D32" w:rsidRDefault="00360C2C">
            <w:pPr>
              <w:spacing w:after="0" w:line="240" w:lineRule="auto"/>
              <w:jc w:val="center"/>
              <w:rPr>
                <w:b/>
                <w:color w:val="000000"/>
                <w:lang w:val="es-MX"/>
              </w:rPr>
            </w:pPr>
            <w:r w:rsidRPr="00305D32">
              <w:rPr>
                <w:b/>
                <w:color w:val="000000"/>
                <w:lang w:val="es-MX"/>
              </w:rPr>
              <w:t>Trimestre</w:t>
            </w:r>
          </w:p>
        </w:tc>
        <w:tc>
          <w:tcPr>
            <w:tcW w:w="1568" w:type="dxa"/>
            <w:tcBorders>
              <w:top w:val="nil"/>
              <w:left w:val="nil"/>
              <w:bottom w:val="single" w:sz="8" w:space="0" w:color="000000"/>
              <w:right w:val="nil"/>
            </w:tcBorders>
            <w:vAlign w:val="center"/>
          </w:tcPr>
          <w:p w14:paraId="200EED95" w14:textId="77777777" w:rsidR="00360C2C" w:rsidRPr="00305D32" w:rsidRDefault="00360C2C">
            <w:pPr>
              <w:spacing w:after="0" w:line="240" w:lineRule="auto"/>
              <w:jc w:val="center"/>
              <w:rPr>
                <w:b/>
                <w:color w:val="000000"/>
                <w:lang w:val="es-MX"/>
              </w:rPr>
            </w:pPr>
            <w:r w:rsidRPr="00305D32">
              <w:rPr>
                <w:b/>
                <w:color w:val="000000"/>
                <w:lang w:val="es-MX"/>
              </w:rPr>
              <w:t>IV</w:t>
            </w:r>
          </w:p>
        </w:tc>
        <w:tc>
          <w:tcPr>
            <w:tcW w:w="1157" w:type="dxa"/>
            <w:tcBorders>
              <w:top w:val="nil"/>
              <w:left w:val="nil"/>
              <w:bottom w:val="single" w:sz="8" w:space="0" w:color="000000"/>
              <w:right w:val="nil"/>
            </w:tcBorders>
            <w:vAlign w:val="center"/>
          </w:tcPr>
          <w:p w14:paraId="77BD30F0" w14:textId="77777777" w:rsidR="00360C2C" w:rsidRPr="00305D32" w:rsidRDefault="00360C2C">
            <w:pPr>
              <w:spacing w:after="0" w:line="240" w:lineRule="auto"/>
              <w:jc w:val="center"/>
              <w:rPr>
                <w:b/>
                <w:color w:val="000000"/>
                <w:lang w:val="es-MX"/>
              </w:rPr>
            </w:pPr>
            <w:r w:rsidRPr="00305D32">
              <w:rPr>
                <w:b/>
                <w:color w:val="000000"/>
                <w:lang w:val="es-MX"/>
              </w:rPr>
              <w:t>IV</w:t>
            </w:r>
          </w:p>
        </w:tc>
        <w:tc>
          <w:tcPr>
            <w:tcW w:w="1409" w:type="dxa"/>
            <w:tcBorders>
              <w:top w:val="nil"/>
              <w:left w:val="nil"/>
              <w:bottom w:val="single" w:sz="8" w:space="0" w:color="000000"/>
              <w:right w:val="nil"/>
            </w:tcBorders>
            <w:vAlign w:val="center"/>
          </w:tcPr>
          <w:p w14:paraId="300B4FCA" w14:textId="77777777" w:rsidR="00360C2C" w:rsidRPr="00305D32" w:rsidRDefault="00360C2C">
            <w:pPr>
              <w:spacing w:after="0" w:line="240" w:lineRule="auto"/>
              <w:jc w:val="center"/>
              <w:rPr>
                <w:b/>
                <w:color w:val="000000"/>
                <w:lang w:val="es-MX"/>
              </w:rPr>
            </w:pPr>
            <w:r w:rsidRPr="00305D32">
              <w:rPr>
                <w:b/>
                <w:color w:val="000000"/>
                <w:lang w:val="es-MX"/>
              </w:rPr>
              <w:t>II</w:t>
            </w:r>
          </w:p>
        </w:tc>
      </w:tr>
      <w:tr w:rsidR="00360C2C" w:rsidRPr="00305D32" w14:paraId="155CF05C" w14:textId="77777777">
        <w:trPr>
          <w:trHeight w:val="334"/>
        </w:trPr>
        <w:tc>
          <w:tcPr>
            <w:tcW w:w="4992" w:type="dxa"/>
            <w:tcBorders>
              <w:top w:val="nil"/>
              <w:left w:val="nil"/>
              <w:bottom w:val="nil"/>
              <w:right w:val="nil"/>
            </w:tcBorders>
            <w:vAlign w:val="center"/>
          </w:tcPr>
          <w:p w14:paraId="611542D4" w14:textId="77777777" w:rsidR="00360C2C" w:rsidRPr="00305D32" w:rsidRDefault="00360C2C">
            <w:pPr>
              <w:spacing w:after="0" w:line="240" w:lineRule="auto"/>
              <w:jc w:val="left"/>
              <w:rPr>
                <w:b/>
                <w:color w:val="000000"/>
                <w:lang w:val="es-MX"/>
              </w:rPr>
            </w:pPr>
            <w:r w:rsidRPr="00305D32">
              <w:rPr>
                <w:b/>
                <w:color w:val="000000"/>
                <w:lang w:val="es-MX"/>
              </w:rPr>
              <w:t>Total</w:t>
            </w:r>
          </w:p>
        </w:tc>
        <w:tc>
          <w:tcPr>
            <w:tcW w:w="1568" w:type="dxa"/>
            <w:tcBorders>
              <w:top w:val="nil"/>
              <w:left w:val="nil"/>
              <w:bottom w:val="nil"/>
              <w:right w:val="nil"/>
            </w:tcBorders>
            <w:vAlign w:val="center"/>
          </w:tcPr>
          <w:p w14:paraId="07B1B0B0" w14:textId="3C1E5D94" w:rsidR="00360C2C" w:rsidRPr="00305D32" w:rsidRDefault="00D16765" w:rsidP="00377C17">
            <w:pPr>
              <w:spacing w:after="0" w:line="240" w:lineRule="auto"/>
              <w:jc w:val="center"/>
              <w:rPr>
                <w:b/>
                <w:color w:val="000000"/>
                <w:lang w:val="es-MX"/>
              </w:rPr>
            </w:pPr>
            <w:r w:rsidRPr="00305D32">
              <w:rPr>
                <w:b/>
                <w:color w:val="000000"/>
                <w:lang w:val="es-MX"/>
              </w:rPr>
              <w:t>969,918</w:t>
            </w:r>
          </w:p>
        </w:tc>
        <w:tc>
          <w:tcPr>
            <w:tcW w:w="1157" w:type="dxa"/>
            <w:tcBorders>
              <w:top w:val="nil"/>
              <w:left w:val="nil"/>
              <w:bottom w:val="nil"/>
              <w:right w:val="nil"/>
            </w:tcBorders>
            <w:vAlign w:val="center"/>
          </w:tcPr>
          <w:p w14:paraId="46D3F21B" w14:textId="5F743E66" w:rsidR="00360C2C" w:rsidRPr="00305D32" w:rsidRDefault="0022006D" w:rsidP="00377C17">
            <w:pPr>
              <w:spacing w:after="0" w:line="240" w:lineRule="auto"/>
              <w:jc w:val="center"/>
              <w:rPr>
                <w:b/>
                <w:color w:val="000000"/>
                <w:lang w:val="es-MX"/>
              </w:rPr>
            </w:pPr>
            <w:r w:rsidRPr="00305D32">
              <w:rPr>
                <w:b/>
                <w:bCs/>
                <w:color w:val="000000"/>
                <w:lang w:val="es-MX"/>
              </w:rPr>
              <w:t>975,349</w:t>
            </w:r>
          </w:p>
        </w:tc>
        <w:tc>
          <w:tcPr>
            <w:tcW w:w="1409" w:type="dxa"/>
            <w:tcBorders>
              <w:top w:val="nil"/>
              <w:left w:val="nil"/>
              <w:bottom w:val="nil"/>
              <w:right w:val="nil"/>
            </w:tcBorders>
            <w:vAlign w:val="center"/>
          </w:tcPr>
          <w:p w14:paraId="4BFBC90E" w14:textId="62862BFD" w:rsidR="00360C2C" w:rsidRPr="00305D32" w:rsidRDefault="00377C17" w:rsidP="00377C17">
            <w:pPr>
              <w:spacing w:after="0" w:line="240" w:lineRule="auto"/>
              <w:jc w:val="center"/>
              <w:rPr>
                <w:b/>
                <w:color w:val="000000"/>
                <w:lang w:val="es-MX"/>
              </w:rPr>
            </w:pPr>
            <w:r w:rsidRPr="00305D32">
              <w:rPr>
                <w:b/>
                <w:bCs/>
                <w:color w:val="000000"/>
                <w:lang w:val="es-MX"/>
              </w:rPr>
              <w:t>987,728</w:t>
            </w:r>
          </w:p>
        </w:tc>
      </w:tr>
      <w:tr w:rsidR="00360C2C" w:rsidRPr="00305D32" w14:paraId="0A3D21DE" w14:textId="77777777">
        <w:trPr>
          <w:trHeight w:val="318"/>
        </w:trPr>
        <w:tc>
          <w:tcPr>
            <w:tcW w:w="4992" w:type="dxa"/>
            <w:tcBorders>
              <w:top w:val="nil"/>
              <w:left w:val="nil"/>
              <w:bottom w:val="nil"/>
              <w:right w:val="nil"/>
            </w:tcBorders>
            <w:vAlign w:val="center"/>
          </w:tcPr>
          <w:p w14:paraId="297DBDD5" w14:textId="77777777" w:rsidR="00360C2C" w:rsidRPr="00305D32" w:rsidRDefault="00360C2C">
            <w:pPr>
              <w:spacing w:after="0" w:line="240" w:lineRule="auto"/>
              <w:jc w:val="left"/>
              <w:rPr>
                <w:color w:val="000000"/>
                <w:lang w:val="es-MX"/>
              </w:rPr>
            </w:pPr>
            <w:r w:rsidRPr="00305D32">
              <w:rPr>
                <w:color w:val="000000"/>
                <w:lang w:val="es-MX"/>
              </w:rPr>
              <w:t>Trabajadores subordinados y remunerados</w:t>
            </w:r>
          </w:p>
        </w:tc>
        <w:tc>
          <w:tcPr>
            <w:tcW w:w="1568" w:type="dxa"/>
            <w:tcBorders>
              <w:top w:val="nil"/>
              <w:left w:val="nil"/>
              <w:bottom w:val="nil"/>
              <w:right w:val="nil"/>
            </w:tcBorders>
            <w:vAlign w:val="center"/>
          </w:tcPr>
          <w:p w14:paraId="57E867FF" w14:textId="2BF75584" w:rsidR="00360C2C" w:rsidRPr="00305D32" w:rsidRDefault="00D16765" w:rsidP="00377C17">
            <w:pPr>
              <w:spacing w:after="0" w:line="240" w:lineRule="auto"/>
              <w:jc w:val="center"/>
              <w:rPr>
                <w:color w:val="000000"/>
                <w:lang w:val="es-MX"/>
              </w:rPr>
            </w:pPr>
            <w:r w:rsidRPr="00305D32">
              <w:rPr>
                <w:color w:val="000000"/>
                <w:lang w:val="es-MX"/>
              </w:rPr>
              <w:t>711,001</w:t>
            </w:r>
          </w:p>
        </w:tc>
        <w:tc>
          <w:tcPr>
            <w:tcW w:w="1157" w:type="dxa"/>
            <w:tcBorders>
              <w:top w:val="nil"/>
              <w:left w:val="nil"/>
              <w:bottom w:val="nil"/>
              <w:right w:val="nil"/>
            </w:tcBorders>
            <w:vAlign w:val="center"/>
          </w:tcPr>
          <w:p w14:paraId="09EA96C1" w14:textId="098AB14A" w:rsidR="00360C2C" w:rsidRPr="00305D32" w:rsidRDefault="0022006D" w:rsidP="00377C17">
            <w:pPr>
              <w:spacing w:after="0" w:line="240" w:lineRule="auto"/>
              <w:jc w:val="center"/>
              <w:rPr>
                <w:color w:val="000000"/>
                <w:lang w:val="es-MX"/>
              </w:rPr>
            </w:pPr>
            <w:r w:rsidRPr="00305D32">
              <w:rPr>
                <w:color w:val="000000"/>
                <w:lang w:val="es-MX"/>
              </w:rPr>
              <w:t>752,804</w:t>
            </w:r>
          </w:p>
        </w:tc>
        <w:tc>
          <w:tcPr>
            <w:tcW w:w="1409" w:type="dxa"/>
            <w:tcBorders>
              <w:top w:val="nil"/>
              <w:left w:val="nil"/>
              <w:bottom w:val="nil"/>
              <w:right w:val="nil"/>
            </w:tcBorders>
            <w:vAlign w:val="center"/>
          </w:tcPr>
          <w:p w14:paraId="07A619EC" w14:textId="07B3C29C" w:rsidR="00360C2C" w:rsidRPr="00305D32" w:rsidRDefault="00377C17" w:rsidP="00377C17">
            <w:pPr>
              <w:spacing w:after="0" w:line="240" w:lineRule="auto"/>
              <w:jc w:val="center"/>
              <w:rPr>
                <w:color w:val="000000"/>
                <w:lang w:val="es-MX"/>
              </w:rPr>
            </w:pPr>
            <w:r w:rsidRPr="00305D32">
              <w:rPr>
                <w:color w:val="000000"/>
                <w:lang w:val="es-MX"/>
              </w:rPr>
              <w:t>756,423</w:t>
            </w:r>
          </w:p>
        </w:tc>
      </w:tr>
      <w:tr w:rsidR="00360C2C" w:rsidRPr="00305D32" w14:paraId="0790D46D" w14:textId="77777777">
        <w:trPr>
          <w:trHeight w:val="318"/>
        </w:trPr>
        <w:tc>
          <w:tcPr>
            <w:tcW w:w="4992" w:type="dxa"/>
            <w:tcBorders>
              <w:top w:val="nil"/>
              <w:left w:val="nil"/>
              <w:bottom w:val="nil"/>
              <w:right w:val="nil"/>
            </w:tcBorders>
            <w:vAlign w:val="center"/>
          </w:tcPr>
          <w:p w14:paraId="6648FECA" w14:textId="7E7B31F2" w:rsidR="00360C2C" w:rsidRPr="00305D32" w:rsidRDefault="00360C2C">
            <w:pPr>
              <w:spacing w:after="0" w:line="240" w:lineRule="auto"/>
              <w:jc w:val="left"/>
              <w:rPr>
                <w:color w:val="000000"/>
                <w:lang w:val="es-MX"/>
              </w:rPr>
            </w:pPr>
            <w:r w:rsidRPr="00305D32">
              <w:rPr>
                <w:color w:val="000000"/>
                <w:lang w:val="es-MX"/>
              </w:rPr>
              <w:t xml:space="preserve">      Asalariados</w:t>
            </w:r>
          </w:p>
        </w:tc>
        <w:tc>
          <w:tcPr>
            <w:tcW w:w="1568" w:type="dxa"/>
            <w:tcBorders>
              <w:top w:val="nil"/>
              <w:left w:val="nil"/>
              <w:bottom w:val="nil"/>
              <w:right w:val="nil"/>
            </w:tcBorders>
            <w:vAlign w:val="center"/>
          </w:tcPr>
          <w:p w14:paraId="19636D9E" w14:textId="55AB10C4" w:rsidR="00360C2C" w:rsidRPr="00305D32" w:rsidRDefault="00360C2C" w:rsidP="00377C17">
            <w:pPr>
              <w:spacing w:after="0" w:line="240" w:lineRule="auto"/>
              <w:jc w:val="center"/>
              <w:rPr>
                <w:color w:val="000000"/>
                <w:lang w:val="es-MX"/>
              </w:rPr>
            </w:pPr>
            <w:r w:rsidRPr="00305D32">
              <w:rPr>
                <w:color w:val="000000"/>
                <w:lang w:val="es-MX"/>
              </w:rPr>
              <w:t>659,</w:t>
            </w:r>
            <w:r w:rsidR="00D16765" w:rsidRPr="00305D32">
              <w:rPr>
                <w:color w:val="000000"/>
                <w:lang w:val="es-MX"/>
              </w:rPr>
              <w:t>286</w:t>
            </w:r>
          </w:p>
        </w:tc>
        <w:tc>
          <w:tcPr>
            <w:tcW w:w="1157" w:type="dxa"/>
            <w:tcBorders>
              <w:top w:val="nil"/>
              <w:left w:val="nil"/>
              <w:bottom w:val="nil"/>
              <w:right w:val="nil"/>
            </w:tcBorders>
            <w:vAlign w:val="center"/>
          </w:tcPr>
          <w:p w14:paraId="1670FEE6" w14:textId="28C01C61" w:rsidR="00360C2C" w:rsidRPr="00305D32" w:rsidRDefault="0022006D" w:rsidP="00377C17">
            <w:pPr>
              <w:spacing w:after="0" w:line="240" w:lineRule="auto"/>
              <w:jc w:val="center"/>
              <w:rPr>
                <w:color w:val="000000"/>
                <w:lang w:val="es-MX"/>
              </w:rPr>
            </w:pPr>
            <w:r w:rsidRPr="00305D32">
              <w:rPr>
                <w:color w:val="000000"/>
                <w:lang w:val="es-MX"/>
              </w:rPr>
              <w:t>705,971</w:t>
            </w:r>
          </w:p>
        </w:tc>
        <w:tc>
          <w:tcPr>
            <w:tcW w:w="1409" w:type="dxa"/>
            <w:tcBorders>
              <w:top w:val="nil"/>
              <w:left w:val="nil"/>
              <w:bottom w:val="nil"/>
              <w:right w:val="nil"/>
            </w:tcBorders>
            <w:vAlign w:val="center"/>
          </w:tcPr>
          <w:p w14:paraId="07EF6F63" w14:textId="531892C0" w:rsidR="00360C2C" w:rsidRPr="00305D32" w:rsidRDefault="00377C17" w:rsidP="00377C17">
            <w:pPr>
              <w:spacing w:after="0" w:line="240" w:lineRule="auto"/>
              <w:jc w:val="center"/>
              <w:rPr>
                <w:color w:val="000000"/>
                <w:lang w:val="es-MX"/>
              </w:rPr>
            </w:pPr>
            <w:r w:rsidRPr="00305D32">
              <w:rPr>
                <w:color w:val="000000"/>
                <w:lang w:val="es-MX"/>
              </w:rPr>
              <w:t>712,290</w:t>
            </w:r>
          </w:p>
        </w:tc>
      </w:tr>
      <w:tr w:rsidR="00360C2C" w:rsidRPr="00305D32" w14:paraId="036B0EA2" w14:textId="77777777">
        <w:trPr>
          <w:trHeight w:val="318"/>
        </w:trPr>
        <w:tc>
          <w:tcPr>
            <w:tcW w:w="4992" w:type="dxa"/>
            <w:tcBorders>
              <w:top w:val="nil"/>
              <w:left w:val="nil"/>
              <w:bottom w:val="nil"/>
              <w:right w:val="nil"/>
            </w:tcBorders>
            <w:vAlign w:val="center"/>
          </w:tcPr>
          <w:p w14:paraId="5A321A8F" w14:textId="77777777" w:rsidR="00360C2C" w:rsidRPr="00305D32" w:rsidRDefault="00360C2C">
            <w:pPr>
              <w:spacing w:after="0" w:line="240" w:lineRule="auto"/>
              <w:jc w:val="left"/>
              <w:rPr>
                <w:color w:val="000000"/>
                <w:lang w:val="es-MX"/>
              </w:rPr>
            </w:pPr>
            <w:r w:rsidRPr="00305D32">
              <w:rPr>
                <w:color w:val="000000"/>
                <w:lang w:val="es-MX"/>
              </w:rPr>
              <w:t xml:space="preserve">      Con percepciones no salariales</w:t>
            </w:r>
          </w:p>
        </w:tc>
        <w:tc>
          <w:tcPr>
            <w:tcW w:w="1568" w:type="dxa"/>
            <w:tcBorders>
              <w:top w:val="nil"/>
              <w:left w:val="nil"/>
              <w:bottom w:val="nil"/>
              <w:right w:val="nil"/>
            </w:tcBorders>
            <w:vAlign w:val="center"/>
          </w:tcPr>
          <w:p w14:paraId="4F31CC4C" w14:textId="3C39F9D3" w:rsidR="00360C2C" w:rsidRPr="00305D32" w:rsidRDefault="00D16765" w:rsidP="00377C17">
            <w:pPr>
              <w:spacing w:after="0" w:line="240" w:lineRule="auto"/>
              <w:jc w:val="center"/>
              <w:rPr>
                <w:color w:val="000000"/>
                <w:lang w:val="es-MX"/>
              </w:rPr>
            </w:pPr>
            <w:r w:rsidRPr="00305D32">
              <w:rPr>
                <w:color w:val="000000"/>
                <w:lang w:val="es-MX"/>
              </w:rPr>
              <w:t>51,715</w:t>
            </w:r>
          </w:p>
        </w:tc>
        <w:tc>
          <w:tcPr>
            <w:tcW w:w="1157" w:type="dxa"/>
            <w:tcBorders>
              <w:top w:val="nil"/>
              <w:left w:val="nil"/>
              <w:bottom w:val="nil"/>
              <w:right w:val="nil"/>
            </w:tcBorders>
            <w:vAlign w:val="center"/>
          </w:tcPr>
          <w:p w14:paraId="44774C1C" w14:textId="6D0D8D6D" w:rsidR="00360C2C" w:rsidRPr="00305D32" w:rsidRDefault="0022006D" w:rsidP="00377C17">
            <w:pPr>
              <w:spacing w:after="0" w:line="240" w:lineRule="auto"/>
              <w:jc w:val="center"/>
              <w:rPr>
                <w:color w:val="000000"/>
                <w:lang w:val="es-MX"/>
              </w:rPr>
            </w:pPr>
            <w:r w:rsidRPr="00305D32">
              <w:rPr>
                <w:color w:val="000000"/>
                <w:lang w:val="es-MX"/>
              </w:rPr>
              <w:t>46,833</w:t>
            </w:r>
          </w:p>
        </w:tc>
        <w:tc>
          <w:tcPr>
            <w:tcW w:w="1409" w:type="dxa"/>
            <w:tcBorders>
              <w:top w:val="nil"/>
              <w:left w:val="nil"/>
              <w:bottom w:val="nil"/>
              <w:right w:val="nil"/>
            </w:tcBorders>
            <w:vAlign w:val="center"/>
          </w:tcPr>
          <w:p w14:paraId="2FAFB978" w14:textId="7940FCE2" w:rsidR="00360C2C" w:rsidRPr="00305D32" w:rsidRDefault="00360C2C" w:rsidP="00377C17">
            <w:pPr>
              <w:spacing w:after="0" w:line="240" w:lineRule="auto"/>
              <w:jc w:val="center"/>
              <w:rPr>
                <w:color w:val="000000"/>
                <w:lang w:val="es-MX"/>
              </w:rPr>
            </w:pPr>
            <w:r w:rsidRPr="00305D32">
              <w:rPr>
                <w:color w:val="000000"/>
                <w:lang w:val="es-MX"/>
              </w:rPr>
              <w:t>44,</w:t>
            </w:r>
            <w:r w:rsidR="00377C17" w:rsidRPr="00305D32">
              <w:rPr>
                <w:color w:val="000000"/>
                <w:lang w:val="es-MX"/>
              </w:rPr>
              <w:t>133</w:t>
            </w:r>
          </w:p>
        </w:tc>
      </w:tr>
      <w:tr w:rsidR="00360C2C" w:rsidRPr="00305D32" w14:paraId="3FEEC487" w14:textId="77777777">
        <w:trPr>
          <w:trHeight w:val="318"/>
        </w:trPr>
        <w:tc>
          <w:tcPr>
            <w:tcW w:w="4992" w:type="dxa"/>
            <w:tcBorders>
              <w:top w:val="nil"/>
              <w:left w:val="nil"/>
              <w:bottom w:val="nil"/>
              <w:right w:val="nil"/>
            </w:tcBorders>
            <w:vAlign w:val="center"/>
          </w:tcPr>
          <w:p w14:paraId="3D1D0EC1" w14:textId="77777777" w:rsidR="00360C2C" w:rsidRPr="00305D32" w:rsidRDefault="00360C2C">
            <w:pPr>
              <w:spacing w:after="0" w:line="240" w:lineRule="auto"/>
              <w:jc w:val="left"/>
              <w:rPr>
                <w:color w:val="000000"/>
                <w:lang w:val="es-MX"/>
              </w:rPr>
            </w:pPr>
            <w:r w:rsidRPr="00305D32">
              <w:rPr>
                <w:color w:val="000000"/>
                <w:lang w:val="es-MX"/>
              </w:rPr>
              <w:t>Empleadores</w:t>
            </w:r>
          </w:p>
        </w:tc>
        <w:tc>
          <w:tcPr>
            <w:tcW w:w="1568" w:type="dxa"/>
            <w:tcBorders>
              <w:top w:val="nil"/>
              <w:left w:val="nil"/>
              <w:bottom w:val="nil"/>
              <w:right w:val="nil"/>
            </w:tcBorders>
            <w:vAlign w:val="center"/>
          </w:tcPr>
          <w:p w14:paraId="1ECBDAE8" w14:textId="6F48E546" w:rsidR="00360C2C" w:rsidRPr="00305D32" w:rsidRDefault="00D16765" w:rsidP="00377C17">
            <w:pPr>
              <w:spacing w:after="0" w:line="240" w:lineRule="auto"/>
              <w:jc w:val="center"/>
              <w:rPr>
                <w:color w:val="000000"/>
                <w:lang w:val="es-MX"/>
              </w:rPr>
            </w:pPr>
            <w:r w:rsidRPr="00305D32">
              <w:rPr>
                <w:color w:val="000000"/>
                <w:lang w:val="es-MX"/>
              </w:rPr>
              <w:t>45,367</w:t>
            </w:r>
          </w:p>
        </w:tc>
        <w:tc>
          <w:tcPr>
            <w:tcW w:w="1157" w:type="dxa"/>
            <w:tcBorders>
              <w:top w:val="nil"/>
              <w:left w:val="nil"/>
              <w:bottom w:val="nil"/>
              <w:right w:val="nil"/>
            </w:tcBorders>
            <w:vAlign w:val="center"/>
          </w:tcPr>
          <w:p w14:paraId="0D99B320" w14:textId="3BF786C9" w:rsidR="00360C2C" w:rsidRPr="00305D32" w:rsidRDefault="0022006D" w:rsidP="00377C17">
            <w:pPr>
              <w:spacing w:after="0" w:line="240" w:lineRule="auto"/>
              <w:jc w:val="center"/>
              <w:rPr>
                <w:color w:val="000000"/>
                <w:lang w:val="es-MX"/>
              </w:rPr>
            </w:pPr>
            <w:r w:rsidRPr="00305D32">
              <w:rPr>
                <w:color w:val="000000"/>
                <w:lang w:val="es-MX"/>
              </w:rPr>
              <w:t>56,443</w:t>
            </w:r>
          </w:p>
        </w:tc>
        <w:tc>
          <w:tcPr>
            <w:tcW w:w="1409" w:type="dxa"/>
            <w:tcBorders>
              <w:top w:val="nil"/>
              <w:left w:val="nil"/>
              <w:bottom w:val="nil"/>
              <w:right w:val="nil"/>
            </w:tcBorders>
            <w:vAlign w:val="center"/>
          </w:tcPr>
          <w:p w14:paraId="5C7998FB" w14:textId="21560D65" w:rsidR="00360C2C" w:rsidRPr="00305D32" w:rsidRDefault="00377C17" w:rsidP="00377C17">
            <w:pPr>
              <w:spacing w:after="0" w:line="240" w:lineRule="auto"/>
              <w:jc w:val="center"/>
              <w:rPr>
                <w:color w:val="000000"/>
                <w:lang w:val="es-MX"/>
              </w:rPr>
            </w:pPr>
            <w:r w:rsidRPr="00305D32">
              <w:rPr>
                <w:color w:val="000000"/>
                <w:lang w:val="es-MX"/>
              </w:rPr>
              <w:t>57,469</w:t>
            </w:r>
          </w:p>
        </w:tc>
      </w:tr>
      <w:tr w:rsidR="00360C2C" w:rsidRPr="00305D32" w14:paraId="7C9567B4" w14:textId="77777777">
        <w:trPr>
          <w:trHeight w:val="318"/>
        </w:trPr>
        <w:tc>
          <w:tcPr>
            <w:tcW w:w="4992" w:type="dxa"/>
            <w:tcBorders>
              <w:top w:val="nil"/>
              <w:left w:val="nil"/>
              <w:bottom w:val="nil"/>
              <w:right w:val="nil"/>
            </w:tcBorders>
            <w:vAlign w:val="center"/>
          </w:tcPr>
          <w:p w14:paraId="45F645BC" w14:textId="77777777" w:rsidR="00360C2C" w:rsidRPr="00305D32" w:rsidRDefault="00360C2C">
            <w:pPr>
              <w:spacing w:after="0" w:line="240" w:lineRule="auto"/>
              <w:jc w:val="left"/>
              <w:rPr>
                <w:color w:val="000000"/>
                <w:lang w:val="es-MX"/>
              </w:rPr>
            </w:pPr>
            <w:r w:rsidRPr="00305D32">
              <w:rPr>
                <w:color w:val="000000"/>
                <w:lang w:val="es-MX"/>
              </w:rPr>
              <w:t>Trabajadores por cuenta propia</w:t>
            </w:r>
          </w:p>
        </w:tc>
        <w:tc>
          <w:tcPr>
            <w:tcW w:w="1568" w:type="dxa"/>
            <w:tcBorders>
              <w:top w:val="nil"/>
              <w:left w:val="nil"/>
              <w:bottom w:val="nil"/>
              <w:right w:val="nil"/>
            </w:tcBorders>
            <w:vAlign w:val="center"/>
          </w:tcPr>
          <w:p w14:paraId="13DE1D35" w14:textId="794F2834" w:rsidR="00360C2C" w:rsidRPr="00305D32" w:rsidRDefault="00D16765" w:rsidP="00377C17">
            <w:pPr>
              <w:spacing w:after="0" w:line="240" w:lineRule="auto"/>
              <w:jc w:val="center"/>
              <w:rPr>
                <w:color w:val="000000"/>
                <w:lang w:val="es-MX"/>
              </w:rPr>
            </w:pPr>
            <w:r w:rsidRPr="00305D32">
              <w:rPr>
                <w:color w:val="000000"/>
                <w:lang w:val="es-MX"/>
              </w:rPr>
              <w:t>182,507</w:t>
            </w:r>
          </w:p>
        </w:tc>
        <w:tc>
          <w:tcPr>
            <w:tcW w:w="1157" w:type="dxa"/>
            <w:tcBorders>
              <w:top w:val="nil"/>
              <w:left w:val="nil"/>
              <w:bottom w:val="nil"/>
              <w:right w:val="nil"/>
            </w:tcBorders>
            <w:vAlign w:val="center"/>
          </w:tcPr>
          <w:p w14:paraId="4B1340E9" w14:textId="21FA8DFC" w:rsidR="00360C2C" w:rsidRPr="00305D32" w:rsidRDefault="0022006D" w:rsidP="00377C17">
            <w:pPr>
              <w:spacing w:after="0" w:line="240" w:lineRule="auto"/>
              <w:jc w:val="center"/>
              <w:rPr>
                <w:color w:val="000000"/>
                <w:lang w:val="es-MX"/>
              </w:rPr>
            </w:pPr>
            <w:r w:rsidRPr="00305D32">
              <w:rPr>
                <w:color w:val="000000"/>
                <w:lang w:val="es-MX"/>
              </w:rPr>
              <w:t>148,730</w:t>
            </w:r>
          </w:p>
        </w:tc>
        <w:tc>
          <w:tcPr>
            <w:tcW w:w="1409" w:type="dxa"/>
            <w:tcBorders>
              <w:top w:val="nil"/>
              <w:left w:val="nil"/>
              <w:bottom w:val="nil"/>
              <w:right w:val="nil"/>
            </w:tcBorders>
            <w:vAlign w:val="center"/>
          </w:tcPr>
          <w:p w14:paraId="3CAE0F80" w14:textId="02501A6B" w:rsidR="00360C2C" w:rsidRPr="00305D32" w:rsidRDefault="00377C17" w:rsidP="00377C17">
            <w:pPr>
              <w:spacing w:after="0" w:line="240" w:lineRule="auto"/>
              <w:jc w:val="center"/>
              <w:rPr>
                <w:color w:val="000000"/>
                <w:lang w:val="es-MX"/>
              </w:rPr>
            </w:pPr>
            <w:r w:rsidRPr="00305D32">
              <w:rPr>
                <w:color w:val="000000"/>
                <w:lang w:val="es-MX"/>
              </w:rPr>
              <w:t>158,208</w:t>
            </w:r>
          </w:p>
        </w:tc>
      </w:tr>
      <w:tr w:rsidR="00360C2C" w:rsidRPr="00305D32" w14:paraId="4DCC8F0F" w14:textId="77777777">
        <w:trPr>
          <w:trHeight w:val="334"/>
        </w:trPr>
        <w:tc>
          <w:tcPr>
            <w:tcW w:w="4992" w:type="dxa"/>
            <w:tcBorders>
              <w:top w:val="nil"/>
              <w:left w:val="nil"/>
              <w:bottom w:val="single" w:sz="8" w:space="0" w:color="000000"/>
              <w:right w:val="nil"/>
            </w:tcBorders>
            <w:vAlign w:val="center"/>
          </w:tcPr>
          <w:p w14:paraId="0AB86C2A" w14:textId="77777777" w:rsidR="00360C2C" w:rsidRPr="00305D32" w:rsidRDefault="00360C2C">
            <w:pPr>
              <w:spacing w:after="0" w:line="240" w:lineRule="auto"/>
              <w:jc w:val="left"/>
              <w:rPr>
                <w:color w:val="000000"/>
                <w:lang w:val="es-MX"/>
              </w:rPr>
            </w:pPr>
            <w:r w:rsidRPr="00305D32">
              <w:rPr>
                <w:color w:val="000000"/>
                <w:lang w:val="es-MX"/>
              </w:rPr>
              <w:t>Trabajadores no remunerados</w:t>
            </w:r>
          </w:p>
        </w:tc>
        <w:tc>
          <w:tcPr>
            <w:tcW w:w="1568" w:type="dxa"/>
            <w:tcBorders>
              <w:top w:val="nil"/>
              <w:left w:val="nil"/>
              <w:bottom w:val="single" w:sz="8" w:space="0" w:color="000000"/>
              <w:right w:val="nil"/>
            </w:tcBorders>
            <w:vAlign w:val="center"/>
          </w:tcPr>
          <w:p w14:paraId="601A3FD4" w14:textId="0C359683" w:rsidR="00360C2C" w:rsidRPr="00305D32" w:rsidRDefault="00D16765" w:rsidP="00377C17">
            <w:pPr>
              <w:spacing w:after="0" w:line="240" w:lineRule="auto"/>
              <w:jc w:val="center"/>
              <w:rPr>
                <w:color w:val="000000"/>
                <w:lang w:val="es-MX"/>
              </w:rPr>
            </w:pPr>
            <w:r w:rsidRPr="00305D32">
              <w:rPr>
                <w:color w:val="000000"/>
                <w:lang w:val="es-MX"/>
              </w:rPr>
              <w:t>31,043</w:t>
            </w:r>
          </w:p>
        </w:tc>
        <w:tc>
          <w:tcPr>
            <w:tcW w:w="1157" w:type="dxa"/>
            <w:tcBorders>
              <w:top w:val="nil"/>
              <w:left w:val="nil"/>
              <w:bottom w:val="single" w:sz="8" w:space="0" w:color="000000"/>
              <w:right w:val="nil"/>
            </w:tcBorders>
            <w:vAlign w:val="center"/>
          </w:tcPr>
          <w:p w14:paraId="6A0F872C" w14:textId="2425C288" w:rsidR="00360C2C" w:rsidRPr="00305D32" w:rsidRDefault="0022006D" w:rsidP="00377C17">
            <w:pPr>
              <w:spacing w:after="0" w:line="240" w:lineRule="auto"/>
              <w:jc w:val="center"/>
              <w:rPr>
                <w:color w:val="000000"/>
                <w:lang w:val="es-MX"/>
              </w:rPr>
            </w:pPr>
            <w:r w:rsidRPr="00305D32">
              <w:rPr>
                <w:color w:val="000000"/>
                <w:lang w:val="es-MX"/>
              </w:rPr>
              <w:t>17,372</w:t>
            </w:r>
          </w:p>
        </w:tc>
        <w:tc>
          <w:tcPr>
            <w:tcW w:w="1409" w:type="dxa"/>
            <w:tcBorders>
              <w:top w:val="nil"/>
              <w:left w:val="nil"/>
              <w:bottom w:val="single" w:sz="8" w:space="0" w:color="000000"/>
              <w:right w:val="nil"/>
            </w:tcBorders>
            <w:vAlign w:val="center"/>
          </w:tcPr>
          <w:p w14:paraId="70C1970C" w14:textId="13FE8D32" w:rsidR="00360C2C" w:rsidRPr="00305D32" w:rsidRDefault="00377C17" w:rsidP="00377C17">
            <w:pPr>
              <w:spacing w:after="0" w:line="240" w:lineRule="auto"/>
              <w:jc w:val="center"/>
              <w:rPr>
                <w:color w:val="000000"/>
                <w:lang w:val="es-MX"/>
              </w:rPr>
            </w:pPr>
            <w:r w:rsidRPr="00305D32">
              <w:rPr>
                <w:color w:val="000000"/>
                <w:lang w:val="es-MX"/>
              </w:rPr>
              <w:t>15,628</w:t>
            </w:r>
          </w:p>
        </w:tc>
      </w:tr>
    </w:tbl>
    <w:p w14:paraId="4D0836E1" w14:textId="1EAA69FD" w:rsidR="00AE57F0" w:rsidRDefault="00414F7C">
      <w:pPr>
        <w:spacing w:line="240" w:lineRule="auto"/>
        <w:jc w:val="center"/>
        <w:rPr>
          <w:i/>
          <w:sz w:val="20"/>
          <w:szCs w:val="20"/>
          <w:lang w:val="es-MX"/>
        </w:rPr>
      </w:pPr>
      <w:r w:rsidRPr="00305D32">
        <w:rPr>
          <w:sz w:val="20"/>
          <w:szCs w:val="20"/>
          <w:lang w:val="es-MX"/>
        </w:rPr>
        <w:t>Fuente: Elaboración de la Subsecretaría de Análisis Económico y Finanzas Públicas de la Secretaría de Finanzas y Planeación, con base en datos del Instituto Nacional de Geografía y Estadística (202</w:t>
      </w:r>
      <w:r w:rsidR="00377C17" w:rsidRPr="00305D32">
        <w:rPr>
          <w:sz w:val="20"/>
          <w:szCs w:val="20"/>
          <w:lang w:val="es-MX"/>
        </w:rPr>
        <w:t>5</w:t>
      </w:r>
      <w:r w:rsidRPr="00305D32">
        <w:rPr>
          <w:sz w:val="20"/>
          <w:szCs w:val="20"/>
          <w:lang w:val="es-MX"/>
        </w:rPr>
        <w:t>)</w:t>
      </w:r>
      <w:r w:rsidRPr="00305D32">
        <w:rPr>
          <w:i/>
          <w:sz w:val="20"/>
          <w:szCs w:val="20"/>
          <w:lang w:val="es-MX"/>
        </w:rPr>
        <w:t xml:space="preserve"> Encuesta Nacional de Ocupación y Empleo.</w:t>
      </w:r>
    </w:p>
    <w:p w14:paraId="51362642" w14:textId="77777777" w:rsidR="003E041D" w:rsidRPr="00305D32" w:rsidRDefault="003E041D">
      <w:pPr>
        <w:spacing w:line="240" w:lineRule="auto"/>
        <w:jc w:val="center"/>
        <w:rPr>
          <w:i/>
          <w:sz w:val="20"/>
          <w:szCs w:val="20"/>
          <w:lang w:val="es-MX"/>
        </w:rPr>
      </w:pPr>
    </w:p>
    <w:p w14:paraId="4A2057A2" w14:textId="67F5AA37" w:rsidR="00D06CBC" w:rsidRPr="00305D32" w:rsidRDefault="00D06CBC" w:rsidP="00D06CBC">
      <w:pPr>
        <w:rPr>
          <w:lang w:val="es-MX"/>
        </w:rPr>
      </w:pPr>
      <w:r w:rsidRPr="00305D32">
        <w:rPr>
          <w:lang w:val="es-MX"/>
        </w:rPr>
        <w:t xml:space="preserve">En la variación del cuarto trimestre de 2024 al segundo trimestre de 2025 el personal ocupado </w:t>
      </w:r>
      <w:r w:rsidR="00A71528">
        <w:rPr>
          <w:lang w:val="es-MX"/>
        </w:rPr>
        <w:t>aumen</w:t>
      </w:r>
      <w:r w:rsidRPr="00305D32">
        <w:rPr>
          <w:lang w:val="es-MX"/>
        </w:rPr>
        <w:t>tó en 1.27</w:t>
      </w:r>
      <w:r w:rsidR="0019290E">
        <w:rPr>
          <w:lang w:val="es-MX"/>
        </w:rPr>
        <w:t xml:space="preserve"> %</w:t>
      </w:r>
      <w:r w:rsidRPr="00305D32">
        <w:rPr>
          <w:lang w:val="es-MX"/>
        </w:rPr>
        <w:t xml:space="preserve"> (12,379 personas), aunque persisten retos en la absorción de ciertos segmentos laborales, ya que se identifica lo siguiente:</w:t>
      </w:r>
    </w:p>
    <w:p w14:paraId="5168F824" w14:textId="794B9743" w:rsidR="006543EF" w:rsidRPr="00305D32" w:rsidRDefault="006543EF" w:rsidP="006543EF">
      <w:pPr>
        <w:pStyle w:val="Prrafodelista"/>
        <w:numPr>
          <w:ilvl w:val="0"/>
          <w:numId w:val="1"/>
        </w:numPr>
        <w:spacing w:after="0"/>
        <w:rPr>
          <w:color w:val="000000"/>
          <w:lang w:val="es-MX"/>
        </w:rPr>
      </w:pPr>
      <w:r w:rsidRPr="00305D32">
        <w:rPr>
          <w:color w:val="000000"/>
          <w:lang w:val="es-MX"/>
        </w:rPr>
        <w:t>Los trabajadores no remunerados disminuye</w:t>
      </w:r>
      <w:r w:rsidR="00A71528">
        <w:rPr>
          <w:color w:val="000000"/>
          <w:lang w:val="es-MX"/>
        </w:rPr>
        <w:t>ron</w:t>
      </w:r>
      <w:r w:rsidRPr="00305D32">
        <w:rPr>
          <w:color w:val="000000"/>
          <w:lang w:val="es-MX"/>
        </w:rPr>
        <w:t xml:space="preserve"> en 10.05</w:t>
      </w:r>
      <w:r w:rsidR="0019290E">
        <w:rPr>
          <w:color w:val="000000"/>
          <w:lang w:val="es-MX"/>
        </w:rPr>
        <w:t xml:space="preserve"> %</w:t>
      </w:r>
      <w:r w:rsidRPr="00305D32">
        <w:rPr>
          <w:color w:val="000000"/>
          <w:lang w:val="es-MX"/>
        </w:rPr>
        <w:t xml:space="preserve"> (1,744 personas) y los trabajadores subordinados con percepciones no salariales </w:t>
      </w:r>
      <w:r w:rsidR="00A71528">
        <w:rPr>
          <w:color w:val="000000"/>
          <w:lang w:val="es-MX"/>
        </w:rPr>
        <w:t>se redujeron</w:t>
      </w:r>
      <w:r w:rsidRPr="00305D32">
        <w:rPr>
          <w:color w:val="000000"/>
          <w:lang w:val="es-MX"/>
        </w:rPr>
        <w:t xml:space="preserve"> en 5.77</w:t>
      </w:r>
      <w:r w:rsidR="0019290E">
        <w:rPr>
          <w:color w:val="000000"/>
          <w:lang w:val="es-MX"/>
        </w:rPr>
        <w:t xml:space="preserve"> %</w:t>
      </w:r>
      <w:r w:rsidRPr="00305D32">
        <w:rPr>
          <w:color w:val="000000"/>
          <w:lang w:val="es-MX"/>
        </w:rPr>
        <w:t xml:space="preserve"> (2,700 personas).</w:t>
      </w:r>
    </w:p>
    <w:p w14:paraId="3B1BD4C2" w14:textId="0F8F1151" w:rsidR="006C1EA7" w:rsidRPr="00305D32" w:rsidRDefault="006C1EA7" w:rsidP="00B75341">
      <w:pPr>
        <w:numPr>
          <w:ilvl w:val="0"/>
          <w:numId w:val="1"/>
        </w:numPr>
        <w:spacing w:after="0"/>
        <w:rPr>
          <w:lang w:val="es-MX"/>
        </w:rPr>
      </w:pPr>
      <w:r w:rsidRPr="00305D32">
        <w:rPr>
          <w:lang w:val="es-MX"/>
        </w:rPr>
        <w:t>Los trabajadores por cuenta propia aumentaron en 6.36</w:t>
      </w:r>
      <w:r w:rsidR="0019290E">
        <w:rPr>
          <w:lang w:val="es-MX"/>
        </w:rPr>
        <w:t xml:space="preserve"> %</w:t>
      </w:r>
      <w:r w:rsidRPr="00305D32">
        <w:rPr>
          <w:lang w:val="es-MX"/>
        </w:rPr>
        <w:t xml:space="preserve"> (9,478 personas).</w:t>
      </w:r>
    </w:p>
    <w:p w14:paraId="04965496" w14:textId="28872A58" w:rsidR="00987DE0" w:rsidRPr="00305D32" w:rsidRDefault="00987DE0" w:rsidP="00B75341">
      <w:pPr>
        <w:numPr>
          <w:ilvl w:val="0"/>
          <w:numId w:val="1"/>
        </w:numPr>
        <w:spacing w:after="0"/>
        <w:rPr>
          <w:lang w:val="es-MX"/>
        </w:rPr>
      </w:pPr>
      <w:r w:rsidRPr="00305D32">
        <w:rPr>
          <w:lang w:val="es-MX"/>
        </w:rPr>
        <w:lastRenderedPageBreak/>
        <w:t>Los empleadores crecieron en 1.82</w:t>
      </w:r>
      <w:r w:rsidR="0019290E">
        <w:rPr>
          <w:lang w:val="es-MX"/>
        </w:rPr>
        <w:t xml:space="preserve"> %</w:t>
      </w:r>
      <w:r w:rsidRPr="00305D32">
        <w:rPr>
          <w:lang w:val="es-MX"/>
        </w:rPr>
        <w:t xml:space="preserve"> (1,026 personas).</w:t>
      </w:r>
    </w:p>
    <w:p w14:paraId="159FC64D" w14:textId="3DF4911A" w:rsidR="00B75341" w:rsidRPr="00305D32" w:rsidRDefault="00B75341" w:rsidP="00B75341">
      <w:pPr>
        <w:numPr>
          <w:ilvl w:val="0"/>
          <w:numId w:val="1"/>
        </w:numPr>
        <w:rPr>
          <w:lang w:val="es-MX"/>
        </w:rPr>
      </w:pPr>
      <w:r w:rsidRPr="00305D32">
        <w:rPr>
          <w:lang w:val="es-MX"/>
        </w:rPr>
        <w:t>El personal asalariado mostró un incremento de 0.89</w:t>
      </w:r>
      <w:r w:rsidR="0019290E">
        <w:rPr>
          <w:lang w:val="es-MX"/>
        </w:rPr>
        <w:t xml:space="preserve"> %</w:t>
      </w:r>
      <w:r w:rsidRPr="00305D32">
        <w:rPr>
          <w:lang w:val="es-MX"/>
        </w:rPr>
        <w:t xml:space="preserve"> (6,319 personas).</w:t>
      </w:r>
    </w:p>
    <w:p w14:paraId="0A117614" w14:textId="197668CC" w:rsidR="006C63FF" w:rsidRPr="00305D32" w:rsidRDefault="006C63FF" w:rsidP="006D2E0F">
      <w:pPr>
        <w:rPr>
          <w:lang w:val="es-MX"/>
        </w:rPr>
      </w:pPr>
      <w:r w:rsidRPr="00305D32">
        <w:rPr>
          <w:lang w:val="es-MX"/>
        </w:rPr>
        <w:t xml:space="preserve">Hasta el primer semestre de 2025 se observa una recuperación moderada de la población ocupada respecto al cuarto trimestre de 2024. Este comportamiento refleja una reconfiguración del mercado laboral en </w:t>
      </w:r>
      <w:r w:rsidR="00120247">
        <w:rPr>
          <w:lang w:val="es-MX"/>
        </w:rPr>
        <w:t>el Estado</w:t>
      </w:r>
      <w:r w:rsidRPr="00305D32">
        <w:rPr>
          <w:lang w:val="es-MX"/>
        </w:rPr>
        <w:t xml:space="preserve">, donde los ajustes </w:t>
      </w:r>
      <w:r w:rsidR="001C52DA">
        <w:rPr>
          <w:lang w:val="es-MX"/>
        </w:rPr>
        <w:t xml:space="preserve">derivados </w:t>
      </w:r>
      <w:r w:rsidRPr="00305D32">
        <w:rPr>
          <w:lang w:val="es-MX"/>
        </w:rPr>
        <w:t>por la conclusión de obras estratégicas como el Tren Maya han dado paso a la reincorporación gradual de trabajadores en actividades productivas locales y de servicios, así como a la consolidación de empleos permanentes vinculados a la operación de nuevas infraestructuras.</w:t>
      </w:r>
    </w:p>
    <w:p w14:paraId="187B1B5A" w14:textId="5DBE044A" w:rsidR="006D2E0F" w:rsidRPr="00305D32" w:rsidRDefault="00A21335" w:rsidP="006D2E0F">
      <w:pPr>
        <w:rPr>
          <w:lang w:val="es-MX"/>
        </w:rPr>
      </w:pPr>
      <w:r w:rsidRPr="00A21335">
        <w:rPr>
          <w:lang w:val="es-MX"/>
        </w:rPr>
        <w:t>La estabilización de los niveles del empleo brinda al Estado la capacidad de generar una proyección positiva en sus ingresos, en la medida que esto permitiría mantener los mismos niveles de recaudación e inclusive incrementar los recursos mediante un mayor esfuerzo fiscal, sin que por ello se genere una afectación en el sector empresarial estatal. En este sentido, el fortalecimiento a través de una mayor recaudación por el Impuesto sobre la Nómina del Estado (ISN) permitirá que la generación de empleo y los recursos derivados de estas contribuciones permanezcan en el Estado, posibilitando aplicar políticas públicas orientadas a proteger la productividad de los sectores locales</w:t>
      </w:r>
      <w:r w:rsidR="006D2E0F" w:rsidRPr="00305D32">
        <w:rPr>
          <w:lang w:val="es-MX"/>
        </w:rPr>
        <w:t>.</w:t>
      </w:r>
    </w:p>
    <w:p w14:paraId="45D5125A" w14:textId="2C545346" w:rsidR="006D2E0F" w:rsidRPr="00305D32" w:rsidRDefault="006D2E0F" w:rsidP="006D2E0F">
      <w:pPr>
        <w:rPr>
          <w:lang w:val="es-MX"/>
        </w:rPr>
      </w:pPr>
      <w:r w:rsidRPr="00305D32">
        <w:rPr>
          <w:lang w:val="es-MX"/>
        </w:rPr>
        <w:t xml:space="preserve">Lo anterior derivado de que una mayor contribución del </w:t>
      </w:r>
      <w:r w:rsidR="00A21335">
        <w:rPr>
          <w:lang w:val="es-MX"/>
        </w:rPr>
        <w:t>ISN</w:t>
      </w:r>
      <w:r w:rsidRPr="00305D32">
        <w:rPr>
          <w:lang w:val="es-MX"/>
        </w:rPr>
        <w:t xml:space="preserve"> resulta deducible del pago del </w:t>
      </w:r>
      <w:r w:rsidR="007169BB">
        <w:rPr>
          <w:lang w:val="es-MX"/>
        </w:rPr>
        <w:t>ISR</w:t>
      </w:r>
      <w:r w:rsidRPr="00305D32">
        <w:rPr>
          <w:lang w:val="es-MX"/>
        </w:rPr>
        <w:t xml:space="preserve">, de acuerdo con la Ley de esta última contribución. Así, en lugar de que el sector empresarial realice su contribución al </w:t>
      </w:r>
      <w:r w:rsidR="007169BB">
        <w:rPr>
          <w:lang w:val="es-MX"/>
        </w:rPr>
        <w:t>G</w:t>
      </w:r>
      <w:r w:rsidRPr="00305D32">
        <w:rPr>
          <w:lang w:val="es-MX"/>
        </w:rPr>
        <w:t xml:space="preserve">obierno </w:t>
      </w:r>
      <w:r w:rsidR="007169BB">
        <w:rPr>
          <w:lang w:val="es-MX"/>
        </w:rPr>
        <w:t>F</w:t>
      </w:r>
      <w:r w:rsidRPr="00305D32">
        <w:rPr>
          <w:lang w:val="es-MX"/>
        </w:rPr>
        <w:t>ederal, y que dichos recursos sean participados sólo en una parte limitada al Estado, el pago de la contribución permanece en el Estado, dotándolo de capacidad financiera para la aplicación de políticas que favorezcan el desarrollo del sector empresarial.</w:t>
      </w:r>
    </w:p>
    <w:p w14:paraId="4D0836EA" w14:textId="31D3E7B1" w:rsidR="00AE57F0" w:rsidRDefault="00414F7C">
      <w:pPr>
        <w:rPr>
          <w:lang w:val="es-MX"/>
        </w:rPr>
      </w:pPr>
      <w:r w:rsidRPr="00305D32">
        <w:rPr>
          <w:lang w:val="es-MX"/>
        </w:rPr>
        <w:t>Clasificando a la población ocupada por sector de actividad económica (</w:t>
      </w:r>
      <w:r w:rsidR="00B950D5" w:rsidRPr="00305D32">
        <w:rPr>
          <w:lang w:val="es-MX"/>
        </w:rPr>
        <w:fldChar w:fldCharType="begin"/>
      </w:r>
      <w:r w:rsidR="00B950D5" w:rsidRPr="00305D32">
        <w:rPr>
          <w:lang w:val="es-MX"/>
        </w:rPr>
        <w:instrText xml:space="preserve"> REF _Ref210294978 \h </w:instrText>
      </w:r>
      <w:r w:rsidR="00B950D5" w:rsidRPr="00305D32">
        <w:rPr>
          <w:lang w:val="es-MX"/>
        </w:rPr>
      </w:r>
      <w:r w:rsidR="00B950D5" w:rsidRPr="00305D32">
        <w:rPr>
          <w:lang w:val="es-MX"/>
        </w:rPr>
        <w:fldChar w:fldCharType="separate"/>
      </w:r>
      <w:r w:rsidR="00ED1F2F" w:rsidRPr="00305D32">
        <w:rPr>
          <w:lang w:val="es-MX"/>
        </w:rPr>
        <w:t xml:space="preserve">Figura </w:t>
      </w:r>
      <w:r w:rsidR="00ED1F2F">
        <w:rPr>
          <w:noProof/>
          <w:lang w:val="es-MX"/>
        </w:rPr>
        <w:t>33</w:t>
      </w:r>
      <w:r w:rsidR="00B950D5" w:rsidRPr="00305D32">
        <w:rPr>
          <w:lang w:val="es-MX"/>
        </w:rPr>
        <w:fldChar w:fldCharType="end"/>
      </w:r>
      <w:r w:rsidRPr="00305D32">
        <w:rPr>
          <w:lang w:val="es-MX"/>
        </w:rPr>
        <w:t xml:space="preserve">), el sector terciario concentró la mayor parte de la población ocupada, en el segundo </w:t>
      </w:r>
      <w:r w:rsidRPr="00305D32">
        <w:rPr>
          <w:lang w:val="es-MX"/>
        </w:rPr>
        <w:lastRenderedPageBreak/>
        <w:t>trimestre de 202</w:t>
      </w:r>
      <w:r w:rsidR="001D423B">
        <w:rPr>
          <w:lang w:val="es-MX"/>
        </w:rPr>
        <w:t>5</w:t>
      </w:r>
      <w:r w:rsidRPr="00305D32">
        <w:rPr>
          <w:lang w:val="es-MX"/>
        </w:rPr>
        <w:t xml:space="preserve"> la cifra fue de 7</w:t>
      </w:r>
      <w:r w:rsidR="001A2463" w:rsidRPr="00305D32">
        <w:rPr>
          <w:lang w:val="es-MX"/>
        </w:rPr>
        <w:t>84</w:t>
      </w:r>
      <w:r w:rsidRPr="00305D32">
        <w:rPr>
          <w:lang w:val="es-MX"/>
        </w:rPr>
        <w:t>,</w:t>
      </w:r>
      <w:r w:rsidR="001A2463" w:rsidRPr="00305D32">
        <w:rPr>
          <w:lang w:val="es-MX"/>
        </w:rPr>
        <w:t>122</w:t>
      </w:r>
      <w:r w:rsidRPr="00305D32">
        <w:rPr>
          <w:lang w:val="es-MX"/>
        </w:rPr>
        <w:t xml:space="preserve"> personas (79.</w:t>
      </w:r>
      <w:r w:rsidR="001A2463" w:rsidRPr="00305D32">
        <w:rPr>
          <w:lang w:val="es-MX"/>
        </w:rPr>
        <w:t>39</w:t>
      </w:r>
      <w:r w:rsidR="0019290E">
        <w:rPr>
          <w:lang w:val="es-MX"/>
        </w:rPr>
        <w:t xml:space="preserve"> %</w:t>
      </w:r>
      <w:r w:rsidRPr="00305D32">
        <w:rPr>
          <w:lang w:val="es-MX"/>
        </w:rPr>
        <w:t>), el sector secundario</w:t>
      </w:r>
      <w:r w:rsidR="00CF1923">
        <w:rPr>
          <w:lang w:val="es-MX"/>
        </w:rPr>
        <w:t>,</w:t>
      </w:r>
      <w:r w:rsidRPr="00305D32">
        <w:rPr>
          <w:lang w:val="es-MX"/>
        </w:rPr>
        <w:t xml:space="preserve"> con 1</w:t>
      </w:r>
      <w:r w:rsidR="001A2463" w:rsidRPr="00305D32">
        <w:rPr>
          <w:lang w:val="es-MX"/>
        </w:rPr>
        <w:t>61</w:t>
      </w:r>
      <w:r w:rsidRPr="00305D32">
        <w:rPr>
          <w:lang w:val="es-MX"/>
        </w:rPr>
        <w:t>,</w:t>
      </w:r>
      <w:r w:rsidR="001A2463" w:rsidRPr="00305D32">
        <w:rPr>
          <w:lang w:val="es-MX"/>
        </w:rPr>
        <w:t>701</w:t>
      </w:r>
      <w:r w:rsidRPr="00305D32">
        <w:rPr>
          <w:lang w:val="es-MX"/>
        </w:rPr>
        <w:t xml:space="preserve"> personas (1</w:t>
      </w:r>
      <w:r w:rsidR="001A2463" w:rsidRPr="00305D32">
        <w:rPr>
          <w:lang w:val="es-MX"/>
        </w:rPr>
        <w:t>6</w:t>
      </w:r>
      <w:r w:rsidRPr="00305D32">
        <w:rPr>
          <w:lang w:val="es-MX"/>
        </w:rPr>
        <w:t>.</w:t>
      </w:r>
      <w:r w:rsidR="001A2463" w:rsidRPr="00305D32">
        <w:rPr>
          <w:lang w:val="es-MX"/>
        </w:rPr>
        <w:t>37</w:t>
      </w:r>
      <w:r w:rsidR="0019290E">
        <w:rPr>
          <w:lang w:val="es-MX"/>
        </w:rPr>
        <w:t xml:space="preserve"> %</w:t>
      </w:r>
      <w:r w:rsidRPr="00305D32">
        <w:rPr>
          <w:lang w:val="es-MX"/>
        </w:rPr>
        <w:t xml:space="preserve">) y el primario ocupó </w:t>
      </w:r>
      <w:r w:rsidR="001A2463" w:rsidRPr="00305D32">
        <w:rPr>
          <w:lang w:val="es-MX"/>
        </w:rPr>
        <w:t>3</w:t>
      </w:r>
      <w:r w:rsidRPr="00305D32">
        <w:rPr>
          <w:lang w:val="es-MX"/>
        </w:rPr>
        <w:t>8,</w:t>
      </w:r>
      <w:r w:rsidR="00CF07FC" w:rsidRPr="00305D32">
        <w:rPr>
          <w:lang w:val="es-MX"/>
        </w:rPr>
        <w:t>934</w:t>
      </w:r>
      <w:r w:rsidRPr="00305D32">
        <w:rPr>
          <w:lang w:val="es-MX"/>
        </w:rPr>
        <w:t xml:space="preserve"> personas (</w:t>
      </w:r>
      <w:r w:rsidR="00CF07FC" w:rsidRPr="00305D32">
        <w:rPr>
          <w:lang w:val="es-MX"/>
        </w:rPr>
        <w:t>3</w:t>
      </w:r>
      <w:r w:rsidRPr="00305D32">
        <w:rPr>
          <w:lang w:val="es-MX"/>
        </w:rPr>
        <w:t>.</w:t>
      </w:r>
      <w:r w:rsidR="00CF07FC" w:rsidRPr="00305D32">
        <w:rPr>
          <w:lang w:val="es-MX"/>
        </w:rPr>
        <w:t>94</w:t>
      </w:r>
      <w:r w:rsidR="0019290E">
        <w:rPr>
          <w:lang w:val="es-MX"/>
        </w:rPr>
        <w:t xml:space="preserve"> %</w:t>
      </w:r>
      <w:r w:rsidRPr="00305D32">
        <w:rPr>
          <w:lang w:val="es-MX"/>
        </w:rPr>
        <w:t>).</w:t>
      </w:r>
    </w:p>
    <w:p w14:paraId="4D0836EB" w14:textId="4ECD352B" w:rsidR="00AE57F0" w:rsidRPr="00305D32" w:rsidRDefault="00414F7C" w:rsidP="00B950D5">
      <w:pPr>
        <w:pStyle w:val="Descripcin"/>
        <w:jc w:val="center"/>
        <w:rPr>
          <w:color w:val="000000"/>
          <w:lang w:val="es-MX"/>
        </w:rPr>
      </w:pPr>
      <w:bookmarkStart w:id="109" w:name="_heading=h.42ddq1a" w:colFirst="0" w:colLast="0"/>
      <w:bookmarkStart w:id="110" w:name="_Ref210294978"/>
      <w:bookmarkEnd w:id="109"/>
      <w:r w:rsidRPr="00305D32">
        <w:rPr>
          <w:lang w:val="es-MX"/>
        </w:rPr>
        <w:t xml:space="preserve">Figura </w:t>
      </w:r>
      <w:r w:rsidR="00B950D5" w:rsidRPr="00305D32">
        <w:rPr>
          <w:lang w:val="es-MX"/>
        </w:rPr>
        <w:fldChar w:fldCharType="begin"/>
      </w:r>
      <w:r w:rsidR="00B950D5" w:rsidRPr="00305D32">
        <w:rPr>
          <w:lang w:val="es-MX"/>
        </w:rPr>
        <w:instrText xml:space="preserve"> SEQ Figura \* ARABIC </w:instrText>
      </w:r>
      <w:r w:rsidR="00B950D5" w:rsidRPr="00305D32">
        <w:rPr>
          <w:lang w:val="es-MX"/>
        </w:rPr>
        <w:fldChar w:fldCharType="separate"/>
      </w:r>
      <w:r w:rsidR="00ED1F2F">
        <w:rPr>
          <w:noProof/>
          <w:lang w:val="es-MX"/>
        </w:rPr>
        <w:t>33</w:t>
      </w:r>
      <w:r w:rsidR="00B950D5" w:rsidRPr="00305D32">
        <w:rPr>
          <w:lang w:val="es-MX"/>
        </w:rPr>
        <w:fldChar w:fldCharType="end"/>
      </w:r>
      <w:bookmarkEnd w:id="110"/>
      <w:r w:rsidR="00B950D5" w:rsidRPr="00305D32">
        <w:rPr>
          <w:color w:val="000000"/>
          <w:lang w:val="es-MX"/>
        </w:rPr>
        <w:t>.</w:t>
      </w:r>
      <w:r w:rsidRPr="00305D32">
        <w:rPr>
          <w:color w:val="000000"/>
          <w:lang w:val="es-MX"/>
        </w:rPr>
        <w:t xml:space="preserve"> Población ocupada por gran sector de la actividad económica en Quintana Roo, 202</w:t>
      </w:r>
      <w:r w:rsidR="003E28B9" w:rsidRPr="00305D32">
        <w:rPr>
          <w:color w:val="000000"/>
          <w:lang w:val="es-MX"/>
        </w:rPr>
        <w:t>3</w:t>
      </w:r>
      <w:r w:rsidRPr="00305D32">
        <w:rPr>
          <w:color w:val="000000"/>
          <w:lang w:val="es-MX"/>
        </w:rPr>
        <w:t xml:space="preserve"> – 202</w:t>
      </w:r>
      <w:r w:rsidR="003E28B9" w:rsidRPr="00305D32">
        <w:rPr>
          <w:color w:val="000000"/>
          <w:lang w:val="es-MX"/>
        </w:rPr>
        <w:t>5</w:t>
      </w:r>
    </w:p>
    <w:p w14:paraId="176B0DC5" w14:textId="1673D81E" w:rsidR="00B85767" w:rsidRPr="00305D32" w:rsidRDefault="004868B0">
      <w:pPr>
        <w:spacing w:after="0" w:line="240" w:lineRule="auto"/>
        <w:jc w:val="center"/>
        <w:rPr>
          <w:lang w:val="es-MX"/>
        </w:rPr>
      </w:pPr>
      <w:r w:rsidRPr="00305D32">
        <w:rPr>
          <w:noProof/>
          <w:lang w:val="es-MX" w:eastAsia="es-MX"/>
        </w:rPr>
        <w:drawing>
          <wp:inline distT="0" distB="0" distL="0" distR="0" wp14:anchorId="7536C233" wp14:editId="45A9E979">
            <wp:extent cx="5399405" cy="3811979"/>
            <wp:effectExtent l="0" t="0" r="10795" b="15875"/>
            <wp:docPr id="597602797" name="Gráfico 1">
              <a:extLst xmlns:a="http://schemas.openxmlformats.org/drawingml/2006/main">
                <a:ext uri="{FF2B5EF4-FFF2-40B4-BE49-F238E27FC236}">
                  <a16:creationId xmlns:a16="http://schemas.microsoft.com/office/drawing/2014/main" id="{80FCD6B4-9ACC-432D-ADE3-BEE4212A03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D0836ED" w14:textId="7D8FDEF6" w:rsidR="00AE57F0" w:rsidRPr="00305D32" w:rsidRDefault="00414F7C">
      <w:pPr>
        <w:spacing w:line="240" w:lineRule="auto"/>
        <w:jc w:val="center"/>
        <w:rPr>
          <w:i/>
          <w:sz w:val="20"/>
          <w:szCs w:val="20"/>
          <w:lang w:val="es-MX"/>
        </w:rPr>
      </w:pPr>
      <w:r w:rsidRPr="00305D32">
        <w:rPr>
          <w:sz w:val="20"/>
          <w:szCs w:val="20"/>
          <w:lang w:val="es-MX"/>
        </w:rPr>
        <w:t>Fuente: Elaboración de la Subsecretaría de Análisis Económico y Finanzas Públicas de la Secretaría de Finanzas y Planeación, con base en datos del Instituto Nacional de Geografía y Estadística (202</w:t>
      </w:r>
      <w:r w:rsidR="00174BE0" w:rsidRPr="00305D32">
        <w:rPr>
          <w:sz w:val="20"/>
          <w:szCs w:val="20"/>
          <w:lang w:val="es-MX"/>
        </w:rPr>
        <w:t>5</w:t>
      </w:r>
      <w:r w:rsidRPr="00305D32">
        <w:rPr>
          <w:sz w:val="20"/>
          <w:szCs w:val="20"/>
          <w:lang w:val="es-MX"/>
        </w:rPr>
        <w:t>)</w:t>
      </w:r>
      <w:r w:rsidRPr="00305D32">
        <w:rPr>
          <w:i/>
          <w:sz w:val="20"/>
          <w:szCs w:val="20"/>
          <w:lang w:val="es-MX"/>
        </w:rPr>
        <w:t xml:space="preserve"> Encuesta Nacional de Ocupación y Empleo.</w:t>
      </w:r>
    </w:p>
    <w:p w14:paraId="569E585D" w14:textId="470B4D58" w:rsidR="004314FF" w:rsidRPr="00305D32" w:rsidRDefault="004314FF" w:rsidP="004314FF">
      <w:pPr>
        <w:rPr>
          <w:lang w:val="es-MX"/>
        </w:rPr>
      </w:pPr>
      <w:bookmarkStart w:id="111" w:name="_heading=h.2hio093" w:colFirst="0" w:colLast="0"/>
      <w:bookmarkEnd w:id="111"/>
      <w:r w:rsidRPr="00305D32">
        <w:rPr>
          <w:lang w:val="es-MX"/>
        </w:rPr>
        <w:t>En el caso de los ingresos (</w:t>
      </w:r>
      <w:r w:rsidR="00B950D5" w:rsidRPr="00305D32">
        <w:rPr>
          <w:lang w:val="es-MX"/>
        </w:rPr>
        <w:fldChar w:fldCharType="begin"/>
      </w:r>
      <w:r w:rsidR="00B950D5" w:rsidRPr="00305D32">
        <w:rPr>
          <w:lang w:val="es-MX"/>
        </w:rPr>
        <w:instrText xml:space="preserve"> REF _Ref210295007 \h </w:instrText>
      </w:r>
      <w:r w:rsidR="00B950D5" w:rsidRPr="00305D32">
        <w:rPr>
          <w:lang w:val="es-MX"/>
        </w:rPr>
      </w:r>
      <w:r w:rsidR="00B950D5" w:rsidRPr="00305D32">
        <w:rPr>
          <w:lang w:val="es-MX"/>
        </w:rPr>
        <w:fldChar w:fldCharType="separate"/>
      </w:r>
      <w:r w:rsidR="00ED1F2F" w:rsidRPr="00305D32">
        <w:rPr>
          <w:lang w:val="es-MX"/>
        </w:rPr>
        <w:t xml:space="preserve">Figura </w:t>
      </w:r>
      <w:r w:rsidR="00ED1F2F">
        <w:rPr>
          <w:noProof/>
          <w:lang w:val="es-MX"/>
        </w:rPr>
        <w:t>34</w:t>
      </w:r>
      <w:r w:rsidR="00B950D5" w:rsidRPr="00305D32">
        <w:rPr>
          <w:lang w:val="es-MX"/>
        </w:rPr>
        <w:fldChar w:fldCharType="end"/>
      </w:r>
      <w:r w:rsidRPr="00305D32">
        <w:rPr>
          <w:lang w:val="es-MX"/>
        </w:rPr>
        <w:t xml:space="preserve">), </w:t>
      </w:r>
      <w:r w:rsidR="00DC6CAC" w:rsidRPr="00DC6CAC">
        <w:rPr>
          <w:lang w:val="es-MX"/>
        </w:rPr>
        <w:t>los datos históricos indican que la población ocupada se ha ido concentrando en los empleos con niveles de remuneración más bajos. De 2023 a 2025 la población que ganaba hasta un salario mínimo pasó de 26.6</w:t>
      </w:r>
      <w:r w:rsidR="0019290E">
        <w:rPr>
          <w:lang w:val="es-MX"/>
        </w:rPr>
        <w:t xml:space="preserve"> %</w:t>
      </w:r>
      <w:r w:rsidR="00DC6CAC" w:rsidRPr="00DC6CAC">
        <w:rPr>
          <w:lang w:val="es-MX"/>
        </w:rPr>
        <w:t xml:space="preserve"> a 33.4</w:t>
      </w:r>
      <w:r w:rsidR="0019290E">
        <w:rPr>
          <w:lang w:val="es-MX"/>
        </w:rPr>
        <w:t xml:space="preserve"> %</w:t>
      </w:r>
      <w:r w:rsidR="00DC6CAC" w:rsidRPr="00DC6CAC">
        <w:rPr>
          <w:lang w:val="es-MX"/>
        </w:rPr>
        <w:t>, y quienes percibían entre uno y dos salarios mínimos nacional pasaron de 41.4</w:t>
      </w:r>
      <w:r w:rsidR="0019290E">
        <w:rPr>
          <w:lang w:val="es-MX"/>
        </w:rPr>
        <w:t xml:space="preserve"> %</w:t>
      </w:r>
      <w:r w:rsidR="00DC6CAC" w:rsidRPr="00DC6CAC">
        <w:rPr>
          <w:lang w:val="es-MX"/>
        </w:rPr>
        <w:t xml:space="preserve"> a 39.9</w:t>
      </w:r>
      <w:r w:rsidR="0019290E">
        <w:rPr>
          <w:lang w:val="es-MX"/>
        </w:rPr>
        <w:t xml:space="preserve"> %</w:t>
      </w:r>
      <w:r w:rsidR="00DC6CAC" w:rsidRPr="00DC6CAC">
        <w:rPr>
          <w:lang w:val="es-MX"/>
        </w:rPr>
        <w:t>. El incremento de los salarios mínimos a nivel nacional también ha reducido los rangos de ingreso más alto; al cierre de 2022 el 4.8</w:t>
      </w:r>
      <w:r w:rsidR="0019290E">
        <w:rPr>
          <w:lang w:val="es-MX"/>
        </w:rPr>
        <w:t xml:space="preserve"> %</w:t>
      </w:r>
      <w:r w:rsidR="00DC6CAC" w:rsidRPr="00DC6CAC">
        <w:rPr>
          <w:lang w:val="es-MX"/>
        </w:rPr>
        <w:t xml:space="preserve"> </w:t>
      </w:r>
      <w:r w:rsidR="00DC6CAC" w:rsidRPr="00DC6CAC">
        <w:rPr>
          <w:lang w:val="es-MX"/>
        </w:rPr>
        <w:lastRenderedPageBreak/>
        <w:t>ganaba más de tres salarios mínimos, mientras que para el último dato de 2025 la proporción es de 4.0</w:t>
      </w:r>
      <w:r w:rsidR="0019290E">
        <w:rPr>
          <w:lang w:val="es-MX"/>
        </w:rPr>
        <w:t xml:space="preserve"> %</w:t>
      </w:r>
      <w:r w:rsidRPr="00305D32">
        <w:rPr>
          <w:lang w:val="es-MX"/>
        </w:rPr>
        <w:t>.</w:t>
      </w:r>
    </w:p>
    <w:p w14:paraId="4D0836EF" w14:textId="513703D8" w:rsidR="00AE57F0" w:rsidRPr="00305D32" w:rsidRDefault="00414F7C" w:rsidP="00B950D5">
      <w:pPr>
        <w:pStyle w:val="Descripcin"/>
        <w:jc w:val="center"/>
        <w:rPr>
          <w:color w:val="000000"/>
          <w:lang w:val="es-MX"/>
        </w:rPr>
      </w:pPr>
      <w:bookmarkStart w:id="112" w:name="_Ref210295007"/>
      <w:r w:rsidRPr="00305D32">
        <w:rPr>
          <w:lang w:val="es-MX"/>
        </w:rPr>
        <w:t xml:space="preserve">Figura </w:t>
      </w:r>
      <w:r w:rsidR="00B950D5" w:rsidRPr="00305D32">
        <w:rPr>
          <w:lang w:val="es-MX"/>
        </w:rPr>
        <w:fldChar w:fldCharType="begin"/>
      </w:r>
      <w:r w:rsidR="00B950D5" w:rsidRPr="00305D32">
        <w:rPr>
          <w:lang w:val="es-MX"/>
        </w:rPr>
        <w:instrText xml:space="preserve"> SEQ Figura \* ARABIC </w:instrText>
      </w:r>
      <w:r w:rsidR="00B950D5" w:rsidRPr="00305D32">
        <w:rPr>
          <w:lang w:val="es-MX"/>
        </w:rPr>
        <w:fldChar w:fldCharType="separate"/>
      </w:r>
      <w:r w:rsidR="00ED1F2F">
        <w:rPr>
          <w:noProof/>
          <w:lang w:val="es-MX"/>
        </w:rPr>
        <w:t>34</w:t>
      </w:r>
      <w:r w:rsidR="00B950D5" w:rsidRPr="00305D32">
        <w:rPr>
          <w:lang w:val="es-MX"/>
        </w:rPr>
        <w:fldChar w:fldCharType="end"/>
      </w:r>
      <w:bookmarkEnd w:id="112"/>
      <w:r w:rsidRPr="00305D32">
        <w:rPr>
          <w:color w:val="000000"/>
          <w:lang w:val="es-MX"/>
        </w:rPr>
        <w:t>. Población ocupada en Quintana Roo, según nivel de ingresos, 202</w:t>
      </w:r>
      <w:r w:rsidR="00304EFF" w:rsidRPr="00305D32">
        <w:rPr>
          <w:color w:val="000000"/>
          <w:lang w:val="es-MX"/>
        </w:rPr>
        <w:t xml:space="preserve">3 </w:t>
      </w:r>
      <w:r w:rsidRPr="00305D32">
        <w:rPr>
          <w:color w:val="000000"/>
          <w:lang w:val="es-MX"/>
        </w:rPr>
        <w:t>- 202</w:t>
      </w:r>
      <w:r w:rsidR="00304EFF" w:rsidRPr="00305D32">
        <w:rPr>
          <w:color w:val="000000"/>
          <w:lang w:val="es-MX"/>
        </w:rPr>
        <w:t>5</w:t>
      </w:r>
    </w:p>
    <w:p w14:paraId="3DD5838E" w14:textId="553F6E0C" w:rsidR="00EE53AB" w:rsidRPr="00305D32" w:rsidRDefault="00D64EEB" w:rsidP="003A321D">
      <w:pPr>
        <w:spacing w:after="0"/>
        <w:rPr>
          <w:lang w:val="es-MX"/>
        </w:rPr>
      </w:pPr>
      <w:r w:rsidRPr="00305D32">
        <w:rPr>
          <w:noProof/>
          <w:lang w:val="es-MX" w:eastAsia="es-MX"/>
        </w:rPr>
        <w:drawing>
          <wp:inline distT="0" distB="0" distL="0" distR="0" wp14:anchorId="7D6DB31F" wp14:editId="72A3C06A">
            <wp:extent cx="5810250" cy="3942608"/>
            <wp:effectExtent l="0" t="0" r="0" b="1270"/>
            <wp:docPr id="2007086370" name="Gráfico 1">
              <a:extLst xmlns:a="http://schemas.openxmlformats.org/drawingml/2006/main">
                <a:ext uri="{FF2B5EF4-FFF2-40B4-BE49-F238E27FC236}">
                  <a16:creationId xmlns:a16="http://schemas.microsoft.com/office/drawing/2014/main" id="{6FCF9FA5-7FB4-4531-A01A-984885C7EF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D0836F1" w14:textId="7FBFEBC8" w:rsidR="00AE57F0" w:rsidRPr="00305D32" w:rsidRDefault="00414F7C">
      <w:pPr>
        <w:spacing w:line="240"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base en datos del Instituto Nacional de Geografía y Estadística (202</w:t>
      </w:r>
      <w:r w:rsidR="00006C69" w:rsidRPr="00305D32">
        <w:rPr>
          <w:sz w:val="20"/>
          <w:szCs w:val="20"/>
          <w:lang w:val="es-MX"/>
        </w:rPr>
        <w:t>5</w:t>
      </w:r>
      <w:r w:rsidRPr="00305D32">
        <w:rPr>
          <w:sz w:val="20"/>
          <w:szCs w:val="20"/>
          <w:lang w:val="es-MX"/>
        </w:rPr>
        <w:t>)</w:t>
      </w:r>
      <w:r w:rsidRPr="00305D32">
        <w:rPr>
          <w:i/>
          <w:sz w:val="20"/>
          <w:szCs w:val="20"/>
          <w:lang w:val="es-MX"/>
        </w:rPr>
        <w:t xml:space="preserve"> Encuesta Nacional de Ocupación y Empleo.</w:t>
      </w:r>
    </w:p>
    <w:p w14:paraId="4D0836F4" w14:textId="7A41EF02" w:rsidR="00AE57F0" w:rsidRPr="00305D32" w:rsidRDefault="00897925">
      <w:pPr>
        <w:rPr>
          <w:lang w:val="es-MX"/>
        </w:rPr>
      </w:pPr>
      <w:r w:rsidRPr="00305D32">
        <w:rPr>
          <w:lang w:val="es-MX"/>
        </w:rPr>
        <w:t xml:space="preserve">De acuerdo con la </w:t>
      </w:r>
      <w:r w:rsidR="00475611" w:rsidRPr="00305D32">
        <w:rPr>
          <w:lang w:val="es-MX"/>
        </w:rPr>
        <w:fldChar w:fldCharType="begin"/>
      </w:r>
      <w:r w:rsidR="00475611" w:rsidRPr="00305D32">
        <w:rPr>
          <w:lang w:val="es-MX"/>
        </w:rPr>
        <w:instrText xml:space="preserve"> REF _Ref210295673 \h </w:instrText>
      </w:r>
      <w:r w:rsidR="00475611" w:rsidRPr="00305D32">
        <w:rPr>
          <w:lang w:val="es-MX"/>
        </w:rPr>
      </w:r>
      <w:r w:rsidR="00475611" w:rsidRPr="00305D32">
        <w:rPr>
          <w:lang w:val="es-MX"/>
        </w:rPr>
        <w:fldChar w:fldCharType="separate"/>
      </w:r>
      <w:r w:rsidR="00ED1F2F" w:rsidRPr="008E23F5">
        <w:rPr>
          <w:lang w:val="es-MX"/>
        </w:rPr>
        <w:t xml:space="preserve">Figura </w:t>
      </w:r>
      <w:r w:rsidR="00ED1F2F">
        <w:rPr>
          <w:noProof/>
          <w:lang w:val="es-MX"/>
        </w:rPr>
        <w:t>35</w:t>
      </w:r>
      <w:r w:rsidR="00475611" w:rsidRPr="00305D32">
        <w:rPr>
          <w:lang w:val="es-MX"/>
        </w:rPr>
        <w:fldChar w:fldCharType="end"/>
      </w:r>
      <w:r w:rsidRPr="00305D32">
        <w:rPr>
          <w:lang w:val="es-MX"/>
        </w:rPr>
        <w:t>, durante el segundo trimestre de 2025 el 49.28</w:t>
      </w:r>
      <w:r w:rsidR="0019290E">
        <w:rPr>
          <w:lang w:val="es-MX"/>
        </w:rPr>
        <w:t xml:space="preserve"> %</w:t>
      </w:r>
      <w:r w:rsidRPr="00305D32">
        <w:rPr>
          <w:lang w:val="es-MX"/>
        </w:rPr>
        <w:t xml:space="preserve"> de la población ocupada no tuvo acceso a las instituciones de salud como parte de sus prestaciones laborales, porcentaje </w:t>
      </w:r>
      <w:r w:rsidR="00CF4B33" w:rsidRPr="00305D32">
        <w:rPr>
          <w:lang w:val="es-MX"/>
        </w:rPr>
        <w:t>inferior</w:t>
      </w:r>
      <w:r w:rsidRPr="00305D32">
        <w:rPr>
          <w:lang w:val="es-MX"/>
        </w:rPr>
        <w:t xml:space="preserve"> al </w:t>
      </w:r>
      <w:r w:rsidR="00CF4B33" w:rsidRPr="00305D32">
        <w:rPr>
          <w:lang w:val="es-MX"/>
        </w:rPr>
        <w:t>50</w:t>
      </w:r>
      <w:r w:rsidRPr="00305D32">
        <w:rPr>
          <w:lang w:val="es-MX"/>
        </w:rPr>
        <w:t>.</w:t>
      </w:r>
      <w:r w:rsidR="00CF4B33" w:rsidRPr="00305D32">
        <w:rPr>
          <w:lang w:val="es-MX"/>
        </w:rPr>
        <w:t>10</w:t>
      </w:r>
      <w:r w:rsidR="0019290E">
        <w:rPr>
          <w:lang w:val="es-MX"/>
        </w:rPr>
        <w:t xml:space="preserve"> %</w:t>
      </w:r>
      <w:r w:rsidRPr="00305D32">
        <w:rPr>
          <w:lang w:val="es-MX"/>
        </w:rPr>
        <w:t xml:space="preserve"> que declar</w:t>
      </w:r>
      <w:r w:rsidR="008159E0">
        <w:rPr>
          <w:lang w:val="es-MX"/>
        </w:rPr>
        <w:t>ó</w:t>
      </w:r>
      <w:r w:rsidRPr="00305D32">
        <w:rPr>
          <w:lang w:val="es-MX"/>
        </w:rPr>
        <w:t xml:space="preserve"> tener acceso a </w:t>
      </w:r>
      <w:r w:rsidR="00FA07EC">
        <w:rPr>
          <w:lang w:val="es-MX"/>
        </w:rPr>
        <w:t xml:space="preserve">dichos </w:t>
      </w:r>
      <w:r w:rsidRPr="00305D32">
        <w:rPr>
          <w:lang w:val="es-MX"/>
        </w:rPr>
        <w:t xml:space="preserve">servicios. </w:t>
      </w:r>
    </w:p>
    <w:p w14:paraId="4D0836F6" w14:textId="2954C964" w:rsidR="00AE57F0" w:rsidRPr="008E23F5" w:rsidRDefault="00414F7C" w:rsidP="00475611">
      <w:pPr>
        <w:pStyle w:val="Descripcin"/>
        <w:jc w:val="center"/>
        <w:rPr>
          <w:color w:val="000000"/>
          <w:lang w:val="es-MX"/>
        </w:rPr>
      </w:pPr>
      <w:bookmarkStart w:id="113" w:name="_heading=h.wnyagw" w:colFirst="0" w:colLast="0"/>
      <w:bookmarkStart w:id="114" w:name="_Ref210295673"/>
      <w:bookmarkEnd w:id="113"/>
      <w:r w:rsidRPr="008E23F5">
        <w:rPr>
          <w:lang w:val="es-MX"/>
        </w:rPr>
        <w:lastRenderedPageBreak/>
        <w:t xml:space="preserve">Figura </w:t>
      </w:r>
      <w:r w:rsidR="00475611" w:rsidRPr="008E23F5">
        <w:rPr>
          <w:lang w:val="es-MX"/>
        </w:rPr>
        <w:fldChar w:fldCharType="begin"/>
      </w:r>
      <w:r w:rsidR="00475611" w:rsidRPr="008E23F5">
        <w:rPr>
          <w:lang w:val="es-MX"/>
        </w:rPr>
        <w:instrText xml:space="preserve"> SEQ Figura \* ARABIC </w:instrText>
      </w:r>
      <w:r w:rsidR="00475611" w:rsidRPr="008E23F5">
        <w:rPr>
          <w:lang w:val="es-MX"/>
        </w:rPr>
        <w:fldChar w:fldCharType="separate"/>
      </w:r>
      <w:r w:rsidR="00ED1F2F">
        <w:rPr>
          <w:noProof/>
          <w:lang w:val="es-MX"/>
        </w:rPr>
        <w:t>35</w:t>
      </w:r>
      <w:r w:rsidR="00475611" w:rsidRPr="008E23F5">
        <w:rPr>
          <w:lang w:val="es-MX"/>
        </w:rPr>
        <w:fldChar w:fldCharType="end"/>
      </w:r>
      <w:bookmarkEnd w:id="114"/>
      <w:r w:rsidRPr="008E23F5">
        <w:rPr>
          <w:color w:val="000000"/>
          <w:lang w:val="es-MX"/>
        </w:rPr>
        <w:t>. Población ocupada en Quintana Roo por acceso a las instituciones de salud, 202</w:t>
      </w:r>
      <w:r w:rsidR="00DD3107" w:rsidRPr="008E23F5">
        <w:rPr>
          <w:color w:val="000000"/>
          <w:lang w:val="es-MX"/>
        </w:rPr>
        <w:t>3</w:t>
      </w:r>
      <w:r w:rsidRPr="008E23F5">
        <w:rPr>
          <w:color w:val="000000"/>
          <w:lang w:val="es-MX"/>
        </w:rPr>
        <w:t>- 202</w:t>
      </w:r>
      <w:r w:rsidR="00DD3107" w:rsidRPr="008E23F5">
        <w:rPr>
          <w:color w:val="000000"/>
          <w:lang w:val="es-MX"/>
        </w:rPr>
        <w:t>5</w:t>
      </w:r>
    </w:p>
    <w:p w14:paraId="3DFBC7C0" w14:textId="62CE649F" w:rsidR="00F036D3" w:rsidRPr="00305D32" w:rsidRDefault="00F036D3">
      <w:pPr>
        <w:spacing w:after="0"/>
        <w:jc w:val="center"/>
        <w:rPr>
          <w:lang w:val="es-MX"/>
        </w:rPr>
      </w:pPr>
      <w:r w:rsidRPr="00305D32">
        <w:rPr>
          <w:noProof/>
          <w:lang w:val="es-MX" w:eastAsia="es-MX"/>
        </w:rPr>
        <w:drawing>
          <wp:inline distT="0" distB="0" distL="0" distR="0" wp14:anchorId="22F70E91" wp14:editId="7325169A">
            <wp:extent cx="4913630" cy="3075709"/>
            <wp:effectExtent l="0" t="0" r="1270" b="10795"/>
            <wp:docPr id="1119664565" name="Gráfico 1">
              <a:extLst xmlns:a="http://schemas.openxmlformats.org/drawingml/2006/main">
                <a:ext uri="{FF2B5EF4-FFF2-40B4-BE49-F238E27FC236}">
                  <a16:creationId xmlns:a16="http://schemas.microsoft.com/office/drawing/2014/main" id="{170342AB-9442-49FF-8B36-0DA1F399F8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D0836F8" w14:textId="2F99F449" w:rsidR="00AE57F0" w:rsidRPr="00305D32" w:rsidRDefault="00414F7C">
      <w:pPr>
        <w:spacing w:line="240" w:lineRule="auto"/>
        <w:jc w:val="center"/>
        <w:rPr>
          <w:i/>
          <w:sz w:val="20"/>
          <w:szCs w:val="20"/>
          <w:lang w:val="es-MX"/>
        </w:rPr>
      </w:pPr>
      <w:r w:rsidRPr="00305D32">
        <w:rPr>
          <w:sz w:val="20"/>
          <w:szCs w:val="20"/>
          <w:lang w:val="es-MX"/>
        </w:rPr>
        <w:t>Fuente: Elaboración de la Subsecretaría de Análisis Económico y Finanzas Públicas de la Secretaría de Finanzas y Planeación, con base en datos del Instituto Nacional de Geografía y Estadística (202</w:t>
      </w:r>
      <w:r w:rsidR="00DD3107" w:rsidRPr="00305D32">
        <w:rPr>
          <w:sz w:val="20"/>
          <w:szCs w:val="20"/>
          <w:lang w:val="es-MX"/>
        </w:rPr>
        <w:t>5</w:t>
      </w:r>
      <w:r w:rsidRPr="00305D32">
        <w:rPr>
          <w:sz w:val="20"/>
          <w:szCs w:val="20"/>
          <w:lang w:val="es-MX"/>
        </w:rPr>
        <w:t>)</w:t>
      </w:r>
      <w:r w:rsidRPr="00305D32">
        <w:rPr>
          <w:i/>
          <w:sz w:val="20"/>
          <w:szCs w:val="20"/>
          <w:lang w:val="es-MX"/>
        </w:rPr>
        <w:t xml:space="preserve"> Encuesta Nacional de Ocupación y Empleo.</w:t>
      </w:r>
    </w:p>
    <w:p w14:paraId="4010EC44" w14:textId="0F45919F" w:rsidR="009667DB" w:rsidRPr="00305D32" w:rsidRDefault="009667DB" w:rsidP="009667DB">
      <w:pPr>
        <w:rPr>
          <w:lang w:val="es-MX"/>
        </w:rPr>
      </w:pPr>
      <w:bookmarkStart w:id="115" w:name="_heading=h.3gnlt4p" w:colFirst="0" w:colLast="0"/>
      <w:bookmarkEnd w:id="115"/>
      <w:r w:rsidRPr="00305D32">
        <w:rPr>
          <w:lang w:val="es-MX"/>
        </w:rPr>
        <w:t>El acceso a la seguridad social es el criterio principal para la determinación de la informalidad</w:t>
      </w:r>
      <w:r w:rsidR="00B6296B">
        <w:rPr>
          <w:lang w:val="es-MX"/>
        </w:rPr>
        <w:t xml:space="preserve"> laboral</w:t>
      </w:r>
      <w:r w:rsidRPr="00305D32">
        <w:rPr>
          <w:lang w:val="es-MX"/>
        </w:rPr>
        <w:t xml:space="preserve">, en la </w:t>
      </w:r>
      <w:r w:rsidR="00E81F74" w:rsidRPr="00305D32">
        <w:rPr>
          <w:lang w:val="es-MX"/>
        </w:rPr>
        <w:fldChar w:fldCharType="begin"/>
      </w:r>
      <w:r w:rsidR="00E81F74" w:rsidRPr="00305D32">
        <w:rPr>
          <w:lang w:val="es-MX"/>
        </w:rPr>
        <w:instrText xml:space="preserve"> REF _Ref210295705 \h </w:instrText>
      </w:r>
      <w:r w:rsidR="00E81F74" w:rsidRPr="00305D32">
        <w:rPr>
          <w:lang w:val="es-MX"/>
        </w:rPr>
      </w:r>
      <w:r w:rsidR="00E81F74" w:rsidRPr="00305D32">
        <w:rPr>
          <w:lang w:val="es-MX"/>
        </w:rPr>
        <w:fldChar w:fldCharType="separate"/>
      </w:r>
      <w:r w:rsidR="00ED1F2F" w:rsidRPr="00305D32">
        <w:rPr>
          <w:lang w:val="es-MX"/>
        </w:rPr>
        <w:t xml:space="preserve">Figura </w:t>
      </w:r>
      <w:r w:rsidR="00ED1F2F">
        <w:rPr>
          <w:noProof/>
          <w:lang w:val="es-MX"/>
        </w:rPr>
        <w:t>36</w:t>
      </w:r>
      <w:r w:rsidR="00E81F74" w:rsidRPr="00305D32">
        <w:rPr>
          <w:lang w:val="es-MX"/>
        </w:rPr>
        <w:fldChar w:fldCharType="end"/>
      </w:r>
      <w:r w:rsidRPr="00305D32">
        <w:rPr>
          <w:lang w:val="es-MX"/>
        </w:rPr>
        <w:t xml:space="preserve"> se presenta la Tasa de Informalidad Laboral (TIL) que es la medida más amplia de este fenómeno ya que considera que dentro del sector formal existen personas que se encuentran en condiciones de informalidad. Haciendo un comparativo a nivel nacional </w:t>
      </w:r>
      <w:r w:rsidR="001236D1">
        <w:rPr>
          <w:lang w:val="es-MX"/>
        </w:rPr>
        <w:t>y</w:t>
      </w:r>
      <w:r w:rsidRPr="00305D32">
        <w:rPr>
          <w:lang w:val="es-MX"/>
        </w:rPr>
        <w:t xml:space="preserve"> estatal, la TIL muestra niveles inferiores </w:t>
      </w:r>
      <w:r w:rsidR="00E15036">
        <w:rPr>
          <w:lang w:val="es-MX"/>
        </w:rPr>
        <w:t>en</w:t>
      </w:r>
      <w:r w:rsidRPr="00305D32">
        <w:rPr>
          <w:lang w:val="es-MX"/>
        </w:rPr>
        <w:t xml:space="preserve"> Quintana Roo, lo que se traduce en que la </w:t>
      </w:r>
      <w:r w:rsidR="00E15036">
        <w:rPr>
          <w:lang w:val="es-MX"/>
        </w:rPr>
        <w:t>E</w:t>
      </w:r>
      <w:r w:rsidRPr="00305D32">
        <w:rPr>
          <w:lang w:val="es-MX"/>
        </w:rPr>
        <w:t xml:space="preserve">ntidad mantiene niveles </w:t>
      </w:r>
      <w:r w:rsidR="001774F7">
        <w:rPr>
          <w:lang w:val="es-MX"/>
        </w:rPr>
        <w:t>más</w:t>
      </w:r>
      <w:r w:rsidR="00A0456E">
        <w:rPr>
          <w:lang w:val="es-MX"/>
        </w:rPr>
        <w:t xml:space="preserve"> altos</w:t>
      </w:r>
      <w:r w:rsidRPr="00305D32">
        <w:rPr>
          <w:lang w:val="es-MX"/>
        </w:rPr>
        <w:t xml:space="preserve"> de empleo formal en comparación con el </w:t>
      </w:r>
      <w:r w:rsidR="001774F7">
        <w:rPr>
          <w:lang w:val="es-MX"/>
        </w:rPr>
        <w:t>promedio nacional</w:t>
      </w:r>
      <w:r w:rsidRPr="00305D32">
        <w:rPr>
          <w:lang w:val="es-MX"/>
        </w:rPr>
        <w:t>. Para el segundo trimestre de 202</w:t>
      </w:r>
      <w:r w:rsidR="008659E0" w:rsidRPr="00305D32">
        <w:rPr>
          <w:lang w:val="es-MX"/>
        </w:rPr>
        <w:t>5</w:t>
      </w:r>
      <w:r w:rsidRPr="00305D32">
        <w:rPr>
          <w:lang w:val="es-MX"/>
        </w:rPr>
        <w:t xml:space="preserve">, la tasa de informalidad en el </w:t>
      </w:r>
      <w:r w:rsidR="001774F7">
        <w:rPr>
          <w:lang w:val="es-MX"/>
        </w:rPr>
        <w:t>E</w:t>
      </w:r>
      <w:r w:rsidRPr="00305D32">
        <w:rPr>
          <w:lang w:val="es-MX"/>
        </w:rPr>
        <w:t>stado se colocó en</w:t>
      </w:r>
      <w:r w:rsidR="003E041D">
        <w:rPr>
          <w:lang w:val="es-MX"/>
        </w:rPr>
        <w:t xml:space="preserve">   </w:t>
      </w:r>
      <w:r w:rsidRPr="00305D32">
        <w:rPr>
          <w:lang w:val="es-MX"/>
        </w:rPr>
        <w:t xml:space="preserve"> 4</w:t>
      </w:r>
      <w:r w:rsidR="00E8511B" w:rsidRPr="00305D32">
        <w:rPr>
          <w:lang w:val="es-MX"/>
        </w:rPr>
        <w:t>3</w:t>
      </w:r>
      <w:r w:rsidRPr="00305D32">
        <w:rPr>
          <w:lang w:val="es-MX"/>
        </w:rPr>
        <w:t>.</w:t>
      </w:r>
      <w:r w:rsidR="00E8511B" w:rsidRPr="00305D32">
        <w:rPr>
          <w:lang w:val="es-MX"/>
        </w:rPr>
        <w:t>9</w:t>
      </w:r>
      <w:r w:rsidR="0019290E">
        <w:rPr>
          <w:lang w:val="es-MX"/>
        </w:rPr>
        <w:t xml:space="preserve"> %</w:t>
      </w:r>
      <w:r w:rsidRPr="00305D32">
        <w:rPr>
          <w:lang w:val="es-MX"/>
        </w:rPr>
        <w:t>, presentando reducciones respecto al mismo trimestre de 2023 y 202</w:t>
      </w:r>
      <w:r w:rsidR="00191A84" w:rsidRPr="00305D32">
        <w:rPr>
          <w:lang w:val="es-MX"/>
        </w:rPr>
        <w:t>4</w:t>
      </w:r>
      <w:r w:rsidRPr="00305D32">
        <w:rPr>
          <w:lang w:val="es-MX"/>
        </w:rPr>
        <w:t>.</w:t>
      </w:r>
    </w:p>
    <w:p w14:paraId="6444D381" w14:textId="302960DB" w:rsidR="009667DB" w:rsidRPr="00305D32" w:rsidRDefault="009667DB" w:rsidP="009667DB">
      <w:pPr>
        <w:rPr>
          <w:lang w:val="es-MX"/>
        </w:rPr>
      </w:pPr>
      <w:r w:rsidRPr="00305D32">
        <w:rPr>
          <w:lang w:val="es-MX"/>
        </w:rPr>
        <w:t xml:space="preserve">La Tasa de Ocupación en el Sector Informal (TOSI) considera aquellas personas que trabajan en unidades económicas no formales, es decir, negocios que no llevan su </w:t>
      </w:r>
      <w:r w:rsidRPr="00305D32">
        <w:rPr>
          <w:lang w:val="es-MX"/>
        </w:rPr>
        <w:lastRenderedPageBreak/>
        <w:t xml:space="preserve">contabilidad </w:t>
      </w:r>
      <w:r w:rsidR="003E4F6A">
        <w:rPr>
          <w:lang w:val="es-MX"/>
        </w:rPr>
        <w:t>separada</w:t>
      </w:r>
      <w:r w:rsidRPr="00305D32">
        <w:rPr>
          <w:lang w:val="es-MX"/>
        </w:rPr>
        <w:t xml:space="preserve"> del hogar. De igual manera Quintana Roo </w:t>
      </w:r>
      <w:r w:rsidR="00A049E0">
        <w:rPr>
          <w:lang w:val="es-MX"/>
        </w:rPr>
        <w:t>presenta</w:t>
      </w:r>
      <w:r w:rsidRPr="00305D32">
        <w:rPr>
          <w:lang w:val="es-MX"/>
        </w:rPr>
        <w:t xml:space="preserve"> una TOSI inferior a la </w:t>
      </w:r>
      <w:r w:rsidR="00A049E0">
        <w:rPr>
          <w:lang w:val="es-MX"/>
        </w:rPr>
        <w:t>nacional</w:t>
      </w:r>
      <w:r w:rsidRPr="00305D32">
        <w:rPr>
          <w:lang w:val="es-MX"/>
        </w:rPr>
        <w:t xml:space="preserve">, </w:t>
      </w:r>
      <w:r w:rsidR="00262504">
        <w:rPr>
          <w:lang w:val="es-MX"/>
        </w:rPr>
        <w:t>lo que refleja</w:t>
      </w:r>
      <w:r w:rsidRPr="00305D32">
        <w:rPr>
          <w:lang w:val="es-MX"/>
        </w:rPr>
        <w:t xml:space="preserve"> una mejor cultura hacia la formalidad </w:t>
      </w:r>
      <w:r w:rsidR="00262504">
        <w:rPr>
          <w:lang w:val="es-MX"/>
        </w:rPr>
        <w:t xml:space="preserve">laboral </w:t>
      </w:r>
      <w:r w:rsidRPr="00305D32">
        <w:rPr>
          <w:lang w:val="es-MX"/>
        </w:rPr>
        <w:t>en el Estado. La tasa de ocupación en el sector informal para el segundo trimestre de 202</w:t>
      </w:r>
      <w:r w:rsidR="001D423B">
        <w:rPr>
          <w:lang w:val="es-MX"/>
        </w:rPr>
        <w:t>5</w:t>
      </w:r>
      <w:r w:rsidRPr="00305D32">
        <w:rPr>
          <w:lang w:val="es-MX"/>
        </w:rPr>
        <w:t xml:space="preserve"> fue de 21.</w:t>
      </w:r>
      <w:r w:rsidR="00605279" w:rsidRPr="00305D32">
        <w:rPr>
          <w:lang w:val="es-MX"/>
        </w:rPr>
        <w:t>6</w:t>
      </w:r>
      <w:r w:rsidR="0019290E">
        <w:rPr>
          <w:lang w:val="es-MX"/>
        </w:rPr>
        <w:t xml:space="preserve"> %</w:t>
      </w:r>
      <w:r w:rsidRPr="00305D32">
        <w:rPr>
          <w:lang w:val="es-MX"/>
        </w:rPr>
        <w:t xml:space="preserve">, </w:t>
      </w:r>
      <w:r w:rsidR="00A52BF6">
        <w:rPr>
          <w:lang w:val="es-MX"/>
        </w:rPr>
        <w:t>mostrando un</w:t>
      </w:r>
      <w:r w:rsidR="00DD3107" w:rsidRPr="00305D32">
        <w:rPr>
          <w:lang w:val="es-MX"/>
        </w:rPr>
        <w:t xml:space="preserve"> ligero</w:t>
      </w:r>
      <w:r w:rsidR="00A52BF6">
        <w:rPr>
          <w:lang w:val="es-MX"/>
        </w:rPr>
        <w:t xml:space="preserve"> aumento</w:t>
      </w:r>
      <w:r w:rsidRPr="00305D32">
        <w:rPr>
          <w:lang w:val="es-MX"/>
        </w:rPr>
        <w:t xml:space="preserve"> respecto al mismo trimestre en 2023 y 202</w:t>
      </w:r>
      <w:r w:rsidR="00DD3107" w:rsidRPr="00305D32">
        <w:rPr>
          <w:lang w:val="es-MX"/>
        </w:rPr>
        <w:t>4</w:t>
      </w:r>
      <w:r w:rsidRPr="00305D32">
        <w:rPr>
          <w:lang w:val="es-MX"/>
        </w:rPr>
        <w:t>.</w:t>
      </w:r>
    </w:p>
    <w:p w14:paraId="4D0836FB" w14:textId="1103ED00" w:rsidR="00AE57F0" w:rsidRPr="00305D32" w:rsidRDefault="00E81F74" w:rsidP="00E81F74">
      <w:pPr>
        <w:pStyle w:val="Descripcin"/>
        <w:jc w:val="center"/>
        <w:rPr>
          <w:color w:val="000000"/>
          <w:lang w:val="es-MX"/>
        </w:rPr>
      </w:pPr>
      <w:bookmarkStart w:id="116" w:name="_Ref210295705"/>
      <w:r w:rsidRPr="00305D32">
        <w:rPr>
          <w:lang w:val="es-MX"/>
        </w:rPr>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36</w:t>
      </w:r>
      <w:r w:rsidRPr="00305D32">
        <w:rPr>
          <w:lang w:val="es-MX"/>
        </w:rPr>
        <w:fldChar w:fldCharType="end"/>
      </w:r>
      <w:bookmarkEnd w:id="116"/>
      <w:r w:rsidR="00475611" w:rsidRPr="00305D32">
        <w:rPr>
          <w:color w:val="000000"/>
          <w:lang w:val="es-MX"/>
        </w:rPr>
        <w:t>.</w:t>
      </w:r>
      <w:r w:rsidRPr="00305D32">
        <w:rPr>
          <w:color w:val="000000"/>
          <w:lang w:val="es-MX"/>
        </w:rPr>
        <w:t xml:space="preserve"> </w:t>
      </w:r>
      <w:r w:rsidR="00414F7C" w:rsidRPr="00305D32">
        <w:rPr>
          <w:color w:val="000000"/>
          <w:lang w:val="es-MX"/>
        </w:rPr>
        <w:t>Tasa de Informalidad Laboral (TIL) y Tasa de Ocupación del Sector Informal (TOSI), comparativo Nacional vs Quintana Roo, 202</w:t>
      </w:r>
      <w:r w:rsidR="00DD3107" w:rsidRPr="00305D32">
        <w:rPr>
          <w:color w:val="000000"/>
          <w:lang w:val="es-MX"/>
        </w:rPr>
        <w:t>3</w:t>
      </w:r>
      <w:r w:rsidR="00414F7C" w:rsidRPr="00305D32">
        <w:rPr>
          <w:color w:val="000000"/>
          <w:lang w:val="es-MX"/>
        </w:rPr>
        <w:t>-202</w:t>
      </w:r>
      <w:r w:rsidR="00DD3107" w:rsidRPr="00305D32">
        <w:rPr>
          <w:color w:val="000000"/>
          <w:lang w:val="es-MX"/>
        </w:rPr>
        <w:t>5</w:t>
      </w:r>
    </w:p>
    <w:p w14:paraId="020A66AC" w14:textId="255FD2A5" w:rsidR="00620399" w:rsidRPr="00305D32" w:rsidRDefault="00620399">
      <w:pPr>
        <w:spacing w:after="0"/>
        <w:jc w:val="center"/>
        <w:rPr>
          <w:sz w:val="20"/>
          <w:szCs w:val="20"/>
          <w:lang w:val="es-MX"/>
        </w:rPr>
      </w:pPr>
      <w:r w:rsidRPr="00305D32">
        <w:rPr>
          <w:noProof/>
          <w:lang w:val="es-MX" w:eastAsia="es-MX"/>
        </w:rPr>
        <w:drawing>
          <wp:inline distT="0" distB="0" distL="0" distR="0" wp14:anchorId="6820D23D" wp14:editId="07C6DA27">
            <wp:extent cx="5828400" cy="2861251"/>
            <wp:effectExtent l="0" t="0" r="1270" b="15875"/>
            <wp:docPr id="1268140561" name="Gráfico 1">
              <a:extLst xmlns:a="http://schemas.openxmlformats.org/drawingml/2006/main">
                <a:ext uri="{FF2B5EF4-FFF2-40B4-BE49-F238E27FC236}">
                  <a16:creationId xmlns:a16="http://schemas.microsoft.com/office/drawing/2014/main" id="{2CB3ED50-8E5E-4226-B773-5F5FCDD6F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D0836FD" w14:textId="628FB82C" w:rsidR="00AE57F0" w:rsidRPr="00305D32" w:rsidRDefault="00414F7C">
      <w:pPr>
        <w:spacing w:line="240" w:lineRule="auto"/>
        <w:jc w:val="center"/>
        <w:rPr>
          <w:i/>
          <w:sz w:val="20"/>
          <w:szCs w:val="20"/>
          <w:lang w:val="es-MX"/>
        </w:rPr>
      </w:pPr>
      <w:r w:rsidRPr="00305D32">
        <w:rPr>
          <w:sz w:val="20"/>
          <w:szCs w:val="20"/>
          <w:lang w:val="es-MX"/>
        </w:rPr>
        <w:t>Fuente: Elaboración de la Subsecretaría de Análisis Económico y Finanzas Públicas de la Secretaría de Finanzas y Planeación, con base en datos del Instituto Nacional de Geografía y Estadística (202</w:t>
      </w:r>
      <w:r w:rsidR="00DD3107" w:rsidRPr="00305D32">
        <w:rPr>
          <w:sz w:val="20"/>
          <w:szCs w:val="20"/>
          <w:lang w:val="es-MX"/>
        </w:rPr>
        <w:t>5</w:t>
      </w:r>
      <w:r w:rsidRPr="00305D32">
        <w:rPr>
          <w:sz w:val="20"/>
          <w:szCs w:val="20"/>
          <w:lang w:val="es-MX"/>
        </w:rPr>
        <w:t>)</w:t>
      </w:r>
      <w:r w:rsidRPr="00305D32">
        <w:rPr>
          <w:i/>
          <w:sz w:val="20"/>
          <w:szCs w:val="20"/>
          <w:lang w:val="es-MX"/>
        </w:rPr>
        <w:t xml:space="preserve"> Encuesta Nacional de Ocupación y Empleo.</w:t>
      </w:r>
    </w:p>
    <w:p w14:paraId="4D0836FE" w14:textId="5ABCA68F" w:rsidR="00AE57F0" w:rsidRPr="00305D32" w:rsidRDefault="008C3443">
      <w:pPr>
        <w:rPr>
          <w:lang w:val="es-MX"/>
        </w:rPr>
      </w:pPr>
      <w:r w:rsidRPr="008C3443">
        <w:rPr>
          <w:lang w:val="es-MX"/>
        </w:rPr>
        <w:t xml:space="preserve">Un reto importante para Quintana Roo es la ocupación en el sector informal, ya que los trabajadores que se encuentran laborando en estas unidades económicas no realizan las contribuciones que les corresponderían estuvieran incorporados en el sector formal. De acuerdo con datos de la Encuesta Nacional de Ocupación y Empleo (ENOE), en el sector informal laboran 213,785 trabajadores que perciben 1,436 millones de pesos mensuales, por lo que una estimación conservadora (considerando que la Encuesta tiene un subreporte del ingreso y que, por su diseño </w:t>
      </w:r>
      <w:r w:rsidRPr="008C3443">
        <w:rPr>
          <w:lang w:val="es-MX"/>
        </w:rPr>
        <w:lastRenderedPageBreak/>
        <w:t>probabilístico, capta solo una fracción del sector informal) indica que el monto no recaudado del ISN asciende a 57.5 millones de pesos mensuales</w:t>
      </w:r>
      <w:r w:rsidR="00414F7C" w:rsidRPr="00305D32">
        <w:rPr>
          <w:lang w:val="es-MX"/>
        </w:rPr>
        <w:t>.</w:t>
      </w:r>
    </w:p>
    <w:p w14:paraId="4D0836FF" w14:textId="5F521498" w:rsidR="00AE57F0" w:rsidRPr="00305D32" w:rsidRDefault="000B582E">
      <w:pPr>
        <w:rPr>
          <w:lang w:val="es-MX"/>
        </w:rPr>
      </w:pPr>
      <w:r w:rsidRPr="000B582E">
        <w:rPr>
          <w:lang w:val="es-MX"/>
        </w:rPr>
        <w:t>El sector informal, por su naturaleza, es complejo de regular, motivo por el que los programas que promueve la incorporación fiscal y la transición hacia la formalidad constituyen un pilar fundamental para recuperar parte de los ingresos no están recaudados</w:t>
      </w:r>
      <w:r w:rsidR="00414F7C" w:rsidRPr="00305D32">
        <w:rPr>
          <w:lang w:val="es-MX"/>
        </w:rPr>
        <w:t>.</w:t>
      </w:r>
    </w:p>
    <w:p w14:paraId="4D083700" w14:textId="746F6C86" w:rsidR="00AE57F0" w:rsidRPr="00305D32" w:rsidRDefault="007848B4">
      <w:pPr>
        <w:rPr>
          <w:lang w:val="es-MX"/>
        </w:rPr>
      </w:pPr>
      <w:r w:rsidRPr="007848B4">
        <w:rPr>
          <w:lang w:val="es-MX"/>
        </w:rPr>
        <w:t>Otra arista del problema es la existencia de trabajadores en condiciones de informalidad dentro del sector formal. La ENOE utiliza un criterio compuesto, cuyos elementos principales son la existencia de contrato y las prestaciones a la seguridad social. Al segundo trimestre de 2025 en Quintana Roo, existen 220,017 trabajadores con un ingreso total de 1,408 millones de pesos dentro del sector formal que laboran en condiciones de informalidad, si consideramos que no cuentan con contrato ni registro en modalidades de empleo formal, se identifica un espacio fiscal potencial para incrementar la recaudación del ISN en 56.3 millones de pesos mensuales</w:t>
      </w:r>
      <w:r w:rsidR="00414F7C" w:rsidRPr="00305D32">
        <w:rPr>
          <w:lang w:val="es-MX"/>
        </w:rPr>
        <w:t>.</w:t>
      </w:r>
    </w:p>
    <w:p w14:paraId="4D083701" w14:textId="36E6FC63" w:rsidR="00AE57F0" w:rsidRPr="00305D32" w:rsidRDefault="00DB3744">
      <w:pPr>
        <w:rPr>
          <w:lang w:val="es-MX"/>
        </w:rPr>
      </w:pPr>
      <w:r w:rsidRPr="00DB3744">
        <w:rPr>
          <w:lang w:val="es-MX"/>
        </w:rPr>
        <w:t>La existencia de personas trabajadoras en condiciones de informalidad dentro de instituciones públicas y privadas legalmente constituidas puede combatirse mediante el fortalecimiento de la supervisión y regulación en los centros de trabajo, ya que de esta forma se evita la evasión fiscal relacionada con el ISN</w:t>
      </w:r>
      <w:r w:rsidR="00414F7C" w:rsidRPr="00305D32">
        <w:rPr>
          <w:lang w:val="es-MX"/>
        </w:rPr>
        <w:t>.</w:t>
      </w:r>
    </w:p>
    <w:p w14:paraId="4D083702" w14:textId="1BB00A7B" w:rsidR="00AE57F0" w:rsidRPr="00097B5D" w:rsidRDefault="00414F7C">
      <w:pPr>
        <w:pStyle w:val="Ttulo2"/>
        <w:numPr>
          <w:ilvl w:val="1"/>
          <w:numId w:val="3"/>
        </w:numPr>
        <w:rPr>
          <w:lang w:val="es-MX"/>
        </w:rPr>
      </w:pPr>
      <w:bookmarkStart w:id="117" w:name="_heading=h.1vsw3ci" w:colFirst="0" w:colLast="0"/>
      <w:bookmarkEnd w:id="117"/>
      <w:r w:rsidRPr="00097B5D">
        <w:rPr>
          <w:lang w:val="es-MX"/>
        </w:rPr>
        <w:t>Finanzas Públicas</w:t>
      </w:r>
    </w:p>
    <w:p w14:paraId="4D083703" w14:textId="340773D7" w:rsidR="00AE57F0" w:rsidRPr="00305D32" w:rsidRDefault="00414F7C">
      <w:pPr>
        <w:rPr>
          <w:lang w:val="es-MX"/>
        </w:rPr>
      </w:pPr>
      <w:bookmarkStart w:id="118" w:name="_heading=h.4fsjm0b" w:colFirst="0" w:colLast="0"/>
      <w:bookmarkEnd w:id="118"/>
      <w:r w:rsidRPr="00305D32">
        <w:rPr>
          <w:lang w:val="es-MX"/>
        </w:rPr>
        <w:t>Los ingresos totales del Estado de Quintana Roo se componen por Impuestos, Cuotas y aportaciones de seguridad social, Contribuciones de mejoras, Derechos, Productos, Aprovechamientos,</w:t>
      </w:r>
      <w:r w:rsidR="00763A37" w:rsidRPr="00305D32">
        <w:rPr>
          <w:lang w:val="es-MX"/>
        </w:rPr>
        <w:t xml:space="preserve"> </w:t>
      </w:r>
      <w:r w:rsidRPr="00305D32">
        <w:rPr>
          <w:lang w:val="es-MX"/>
        </w:rPr>
        <w:t xml:space="preserve">Ingresos por venta de bienes, prestación de servicios y otros ingresos, Participaciones, Aportaciones, Convenios, Incentivos derivados de la colaboración fiscal,  Fondos distintos de aportaciones, Transferencias, </w:t>
      </w:r>
      <w:r w:rsidRPr="00305D32">
        <w:rPr>
          <w:lang w:val="es-MX"/>
        </w:rPr>
        <w:lastRenderedPageBreak/>
        <w:t>asignaciones, subsidios y subvenciones, y pensiones y jubilaciones e Ingresos derivados de financiamientos.</w:t>
      </w:r>
    </w:p>
    <w:p w14:paraId="568834DC" w14:textId="270A3E6C" w:rsidR="00A32526" w:rsidRPr="00305D32" w:rsidRDefault="00A32526" w:rsidP="00A32526">
      <w:pPr>
        <w:rPr>
          <w:lang w:val="es-MX"/>
        </w:rPr>
      </w:pPr>
      <w:bookmarkStart w:id="119" w:name="_heading=h.2uxtw84" w:colFirst="0" w:colLast="0"/>
      <w:bookmarkEnd w:id="119"/>
      <w:r w:rsidRPr="00305D32">
        <w:rPr>
          <w:lang w:val="es-MX"/>
        </w:rPr>
        <w:t xml:space="preserve">En 2023, el total de los ingresos (sin </w:t>
      </w:r>
      <w:r w:rsidR="00E16882">
        <w:rPr>
          <w:lang w:val="es-MX"/>
        </w:rPr>
        <w:t xml:space="preserve">incluir </w:t>
      </w:r>
      <w:r w:rsidRPr="00305D32">
        <w:rPr>
          <w:lang w:val="es-MX"/>
        </w:rPr>
        <w:t>financiamientos) fue de 48</w:t>
      </w:r>
      <w:r w:rsidR="00056A6C">
        <w:rPr>
          <w:lang w:val="es-MX"/>
        </w:rPr>
        <w:t>,</w:t>
      </w:r>
      <w:r w:rsidRPr="00305D32">
        <w:rPr>
          <w:lang w:val="es-MX"/>
        </w:rPr>
        <w:t>214 millones de pesos</w:t>
      </w:r>
      <w:r w:rsidR="00056A6C">
        <w:rPr>
          <w:lang w:val="es-MX"/>
        </w:rPr>
        <w:t>. E</w:t>
      </w:r>
      <w:r w:rsidRPr="00305D32">
        <w:rPr>
          <w:lang w:val="es-MX"/>
        </w:rPr>
        <w:t>n el 2024</w:t>
      </w:r>
      <w:r w:rsidR="00056A6C">
        <w:rPr>
          <w:lang w:val="es-MX"/>
        </w:rPr>
        <w:t>,</w:t>
      </w:r>
      <w:r w:rsidRPr="00305D32">
        <w:rPr>
          <w:lang w:val="es-MX"/>
        </w:rPr>
        <w:t xml:space="preserve"> este monto ascendió en </w:t>
      </w:r>
      <w:r w:rsidR="00181141" w:rsidRPr="00305D32">
        <w:rPr>
          <w:lang w:val="es-MX"/>
        </w:rPr>
        <w:t>1.42</w:t>
      </w:r>
      <w:r w:rsidR="0019290E">
        <w:rPr>
          <w:lang w:val="es-MX"/>
        </w:rPr>
        <w:t xml:space="preserve"> %</w:t>
      </w:r>
      <w:r w:rsidRPr="00305D32">
        <w:rPr>
          <w:lang w:val="es-MX"/>
        </w:rPr>
        <w:t xml:space="preserve"> alcanzando un total de 48</w:t>
      </w:r>
      <w:r w:rsidR="00EC660A">
        <w:rPr>
          <w:lang w:val="es-MX"/>
        </w:rPr>
        <w:t>,</w:t>
      </w:r>
      <w:r w:rsidR="00C14F38" w:rsidRPr="00305D32">
        <w:rPr>
          <w:lang w:val="es-MX"/>
        </w:rPr>
        <w:t>900</w:t>
      </w:r>
      <w:r w:rsidRPr="00305D32">
        <w:rPr>
          <w:lang w:val="es-MX"/>
        </w:rPr>
        <w:t xml:space="preserve"> millones de pesos (</w:t>
      </w:r>
      <w:r w:rsidR="00CE36C7" w:rsidRPr="00305D32">
        <w:rPr>
          <w:lang w:val="es-MX"/>
        </w:rPr>
        <w:fldChar w:fldCharType="begin"/>
      </w:r>
      <w:r w:rsidR="00CE36C7" w:rsidRPr="00305D32">
        <w:rPr>
          <w:lang w:val="es-MX"/>
        </w:rPr>
        <w:instrText xml:space="preserve"> REF _Ref210295748 \h </w:instrText>
      </w:r>
      <w:r w:rsidR="00CE36C7" w:rsidRPr="00305D32">
        <w:rPr>
          <w:lang w:val="es-MX"/>
        </w:rPr>
      </w:r>
      <w:r w:rsidR="00CE36C7" w:rsidRPr="00305D32">
        <w:rPr>
          <w:lang w:val="es-MX"/>
        </w:rPr>
        <w:fldChar w:fldCharType="separate"/>
      </w:r>
      <w:r w:rsidR="00ED1F2F" w:rsidRPr="00305D32">
        <w:rPr>
          <w:lang w:val="es-MX"/>
        </w:rPr>
        <w:t xml:space="preserve">Figura </w:t>
      </w:r>
      <w:r w:rsidR="00ED1F2F">
        <w:rPr>
          <w:noProof/>
          <w:lang w:val="es-MX"/>
        </w:rPr>
        <w:t>37</w:t>
      </w:r>
      <w:r w:rsidR="00CE36C7" w:rsidRPr="00305D32">
        <w:rPr>
          <w:lang w:val="es-MX"/>
        </w:rPr>
        <w:fldChar w:fldCharType="end"/>
      </w:r>
      <w:r w:rsidRPr="00305D32">
        <w:rPr>
          <w:lang w:val="es-MX"/>
        </w:rPr>
        <w:t xml:space="preserve">). Al segundo trimestre de </w:t>
      </w:r>
      <w:r w:rsidR="00FD511E" w:rsidRPr="00305D32">
        <w:rPr>
          <w:lang w:val="es-MX"/>
        </w:rPr>
        <w:t>2025</w:t>
      </w:r>
      <w:r w:rsidR="00EC660A">
        <w:rPr>
          <w:lang w:val="es-MX"/>
        </w:rPr>
        <w:t>,</w:t>
      </w:r>
      <w:r w:rsidR="00FD511E" w:rsidRPr="00305D32">
        <w:rPr>
          <w:lang w:val="es-MX"/>
        </w:rPr>
        <w:t xml:space="preserve"> </w:t>
      </w:r>
      <w:r w:rsidRPr="00305D32">
        <w:rPr>
          <w:lang w:val="es-MX"/>
        </w:rPr>
        <w:t>los ingresos fueron de</w:t>
      </w:r>
      <w:r w:rsidR="00FD511E" w:rsidRPr="00305D32">
        <w:rPr>
          <w:lang w:val="es-MX"/>
        </w:rPr>
        <w:t xml:space="preserve"> 27</w:t>
      </w:r>
      <w:r w:rsidR="00BA10C6">
        <w:rPr>
          <w:lang w:val="es-MX"/>
        </w:rPr>
        <w:t>,</w:t>
      </w:r>
      <w:r w:rsidR="00FD511E" w:rsidRPr="00305D32">
        <w:rPr>
          <w:lang w:val="es-MX"/>
        </w:rPr>
        <w:t>957 millones de pesos</w:t>
      </w:r>
      <w:r w:rsidRPr="00305D32">
        <w:rPr>
          <w:lang w:val="es-MX"/>
        </w:rPr>
        <w:t xml:space="preserve">, </w:t>
      </w:r>
      <w:r w:rsidR="00BA10C6">
        <w:rPr>
          <w:lang w:val="es-MX"/>
        </w:rPr>
        <w:t xml:space="preserve">cifra </w:t>
      </w:r>
      <w:r w:rsidRPr="00305D32">
        <w:rPr>
          <w:lang w:val="es-MX"/>
        </w:rPr>
        <w:t xml:space="preserve">superior a los </w:t>
      </w:r>
      <w:r w:rsidR="00FD511E" w:rsidRPr="00305D32">
        <w:rPr>
          <w:lang w:val="es-MX"/>
        </w:rPr>
        <w:t>25</w:t>
      </w:r>
      <w:r w:rsidR="00BA10C6">
        <w:rPr>
          <w:lang w:val="es-MX"/>
        </w:rPr>
        <w:t>,</w:t>
      </w:r>
      <w:r w:rsidR="00FD511E" w:rsidRPr="00305D32">
        <w:rPr>
          <w:lang w:val="es-MX"/>
        </w:rPr>
        <w:t xml:space="preserve">592 millones de pesos </w:t>
      </w:r>
      <w:r w:rsidRPr="00305D32">
        <w:rPr>
          <w:lang w:val="es-MX"/>
        </w:rPr>
        <w:t>en el segundo trimestre de 202</w:t>
      </w:r>
      <w:r w:rsidR="000059B9" w:rsidRPr="00305D32">
        <w:rPr>
          <w:lang w:val="es-MX"/>
        </w:rPr>
        <w:t>4</w:t>
      </w:r>
      <w:r w:rsidRPr="00305D32">
        <w:rPr>
          <w:lang w:val="es-MX"/>
        </w:rPr>
        <w:t xml:space="preserve"> (+</w:t>
      </w:r>
      <w:r w:rsidR="001F5D27" w:rsidRPr="00305D32">
        <w:rPr>
          <w:lang w:val="es-MX"/>
        </w:rPr>
        <w:t>9</w:t>
      </w:r>
      <w:r w:rsidRPr="00305D32">
        <w:rPr>
          <w:lang w:val="es-MX"/>
        </w:rPr>
        <w:t>.</w:t>
      </w:r>
      <w:r w:rsidR="001F5D27" w:rsidRPr="00305D32">
        <w:rPr>
          <w:lang w:val="es-MX"/>
        </w:rPr>
        <w:t>24</w:t>
      </w:r>
      <w:r w:rsidR="0019290E">
        <w:rPr>
          <w:lang w:val="es-MX"/>
        </w:rPr>
        <w:t xml:space="preserve"> %</w:t>
      </w:r>
      <w:r w:rsidRPr="00305D32">
        <w:rPr>
          <w:lang w:val="es-MX"/>
        </w:rPr>
        <w:t>).</w:t>
      </w:r>
    </w:p>
    <w:p w14:paraId="4D083705" w14:textId="10C249C8" w:rsidR="00AE57F0" w:rsidRPr="00305D32" w:rsidRDefault="00414F7C" w:rsidP="00CE36C7">
      <w:pPr>
        <w:pStyle w:val="Descripcin"/>
        <w:jc w:val="center"/>
        <w:rPr>
          <w:b w:val="0"/>
          <w:color w:val="000000"/>
          <w:lang w:val="es-MX"/>
        </w:rPr>
      </w:pPr>
      <w:bookmarkStart w:id="120" w:name="_Ref210295748"/>
      <w:r w:rsidRPr="00305D32">
        <w:rPr>
          <w:lang w:val="es-MX"/>
        </w:rPr>
        <w:t xml:space="preserve">Figura </w:t>
      </w:r>
      <w:r w:rsidR="00CE36C7" w:rsidRPr="00305D32">
        <w:rPr>
          <w:lang w:val="es-MX"/>
        </w:rPr>
        <w:fldChar w:fldCharType="begin"/>
      </w:r>
      <w:r w:rsidR="00CE36C7" w:rsidRPr="00305D32">
        <w:rPr>
          <w:lang w:val="es-MX"/>
        </w:rPr>
        <w:instrText xml:space="preserve"> SEQ Figura \* ARABIC </w:instrText>
      </w:r>
      <w:r w:rsidR="00CE36C7" w:rsidRPr="00305D32">
        <w:rPr>
          <w:lang w:val="es-MX"/>
        </w:rPr>
        <w:fldChar w:fldCharType="separate"/>
      </w:r>
      <w:r w:rsidR="00ED1F2F">
        <w:rPr>
          <w:noProof/>
          <w:lang w:val="es-MX"/>
        </w:rPr>
        <w:t>37</w:t>
      </w:r>
      <w:r w:rsidR="00CE36C7" w:rsidRPr="00305D32">
        <w:rPr>
          <w:lang w:val="es-MX"/>
        </w:rPr>
        <w:fldChar w:fldCharType="end"/>
      </w:r>
      <w:bookmarkEnd w:id="120"/>
      <w:r w:rsidRPr="00305D32">
        <w:rPr>
          <w:color w:val="000000"/>
          <w:lang w:val="es-MX"/>
        </w:rPr>
        <w:t xml:space="preserve">. Ingresos totales de Quintana Roo </w:t>
      </w:r>
      <w:r w:rsidRPr="00721027">
        <w:rPr>
          <w:color w:val="000000"/>
          <w:lang w:val="es-MX"/>
        </w:rPr>
        <w:t>202</w:t>
      </w:r>
      <w:r w:rsidR="001F5D27" w:rsidRPr="00721027">
        <w:rPr>
          <w:color w:val="000000"/>
          <w:lang w:val="es-MX"/>
        </w:rPr>
        <w:t>3</w:t>
      </w:r>
      <w:r w:rsidRPr="00721027">
        <w:rPr>
          <w:color w:val="000000"/>
          <w:lang w:val="es-MX"/>
        </w:rPr>
        <w:t>-202</w:t>
      </w:r>
      <w:r w:rsidR="001F5D27" w:rsidRPr="00721027">
        <w:rPr>
          <w:color w:val="000000"/>
          <w:lang w:val="es-MX"/>
        </w:rPr>
        <w:t>5</w:t>
      </w:r>
      <w:r w:rsidRPr="00721027">
        <w:rPr>
          <w:color w:val="000000"/>
          <w:lang w:val="es-MX"/>
        </w:rPr>
        <w:t>, millones de pesos</w:t>
      </w:r>
    </w:p>
    <w:p w14:paraId="39BC3C47" w14:textId="064DED91" w:rsidR="00A05A38" w:rsidRPr="00305D32" w:rsidRDefault="00A05A38">
      <w:pPr>
        <w:spacing w:after="0"/>
        <w:jc w:val="center"/>
        <w:rPr>
          <w:lang w:val="es-MX"/>
        </w:rPr>
      </w:pPr>
      <w:r w:rsidRPr="00305D32">
        <w:rPr>
          <w:noProof/>
          <w:lang w:val="es-MX" w:eastAsia="es-MX"/>
        </w:rPr>
        <w:drawing>
          <wp:inline distT="0" distB="0" distL="0" distR="0" wp14:anchorId="769F795D" wp14:editId="395C8D18">
            <wp:extent cx="5659200" cy="2699385"/>
            <wp:effectExtent l="0" t="0" r="17780" b="5715"/>
            <wp:docPr id="1956078411" name="Gráfico 1">
              <a:extLst xmlns:a="http://schemas.openxmlformats.org/drawingml/2006/main">
                <a:ext uri="{FF2B5EF4-FFF2-40B4-BE49-F238E27FC236}">
                  <a16:creationId xmlns:a16="http://schemas.microsoft.com/office/drawing/2014/main" id="{9E0523E8-DA71-420C-A02F-A3832FB9C8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D083707" w14:textId="4C65CA52" w:rsidR="00AE57F0" w:rsidRPr="00305D32" w:rsidRDefault="00414F7C">
      <w:pPr>
        <w:spacing w:line="240" w:lineRule="auto"/>
        <w:jc w:val="center"/>
        <w:rPr>
          <w:lang w:val="es-MX"/>
        </w:rPr>
      </w:pPr>
      <w:r w:rsidRPr="00305D32">
        <w:rPr>
          <w:sz w:val="20"/>
          <w:szCs w:val="20"/>
          <w:lang w:val="es-MX"/>
        </w:rPr>
        <w:t>Fuente: Elaboración de la Subsecretaría de Análisis Económico y Finanzas Públicas de la Secretaría de Finanzas y Planeación, con base en datos del Estado Analítico del Ingresos de la SEFIPLAN (202</w:t>
      </w:r>
      <w:r w:rsidR="001F5D27" w:rsidRPr="00305D32">
        <w:rPr>
          <w:sz w:val="20"/>
          <w:szCs w:val="20"/>
          <w:lang w:val="es-MX"/>
        </w:rPr>
        <w:t>5</w:t>
      </w:r>
      <w:r w:rsidRPr="00305D32">
        <w:rPr>
          <w:sz w:val="20"/>
          <w:szCs w:val="20"/>
          <w:lang w:val="es-MX"/>
        </w:rPr>
        <w:t>). * Corresponde al valor del segundo trimestre 202</w:t>
      </w:r>
      <w:r w:rsidR="001F5D27" w:rsidRPr="00305D32">
        <w:rPr>
          <w:sz w:val="20"/>
          <w:szCs w:val="20"/>
          <w:lang w:val="es-MX"/>
        </w:rPr>
        <w:t>5</w:t>
      </w:r>
      <w:r w:rsidRPr="00305D32">
        <w:rPr>
          <w:sz w:val="20"/>
          <w:szCs w:val="20"/>
          <w:lang w:val="es-MX"/>
        </w:rPr>
        <w:t>.</w:t>
      </w:r>
    </w:p>
    <w:p w14:paraId="595F4306" w14:textId="2E940752" w:rsidR="0071284B" w:rsidRPr="00305D32" w:rsidRDefault="00414F7C" w:rsidP="0071284B">
      <w:pPr>
        <w:rPr>
          <w:lang w:val="es-MX"/>
        </w:rPr>
      </w:pPr>
      <w:r w:rsidRPr="00305D32">
        <w:rPr>
          <w:lang w:val="es-MX"/>
        </w:rPr>
        <w:t xml:space="preserve">De los ingresos totales, la recaudación </w:t>
      </w:r>
      <w:r w:rsidR="000D3FE9">
        <w:rPr>
          <w:lang w:val="es-MX"/>
        </w:rPr>
        <w:t>e</w:t>
      </w:r>
      <w:r w:rsidRPr="00305D32">
        <w:rPr>
          <w:lang w:val="es-MX"/>
        </w:rPr>
        <w:t xml:space="preserve">statal representa una participación </w:t>
      </w:r>
      <w:r w:rsidR="000D3FE9">
        <w:rPr>
          <w:lang w:val="es-MX"/>
        </w:rPr>
        <w:t>significativa</w:t>
      </w:r>
      <w:r w:rsidRPr="00305D32">
        <w:rPr>
          <w:lang w:val="es-MX"/>
        </w:rPr>
        <w:t xml:space="preserve"> (</w:t>
      </w:r>
      <w:r w:rsidR="002A0413" w:rsidRPr="00305D32">
        <w:rPr>
          <w:lang w:val="es-MX"/>
        </w:rPr>
        <w:fldChar w:fldCharType="begin"/>
      </w:r>
      <w:r w:rsidR="002A0413" w:rsidRPr="00305D32">
        <w:rPr>
          <w:lang w:val="es-MX"/>
        </w:rPr>
        <w:instrText xml:space="preserve"> REF _Ref210296580 \h </w:instrText>
      </w:r>
      <w:r w:rsidR="002A0413" w:rsidRPr="00305D32">
        <w:rPr>
          <w:lang w:val="es-MX"/>
        </w:rPr>
      </w:r>
      <w:r w:rsidR="002A0413" w:rsidRPr="00305D32">
        <w:rPr>
          <w:lang w:val="es-MX"/>
        </w:rPr>
        <w:fldChar w:fldCharType="separate"/>
      </w:r>
      <w:r w:rsidR="00ED1F2F" w:rsidRPr="00305D32">
        <w:rPr>
          <w:lang w:val="es-MX"/>
        </w:rPr>
        <w:t xml:space="preserve">Figura </w:t>
      </w:r>
      <w:r w:rsidR="00ED1F2F">
        <w:rPr>
          <w:noProof/>
          <w:lang w:val="es-MX"/>
        </w:rPr>
        <w:t>38</w:t>
      </w:r>
      <w:r w:rsidR="002A0413" w:rsidRPr="00305D32">
        <w:rPr>
          <w:lang w:val="es-MX"/>
        </w:rPr>
        <w:fldChar w:fldCharType="end"/>
      </w:r>
      <w:r w:rsidRPr="00305D32">
        <w:rPr>
          <w:lang w:val="es-MX"/>
        </w:rPr>
        <w:t>)</w:t>
      </w:r>
      <w:r w:rsidR="000D3FE9">
        <w:rPr>
          <w:lang w:val="es-MX"/>
        </w:rPr>
        <w:t>. E</w:t>
      </w:r>
      <w:r w:rsidRPr="00305D32">
        <w:rPr>
          <w:lang w:val="es-MX"/>
        </w:rPr>
        <w:t>sta se integra por impuestos, derechos, productos y aprovechamientos</w:t>
      </w:r>
      <w:r w:rsidR="00FC6821">
        <w:rPr>
          <w:lang w:val="es-MX"/>
        </w:rPr>
        <w:t>. E</w:t>
      </w:r>
      <w:r w:rsidRPr="00305D32">
        <w:rPr>
          <w:lang w:val="es-MX"/>
        </w:rPr>
        <w:t xml:space="preserve">n el </w:t>
      </w:r>
      <w:r w:rsidR="0071284B" w:rsidRPr="00305D32">
        <w:rPr>
          <w:lang w:val="es-MX"/>
        </w:rPr>
        <w:t>202</w:t>
      </w:r>
      <w:r w:rsidR="00BE488D" w:rsidRPr="00305D32">
        <w:rPr>
          <w:lang w:val="es-MX"/>
        </w:rPr>
        <w:t>3</w:t>
      </w:r>
      <w:r w:rsidR="00FC6821">
        <w:rPr>
          <w:lang w:val="es-MX"/>
        </w:rPr>
        <w:t>,</w:t>
      </w:r>
      <w:r w:rsidRPr="00305D32">
        <w:rPr>
          <w:lang w:val="es-MX"/>
        </w:rPr>
        <w:t xml:space="preserve"> la recaudación total fue de </w:t>
      </w:r>
      <w:r w:rsidR="00BE488D" w:rsidRPr="00305D32">
        <w:rPr>
          <w:lang w:val="es-MX"/>
        </w:rPr>
        <w:t>11</w:t>
      </w:r>
      <w:r w:rsidR="00FC6821">
        <w:rPr>
          <w:lang w:val="es-MX"/>
        </w:rPr>
        <w:t>,</w:t>
      </w:r>
      <w:r w:rsidR="00BE488D" w:rsidRPr="00305D32">
        <w:rPr>
          <w:lang w:val="es-MX"/>
        </w:rPr>
        <w:t>403</w:t>
      </w:r>
      <w:r w:rsidRPr="00305D32">
        <w:rPr>
          <w:lang w:val="es-MX"/>
        </w:rPr>
        <w:t xml:space="preserve"> millones de pesos representando aproximadamente </w:t>
      </w:r>
      <w:r w:rsidR="0071284B" w:rsidRPr="00305D32">
        <w:rPr>
          <w:lang w:val="es-MX"/>
        </w:rPr>
        <w:t>2</w:t>
      </w:r>
      <w:r w:rsidR="00593844" w:rsidRPr="00305D32">
        <w:rPr>
          <w:lang w:val="es-MX"/>
        </w:rPr>
        <w:t>4</w:t>
      </w:r>
      <w:r w:rsidR="0019290E">
        <w:rPr>
          <w:lang w:val="es-MX"/>
        </w:rPr>
        <w:t xml:space="preserve"> %</w:t>
      </w:r>
      <w:r w:rsidR="000F23C3">
        <w:rPr>
          <w:lang w:val="es-MX"/>
        </w:rPr>
        <w:t>;</w:t>
      </w:r>
      <w:r w:rsidR="0071284B" w:rsidRPr="00305D32">
        <w:rPr>
          <w:lang w:val="es-MX"/>
        </w:rPr>
        <w:t xml:space="preserve"> en el 202</w:t>
      </w:r>
      <w:r w:rsidR="0065679B" w:rsidRPr="00305D32">
        <w:rPr>
          <w:lang w:val="es-MX"/>
        </w:rPr>
        <w:t>4</w:t>
      </w:r>
      <w:r w:rsidR="0071284B" w:rsidRPr="00305D32">
        <w:rPr>
          <w:lang w:val="es-MX"/>
        </w:rPr>
        <w:t xml:space="preserve"> fue de 1</w:t>
      </w:r>
      <w:r w:rsidR="0065679B" w:rsidRPr="00305D32">
        <w:rPr>
          <w:lang w:val="es-MX"/>
        </w:rPr>
        <w:t>3</w:t>
      </w:r>
      <w:r w:rsidR="000F23C3">
        <w:rPr>
          <w:lang w:val="es-MX"/>
        </w:rPr>
        <w:t>,</w:t>
      </w:r>
      <w:r w:rsidR="00126F64" w:rsidRPr="00305D32">
        <w:rPr>
          <w:lang w:val="es-MX"/>
        </w:rPr>
        <w:t>608</w:t>
      </w:r>
      <w:r w:rsidR="0071284B" w:rsidRPr="00305D32">
        <w:rPr>
          <w:lang w:val="es-MX"/>
        </w:rPr>
        <w:t xml:space="preserve"> millones de pesos (2</w:t>
      </w:r>
      <w:r w:rsidR="00593844" w:rsidRPr="00305D32">
        <w:rPr>
          <w:lang w:val="es-MX"/>
        </w:rPr>
        <w:t>8</w:t>
      </w:r>
      <w:r w:rsidR="0019290E">
        <w:rPr>
          <w:lang w:val="es-MX"/>
        </w:rPr>
        <w:t xml:space="preserve"> %</w:t>
      </w:r>
      <w:r w:rsidR="0071284B" w:rsidRPr="00305D32">
        <w:rPr>
          <w:lang w:val="es-MX"/>
        </w:rPr>
        <w:t>) y al segundo trimestre de 202</w:t>
      </w:r>
      <w:r w:rsidR="009D5454" w:rsidRPr="00305D32">
        <w:rPr>
          <w:lang w:val="es-MX"/>
        </w:rPr>
        <w:t>5</w:t>
      </w:r>
      <w:r w:rsidR="0071284B" w:rsidRPr="00305D32">
        <w:rPr>
          <w:lang w:val="es-MX"/>
        </w:rPr>
        <w:t xml:space="preserve"> fue de 7</w:t>
      </w:r>
      <w:r w:rsidR="004D5E74">
        <w:rPr>
          <w:lang w:val="es-MX"/>
        </w:rPr>
        <w:t>,</w:t>
      </w:r>
      <w:r w:rsidR="009D5454" w:rsidRPr="00305D32">
        <w:rPr>
          <w:lang w:val="es-MX"/>
        </w:rPr>
        <w:t>831</w:t>
      </w:r>
      <w:r w:rsidR="0071284B" w:rsidRPr="00305D32">
        <w:rPr>
          <w:lang w:val="es-MX"/>
        </w:rPr>
        <w:t xml:space="preserve"> millones de pesos, </w:t>
      </w:r>
      <w:r w:rsidR="004D5E74">
        <w:rPr>
          <w:lang w:val="es-MX"/>
        </w:rPr>
        <w:t xml:space="preserve">equivalente al </w:t>
      </w:r>
      <w:r w:rsidR="0071284B" w:rsidRPr="00305D32">
        <w:rPr>
          <w:lang w:val="es-MX"/>
        </w:rPr>
        <w:t>28</w:t>
      </w:r>
      <w:r w:rsidR="0019290E">
        <w:rPr>
          <w:lang w:val="es-MX"/>
        </w:rPr>
        <w:t xml:space="preserve"> %</w:t>
      </w:r>
      <w:r w:rsidR="0071284B" w:rsidRPr="00305D32">
        <w:rPr>
          <w:lang w:val="es-MX"/>
        </w:rPr>
        <w:t xml:space="preserve"> de los ingresos totales.</w:t>
      </w:r>
    </w:p>
    <w:p w14:paraId="369B2375" w14:textId="1BDB3DD8" w:rsidR="0071284B" w:rsidRPr="00305D32" w:rsidRDefault="0071284B" w:rsidP="0071284B">
      <w:pPr>
        <w:rPr>
          <w:lang w:val="es-MX"/>
        </w:rPr>
      </w:pPr>
      <w:r w:rsidRPr="00305D32">
        <w:rPr>
          <w:lang w:val="es-MX"/>
        </w:rPr>
        <w:lastRenderedPageBreak/>
        <w:t>Las transferencias (Participaciones, Aportaciones, Convenios, Incentivos derivados de la colaboración fiscal, Fondos distintos de aportaciones) representaron en 202</w:t>
      </w:r>
      <w:r w:rsidR="00425EAA" w:rsidRPr="00305D32">
        <w:rPr>
          <w:lang w:val="es-MX"/>
        </w:rPr>
        <w:t>3</w:t>
      </w:r>
      <w:r w:rsidRPr="00305D32">
        <w:rPr>
          <w:lang w:val="es-MX"/>
        </w:rPr>
        <w:t xml:space="preserve"> el 7</w:t>
      </w:r>
      <w:r w:rsidR="002C7109" w:rsidRPr="00305D32">
        <w:rPr>
          <w:lang w:val="es-MX"/>
        </w:rPr>
        <w:t>6</w:t>
      </w:r>
      <w:r w:rsidR="0019290E">
        <w:rPr>
          <w:lang w:val="es-MX"/>
        </w:rPr>
        <w:t xml:space="preserve"> %</w:t>
      </w:r>
      <w:r w:rsidRPr="00305D32">
        <w:rPr>
          <w:lang w:val="es-MX"/>
        </w:rPr>
        <w:t xml:space="preserve"> de los ingresos totales, en 202</w:t>
      </w:r>
      <w:r w:rsidR="006C503C" w:rsidRPr="00305D32">
        <w:rPr>
          <w:lang w:val="es-MX"/>
        </w:rPr>
        <w:t>4</w:t>
      </w:r>
      <w:r w:rsidRPr="00305D32">
        <w:rPr>
          <w:lang w:val="es-MX"/>
        </w:rPr>
        <w:t xml:space="preserve"> descendió a 7</w:t>
      </w:r>
      <w:r w:rsidR="002C7109" w:rsidRPr="00305D32">
        <w:rPr>
          <w:lang w:val="es-MX"/>
        </w:rPr>
        <w:t>2</w:t>
      </w:r>
      <w:r w:rsidR="0019290E">
        <w:rPr>
          <w:lang w:val="es-MX"/>
        </w:rPr>
        <w:t xml:space="preserve"> %</w:t>
      </w:r>
      <w:r w:rsidRPr="00305D32">
        <w:rPr>
          <w:lang w:val="es-MX"/>
        </w:rPr>
        <w:t xml:space="preserve"> y al segundo trimestre de 202</w:t>
      </w:r>
      <w:r w:rsidR="00BE1A42">
        <w:rPr>
          <w:lang w:val="es-MX"/>
        </w:rPr>
        <w:t>5</w:t>
      </w:r>
      <w:r w:rsidRPr="00305D32">
        <w:rPr>
          <w:lang w:val="es-MX"/>
        </w:rPr>
        <w:t>, representan el 72</w:t>
      </w:r>
      <w:r w:rsidR="0019290E">
        <w:rPr>
          <w:lang w:val="es-MX"/>
        </w:rPr>
        <w:t xml:space="preserve"> %</w:t>
      </w:r>
      <w:r w:rsidRPr="00305D32">
        <w:rPr>
          <w:lang w:val="es-MX"/>
        </w:rPr>
        <w:t xml:space="preserve"> del total de los ingresos.</w:t>
      </w:r>
    </w:p>
    <w:p w14:paraId="4D08370A" w14:textId="233EF97A" w:rsidR="00AE57F0" w:rsidRPr="00305D32" w:rsidRDefault="002A0413" w:rsidP="002A0413">
      <w:pPr>
        <w:pStyle w:val="Descripcin"/>
        <w:jc w:val="center"/>
        <w:rPr>
          <w:b w:val="0"/>
          <w:color w:val="000000"/>
          <w:lang w:val="es-MX"/>
        </w:rPr>
      </w:pPr>
      <w:bookmarkStart w:id="121" w:name="_Ref210296580"/>
      <w:r w:rsidRPr="00305D32">
        <w:rPr>
          <w:lang w:val="es-MX"/>
        </w:rPr>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38</w:t>
      </w:r>
      <w:r w:rsidRPr="00305D32">
        <w:rPr>
          <w:lang w:val="es-MX"/>
        </w:rPr>
        <w:fldChar w:fldCharType="end"/>
      </w:r>
      <w:bookmarkEnd w:id="121"/>
      <w:r w:rsidR="00414F7C" w:rsidRPr="00305D32">
        <w:rPr>
          <w:color w:val="000000"/>
          <w:lang w:val="es-MX"/>
        </w:rPr>
        <w:t xml:space="preserve">. Composición de los ingresos totales de Quintana Roo </w:t>
      </w:r>
      <w:r w:rsidR="00414F7C" w:rsidRPr="00721027">
        <w:rPr>
          <w:color w:val="000000"/>
          <w:lang w:val="es-MX"/>
        </w:rPr>
        <w:t>202</w:t>
      </w:r>
      <w:r w:rsidR="002C7109" w:rsidRPr="00721027">
        <w:rPr>
          <w:color w:val="000000"/>
          <w:lang w:val="es-MX"/>
        </w:rPr>
        <w:t>3</w:t>
      </w:r>
      <w:r w:rsidR="00414F7C" w:rsidRPr="00721027">
        <w:rPr>
          <w:color w:val="000000"/>
          <w:lang w:val="es-MX"/>
        </w:rPr>
        <w:t>-202</w:t>
      </w:r>
      <w:r w:rsidR="002C7109" w:rsidRPr="00721027">
        <w:rPr>
          <w:color w:val="000000"/>
          <w:lang w:val="es-MX"/>
        </w:rPr>
        <w:t>5</w:t>
      </w:r>
      <w:r w:rsidR="00414F7C" w:rsidRPr="00721027">
        <w:rPr>
          <w:color w:val="000000"/>
          <w:lang w:val="es-MX"/>
        </w:rPr>
        <w:t>, millones de pesos</w:t>
      </w:r>
    </w:p>
    <w:p w14:paraId="44B712E2" w14:textId="3CFC3498" w:rsidR="007F6AF8" w:rsidRPr="00305D32" w:rsidRDefault="005416C8">
      <w:pPr>
        <w:spacing w:after="0"/>
        <w:jc w:val="center"/>
        <w:rPr>
          <w:lang w:val="es-MX"/>
        </w:rPr>
      </w:pPr>
      <w:r w:rsidRPr="00305D32">
        <w:rPr>
          <w:noProof/>
          <w:lang w:val="es-MX" w:eastAsia="es-MX"/>
        </w:rPr>
        <w:drawing>
          <wp:inline distT="0" distB="0" distL="0" distR="0" wp14:anchorId="327A6D4F" wp14:editId="753D1DBD">
            <wp:extent cx="5659200" cy="2743200"/>
            <wp:effectExtent l="0" t="0" r="17780" b="0"/>
            <wp:docPr id="693046431" name="Gráfico 1">
              <a:extLst xmlns:a="http://schemas.openxmlformats.org/drawingml/2006/main">
                <a:ext uri="{FF2B5EF4-FFF2-40B4-BE49-F238E27FC236}">
                  <a16:creationId xmlns:a16="http://schemas.microsoft.com/office/drawing/2014/main" id="{8CF01BBB-D01A-47E0-BF9F-33BAAAA0A3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D08370C" w14:textId="4C5D0F32" w:rsidR="00AE57F0" w:rsidRPr="00305D32" w:rsidRDefault="00414F7C">
      <w:pPr>
        <w:spacing w:after="0" w:line="240"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base en datos del Estado Analítico del Ingresos de la SEFIPLAN (202</w:t>
      </w:r>
      <w:r w:rsidR="002C7109" w:rsidRPr="00305D32">
        <w:rPr>
          <w:sz w:val="20"/>
          <w:szCs w:val="20"/>
          <w:lang w:val="es-MX"/>
        </w:rPr>
        <w:t>5</w:t>
      </w:r>
      <w:r w:rsidRPr="00305D32">
        <w:rPr>
          <w:sz w:val="20"/>
          <w:szCs w:val="20"/>
          <w:lang w:val="es-MX"/>
        </w:rPr>
        <w:t>). * Corresponde al valor del segundo trimestre 202</w:t>
      </w:r>
      <w:r w:rsidR="002C7109" w:rsidRPr="00305D32">
        <w:rPr>
          <w:sz w:val="20"/>
          <w:szCs w:val="20"/>
          <w:lang w:val="es-MX"/>
        </w:rPr>
        <w:t>5</w:t>
      </w:r>
      <w:r w:rsidRPr="00305D32">
        <w:rPr>
          <w:sz w:val="20"/>
          <w:szCs w:val="20"/>
          <w:lang w:val="es-MX"/>
        </w:rPr>
        <w:t>.</w:t>
      </w:r>
    </w:p>
    <w:p w14:paraId="4D08370D" w14:textId="77777777" w:rsidR="00AE57F0" w:rsidRPr="00305D32" w:rsidRDefault="00AE57F0">
      <w:pPr>
        <w:spacing w:after="0" w:line="240" w:lineRule="auto"/>
        <w:jc w:val="center"/>
        <w:rPr>
          <w:sz w:val="20"/>
          <w:szCs w:val="20"/>
          <w:lang w:val="es-MX"/>
        </w:rPr>
      </w:pPr>
    </w:p>
    <w:p w14:paraId="41580FF7" w14:textId="568FDF2A" w:rsidR="001D524A" w:rsidRPr="00305D32" w:rsidRDefault="001D524A" w:rsidP="001D524A">
      <w:pPr>
        <w:rPr>
          <w:lang w:val="es-MX"/>
        </w:rPr>
      </w:pPr>
      <w:r w:rsidRPr="00305D32">
        <w:rPr>
          <w:lang w:val="es-MX"/>
        </w:rPr>
        <w:t xml:space="preserve">En cuanto a la composición de la recaudación total, los impuestos concentran la mayor </w:t>
      </w:r>
      <w:r w:rsidR="00622344" w:rsidRPr="00305D32">
        <w:rPr>
          <w:lang w:val="es-MX"/>
        </w:rPr>
        <w:t>participación</w:t>
      </w:r>
      <w:r w:rsidR="00622344">
        <w:rPr>
          <w:lang w:val="es-MX"/>
        </w:rPr>
        <w:t xml:space="preserve"> </w:t>
      </w:r>
      <w:r w:rsidR="00622344" w:rsidRPr="00305D32">
        <w:rPr>
          <w:lang w:val="es-MX"/>
        </w:rPr>
        <w:t>(</w:t>
      </w:r>
      <w:r w:rsidR="00622344" w:rsidRPr="00305D32">
        <w:rPr>
          <w:lang w:val="es-MX"/>
        </w:rPr>
        <w:fldChar w:fldCharType="begin"/>
      </w:r>
      <w:r w:rsidR="00622344" w:rsidRPr="00305D32">
        <w:rPr>
          <w:lang w:val="es-MX"/>
        </w:rPr>
        <w:instrText xml:space="preserve"> REF _Ref210296622 \h </w:instrText>
      </w:r>
      <w:r w:rsidR="00622344" w:rsidRPr="00305D32">
        <w:rPr>
          <w:lang w:val="es-MX"/>
        </w:rPr>
      </w:r>
      <w:r w:rsidR="00622344" w:rsidRPr="00305D32">
        <w:rPr>
          <w:lang w:val="es-MX"/>
        </w:rPr>
        <w:fldChar w:fldCharType="separate"/>
      </w:r>
      <w:r w:rsidR="00ED1F2F" w:rsidRPr="00305D32">
        <w:rPr>
          <w:lang w:val="es-MX"/>
        </w:rPr>
        <w:t xml:space="preserve">Figura </w:t>
      </w:r>
      <w:r w:rsidR="00ED1F2F">
        <w:rPr>
          <w:noProof/>
          <w:lang w:val="es-MX"/>
        </w:rPr>
        <w:t>39</w:t>
      </w:r>
      <w:r w:rsidR="00622344" w:rsidRPr="00305D32">
        <w:rPr>
          <w:lang w:val="es-MX"/>
        </w:rPr>
        <w:fldChar w:fldCharType="end"/>
      </w:r>
      <w:r w:rsidR="00622344" w:rsidRPr="00305D32">
        <w:rPr>
          <w:lang w:val="es-MX"/>
        </w:rPr>
        <w:t>)</w:t>
      </w:r>
      <w:r w:rsidR="0066591C">
        <w:rPr>
          <w:lang w:val="es-MX"/>
        </w:rPr>
        <w:t>. E</w:t>
      </w:r>
      <w:r w:rsidRPr="00305D32">
        <w:rPr>
          <w:lang w:val="es-MX"/>
        </w:rPr>
        <w:t xml:space="preserve">n </w:t>
      </w:r>
      <w:r w:rsidR="00991AC5" w:rsidRPr="00305D32">
        <w:rPr>
          <w:lang w:val="es-MX"/>
        </w:rPr>
        <w:t>2023</w:t>
      </w:r>
      <w:r w:rsidR="0066591C">
        <w:rPr>
          <w:lang w:val="es-MX"/>
        </w:rPr>
        <w:t xml:space="preserve">, </w:t>
      </w:r>
      <w:r w:rsidR="00725FD3">
        <w:rPr>
          <w:lang w:val="es-MX"/>
        </w:rPr>
        <w:t>representaron</w:t>
      </w:r>
      <w:r w:rsidR="00725FD3" w:rsidRPr="00305D32">
        <w:rPr>
          <w:lang w:val="es-MX"/>
        </w:rPr>
        <w:t xml:space="preserve"> 73.1</w:t>
      </w:r>
      <w:r w:rsidR="0019290E">
        <w:rPr>
          <w:lang w:val="es-MX"/>
        </w:rPr>
        <w:t xml:space="preserve"> %</w:t>
      </w:r>
      <w:r w:rsidRPr="00305D32">
        <w:rPr>
          <w:lang w:val="es-MX"/>
        </w:rPr>
        <w:t>, en 202</w:t>
      </w:r>
      <w:r w:rsidR="000C4353" w:rsidRPr="00305D32">
        <w:rPr>
          <w:lang w:val="es-MX"/>
        </w:rPr>
        <w:t>4</w:t>
      </w:r>
      <w:r w:rsidRPr="00305D32">
        <w:rPr>
          <w:lang w:val="es-MX"/>
        </w:rPr>
        <w:t xml:space="preserve"> 7</w:t>
      </w:r>
      <w:r w:rsidR="00B16DF2" w:rsidRPr="00305D32">
        <w:rPr>
          <w:lang w:val="es-MX"/>
        </w:rPr>
        <w:t>4</w:t>
      </w:r>
      <w:r w:rsidRPr="00305D32">
        <w:rPr>
          <w:lang w:val="es-MX"/>
        </w:rPr>
        <w:t>.1</w:t>
      </w:r>
      <w:r w:rsidR="0019290E">
        <w:rPr>
          <w:lang w:val="es-MX"/>
        </w:rPr>
        <w:t xml:space="preserve"> %</w:t>
      </w:r>
      <w:r w:rsidRPr="00305D32">
        <w:rPr>
          <w:lang w:val="es-MX"/>
        </w:rPr>
        <w:t xml:space="preserve"> y al segundo trimestre de 202</w:t>
      </w:r>
      <w:r w:rsidR="00B16DF2" w:rsidRPr="00305D32">
        <w:rPr>
          <w:lang w:val="es-MX"/>
        </w:rPr>
        <w:t>5</w:t>
      </w:r>
      <w:r w:rsidR="00725FD3">
        <w:rPr>
          <w:lang w:val="es-MX"/>
        </w:rPr>
        <w:t>,</w:t>
      </w:r>
      <w:r w:rsidRPr="00305D32">
        <w:rPr>
          <w:lang w:val="es-MX"/>
        </w:rPr>
        <w:t xml:space="preserve"> los impuestos </w:t>
      </w:r>
      <w:r w:rsidR="00A224D8">
        <w:rPr>
          <w:lang w:val="es-MX"/>
        </w:rPr>
        <w:t xml:space="preserve">alcanzaron </w:t>
      </w:r>
      <w:r w:rsidRPr="00305D32">
        <w:rPr>
          <w:lang w:val="es-MX"/>
        </w:rPr>
        <w:t>7</w:t>
      </w:r>
      <w:r w:rsidR="00B16DF2" w:rsidRPr="00305D32">
        <w:rPr>
          <w:lang w:val="es-MX"/>
        </w:rPr>
        <w:t>5.3</w:t>
      </w:r>
      <w:r w:rsidR="0019290E">
        <w:rPr>
          <w:lang w:val="es-MX"/>
        </w:rPr>
        <w:t xml:space="preserve"> %</w:t>
      </w:r>
      <w:r w:rsidRPr="00305D32">
        <w:rPr>
          <w:lang w:val="es-MX"/>
        </w:rPr>
        <w:t xml:space="preserve"> del total de la recaudación. De 2023 a 202</w:t>
      </w:r>
      <w:r w:rsidR="004E0CD5" w:rsidRPr="00305D32">
        <w:rPr>
          <w:lang w:val="es-MX"/>
        </w:rPr>
        <w:t>4</w:t>
      </w:r>
      <w:r w:rsidR="00346860">
        <w:rPr>
          <w:lang w:val="es-MX"/>
        </w:rPr>
        <w:t>,</w:t>
      </w:r>
      <w:r w:rsidRPr="00305D32">
        <w:rPr>
          <w:lang w:val="es-MX"/>
        </w:rPr>
        <w:t xml:space="preserve"> la recaudación por concepto de impuestos se </w:t>
      </w:r>
      <w:r w:rsidR="00574AFA">
        <w:rPr>
          <w:lang w:val="es-MX"/>
        </w:rPr>
        <w:t>aumentó</w:t>
      </w:r>
      <w:r w:rsidRPr="00305D32">
        <w:rPr>
          <w:lang w:val="es-MX"/>
        </w:rPr>
        <w:t xml:space="preserve"> en </w:t>
      </w:r>
      <w:r w:rsidR="004239D3" w:rsidRPr="00305D32">
        <w:rPr>
          <w:lang w:val="es-MX"/>
        </w:rPr>
        <w:t>2</w:t>
      </w:r>
      <w:r w:rsidRPr="00305D32">
        <w:rPr>
          <w:lang w:val="es-MX"/>
        </w:rPr>
        <w:t>,</w:t>
      </w:r>
      <w:r w:rsidR="004239D3" w:rsidRPr="00305D32">
        <w:rPr>
          <w:lang w:val="es-MX"/>
        </w:rPr>
        <w:t>204</w:t>
      </w:r>
      <w:r w:rsidRPr="00305D32">
        <w:rPr>
          <w:lang w:val="es-MX"/>
        </w:rPr>
        <w:t xml:space="preserve"> millones de pesos, lo que representa </w:t>
      </w:r>
      <w:r w:rsidR="00574AFA">
        <w:rPr>
          <w:lang w:val="es-MX"/>
        </w:rPr>
        <w:t>un crecimiento aproximado</w:t>
      </w:r>
      <w:r w:rsidRPr="00305D32">
        <w:rPr>
          <w:lang w:val="es-MX"/>
        </w:rPr>
        <w:t xml:space="preserve"> de </w:t>
      </w:r>
      <w:r w:rsidR="004239D3" w:rsidRPr="00305D32">
        <w:rPr>
          <w:lang w:val="es-MX"/>
        </w:rPr>
        <w:t>19</w:t>
      </w:r>
      <w:r w:rsidR="0019290E">
        <w:rPr>
          <w:lang w:val="es-MX"/>
        </w:rPr>
        <w:t xml:space="preserve"> %</w:t>
      </w:r>
      <w:r w:rsidRPr="00305D32">
        <w:rPr>
          <w:lang w:val="es-MX"/>
        </w:rPr>
        <w:t>.</w:t>
      </w:r>
    </w:p>
    <w:p w14:paraId="42802033" w14:textId="54F2C52C" w:rsidR="00453C92" w:rsidRPr="00453C92" w:rsidRDefault="00453C92" w:rsidP="00453C92">
      <w:pPr>
        <w:rPr>
          <w:lang w:val="es-MX"/>
        </w:rPr>
      </w:pPr>
      <w:r w:rsidRPr="00453C92">
        <w:rPr>
          <w:lang w:val="es-MX"/>
        </w:rPr>
        <w:t>La recaudación por concepto de derechos en 2023 fue de 2,428 millones de pesos; en 2024, esta cifra disminuyó a 2,322 millones de pesos, es decir, se recaudaron 106 millones de pesos menos equivalente a -4.36</w:t>
      </w:r>
      <w:r w:rsidR="0019290E">
        <w:rPr>
          <w:lang w:val="es-MX"/>
        </w:rPr>
        <w:t xml:space="preserve"> %</w:t>
      </w:r>
      <w:r w:rsidRPr="00453C92">
        <w:rPr>
          <w:lang w:val="es-MX"/>
        </w:rPr>
        <w:t xml:space="preserve"> respecto a 2023. En 2024, por </w:t>
      </w:r>
      <w:r w:rsidRPr="00453C92">
        <w:rPr>
          <w:lang w:val="es-MX"/>
        </w:rPr>
        <w:lastRenderedPageBreak/>
        <w:t>concepto de productos, la recaudación también aumentó en 194 millones de pesos en comparación a lo recaudado por el mismo concepto en 2023.</w:t>
      </w:r>
    </w:p>
    <w:p w14:paraId="677DE91A" w14:textId="3FFB88B3" w:rsidR="001D524A" w:rsidRPr="00305D32" w:rsidRDefault="00453C92" w:rsidP="00453C92">
      <w:pPr>
        <w:rPr>
          <w:lang w:val="es-MX"/>
        </w:rPr>
      </w:pPr>
      <w:r w:rsidRPr="00453C92">
        <w:rPr>
          <w:lang w:val="es-MX"/>
        </w:rPr>
        <w:t>En 2024, los aprovechamientos aumentaron en 133.05</w:t>
      </w:r>
      <w:r w:rsidR="0019290E">
        <w:rPr>
          <w:lang w:val="es-MX"/>
        </w:rPr>
        <w:t xml:space="preserve"> %</w:t>
      </w:r>
      <w:r w:rsidRPr="00453C92">
        <w:rPr>
          <w:lang w:val="es-MX"/>
        </w:rPr>
        <w:t>, al pasar de 279 millones de pesos en 2023 a 649 millones de pesos en 2024</w:t>
      </w:r>
      <w:r w:rsidR="001D524A" w:rsidRPr="00305D32">
        <w:rPr>
          <w:lang w:val="es-MX"/>
        </w:rPr>
        <w:t>.</w:t>
      </w:r>
    </w:p>
    <w:p w14:paraId="4D083711" w14:textId="7A4DCCE3" w:rsidR="00AE57F0" w:rsidRPr="00305D32" w:rsidRDefault="00414F7C" w:rsidP="002A0413">
      <w:pPr>
        <w:pStyle w:val="Descripcin"/>
        <w:jc w:val="center"/>
        <w:rPr>
          <w:color w:val="000000"/>
          <w:lang w:val="es-MX"/>
        </w:rPr>
      </w:pPr>
      <w:bookmarkStart w:id="122" w:name="_Ref210296622"/>
      <w:r w:rsidRPr="00305D32">
        <w:rPr>
          <w:lang w:val="es-MX"/>
        </w:rPr>
        <w:t xml:space="preserve">Figura </w:t>
      </w:r>
      <w:r w:rsidR="002A0413" w:rsidRPr="00305D32">
        <w:rPr>
          <w:lang w:val="es-MX"/>
        </w:rPr>
        <w:fldChar w:fldCharType="begin"/>
      </w:r>
      <w:r w:rsidR="002A0413" w:rsidRPr="00305D32">
        <w:rPr>
          <w:lang w:val="es-MX"/>
        </w:rPr>
        <w:instrText xml:space="preserve"> SEQ Figura \* ARABIC </w:instrText>
      </w:r>
      <w:r w:rsidR="002A0413" w:rsidRPr="00305D32">
        <w:rPr>
          <w:lang w:val="es-MX"/>
        </w:rPr>
        <w:fldChar w:fldCharType="separate"/>
      </w:r>
      <w:r w:rsidR="00ED1F2F">
        <w:rPr>
          <w:noProof/>
          <w:lang w:val="es-MX"/>
        </w:rPr>
        <w:t>39</w:t>
      </w:r>
      <w:r w:rsidR="002A0413" w:rsidRPr="00305D32">
        <w:rPr>
          <w:lang w:val="es-MX"/>
        </w:rPr>
        <w:fldChar w:fldCharType="end"/>
      </w:r>
      <w:bookmarkEnd w:id="122"/>
      <w:r w:rsidRPr="00305D32">
        <w:rPr>
          <w:color w:val="000000"/>
          <w:lang w:val="es-MX"/>
        </w:rPr>
        <w:t>. Recaudación total de Quintana Roo por componentes 202</w:t>
      </w:r>
      <w:r w:rsidR="005615A9" w:rsidRPr="00305D32">
        <w:rPr>
          <w:color w:val="000000"/>
          <w:lang w:val="es-MX"/>
        </w:rPr>
        <w:t>3</w:t>
      </w:r>
      <w:r w:rsidRPr="00305D32">
        <w:rPr>
          <w:color w:val="000000"/>
          <w:lang w:val="es-MX"/>
        </w:rPr>
        <w:t>-202</w:t>
      </w:r>
      <w:r w:rsidR="005615A9" w:rsidRPr="00305D32">
        <w:rPr>
          <w:color w:val="000000"/>
          <w:lang w:val="es-MX"/>
        </w:rPr>
        <w:t>5</w:t>
      </w:r>
      <w:r w:rsidRPr="00305D32">
        <w:rPr>
          <w:color w:val="000000"/>
          <w:lang w:val="es-MX"/>
        </w:rPr>
        <w:t>, millones de pesos y porcentajes</w:t>
      </w:r>
    </w:p>
    <w:p w14:paraId="03093421" w14:textId="4F7907C1" w:rsidR="008F1167" w:rsidRPr="00305D32" w:rsidRDefault="00B955EE">
      <w:pPr>
        <w:spacing w:after="0"/>
        <w:jc w:val="center"/>
        <w:rPr>
          <w:lang w:val="es-MX"/>
        </w:rPr>
      </w:pPr>
      <w:r w:rsidRPr="00305D32">
        <w:rPr>
          <w:noProof/>
          <w:lang w:val="es-MX" w:eastAsia="es-MX"/>
        </w:rPr>
        <w:drawing>
          <wp:inline distT="0" distB="0" distL="0" distR="0" wp14:anchorId="712B4DE1" wp14:editId="0EA45545">
            <wp:extent cx="5659200" cy="3240000"/>
            <wp:effectExtent l="0" t="0" r="17780" b="17780"/>
            <wp:docPr id="1165516765" name="Gráfico 1">
              <a:extLst xmlns:a="http://schemas.openxmlformats.org/drawingml/2006/main">
                <a:ext uri="{FF2B5EF4-FFF2-40B4-BE49-F238E27FC236}">
                  <a16:creationId xmlns:a16="http://schemas.microsoft.com/office/drawing/2014/main" id="{FC46040B-DF01-4DB7-B028-89B16F4F89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D083713" w14:textId="6199019E" w:rsidR="00AE57F0" w:rsidRPr="00305D32" w:rsidRDefault="00414F7C">
      <w:pPr>
        <w:spacing w:line="240"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base en datos del Estado Analítico del Ingresos de la SEFIPLAN (202</w:t>
      </w:r>
      <w:r w:rsidR="004C31A6" w:rsidRPr="00305D32">
        <w:rPr>
          <w:sz w:val="20"/>
          <w:szCs w:val="20"/>
          <w:lang w:val="es-MX"/>
        </w:rPr>
        <w:t>5</w:t>
      </w:r>
      <w:r w:rsidRPr="00305D32">
        <w:rPr>
          <w:sz w:val="20"/>
          <w:szCs w:val="20"/>
          <w:lang w:val="es-MX"/>
        </w:rPr>
        <w:t>). * Corresponde al valor del segundo trimestre 202</w:t>
      </w:r>
      <w:r w:rsidR="004C31A6" w:rsidRPr="00305D32">
        <w:rPr>
          <w:sz w:val="20"/>
          <w:szCs w:val="20"/>
          <w:lang w:val="es-MX"/>
        </w:rPr>
        <w:t>5</w:t>
      </w:r>
    </w:p>
    <w:p w14:paraId="691FAE38" w14:textId="2EB30CAB" w:rsidR="0075145A" w:rsidRDefault="00C1563F" w:rsidP="00C92003">
      <w:pPr>
        <w:rPr>
          <w:lang w:val="es-MX"/>
        </w:rPr>
      </w:pPr>
      <w:r>
        <w:rPr>
          <w:lang w:val="es-MX"/>
        </w:rPr>
        <w:t xml:space="preserve">En la </w:t>
      </w:r>
      <w:r w:rsidR="002B072D">
        <w:rPr>
          <w:lang w:val="es-MX"/>
        </w:rPr>
        <w:fldChar w:fldCharType="begin"/>
      </w:r>
      <w:r w:rsidR="002B072D">
        <w:rPr>
          <w:lang w:val="es-MX"/>
        </w:rPr>
        <w:instrText xml:space="preserve"> REF _Ref212635413 \h </w:instrText>
      </w:r>
      <w:r w:rsidR="002B072D">
        <w:rPr>
          <w:lang w:val="es-MX"/>
        </w:rPr>
      </w:r>
      <w:r w:rsidR="002B072D">
        <w:rPr>
          <w:lang w:val="es-MX"/>
        </w:rPr>
        <w:fldChar w:fldCharType="separate"/>
      </w:r>
      <w:r w:rsidR="00ED1F2F" w:rsidRPr="00305D32">
        <w:rPr>
          <w:lang w:val="es-MX"/>
        </w:rPr>
        <w:t xml:space="preserve">Tabla </w:t>
      </w:r>
      <w:r w:rsidR="00ED1F2F">
        <w:rPr>
          <w:noProof/>
          <w:lang w:val="es-MX"/>
        </w:rPr>
        <w:t>18</w:t>
      </w:r>
      <w:r w:rsidR="002B072D">
        <w:rPr>
          <w:lang w:val="es-MX"/>
        </w:rPr>
        <w:fldChar w:fldCharType="end"/>
      </w:r>
      <w:r w:rsidR="002B072D">
        <w:rPr>
          <w:lang w:val="es-MX"/>
        </w:rPr>
        <w:t xml:space="preserve">, </w:t>
      </w:r>
      <w:r w:rsidR="005D58F3">
        <w:rPr>
          <w:lang w:val="es-MX"/>
        </w:rPr>
        <w:t xml:space="preserve">se </w:t>
      </w:r>
      <w:r w:rsidR="00913B39">
        <w:rPr>
          <w:lang w:val="es-MX"/>
        </w:rPr>
        <w:t>observa</w:t>
      </w:r>
      <w:r w:rsidR="00BD7B31">
        <w:rPr>
          <w:lang w:val="es-MX"/>
        </w:rPr>
        <w:t>n</w:t>
      </w:r>
      <w:r w:rsidR="00C41119">
        <w:rPr>
          <w:lang w:val="es-MX"/>
        </w:rPr>
        <w:t xml:space="preserve"> las princ</w:t>
      </w:r>
      <w:r w:rsidR="00D747E7">
        <w:rPr>
          <w:lang w:val="es-MX"/>
        </w:rPr>
        <w:t>ip</w:t>
      </w:r>
      <w:r w:rsidR="00C41119">
        <w:rPr>
          <w:lang w:val="es-MX"/>
        </w:rPr>
        <w:t>ales contribuciones de origen esta</w:t>
      </w:r>
      <w:r w:rsidR="00355A8C">
        <w:rPr>
          <w:lang w:val="es-MX"/>
        </w:rPr>
        <w:t>tal</w:t>
      </w:r>
      <w:r w:rsidR="00BD7B31">
        <w:rPr>
          <w:lang w:val="es-MX"/>
        </w:rPr>
        <w:t xml:space="preserve">, donde destaca que </w:t>
      </w:r>
      <w:r w:rsidR="005C123E">
        <w:rPr>
          <w:lang w:val="es-MX"/>
        </w:rPr>
        <w:t xml:space="preserve">el </w:t>
      </w:r>
      <w:r w:rsidR="00FF7E45">
        <w:rPr>
          <w:lang w:val="es-MX"/>
        </w:rPr>
        <w:t>I</w:t>
      </w:r>
      <w:r w:rsidR="005C123E">
        <w:rPr>
          <w:lang w:val="es-MX"/>
        </w:rPr>
        <w:t xml:space="preserve">mpuesto al </w:t>
      </w:r>
      <w:r w:rsidR="00FF7E45">
        <w:rPr>
          <w:lang w:val="es-MX"/>
        </w:rPr>
        <w:t>H</w:t>
      </w:r>
      <w:r w:rsidR="005C123E">
        <w:rPr>
          <w:lang w:val="es-MX"/>
        </w:rPr>
        <w:t>o</w:t>
      </w:r>
      <w:r w:rsidR="00C14554">
        <w:rPr>
          <w:lang w:val="es-MX"/>
        </w:rPr>
        <w:t>spedaje</w:t>
      </w:r>
      <w:r w:rsidR="00355A8C">
        <w:rPr>
          <w:lang w:val="es-MX"/>
        </w:rPr>
        <w:t xml:space="preserve"> </w:t>
      </w:r>
      <w:r w:rsidR="008722BE">
        <w:rPr>
          <w:lang w:val="es-MX"/>
        </w:rPr>
        <w:t xml:space="preserve">y el </w:t>
      </w:r>
      <w:r w:rsidR="00FF7E45">
        <w:rPr>
          <w:lang w:val="es-MX"/>
        </w:rPr>
        <w:t>I</w:t>
      </w:r>
      <w:r w:rsidR="008722BE">
        <w:rPr>
          <w:lang w:val="es-MX"/>
        </w:rPr>
        <w:t>mpue</w:t>
      </w:r>
      <w:r w:rsidR="00FF7E45">
        <w:rPr>
          <w:lang w:val="es-MX"/>
        </w:rPr>
        <w:t>sto so</w:t>
      </w:r>
      <w:r w:rsidR="00F331B7">
        <w:rPr>
          <w:lang w:val="es-MX"/>
        </w:rPr>
        <w:t xml:space="preserve">bre </w:t>
      </w:r>
      <w:r w:rsidR="00D747E7">
        <w:rPr>
          <w:lang w:val="es-MX"/>
        </w:rPr>
        <w:t>Nóminas</w:t>
      </w:r>
      <w:r w:rsidR="00355A8C">
        <w:rPr>
          <w:lang w:val="es-MX"/>
        </w:rPr>
        <w:t xml:space="preserve"> </w:t>
      </w:r>
      <w:r w:rsidR="00BE4BC2" w:rsidRPr="00BE4BC2">
        <w:rPr>
          <w:lang w:val="es-MX"/>
        </w:rPr>
        <w:t>registraron un crecimiento sostenido a lo largo del periodo 202</w:t>
      </w:r>
      <w:r w:rsidR="00665241">
        <w:rPr>
          <w:lang w:val="es-MX"/>
        </w:rPr>
        <w:t xml:space="preserve">1 </w:t>
      </w:r>
      <w:r w:rsidR="00BE4BC2" w:rsidRPr="00BE4BC2">
        <w:rPr>
          <w:lang w:val="es-MX"/>
        </w:rPr>
        <w:t>-</w:t>
      </w:r>
      <w:r w:rsidR="00665241">
        <w:rPr>
          <w:lang w:val="es-MX"/>
        </w:rPr>
        <w:t xml:space="preserve"> </w:t>
      </w:r>
      <w:r w:rsidR="00BE4BC2" w:rsidRPr="00BE4BC2">
        <w:rPr>
          <w:lang w:val="es-MX"/>
        </w:rPr>
        <w:t xml:space="preserve">2025, duplicando su recaudación en comparación con los niveles previos a la reforma fiscal de 2023. En particular, el Impuesto al Hospedaje </w:t>
      </w:r>
      <w:r w:rsidR="00BF440C">
        <w:rPr>
          <w:lang w:val="es-MX"/>
        </w:rPr>
        <w:t>tuvo</w:t>
      </w:r>
      <w:r w:rsidR="00BE4BC2" w:rsidRPr="00BE4BC2">
        <w:rPr>
          <w:lang w:val="es-MX"/>
        </w:rPr>
        <w:t xml:space="preserve"> un </w:t>
      </w:r>
      <w:r w:rsidR="00BF440C">
        <w:rPr>
          <w:lang w:val="es-MX"/>
        </w:rPr>
        <w:t>incremento del 177</w:t>
      </w:r>
      <w:r w:rsidR="00924A48">
        <w:rPr>
          <w:lang w:val="es-MX"/>
        </w:rPr>
        <w:t>.72</w:t>
      </w:r>
      <w:r w:rsidR="0019290E">
        <w:rPr>
          <w:lang w:val="es-MX"/>
        </w:rPr>
        <w:t xml:space="preserve"> %</w:t>
      </w:r>
      <w:r w:rsidR="00BE4BC2" w:rsidRPr="00BE4BC2">
        <w:rPr>
          <w:lang w:val="es-MX"/>
        </w:rPr>
        <w:t xml:space="preserve">, mientras que el Impuesto </w:t>
      </w:r>
      <w:r w:rsidR="00BE4BC2" w:rsidRPr="00BE4BC2">
        <w:rPr>
          <w:lang w:val="es-MX"/>
        </w:rPr>
        <w:lastRenderedPageBreak/>
        <w:t xml:space="preserve">sobre Nóminas </w:t>
      </w:r>
      <w:r w:rsidR="005A571B">
        <w:rPr>
          <w:lang w:val="es-MX"/>
        </w:rPr>
        <w:t>fue del 135.91</w:t>
      </w:r>
      <w:r w:rsidR="0019290E">
        <w:rPr>
          <w:lang w:val="es-MX"/>
        </w:rPr>
        <w:t xml:space="preserve"> %</w:t>
      </w:r>
      <w:r w:rsidR="005A571B">
        <w:rPr>
          <w:lang w:val="es-MX"/>
        </w:rPr>
        <w:t xml:space="preserve"> </w:t>
      </w:r>
      <w:r w:rsidR="00A90FA2">
        <w:rPr>
          <w:lang w:val="es-MX"/>
        </w:rPr>
        <w:t>de 2021 al 2024</w:t>
      </w:r>
      <w:r w:rsidR="00BE4BC2" w:rsidRPr="00BE4BC2">
        <w:rPr>
          <w:lang w:val="es-MX"/>
        </w:rPr>
        <w:t>, reflejando el fortalecimiento de los ingresos propios del Estado derivado del dinamismo económico y la ampliación de la base gravable tras la implementación de dicha reforma.</w:t>
      </w:r>
    </w:p>
    <w:p w14:paraId="69390AA0" w14:textId="6750BBEF" w:rsidR="0075145A" w:rsidRPr="00305D32" w:rsidRDefault="0075145A" w:rsidP="0075145A">
      <w:pPr>
        <w:pStyle w:val="Descripcin"/>
        <w:jc w:val="center"/>
        <w:rPr>
          <w:color w:val="000000"/>
          <w:lang w:val="es-MX"/>
        </w:rPr>
      </w:pPr>
      <w:bookmarkStart w:id="123" w:name="_Ref212635413"/>
      <w:r w:rsidRPr="00305D32">
        <w:rPr>
          <w:lang w:val="es-MX"/>
        </w:rPr>
        <w:t xml:space="preserve">Tabla </w:t>
      </w:r>
      <w:r w:rsidRPr="00305D32">
        <w:rPr>
          <w:lang w:val="es-MX"/>
        </w:rPr>
        <w:fldChar w:fldCharType="begin"/>
      </w:r>
      <w:r w:rsidRPr="00305D32">
        <w:rPr>
          <w:lang w:val="es-MX"/>
        </w:rPr>
        <w:instrText xml:space="preserve"> SEQ Tabla \* ARABIC </w:instrText>
      </w:r>
      <w:r w:rsidRPr="00305D32">
        <w:rPr>
          <w:lang w:val="es-MX"/>
        </w:rPr>
        <w:fldChar w:fldCharType="separate"/>
      </w:r>
      <w:r w:rsidR="00ED1F2F">
        <w:rPr>
          <w:noProof/>
          <w:lang w:val="es-MX"/>
        </w:rPr>
        <w:t>18</w:t>
      </w:r>
      <w:r w:rsidRPr="00305D32">
        <w:rPr>
          <w:lang w:val="es-MX"/>
        </w:rPr>
        <w:fldChar w:fldCharType="end"/>
      </w:r>
      <w:bookmarkEnd w:id="123"/>
      <w:r w:rsidRPr="00305D32">
        <w:rPr>
          <w:color w:val="000000"/>
          <w:lang w:val="es-MX"/>
        </w:rPr>
        <w:t xml:space="preserve">. </w:t>
      </w:r>
      <w:r w:rsidR="004B499D">
        <w:rPr>
          <w:color w:val="000000"/>
          <w:lang w:val="es-MX"/>
        </w:rPr>
        <w:t xml:space="preserve">Principales </w:t>
      </w:r>
      <w:r w:rsidR="005716B3">
        <w:rPr>
          <w:color w:val="000000"/>
          <w:lang w:val="es-MX"/>
        </w:rPr>
        <w:t>contribuciones</w:t>
      </w:r>
      <w:r w:rsidR="004B499D">
        <w:rPr>
          <w:color w:val="000000"/>
          <w:lang w:val="es-MX"/>
        </w:rPr>
        <w:t xml:space="preserve"> locales</w:t>
      </w:r>
      <w:r w:rsidRPr="00305D32">
        <w:rPr>
          <w:color w:val="000000"/>
          <w:lang w:val="es-MX"/>
        </w:rPr>
        <w:t xml:space="preserve">, </w:t>
      </w:r>
      <w:r w:rsidR="00B612F1">
        <w:rPr>
          <w:color w:val="000000"/>
          <w:lang w:val="es-MX"/>
        </w:rPr>
        <w:t>20</w:t>
      </w:r>
      <w:r w:rsidR="00DE6838">
        <w:rPr>
          <w:color w:val="000000"/>
          <w:lang w:val="es-MX"/>
        </w:rPr>
        <w:t>2</w:t>
      </w:r>
      <w:r w:rsidR="00B612F1">
        <w:rPr>
          <w:color w:val="000000"/>
          <w:lang w:val="es-MX"/>
        </w:rPr>
        <w:t>1-20</w:t>
      </w:r>
      <w:r w:rsidR="00DE6838">
        <w:rPr>
          <w:color w:val="000000"/>
          <w:lang w:val="es-MX"/>
        </w:rPr>
        <w:t>25,</w:t>
      </w:r>
      <w:r w:rsidR="0074349D">
        <w:rPr>
          <w:color w:val="000000"/>
          <w:lang w:val="es-MX"/>
        </w:rPr>
        <w:t xml:space="preserve"> </w:t>
      </w:r>
      <w:r w:rsidRPr="00305D32">
        <w:rPr>
          <w:color w:val="000000"/>
          <w:lang w:val="es-MX"/>
        </w:rPr>
        <w:t>millones de pesos</w:t>
      </w:r>
      <w:r w:rsidR="009161F4">
        <w:rPr>
          <w:color w:val="000000"/>
          <w:lang w:val="es-MX"/>
        </w:rPr>
        <w:t xml:space="preserve"> corrientes</w:t>
      </w:r>
      <w:r w:rsidR="00E40EAC">
        <w:rPr>
          <w:color w:val="000000"/>
          <w:lang w:val="es-MX"/>
        </w:rPr>
        <w:t>.</w:t>
      </w:r>
    </w:p>
    <w:p w14:paraId="77F8F99A" w14:textId="77777777" w:rsidR="00EC1520" w:rsidRDefault="00EC1520" w:rsidP="00E40EAC">
      <w:pPr>
        <w:spacing w:after="0" w:line="240" w:lineRule="auto"/>
        <w:jc w:val="center"/>
        <w:rPr>
          <w:sz w:val="20"/>
          <w:szCs w:val="20"/>
          <w:lang w:val="es-MX"/>
        </w:rPr>
      </w:pPr>
    </w:p>
    <w:tbl>
      <w:tblPr>
        <w:tblW w:w="5000" w:type="pct"/>
        <w:jc w:val="center"/>
        <w:tblCellMar>
          <w:left w:w="70" w:type="dxa"/>
          <w:right w:w="70" w:type="dxa"/>
        </w:tblCellMar>
        <w:tblLook w:val="04A0" w:firstRow="1" w:lastRow="0" w:firstColumn="1" w:lastColumn="0" w:noHBand="0" w:noVBand="1"/>
      </w:tblPr>
      <w:tblGrid>
        <w:gridCol w:w="1861"/>
        <w:gridCol w:w="1480"/>
        <w:gridCol w:w="1480"/>
        <w:gridCol w:w="1480"/>
        <w:gridCol w:w="1480"/>
        <w:gridCol w:w="1480"/>
      </w:tblGrid>
      <w:tr w:rsidR="00EC1520" w:rsidRPr="00EC1520" w14:paraId="4345FE3D" w14:textId="77777777" w:rsidTr="002502C4">
        <w:trPr>
          <w:trHeight w:val="20"/>
          <w:jc w:val="center"/>
        </w:trPr>
        <w:tc>
          <w:tcPr>
            <w:tcW w:w="1005" w:type="pct"/>
            <w:tcBorders>
              <w:top w:val="single" w:sz="2" w:space="0" w:color="auto"/>
              <w:left w:val="nil"/>
              <w:bottom w:val="single" w:sz="8" w:space="0" w:color="auto"/>
              <w:right w:val="nil"/>
            </w:tcBorders>
            <w:shd w:val="clear" w:color="000000" w:fill="AB0A3D"/>
            <w:noWrap/>
            <w:vAlign w:val="center"/>
            <w:hideMark/>
          </w:tcPr>
          <w:p w14:paraId="14E0D545" w14:textId="77777777" w:rsidR="00EC1520" w:rsidRPr="00EC1520" w:rsidRDefault="00EC1520" w:rsidP="00EC1520">
            <w:pPr>
              <w:spacing w:after="0" w:line="240" w:lineRule="auto"/>
              <w:jc w:val="center"/>
              <w:rPr>
                <w:rFonts w:eastAsia="Times New Roman"/>
                <w:b/>
                <w:bCs/>
                <w:color w:val="FFFFFF"/>
                <w:sz w:val="20"/>
                <w:szCs w:val="20"/>
                <w:lang w:val="es-419" w:eastAsia="es-419"/>
              </w:rPr>
            </w:pPr>
            <w:r w:rsidRPr="00EC1520">
              <w:rPr>
                <w:rFonts w:eastAsia="Times New Roman"/>
                <w:b/>
                <w:bCs/>
                <w:color w:val="FFFFFF"/>
                <w:sz w:val="20"/>
                <w:szCs w:val="20"/>
                <w:lang w:val="es-MX" w:eastAsia="es-419"/>
              </w:rPr>
              <w:t>Contribución</w:t>
            </w:r>
          </w:p>
        </w:tc>
        <w:tc>
          <w:tcPr>
            <w:tcW w:w="799" w:type="pct"/>
            <w:tcBorders>
              <w:top w:val="single" w:sz="2" w:space="0" w:color="auto"/>
              <w:left w:val="nil"/>
              <w:bottom w:val="single" w:sz="8" w:space="0" w:color="auto"/>
              <w:right w:val="nil"/>
            </w:tcBorders>
            <w:shd w:val="clear" w:color="000000" w:fill="AB0A3D"/>
            <w:vAlign w:val="center"/>
            <w:hideMark/>
          </w:tcPr>
          <w:p w14:paraId="1062731D" w14:textId="77777777" w:rsidR="00EC1520" w:rsidRPr="00EC1520" w:rsidRDefault="00EC1520" w:rsidP="00EC1520">
            <w:pPr>
              <w:spacing w:after="0" w:line="240" w:lineRule="auto"/>
              <w:jc w:val="center"/>
              <w:rPr>
                <w:rFonts w:eastAsia="Times New Roman"/>
                <w:b/>
                <w:bCs/>
                <w:color w:val="FFFFFF"/>
                <w:sz w:val="20"/>
                <w:szCs w:val="20"/>
                <w:lang w:val="es-419" w:eastAsia="es-419"/>
              </w:rPr>
            </w:pPr>
            <w:r w:rsidRPr="00EC1520">
              <w:rPr>
                <w:rFonts w:eastAsia="Times New Roman"/>
                <w:b/>
                <w:bCs/>
                <w:color w:val="FFFFFF"/>
                <w:sz w:val="20"/>
                <w:szCs w:val="20"/>
                <w:lang w:val="es-MX" w:eastAsia="es-419"/>
              </w:rPr>
              <w:t>2021</w:t>
            </w:r>
          </w:p>
        </w:tc>
        <w:tc>
          <w:tcPr>
            <w:tcW w:w="799" w:type="pct"/>
            <w:tcBorders>
              <w:top w:val="single" w:sz="2" w:space="0" w:color="auto"/>
              <w:left w:val="nil"/>
              <w:bottom w:val="single" w:sz="8" w:space="0" w:color="auto"/>
              <w:right w:val="nil"/>
            </w:tcBorders>
            <w:shd w:val="clear" w:color="000000" w:fill="AB0A3D"/>
            <w:vAlign w:val="center"/>
            <w:hideMark/>
          </w:tcPr>
          <w:p w14:paraId="2BE6D81C" w14:textId="77777777" w:rsidR="00EC1520" w:rsidRPr="00EC1520" w:rsidRDefault="00EC1520" w:rsidP="00EC1520">
            <w:pPr>
              <w:spacing w:after="0" w:line="240" w:lineRule="auto"/>
              <w:jc w:val="center"/>
              <w:rPr>
                <w:rFonts w:eastAsia="Times New Roman"/>
                <w:b/>
                <w:bCs/>
                <w:color w:val="FFFFFF"/>
                <w:sz w:val="20"/>
                <w:szCs w:val="20"/>
                <w:lang w:val="es-419" w:eastAsia="es-419"/>
              </w:rPr>
            </w:pPr>
            <w:r w:rsidRPr="00EC1520">
              <w:rPr>
                <w:rFonts w:eastAsia="Times New Roman"/>
                <w:b/>
                <w:bCs/>
                <w:color w:val="FFFFFF"/>
                <w:sz w:val="20"/>
                <w:szCs w:val="20"/>
                <w:lang w:val="es-MX" w:eastAsia="es-419"/>
              </w:rPr>
              <w:t>2022</w:t>
            </w:r>
          </w:p>
        </w:tc>
        <w:tc>
          <w:tcPr>
            <w:tcW w:w="799" w:type="pct"/>
            <w:tcBorders>
              <w:top w:val="single" w:sz="2" w:space="0" w:color="auto"/>
              <w:left w:val="nil"/>
              <w:bottom w:val="single" w:sz="8" w:space="0" w:color="auto"/>
              <w:right w:val="nil"/>
            </w:tcBorders>
            <w:shd w:val="clear" w:color="000000" w:fill="AB0A3D"/>
            <w:vAlign w:val="center"/>
            <w:hideMark/>
          </w:tcPr>
          <w:p w14:paraId="51FD62F7" w14:textId="77777777" w:rsidR="00EC1520" w:rsidRPr="00EC1520" w:rsidRDefault="00EC1520" w:rsidP="00EC1520">
            <w:pPr>
              <w:spacing w:after="0" w:line="240" w:lineRule="auto"/>
              <w:jc w:val="center"/>
              <w:rPr>
                <w:rFonts w:eastAsia="Times New Roman"/>
                <w:b/>
                <w:bCs/>
                <w:color w:val="FFFFFF"/>
                <w:sz w:val="20"/>
                <w:szCs w:val="20"/>
                <w:lang w:val="es-419" w:eastAsia="es-419"/>
              </w:rPr>
            </w:pPr>
            <w:r w:rsidRPr="00EC1520">
              <w:rPr>
                <w:rFonts w:eastAsia="Times New Roman"/>
                <w:b/>
                <w:bCs/>
                <w:color w:val="FFFFFF"/>
                <w:sz w:val="20"/>
                <w:szCs w:val="20"/>
                <w:lang w:val="es-MX" w:eastAsia="es-419"/>
              </w:rPr>
              <w:t>2023</w:t>
            </w:r>
          </w:p>
        </w:tc>
        <w:tc>
          <w:tcPr>
            <w:tcW w:w="799" w:type="pct"/>
            <w:tcBorders>
              <w:top w:val="single" w:sz="2" w:space="0" w:color="auto"/>
              <w:left w:val="nil"/>
              <w:bottom w:val="single" w:sz="8" w:space="0" w:color="auto"/>
              <w:right w:val="nil"/>
            </w:tcBorders>
            <w:shd w:val="clear" w:color="000000" w:fill="AB0A3D"/>
            <w:vAlign w:val="center"/>
            <w:hideMark/>
          </w:tcPr>
          <w:p w14:paraId="00CA91CC" w14:textId="77777777" w:rsidR="00EC1520" w:rsidRPr="00EC1520" w:rsidRDefault="00EC1520" w:rsidP="00EC1520">
            <w:pPr>
              <w:spacing w:after="0" w:line="240" w:lineRule="auto"/>
              <w:jc w:val="center"/>
              <w:rPr>
                <w:rFonts w:eastAsia="Times New Roman"/>
                <w:b/>
                <w:bCs/>
                <w:color w:val="FFFFFF"/>
                <w:sz w:val="20"/>
                <w:szCs w:val="20"/>
                <w:lang w:val="es-419" w:eastAsia="es-419"/>
              </w:rPr>
            </w:pPr>
            <w:r w:rsidRPr="00EC1520">
              <w:rPr>
                <w:rFonts w:eastAsia="Times New Roman"/>
                <w:b/>
                <w:bCs/>
                <w:color w:val="FFFFFF"/>
                <w:sz w:val="20"/>
                <w:szCs w:val="20"/>
                <w:lang w:val="es-MX" w:eastAsia="es-419"/>
              </w:rPr>
              <w:t>2024</w:t>
            </w:r>
          </w:p>
        </w:tc>
        <w:tc>
          <w:tcPr>
            <w:tcW w:w="799" w:type="pct"/>
            <w:tcBorders>
              <w:top w:val="single" w:sz="2" w:space="0" w:color="auto"/>
              <w:left w:val="nil"/>
              <w:bottom w:val="single" w:sz="8" w:space="0" w:color="auto"/>
              <w:right w:val="nil"/>
            </w:tcBorders>
            <w:shd w:val="clear" w:color="000000" w:fill="AB0A3D"/>
            <w:vAlign w:val="center"/>
            <w:hideMark/>
          </w:tcPr>
          <w:p w14:paraId="76480072" w14:textId="77777777" w:rsidR="00EC1520" w:rsidRPr="00EC1520" w:rsidRDefault="00EC1520" w:rsidP="00EC1520">
            <w:pPr>
              <w:spacing w:after="0" w:line="240" w:lineRule="auto"/>
              <w:jc w:val="center"/>
              <w:rPr>
                <w:rFonts w:eastAsia="Times New Roman"/>
                <w:b/>
                <w:bCs/>
                <w:color w:val="FFFFFF"/>
                <w:sz w:val="20"/>
                <w:szCs w:val="20"/>
                <w:lang w:val="es-419" w:eastAsia="es-419"/>
              </w:rPr>
            </w:pPr>
            <w:r w:rsidRPr="00EC1520">
              <w:rPr>
                <w:rFonts w:eastAsia="Times New Roman"/>
                <w:b/>
                <w:bCs/>
                <w:color w:val="FFFFFF"/>
                <w:sz w:val="20"/>
                <w:szCs w:val="20"/>
                <w:lang w:val="es-MX" w:eastAsia="es-419"/>
              </w:rPr>
              <w:t>Pre-cierre 2025</w:t>
            </w:r>
          </w:p>
        </w:tc>
      </w:tr>
      <w:tr w:rsidR="00EC1520" w:rsidRPr="00EC1520" w14:paraId="26D42D2C" w14:textId="77777777" w:rsidTr="00F556EE">
        <w:trPr>
          <w:trHeight w:val="20"/>
          <w:jc w:val="center"/>
        </w:trPr>
        <w:tc>
          <w:tcPr>
            <w:tcW w:w="1005" w:type="pct"/>
            <w:tcBorders>
              <w:top w:val="nil"/>
              <w:left w:val="nil"/>
              <w:bottom w:val="nil"/>
              <w:right w:val="nil"/>
            </w:tcBorders>
            <w:vAlign w:val="center"/>
            <w:hideMark/>
          </w:tcPr>
          <w:p w14:paraId="6F375408" w14:textId="02ABF8C9" w:rsidR="00EC1520" w:rsidRPr="00EC1520" w:rsidRDefault="00EC1520" w:rsidP="00EC1520">
            <w:pPr>
              <w:spacing w:after="0" w:line="240" w:lineRule="auto"/>
              <w:jc w:val="left"/>
              <w:rPr>
                <w:rFonts w:eastAsia="Times New Roman"/>
                <w:color w:val="000000"/>
                <w:sz w:val="20"/>
                <w:szCs w:val="20"/>
                <w:lang w:val="es-419" w:eastAsia="es-419"/>
              </w:rPr>
            </w:pPr>
            <w:r w:rsidRPr="00EC1520">
              <w:rPr>
                <w:rFonts w:eastAsia="Times New Roman"/>
                <w:color w:val="000000"/>
                <w:sz w:val="20"/>
                <w:szCs w:val="20"/>
                <w:lang w:val="es-MX" w:eastAsia="es-419"/>
              </w:rPr>
              <w:t xml:space="preserve">Del </w:t>
            </w:r>
            <w:r w:rsidR="0025172D">
              <w:rPr>
                <w:rFonts w:eastAsia="Times New Roman"/>
                <w:color w:val="000000"/>
                <w:sz w:val="20"/>
                <w:szCs w:val="20"/>
                <w:lang w:val="es-MX" w:eastAsia="es-419"/>
              </w:rPr>
              <w:t>I</w:t>
            </w:r>
            <w:r w:rsidRPr="00EC1520">
              <w:rPr>
                <w:rFonts w:eastAsia="Times New Roman"/>
                <w:color w:val="000000"/>
                <w:sz w:val="20"/>
                <w:szCs w:val="20"/>
                <w:lang w:val="es-MX" w:eastAsia="es-419"/>
              </w:rPr>
              <w:t xml:space="preserve">mpuesto al </w:t>
            </w:r>
            <w:r w:rsidR="0025172D">
              <w:rPr>
                <w:rFonts w:eastAsia="Times New Roman"/>
                <w:color w:val="000000"/>
                <w:sz w:val="20"/>
                <w:szCs w:val="20"/>
                <w:lang w:val="es-MX" w:eastAsia="es-419"/>
              </w:rPr>
              <w:t>H</w:t>
            </w:r>
            <w:r w:rsidRPr="00EC1520">
              <w:rPr>
                <w:rFonts w:eastAsia="Times New Roman"/>
                <w:color w:val="000000"/>
                <w:sz w:val="20"/>
                <w:szCs w:val="20"/>
                <w:lang w:val="es-MX" w:eastAsia="es-419"/>
              </w:rPr>
              <w:t>ospedaje</w:t>
            </w:r>
          </w:p>
        </w:tc>
        <w:tc>
          <w:tcPr>
            <w:tcW w:w="799" w:type="pct"/>
            <w:tcBorders>
              <w:top w:val="nil"/>
              <w:left w:val="nil"/>
              <w:bottom w:val="nil"/>
              <w:right w:val="nil"/>
            </w:tcBorders>
            <w:vAlign w:val="center"/>
            <w:hideMark/>
          </w:tcPr>
          <w:p w14:paraId="389FA9FF"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$1,396.13</w:t>
            </w:r>
          </w:p>
        </w:tc>
        <w:tc>
          <w:tcPr>
            <w:tcW w:w="799" w:type="pct"/>
            <w:tcBorders>
              <w:top w:val="nil"/>
              <w:left w:val="nil"/>
              <w:bottom w:val="nil"/>
              <w:right w:val="nil"/>
            </w:tcBorders>
            <w:vAlign w:val="center"/>
            <w:hideMark/>
          </w:tcPr>
          <w:p w14:paraId="60497579"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$2,123.95</w:t>
            </w:r>
          </w:p>
        </w:tc>
        <w:tc>
          <w:tcPr>
            <w:tcW w:w="799" w:type="pct"/>
            <w:tcBorders>
              <w:top w:val="nil"/>
              <w:left w:val="nil"/>
              <w:bottom w:val="nil"/>
              <w:right w:val="nil"/>
            </w:tcBorders>
            <w:vAlign w:val="center"/>
            <w:hideMark/>
          </w:tcPr>
          <w:p w14:paraId="7D2C9AFD"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$3,016.36</w:t>
            </w:r>
          </w:p>
        </w:tc>
        <w:tc>
          <w:tcPr>
            <w:tcW w:w="799" w:type="pct"/>
            <w:tcBorders>
              <w:top w:val="nil"/>
              <w:left w:val="nil"/>
              <w:bottom w:val="nil"/>
              <w:right w:val="nil"/>
            </w:tcBorders>
            <w:vAlign w:val="center"/>
            <w:hideMark/>
          </w:tcPr>
          <w:p w14:paraId="3342DBAA"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$3,877.30</w:t>
            </w:r>
          </w:p>
        </w:tc>
        <w:tc>
          <w:tcPr>
            <w:tcW w:w="799" w:type="pct"/>
            <w:tcBorders>
              <w:top w:val="nil"/>
              <w:left w:val="nil"/>
              <w:bottom w:val="nil"/>
              <w:right w:val="nil"/>
            </w:tcBorders>
            <w:vAlign w:val="center"/>
            <w:hideMark/>
          </w:tcPr>
          <w:p w14:paraId="26F1D70F"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$4,303.43</w:t>
            </w:r>
          </w:p>
        </w:tc>
      </w:tr>
      <w:tr w:rsidR="00EC1520" w:rsidRPr="00EC1520" w14:paraId="29AA21C8" w14:textId="77777777" w:rsidTr="00F556EE">
        <w:trPr>
          <w:trHeight w:val="20"/>
          <w:jc w:val="center"/>
        </w:trPr>
        <w:tc>
          <w:tcPr>
            <w:tcW w:w="1005" w:type="pct"/>
            <w:tcBorders>
              <w:top w:val="nil"/>
              <w:left w:val="nil"/>
              <w:bottom w:val="nil"/>
              <w:right w:val="nil"/>
            </w:tcBorders>
            <w:vAlign w:val="center"/>
            <w:hideMark/>
          </w:tcPr>
          <w:p w14:paraId="34D5B8D7" w14:textId="0392B55B" w:rsidR="00EC1520" w:rsidRPr="00EC1520" w:rsidRDefault="00EC1520" w:rsidP="00EC1520">
            <w:pPr>
              <w:spacing w:after="0" w:line="240" w:lineRule="auto"/>
              <w:jc w:val="left"/>
              <w:rPr>
                <w:rFonts w:eastAsia="Times New Roman"/>
                <w:color w:val="000000"/>
                <w:sz w:val="20"/>
                <w:szCs w:val="20"/>
                <w:lang w:val="es-419" w:eastAsia="es-419"/>
              </w:rPr>
            </w:pPr>
            <w:r w:rsidRPr="00EC1520">
              <w:rPr>
                <w:rFonts w:eastAsia="Times New Roman"/>
                <w:color w:val="000000"/>
                <w:sz w:val="20"/>
                <w:szCs w:val="20"/>
                <w:lang w:val="es-MX" w:eastAsia="es-419"/>
              </w:rPr>
              <w:t xml:space="preserve">Del </w:t>
            </w:r>
            <w:r w:rsidR="0025172D">
              <w:rPr>
                <w:rFonts w:eastAsia="Times New Roman"/>
                <w:color w:val="000000"/>
                <w:sz w:val="20"/>
                <w:szCs w:val="20"/>
                <w:lang w:val="es-MX" w:eastAsia="es-419"/>
              </w:rPr>
              <w:t>I</w:t>
            </w:r>
            <w:r w:rsidRPr="00EC1520">
              <w:rPr>
                <w:rFonts w:eastAsia="Times New Roman"/>
                <w:color w:val="000000"/>
                <w:sz w:val="20"/>
                <w:szCs w:val="20"/>
                <w:lang w:val="es-MX" w:eastAsia="es-419"/>
              </w:rPr>
              <w:t xml:space="preserve">mpuesto sobre </w:t>
            </w:r>
            <w:r w:rsidR="0025172D">
              <w:rPr>
                <w:rFonts w:eastAsia="Times New Roman"/>
                <w:color w:val="000000"/>
                <w:sz w:val="20"/>
                <w:szCs w:val="20"/>
                <w:lang w:val="es-MX" w:eastAsia="es-419"/>
              </w:rPr>
              <w:t>N</w:t>
            </w:r>
            <w:r w:rsidRPr="00EC1520">
              <w:rPr>
                <w:rFonts w:eastAsia="Times New Roman"/>
                <w:color w:val="000000"/>
                <w:sz w:val="20"/>
                <w:szCs w:val="20"/>
                <w:lang w:val="es-MX" w:eastAsia="es-419"/>
              </w:rPr>
              <w:t>óminas</w:t>
            </w:r>
          </w:p>
        </w:tc>
        <w:tc>
          <w:tcPr>
            <w:tcW w:w="799" w:type="pct"/>
            <w:tcBorders>
              <w:top w:val="nil"/>
              <w:left w:val="nil"/>
              <w:bottom w:val="nil"/>
              <w:right w:val="nil"/>
            </w:tcBorders>
            <w:vAlign w:val="center"/>
            <w:hideMark/>
          </w:tcPr>
          <w:p w14:paraId="0620F15E"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$2,162.17</w:t>
            </w:r>
          </w:p>
        </w:tc>
        <w:tc>
          <w:tcPr>
            <w:tcW w:w="799" w:type="pct"/>
            <w:tcBorders>
              <w:top w:val="nil"/>
              <w:left w:val="nil"/>
              <w:bottom w:val="nil"/>
              <w:right w:val="nil"/>
            </w:tcBorders>
            <w:vAlign w:val="center"/>
            <w:hideMark/>
          </w:tcPr>
          <w:p w14:paraId="38D84DC9"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$2,742.89</w:t>
            </w:r>
          </w:p>
        </w:tc>
        <w:tc>
          <w:tcPr>
            <w:tcW w:w="799" w:type="pct"/>
            <w:tcBorders>
              <w:top w:val="nil"/>
              <w:left w:val="nil"/>
              <w:bottom w:val="nil"/>
              <w:right w:val="nil"/>
            </w:tcBorders>
            <w:vAlign w:val="center"/>
            <w:hideMark/>
          </w:tcPr>
          <w:p w14:paraId="5D2CD90E"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$4,229.27</w:t>
            </w:r>
          </w:p>
        </w:tc>
        <w:tc>
          <w:tcPr>
            <w:tcW w:w="799" w:type="pct"/>
            <w:tcBorders>
              <w:top w:val="nil"/>
              <w:left w:val="nil"/>
              <w:bottom w:val="nil"/>
              <w:right w:val="nil"/>
            </w:tcBorders>
            <w:vAlign w:val="center"/>
            <w:hideMark/>
          </w:tcPr>
          <w:p w14:paraId="1C8FE167"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$5,100.76</w:t>
            </w:r>
          </w:p>
        </w:tc>
        <w:tc>
          <w:tcPr>
            <w:tcW w:w="799" w:type="pct"/>
            <w:tcBorders>
              <w:top w:val="nil"/>
              <w:left w:val="nil"/>
              <w:bottom w:val="nil"/>
              <w:right w:val="nil"/>
            </w:tcBorders>
            <w:vAlign w:val="center"/>
            <w:hideMark/>
          </w:tcPr>
          <w:p w14:paraId="56C6F4CC"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$5,643.15</w:t>
            </w:r>
          </w:p>
        </w:tc>
      </w:tr>
      <w:tr w:rsidR="00EC1520" w:rsidRPr="00EC1520" w14:paraId="7385F446" w14:textId="77777777" w:rsidTr="00F556EE">
        <w:trPr>
          <w:trHeight w:val="20"/>
          <w:jc w:val="center"/>
        </w:trPr>
        <w:tc>
          <w:tcPr>
            <w:tcW w:w="1005" w:type="pct"/>
            <w:tcBorders>
              <w:top w:val="nil"/>
              <w:left w:val="nil"/>
              <w:bottom w:val="nil"/>
              <w:right w:val="nil"/>
            </w:tcBorders>
            <w:vAlign w:val="center"/>
            <w:hideMark/>
          </w:tcPr>
          <w:p w14:paraId="7EDED02B" w14:textId="77777777" w:rsidR="00EC1520" w:rsidRPr="00EC1520" w:rsidRDefault="00EC1520" w:rsidP="00EC1520">
            <w:pPr>
              <w:spacing w:after="0" w:line="240" w:lineRule="auto"/>
              <w:jc w:val="left"/>
              <w:rPr>
                <w:rFonts w:eastAsia="Times New Roman"/>
                <w:color w:val="000000"/>
                <w:sz w:val="20"/>
                <w:szCs w:val="20"/>
                <w:lang w:val="es-419" w:eastAsia="es-419"/>
              </w:rPr>
            </w:pPr>
            <w:r w:rsidRPr="00EC1520">
              <w:rPr>
                <w:rFonts w:eastAsia="Times New Roman"/>
                <w:color w:val="000000"/>
                <w:sz w:val="20"/>
                <w:szCs w:val="20"/>
                <w:lang w:val="es-MX" w:eastAsia="es-419"/>
              </w:rPr>
              <w:t>Del Registro Público de la Propiedad</w:t>
            </w:r>
          </w:p>
        </w:tc>
        <w:tc>
          <w:tcPr>
            <w:tcW w:w="799" w:type="pct"/>
            <w:tcBorders>
              <w:top w:val="nil"/>
              <w:left w:val="nil"/>
              <w:bottom w:val="nil"/>
              <w:right w:val="nil"/>
            </w:tcBorders>
            <w:vAlign w:val="center"/>
            <w:hideMark/>
          </w:tcPr>
          <w:p w14:paraId="44E4EBA5"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$581.63</w:t>
            </w:r>
          </w:p>
        </w:tc>
        <w:tc>
          <w:tcPr>
            <w:tcW w:w="799" w:type="pct"/>
            <w:tcBorders>
              <w:top w:val="nil"/>
              <w:left w:val="nil"/>
              <w:bottom w:val="nil"/>
              <w:right w:val="nil"/>
            </w:tcBorders>
            <w:vAlign w:val="center"/>
            <w:hideMark/>
          </w:tcPr>
          <w:p w14:paraId="1D30F3AF"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$680.90</w:t>
            </w:r>
          </w:p>
        </w:tc>
        <w:tc>
          <w:tcPr>
            <w:tcW w:w="799" w:type="pct"/>
            <w:tcBorders>
              <w:top w:val="nil"/>
              <w:left w:val="nil"/>
              <w:bottom w:val="nil"/>
              <w:right w:val="nil"/>
            </w:tcBorders>
            <w:vAlign w:val="center"/>
            <w:hideMark/>
          </w:tcPr>
          <w:p w14:paraId="7A0132C6"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$775.27</w:t>
            </w:r>
          </w:p>
        </w:tc>
        <w:tc>
          <w:tcPr>
            <w:tcW w:w="799" w:type="pct"/>
            <w:tcBorders>
              <w:top w:val="nil"/>
              <w:left w:val="nil"/>
              <w:bottom w:val="nil"/>
              <w:right w:val="nil"/>
            </w:tcBorders>
            <w:vAlign w:val="center"/>
            <w:hideMark/>
          </w:tcPr>
          <w:p w14:paraId="1B05CA98"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$780.70</w:t>
            </w:r>
          </w:p>
        </w:tc>
        <w:tc>
          <w:tcPr>
            <w:tcW w:w="799" w:type="pct"/>
            <w:tcBorders>
              <w:top w:val="nil"/>
              <w:left w:val="nil"/>
              <w:bottom w:val="nil"/>
              <w:right w:val="nil"/>
            </w:tcBorders>
            <w:vAlign w:val="center"/>
            <w:hideMark/>
          </w:tcPr>
          <w:p w14:paraId="4839FC04"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$757.43</w:t>
            </w:r>
          </w:p>
        </w:tc>
      </w:tr>
      <w:tr w:rsidR="00EC1520" w:rsidRPr="00EC1520" w14:paraId="0B3D1224" w14:textId="77777777" w:rsidTr="00F556EE">
        <w:trPr>
          <w:trHeight w:val="20"/>
          <w:jc w:val="center"/>
        </w:trPr>
        <w:tc>
          <w:tcPr>
            <w:tcW w:w="1005" w:type="pct"/>
            <w:tcBorders>
              <w:top w:val="nil"/>
              <w:left w:val="nil"/>
              <w:bottom w:val="nil"/>
              <w:right w:val="nil"/>
            </w:tcBorders>
            <w:vAlign w:val="center"/>
            <w:hideMark/>
          </w:tcPr>
          <w:p w14:paraId="74F924ED" w14:textId="77777777" w:rsidR="00EC1520" w:rsidRPr="00EC1520" w:rsidRDefault="00EC1520" w:rsidP="00EC1520">
            <w:pPr>
              <w:spacing w:after="0" w:line="240" w:lineRule="auto"/>
              <w:jc w:val="left"/>
              <w:rPr>
                <w:rFonts w:eastAsia="Times New Roman"/>
                <w:color w:val="000000"/>
                <w:sz w:val="20"/>
                <w:szCs w:val="20"/>
                <w:lang w:val="es-419" w:eastAsia="es-419"/>
              </w:rPr>
            </w:pPr>
            <w:r w:rsidRPr="00EC1520">
              <w:rPr>
                <w:rFonts w:eastAsia="Times New Roman"/>
                <w:color w:val="000000"/>
                <w:sz w:val="20"/>
                <w:szCs w:val="20"/>
                <w:lang w:val="es-MX" w:eastAsia="es-419"/>
              </w:rPr>
              <w:t>Expedición de licencias de bebidas alcohólicas</w:t>
            </w:r>
          </w:p>
        </w:tc>
        <w:tc>
          <w:tcPr>
            <w:tcW w:w="799" w:type="pct"/>
            <w:tcBorders>
              <w:top w:val="nil"/>
              <w:left w:val="nil"/>
              <w:bottom w:val="nil"/>
              <w:right w:val="nil"/>
            </w:tcBorders>
            <w:vAlign w:val="center"/>
            <w:hideMark/>
          </w:tcPr>
          <w:p w14:paraId="150A8FE9"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$264.66</w:t>
            </w:r>
          </w:p>
        </w:tc>
        <w:tc>
          <w:tcPr>
            <w:tcW w:w="799" w:type="pct"/>
            <w:tcBorders>
              <w:top w:val="nil"/>
              <w:left w:val="nil"/>
              <w:bottom w:val="nil"/>
              <w:right w:val="nil"/>
            </w:tcBorders>
            <w:vAlign w:val="center"/>
            <w:hideMark/>
          </w:tcPr>
          <w:p w14:paraId="513FA234"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$326.24</w:t>
            </w:r>
          </w:p>
        </w:tc>
        <w:tc>
          <w:tcPr>
            <w:tcW w:w="799" w:type="pct"/>
            <w:tcBorders>
              <w:top w:val="nil"/>
              <w:left w:val="nil"/>
              <w:bottom w:val="nil"/>
              <w:right w:val="nil"/>
            </w:tcBorders>
            <w:vAlign w:val="center"/>
            <w:hideMark/>
          </w:tcPr>
          <w:p w14:paraId="113E8673"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$364.68</w:t>
            </w:r>
          </w:p>
        </w:tc>
        <w:tc>
          <w:tcPr>
            <w:tcW w:w="799" w:type="pct"/>
            <w:tcBorders>
              <w:top w:val="nil"/>
              <w:left w:val="nil"/>
              <w:bottom w:val="nil"/>
              <w:right w:val="nil"/>
            </w:tcBorders>
            <w:vAlign w:val="center"/>
            <w:hideMark/>
          </w:tcPr>
          <w:p w14:paraId="26B8B049"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$338.92</w:t>
            </w:r>
          </w:p>
        </w:tc>
        <w:tc>
          <w:tcPr>
            <w:tcW w:w="799" w:type="pct"/>
            <w:tcBorders>
              <w:top w:val="nil"/>
              <w:left w:val="nil"/>
              <w:bottom w:val="nil"/>
              <w:right w:val="nil"/>
            </w:tcBorders>
            <w:vAlign w:val="center"/>
            <w:hideMark/>
          </w:tcPr>
          <w:p w14:paraId="164FB770"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$426.91</w:t>
            </w:r>
          </w:p>
        </w:tc>
      </w:tr>
      <w:tr w:rsidR="00EC1520" w:rsidRPr="00EC1520" w14:paraId="76B40E77" w14:textId="77777777" w:rsidTr="00F556EE">
        <w:trPr>
          <w:trHeight w:val="20"/>
          <w:jc w:val="center"/>
        </w:trPr>
        <w:tc>
          <w:tcPr>
            <w:tcW w:w="1005" w:type="pct"/>
            <w:tcBorders>
              <w:top w:val="nil"/>
              <w:left w:val="nil"/>
              <w:bottom w:val="nil"/>
              <w:right w:val="nil"/>
            </w:tcBorders>
            <w:vAlign w:val="center"/>
            <w:hideMark/>
          </w:tcPr>
          <w:p w14:paraId="40EDA95F" w14:textId="77777777" w:rsidR="00EC1520" w:rsidRPr="00EC1520" w:rsidRDefault="00EC1520" w:rsidP="00EC1520">
            <w:pPr>
              <w:spacing w:after="0" w:line="240" w:lineRule="auto"/>
              <w:jc w:val="left"/>
              <w:rPr>
                <w:rFonts w:eastAsia="Times New Roman"/>
                <w:color w:val="000000"/>
                <w:sz w:val="20"/>
                <w:szCs w:val="20"/>
                <w:lang w:val="es-419" w:eastAsia="es-419"/>
              </w:rPr>
            </w:pPr>
            <w:r w:rsidRPr="00EC1520">
              <w:rPr>
                <w:rFonts w:eastAsia="Times New Roman"/>
                <w:color w:val="000000"/>
                <w:sz w:val="20"/>
                <w:szCs w:val="20"/>
                <w:lang w:val="es-MX" w:eastAsia="es-419"/>
              </w:rPr>
              <w:t>Servicios de control vehicular</w:t>
            </w:r>
          </w:p>
        </w:tc>
        <w:tc>
          <w:tcPr>
            <w:tcW w:w="799" w:type="pct"/>
            <w:tcBorders>
              <w:top w:val="nil"/>
              <w:left w:val="nil"/>
              <w:bottom w:val="nil"/>
              <w:right w:val="nil"/>
            </w:tcBorders>
            <w:vAlign w:val="center"/>
            <w:hideMark/>
          </w:tcPr>
          <w:p w14:paraId="7887877C"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$184.11</w:t>
            </w:r>
          </w:p>
        </w:tc>
        <w:tc>
          <w:tcPr>
            <w:tcW w:w="799" w:type="pct"/>
            <w:tcBorders>
              <w:top w:val="nil"/>
              <w:left w:val="nil"/>
              <w:bottom w:val="nil"/>
              <w:right w:val="nil"/>
            </w:tcBorders>
            <w:vAlign w:val="center"/>
            <w:hideMark/>
          </w:tcPr>
          <w:p w14:paraId="0265A86C"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$211.70</w:t>
            </w:r>
          </w:p>
        </w:tc>
        <w:tc>
          <w:tcPr>
            <w:tcW w:w="799" w:type="pct"/>
            <w:tcBorders>
              <w:top w:val="nil"/>
              <w:left w:val="nil"/>
              <w:bottom w:val="nil"/>
              <w:right w:val="nil"/>
            </w:tcBorders>
            <w:vAlign w:val="center"/>
            <w:hideMark/>
          </w:tcPr>
          <w:p w14:paraId="10FADAD4"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$571.60</w:t>
            </w:r>
          </w:p>
        </w:tc>
        <w:tc>
          <w:tcPr>
            <w:tcW w:w="799" w:type="pct"/>
            <w:tcBorders>
              <w:top w:val="nil"/>
              <w:left w:val="nil"/>
              <w:bottom w:val="nil"/>
              <w:right w:val="nil"/>
            </w:tcBorders>
            <w:vAlign w:val="center"/>
            <w:hideMark/>
          </w:tcPr>
          <w:p w14:paraId="02A9B536"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$316.88</w:t>
            </w:r>
          </w:p>
        </w:tc>
        <w:tc>
          <w:tcPr>
            <w:tcW w:w="799" w:type="pct"/>
            <w:tcBorders>
              <w:top w:val="nil"/>
              <w:left w:val="nil"/>
              <w:bottom w:val="nil"/>
              <w:right w:val="nil"/>
            </w:tcBorders>
            <w:vAlign w:val="center"/>
            <w:hideMark/>
          </w:tcPr>
          <w:p w14:paraId="439999F4"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$622.80</w:t>
            </w:r>
          </w:p>
        </w:tc>
      </w:tr>
      <w:tr w:rsidR="00EC1520" w:rsidRPr="00EC1520" w14:paraId="2033B9D0" w14:textId="77777777" w:rsidTr="00F556EE">
        <w:trPr>
          <w:trHeight w:val="20"/>
          <w:jc w:val="center"/>
        </w:trPr>
        <w:tc>
          <w:tcPr>
            <w:tcW w:w="1005" w:type="pct"/>
            <w:tcBorders>
              <w:top w:val="nil"/>
              <w:left w:val="nil"/>
              <w:bottom w:val="single" w:sz="8" w:space="0" w:color="auto"/>
              <w:right w:val="nil"/>
            </w:tcBorders>
            <w:vAlign w:val="center"/>
            <w:hideMark/>
          </w:tcPr>
          <w:p w14:paraId="749BE07E" w14:textId="77777777" w:rsidR="00EC1520" w:rsidRPr="00EC1520" w:rsidRDefault="00EC1520" w:rsidP="00EC1520">
            <w:pPr>
              <w:spacing w:after="0" w:line="240" w:lineRule="auto"/>
              <w:jc w:val="left"/>
              <w:rPr>
                <w:rFonts w:eastAsia="Times New Roman"/>
                <w:color w:val="000000"/>
                <w:sz w:val="20"/>
                <w:szCs w:val="20"/>
                <w:lang w:val="es-419" w:eastAsia="es-419"/>
              </w:rPr>
            </w:pPr>
            <w:r w:rsidRPr="00EC1520">
              <w:rPr>
                <w:rFonts w:eastAsia="Times New Roman"/>
                <w:color w:val="000000"/>
                <w:sz w:val="20"/>
                <w:szCs w:val="20"/>
                <w:lang w:val="es-MX" w:eastAsia="es-419"/>
              </w:rPr>
              <w:t>A visitantes extranjeros (Visitax)</w:t>
            </w:r>
          </w:p>
        </w:tc>
        <w:tc>
          <w:tcPr>
            <w:tcW w:w="799" w:type="pct"/>
            <w:tcBorders>
              <w:top w:val="nil"/>
              <w:left w:val="nil"/>
              <w:bottom w:val="single" w:sz="8" w:space="0" w:color="auto"/>
              <w:right w:val="nil"/>
            </w:tcBorders>
            <w:vAlign w:val="center"/>
            <w:hideMark/>
          </w:tcPr>
          <w:p w14:paraId="1B0025F5"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$103.23</w:t>
            </w:r>
          </w:p>
        </w:tc>
        <w:tc>
          <w:tcPr>
            <w:tcW w:w="799" w:type="pct"/>
            <w:tcBorders>
              <w:top w:val="nil"/>
              <w:left w:val="nil"/>
              <w:bottom w:val="single" w:sz="8" w:space="0" w:color="auto"/>
              <w:right w:val="nil"/>
            </w:tcBorders>
            <w:vAlign w:val="center"/>
            <w:hideMark/>
          </w:tcPr>
          <w:p w14:paraId="6FBCD5EF"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$175.05</w:t>
            </w:r>
          </w:p>
        </w:tc>
        <w:tc>
          <w:tcPr>
            <w:tcW w:w="799" w:type="pct"/>
            <w:tcBorders>
              <w:top w:val="nil"/>
              <w:left w:val="nil"/>
              <w:bottom w:val="single" w:sz="8" w:space="0" w:color="auto"/>
              <w:right w:val="nil"/>
            </w:tcBorders>
            <w:vAlign w:val="center"/>
            <w:hideMark/>
          </w:tcPr>
          <w:p w14:paraId="3A6818ED"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$180.01</w:t>
            </w:r>
          </w:p>
        </w:tc>
        <w:tc>
          <w:tcPr>
            <w:tcW w:w="799" w:type="pct"/>
            <w:tcBorders>
              <w:top w:val="nil"/>
              <w:left w:val="nil"/>
              <w:bottom w:val="single" w:sz="8" w:space="0" w:color="auto"/>
              <w:right w:val="nil"/>
            </w:tcBorders>
            <w:vAlign w:val="center"/>
            <w:hideMark/>
          </w:tcPr>
          <w:p w14:paraId="4691138A"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$269.39</w:t>
            </w:r>
          </w:p>
        </w:tc>
        <w:tc>
          <w:tcPr>
            <w:tcW w:w="799" w:type="pct"/>
            <w:tcBorders>
              <w:top w:val="nil"/>
              <w:left w:val="nil"/>
              <w:bottom w:val="single" w:sz="8" w:space="0" w:color="auto"/>
              <w:right w:val="nil"/>
            </w:tcBorders>
            <w:vAlign w:val="center"/>
            <w:hideMark/>
          </w:tcPr>
          <w:p w14:paraId="46A76DFF" w14:textId="77777777" w:rsidR="00EC1520" w:rsidRPr="00EC1520" w:rsidRDefault="00EC1520" w:rsidP="008E7404">
            <w:pPr>
              <w:spacing w:after="0" w:line="240" w:lineRule="auto"/>
              <w:jc w:val="right"/>
              <w:rPr>
                <w:rFonts w:eastAsia="Times New Roman"/>
                <w:color w:val="000000"/>
                <w:sz w:val="20"/>
                <w:szCs w:val="20"/>
                <w:lang w:val="es-419" w:eastAsia="es-419"/>
              </w:rPr>
            </w:pPr>
            <w:r w:rsidRPr="00EC1520">
              <w:rPr>
                <w:rFonts w:eastAsia="Times New Roman"/>
                <w:color w:val="000000"/>
                <w:sz w:val="20"/>
                <w:szCs w:val="20"/>
                <w:lang w:val="es-MX" w:eastAsia="es-419"/>
              </w:rPr>
              <w:t>$357.44</w:t>
            </w:r>
          </w:p>
        </w:tc>
      </w:tr>
    </w:tbl>
    <w:p w14:paraId="240F1368" w14:textId="75FEE873" w:rsidR="00E40EAC" w:rsidRPr="00305D32" w:rsidRDefault="00E40EAC" w:rsidP="00E40EAC">
      <w:pPr>
        <w:spacing w:after="0" w:line="240" w:lineRule="auto"/>
        <w:jc w:val="center"/>
        <w:rPr>
          <w:sz w:val="20"/>
          <w:szCs w:val="20"/>
          <w:lang w:val="es-MX"/>
        </w:rPr>
      </w:pPr>
      <w:r w:rsidRPr="00305D32">
        <w:rPr>
          <w:sz w:val="20"/>
          <w:szCs w:val="20"/>
          <w:lang w:val="es-MX"/>
        </w:rPr>
        <w:t xml:space="preserve">Fuente: Elaboración de la Subsecretaría de Análisis Económico y Finanzas Públicas de la Secretaría de Finanzas y Planeación, con base en datos </w:t>
      </w:r>
      <w:r>
        <w:rPr>
          <w:sz w:val="20"/>
          <w:szCs w:val="20"/>
          <w:lang w:val="es-MX"/>
        </w:rPr>
        <w:t>de la Subsecretaria de</w:t>
      </w:r>
      <w:r w:rsidRPr="00305D32">
        <w:rPr>
          <w:sz w:val="20"/>
          <w:szCs w:val="20"/>
          <w:lang w:val="es-MX"/>
        </w:rPr>
        <w:t xml:space="preserve"> Ingresos de la SEFIPLAN (2025). </w:t>
      </w:r>
    </w:p>
    <w:p w14:paraId="4F1D3B6D" w14:textId="77777777" w:rsidR="00A31A5B" w:rsidRDefault="00A31A5B" w:rsidP="00F9674A">
      <w:pPr>
        <w:rPr>
          <w:lang w:val="es-MX"/>
        </w:rPr>
      </w:pPr>
    </w:p>
    <w:p w14:paraId="5C47F885" w14:textId="738BA3F1" w:rsidR="00F9674A" w:rsidRDefault="00F9674A" w:rsidP="00F9674A">
      <w:pPr>
        <w:rPr>
          <w:lang w:val="es-MX"/>
        </w:rPr>
      </w:pPr>
      <w:r w:rsidRPr="00305D32">
        <w:rPr>
          <w:lang w:val="es-MX"/>
        </w:rPr>
        <w:t>Las transferencias, como se mencionó anteriormente, han representado poco más del 70</w:t>
      </w:r>
      <w:r w:rsidR="0019290E">
        <w:rPr>
          <w:lang w:val="es-MX"/>
        </w:rPr>
        <w:t xml:space="preserve"> %</w:t>
      </w:r>
      <w:r w:rsidRPr="00305D32">
        <w:rPr>
          <w:lang w:val="es-MX"/>
        </w:rPr>
        <w:t xml:space="preserve"> del total de los ingresos </w:t>
      </w:r>
      <w:r>
        <w:rPr>
          <w:lang w:val="es-MX"/>
        </w:rPr>
        <w:t>estatales. E</w:t>
      </w:r>
      <w:r w:rsidRPr="00305D32">
        <w:rPr>
          <w:lang w:val="es-MX"/>
        </w:rPr>
        <w:t>n comparación con 2023</w:t>
      </w:r>
      <w:r>
        <w:rPr>
          <w:lang w:val="es-MX"/>
        </w:rPr>
        <w:t>, durante</w:t>
      </w:r>
      <w:r w:rsidRPr="00305D32">
        <w:rPr>
          <w:lang w:val="es-MX"/>
        </w:rPr>
        <w:t xml:space="preserve"> el ejercicio fiscal 2024, las participaciones se redujeron en 2.8</w:t>
      </w:r>
      <w:r w:rsidR="0019290E">
        <w:rPr>
          <w:lang w:val="es-MX"/>
        </w:rPr>
        <w:t xml:space="preserve"> %</w:t>
      </w:r>
      <w:r w:rsidRPr="00305D32">
        <w:rPr>
          <w:lang w:val="es-MX"/>
        </w:rPr>
        <w:t xml:space="preserve"> y las aportaciones 7.08</w:t>
      </w:r>
      <w:r w:rsidR="0019290E">
        <w:rPr>
          <w:lang w:val="es-MX"/>
        </w:rPr>
        <w:t xml:space="preserve"> %</w:t>
      </w:r>
      <w:r w:rsidRPr="00305D32">
        <w:rPr>
          <w:lang w:val="es-MX"/>
        </w:rPr>
        <w:t>. En 2023</w:t>
      </w:r>
      <w:r>
        <w:rPr>
          <w:lang w:val="es-MX"/>
        </w:rPr>
        <w:t>,</w:t>
      </w:r>
      <w:r w:rsidRPr="00305D32">
        <w:rPr>
          <w:lang w:val="es-MX"/>
        </w:rPr>
        <w:t xml:space="preserve"> las participaciones representaron 47.5</w:t>
      </w:r>
      <w:r w:rsidR="0019290E">
        <w:rPr>
          <w:lang w:val="es-MX"/>
        </w:rPr>
        <w:t xml:space="preserve"> %</w:t>
      </w:r>
      <w:r w:rsidRPr="00305D32">
        <w:rPr>
          <w:lang w:val="es-MX"/>
        </w:rPr>
        <w:t xml:space="preserve"> de las transferencias totales de</w:t>
      </w:r>
      <w:r>
        <w:rPr>
          <w:lang w:val="es-MX"/>
        </w:rPr>
        <w:t>l</w:t>
      </w:r>
      <w:r w:rsidRPr="00305D32">
        <w:rPr>
          <w:lang w:val="es-MX"/>
        </w:rPr>
        <w:t xml:space="preserve"> </w:t>
      </w:r>
      <w:r>
        <w:rPr>
          <w:lang w:val="es-MX"/>
        </w:rPr>
        <w:t>E</w:t>
      </w:r>
      <w:r w:rsidRPr="00305D32">
        <w:rPr>
          <w:lang w:val="es-MX"/>
        </w:rPr>
        <w:t>stado y en 2024 este porcentaje aumentó a 48.1</w:t>
      </w:r>
      <w:r w:rsidR="0019290E">
        <w:rPr>
          <w:lang w:val="es-MX"/>
        </w:rPr>
        <w:t xml:space="preserve"> %</w:t>
      </w:r>
      <w:r w:rsidRPr="00305D32">
        <w:rPr>
          <w:lang w:val="es-MX"/>
        </w:rPr>
        <w:t>. Al segundo trimestre de 2025</w:t>
      </w:r>
      <w:r>
        <w:rPr>
          <w:lang w:val="es-MX"/>
        </w:rPr>
        <w:t>,</w:t>
      </w:r>
      <w:r w:rsidRPr="00305D32">
        <w:rPr>
          <w:lang w:val="es-MX"/>
        </w:rPr>
        <w:t xml:space="preserve"> las participaciones </w:t>
      </w:r>
      <w:r>
        <w:rPr>
          <w:lang w:val="es-MX"/>
        </w:rPr>
        <w:t>alcanzaron</w:t>
      </w:r>
      <w:r w:rsidRPr="00305D32">
        <w:rPr>
          <w:lang w:val="es-MX"/>
        </w:rPr>
        <w:t xml:space="preserve"> 56.1</w:t>
      </w:r>
      <w:r w:rsidR="0019290E">
        <w:rPr>
          <w:lang w:val="es-MX"/>
        </w:rPr>
        <w:t xml:space="preserve"> %</w:t>
      </w:r>
      <w:r w:rsidRPr="00305D32">
        <w:rPr>
          <w:lang w:val="es-MX"/>
        </w:rPr>
        <w:t xml:space="preserve"> de las transferencias totales.</w:t>
      </w:r>
    </w:p>
    <w:p w14:paraId="0378A63D" w14:textId="77777777" w:rsidR="00A31A5B" w:rsidRPr="00305D32" w:rsidRDefault="00A31A5B" w:rsidP="00F9674A">
      <w:pPr>
        <w:rPr>
          <w:lang w:val="es-MX"/>
        </w:rPr>
      </w:pPr>
    </w:p>
    <w:p w14:paraId="4D083718" w14:textId="5E3E0133" w:rsidR="00AE57F0" w:rsidRPr="00305D32" w:rsidRDefault="00414F7C" w:rsidP="002A0413">
      <w:pPr>
        <w:pStyle w:val="Descripcin"/>
        <w:jc w:val="center"/>
        <w:rPr>
          <w:color w:val="000000"/>
          <w:lang w:val="es-MX"/>
        </w:rPr>
      </w:pPr>
      <w:r w:rsidRPr="00305D32">
        <w:rPr>
          <w:lang w:val="es-MX"/>
        </w:rPr>
        <w:lastRenderedPageBreak/>
        <w:t xml:space="preserve">Figura </w:t>
      </w:r>
      <w:r w:rsidR="002A0413" w:rsidRPr="00305D32">
        <w:rPr>
          <w:lang w:val="es-MX"/>
        </w:rPr>
        <w:fldChar w:fldCharType="begin"/>
      </w:r>
      <w:r w:rsidR="002A0413" w:rsidRPr="00305D32">
        <w:rPr>
          <w:lang w:val="es-MX"/>
        </w:rPr>
        <w:instrText xml:space="preserve"> SEQ Figura \* ARABIC </w:instrText>
      </w:r>
      <w:r w:rsidR="002A0413" w:rsidRPr="00305D32">
        <w:rPr>
          <w:lang w:val="es-MX"/>
        </w:rPr>
        <w:fldChar w:fldCharType="separate"/>
      </w:r>
      <w:r w:rsidR="00ED1F2F">
        <w:rPr>
          <w:noProof/>
          <w:lang w:val="es-MX"/>
        </w:rPr>
        <w:t>40</w:t>
      </w:r>
      <w:r w:rsidR="002A0413" w:rsidRPr="00305D32">
        <w:rPr>
          <w:lang w:val="es-MX"/>
        </w:rPr>
        <w:fldChar w:fldCharType="end"/>
      </w:r>
      <w:r w:rsidRPr="00305D32">
        <w:rPr>
          <w:color w:val="000000"/>
          <w:lang w:val="es-MX"/>
        </w:rPr>
        <w:t>. Recursos de origen Federal 202</w:t>
      </w:r>
      <w:r w:rsidR="002D554C" w:rsidRPr="00305D32">
        <w:rPr>
          <w:color w:val="000000"/>
          <w:lang w:val="es-MX"/>
        </w:rPr>
        <w:t>3</w:t>
      </w:r>
      <w:r w:rsidRPr="00305D32">
        <w:rPr>
          <w:color w:val="000000"/>
          <w:lang w:val="es-MX"/>
        </w:rPr>
        <w:t>-202</w:t>
      </w:r>
      <w:r w:rsidR="002D554C" w:rsidRPr="00305D32">
        <w:rPr>
          <w:color w:val="000000"/>
          <w:lang w:val="es-MX"/>
        </w:rPr>
        <w:t>5</w:t>
      </w:r>
      <w:r w:rsidRPr="00305D32">
        <w:rPr>
          <w:color w:val="000000"/>
          <w:lang w:val="es-MX"/>
        </w:rPr>
        <w:t>, millones de pesos y porcentajes</w:t>
      </w:r>
    </w:p>
    <w:p w14:paraId="4F05E3CF" w14:textId="0EB2A592" w:rsidR="00F24C80" w:rsidRPr="00305D32" w:rsidRDefault="00C306A3">
      <w:pPr>
        <w:spacing w:after="0"/>
        <w:jc w:val="center"/>
        <w:rPr>
          <w:lang w:val="es-MX"/>
        </w:rPr>
      </w:pPr>
      <w:r w:rsidRPr="00305D32">
        <w:rPr>
          <w:noProof/>
          <w:lang w:val="es-MX" w:eastAsia="es-MX"/>
        </w:rPr>
        <w:drawing>
          <wp:inline distT="0" distB="0" distL="0" distR="0" wp14:anchorId="76867879" wp14:editId="37E04710">
            <wp:extent cx="5659200" cy="2743200"/>
            <wp:effectExtent l="0" t="0" r="17780" b="0"/>
            <wp:docPr id="2130723441" name="Gráfico 1">
              <a:extLst xmlns:a="http://schemas.openxmlformats.org/drawingml/2006/main">
                <a:ext uri="{FF2B5EF4-FFF2-40B4-BE49-F238E27FC236}">
                  <a16:creationId xmlns:a16="http://schemas.microsoft.com/office/drawing/2014/main" id="{A424F899-2948-4ABF-92AC-F00243BCC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D08371A" w14:textId="4042E538" w:rsidR="00AE57F0" w:rsidRPr="00305D32" w:rsidRDefault="00414F7C">
      <w:pPr>
        <w:spacing w:after="0" w:line="240"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base en datos del Estado Analítico del Ingresos de la SEFIPLAN (202</w:t>
      </w:r>
      <w:r w:rsidR="002D554C" w:rsidRPr="00305D32">
        <w:rPr>
          <w:sz w:val="20"/>
          <w:szCs w:val="20"/>
          <w:lang w:val="es-MX"/>
        </w:rPr>
        <w:t>5</w:t>
      </w:r>
      <w:r w:rsidRPr="00305D32">
        <w:rPr>
          <w:sz w:val="20"/>
          <w:szCs w:val="20"/>
          <w:lang w:val="es-MX"/>
        </w:rPr>
        <w:t>). * Corresponde al valor del segundo trimestre 202</w:t>
      </w:r>
      <w:r w:rsidR="002D554C" w:rsidRPr="00305D32">
        <w:rPr>
          <w:sz w:val="20"/>
          <w:szCs w:val="20"/>
          <w:lang w:val="es-MX"/>
        </w:rPr>
        <w:t>5</w:t>
      </w:r>
    </w:p>
    <w:p w14:paraId="4D08371B" w14:textId="77777777" w:rsidR="00AE57F0" w:rsidRPr="00305D32" w:rsidRDefault="00AE57F0">
      <w:pPr>
        <w:spacing w:after="0"/>
        <w:jc w:val="center"/>
        <w:rPr>
          <w:lang w:val="es-MX"/>
        </w:rPr>
      </w:pPr>
    </w:p>
    <w:p w14:paraId="16F3A982" w14:textId="12BDCECD" w:rsidR="00E16A89" w:rsidRPr="00305D32" w:rsidRDefault="00DF5E86" w:rsidP="00E16A89">
      <w:pPr>
        <w:rPr>
          <w:lang w:val="es-MX"/>
        </w:rPr>
      </w:pPr>
      <w:r w:rsidRPr="00DF5E86">
        <w:rPr>
          <w:lang w:val="es-MX"/>
        </w:rPr>
        <w:t xml:space="preserve">La deuda pública de Quintana Roo está integrada por deuda directa y deuda de entidades paraestatales y municipios. La primera se refiere al financiamiento de corto y largo plazo del Gobierno del Estado, mientras que la segunda engloba el </w:t>
      </w:r>
      <w:r w:rsidR="001F0FF2">
        <w:rPr>
          <w:lang w:val="es-MX"/>
        </w:rPr>
        <w:t>endeudamiento</w:t>
      </w:r>
      <w:r w:rsidRPr="00DF5E86">
        <w:rPr>
          <w:lang w:val="es-MX"/>
        </w:rPr>
        <w:t xml:space="preserve"> de los organismos descentralizados, entidades paraestatales y municipios dentro del territorio estatal. Con corte al segundo trimestre de 2025, la deuda pública total</w:t>
      </w:r>
      <w:r w:rsidR="00E16A89" w:rsidRPr="00305D32">
        <w:rPr>
          <w:lang w:val="es-MX"/>
        </w:rPr>
        <w:t xml:space="preserve"> (</w:t>
      </w:r>
      <w:r w:rsidR="002A0413" w:rsidRPr="00305D32">
        <w:rPr>
          <w:lang w:val="es-MX"/>
        </w:rPr>
        <w:fldChar w:fldCharType="begin"/>
      </w:r>
      <w:r w:rsidR="002A0413" w:rsidRPr="00305D32">
        <w:rPr>
          <w:lang w:val="es-MX"/>
        </w:rPr>
        <w:instrText xml:space="preserve"> REF _Ref210296704 \h </w:instrText>
      </w:r>
      <w:r w:rsidR="002A0413" w:rsidRPr="00305D32">
        <w:rPr>
          <w:lang w:val="es-MX"/>
        </w:rPr>
      </w:r>
      <w:r w:rsidR="002A0413" w:rsidRPr="00305D32">
        <w:rPr>
          <w:lang w:val="es-MX"/>
        </w:rPr>
        <w:fldChar w:fldCharType="separate"/>
      </w:r>
      <w:r w:rsidR="00ED1F2F" w:rsidRPr="00305D32">
        <w:rPr>
          <w:lang w:val="es-MX"/>
        </w:rPr>
        <w:t xml:space="preserve">Figura </w:t>
      </w:r>
      <w:r w:rsidR="00ED1F2F">
        <w:rPr>
          <w:noProof/>
          <w:lang w:val="es-MX"/>
        </w:rPr>
        <w:t>41</w:t>
      </w:r>
      <w:r w:rsidR="002A0413" w:rsidRPr="00305D32">
        <w:rPr>
          <w:lang w:val="es-MX"/>
        </w:rPr>
        <w:fldChar w:fldCharType="end"/>
      </w:r>
      <w:r w:rsidR="00E16A89" w:rsidRPr="00305D32">
        <w:rPr>
          <w:lang w:val="es-MX"/>
        </w:rPr>
        <w:t xml:space="preserve">) </w:t>
      </w:r>
      <w:r w:rsidR="001F0FF2" w:rsidRPr="001F0FF2">
        <w:rPr>
          <w:lang w:val="es-MX"/>
        </w:rPr>
        <w:t>fue de 21,396.1 millones de pesos, cifra que representa una disminución de casi 124 millones de pesos respecto al cierre del ejercicio fiscal 2024.</w:t>
      </w:r>
    </w:p>
    <w:p w14:paraId="52F8341A" w14:textId="542FD5BD" w:rsidR="00E16A89" w:rsidRPr="00305D32" w:rsidRDefault="0061727D">
      <w:pPr>
        <w:spacing w:after="0"/>
        <w:rPr>
          <w:lang w:val="es-MX"/>
        </w:rPr>
      </w:pPr>
      <w:r w:rsidRPr="0061727D">
        <w:rPr>
          <w:lang w:val="es-MX"/>
        </w:rPr>
        <w:t>De 2023 al segundo trimestre de 2025, la deuda pública se redujo 367 millones de pesos, lo cual representa una disminución del 1.69</w:t>
      </w:r>
      <w:r w:rsidR="0019290E">
        <w:rPr>
          <w:lang w:val="es-MX"/>
        </w:rPr>
        <w:t xml:space="preserve"> %</w:t>
      </w:r>
      <w:r w:rsidRPr="0061727D">
        <w:rPr>
          <w:lang w:val="es-MX"/>
        </w:rPr>
        <w:t xml:space="preserve">. Este resultado refleja los esfuerzos de la actual administración por contener el crecimiento del endeudamiento estatal, tendencia que se había mantenido </w:t>
      </w:r>
      <w:r w:rsidR="00E254C4" w:rsidRPr="0061727D">
        <w:rPr>
          <w:lang w:val="es-MX"/>
        </w:rPr>
        <w:t>al alza</w:t>
      </w:r>
      <w:r w:rsidRPr="0061727D">
        <w:rPr>
          <w:lang w:val="es-MX"/>
        </w:rPr>
        <w:t xml:space="preserve"> durante los sexenios anteriores</w:t>
      </w:r>
      <w:r w:rsidR="00E16A89" w:rsidRPr="00305D32">
        <w:rPr>
          <w:lang w:val="es-MX"/>
        </w:rPr>
        <w:t>.</w:t>
      </w:r>
    </w:p>
    <w:p w14:paraId="4D08371F" w14:textId="196A0DA3" w:rsidR="00AE57F0" w:rsidRPr="00305D32" w:rsidRDefault="00414F7C" w:rsidP="002A0413">
      <w:pPr>
        <w:pStyle w:val="Descripcin"/>
        <w:jc w:val="center"/>
        <w:rPr>
          <w:color w:val="000000"/>
          <w:lang w:val="es-MX"/>
        </w:rPr>
      </w:pPr>
      <w:bookmarkStart w:id="124" w:name="_heading=h.1a346fx" w:colFirst="0" w:colLast="0"/>
      <w:bookmarkStart w:id="125" w:name="_Ref210296704"/>
      <w:bookmarkEnd w:id="124"/>
      <w:r w:rsidRPr="00305D32">
        <w:rPr>
          <w:lang w:val="es-MX"/>
        </w:rPr>
        <w:lastRenderedPageBreak/>
        <w:t xml:space="preserve">Figura </w:t>
      </w:r>
      <w:r w:rsidR="002A0413" w:rsidRPr="00305D32">
        <w:rPr>
          <w:lang w:val="es-MX"/>
        </w:rPr>
        <w:fldChar w:fldCharType="begin"/>
      </w:r>
      <w:r w:rsidR="002A0413" w:rsidRPr="00305D32">
        <w:rPr>
          <w:lang w:val="es-MX"/>
        </w:rPr>
        <w:instrText xml:space="preserve"> SEQ Figura \* ARABIC </w:instrText>
      </w:r>
      <w:r w:rsidR="002A0413" w:rsidRPr="00305D32">
        <w:rPr>
          <w:lang w:val="es-MX"/>
        </w:rPr>
        <w:fldChar w:fldCharType="separate"/>
      </w:r>
      <w:r w:rsidR="00ED1F2F">
        <w:rPr>
          <w:noProof/>
          <w:lang w:val="es-MX"/>
        </w:rPr>
        <w:t>41</w:t>
      </w:r>
      <w:r w:rsidR="002A0413" w:rsidRPr="00305D32">
        <w:rPr>
          <w:lang w:val="es-MX"/>
        </w:rPr>
        <w:fldChar w:fldCharType="end"/>
      </w:r>
      <w:bookmarkEnd w:id="125"/>
      <w:r w:rsidRPr="00305D32">
        <w:rPr>
          <w:color w:val="000000"/>
          <w:lang w:val="es-MX"/>
        </w:rPr>
        <w:t>. Deuda pública total de Quintana Roo, millones de pesos corrientes, 201</w:t>
      </w:r>
      <w:r w:rsidR="00BE35A1" w:rsidRPr="00305D32">
        <w:rPr>
          <w:color w:val="000000"/>
          <w:lang w:val="es-MX"/>
        </w:rPr>
        <w:t>9</w:t>
      </w:r>
      <w:r w:rsidRPr="00305D32">
        <w:rPr>
          <w:color w:val="000000"/>
          <w:lang w:val="es-MX"/>
        </w:rPr>
        <w:t>-202</w:t>
      </w:r>
      <w:r w:rsidR="00BE35A1" w:rsidRPr="00305D32">
        <w:rPr>
          <w:color w:val="000000"/>
          <w:lang w:val="es-MX"/>
        </w:rPr>
        <w:t>5</w:t>
      </w:r>
      <w:r w:rsidRPr="00305D32">
        <w:rPr>
          <w:color w:val="000000"/>
          <w:lang w:val="es-MX"/>
        </w:rPr>
        <w:t xml:space="preserve"> T</w:t>
      </w:r>
      <w:r w:rsidR="008406B8" w:rsidRPr="00305D32">
        <w:rPr>
          <w:color w:val="000000"/>
          <w:lang w:val="es-MX"/>
        </w:rPr>
        <w:t>2</w:t>
      </w:r>
    </w:p>
    <w:p w14:paraId="6961E712" w14:textId="209A635B" w:rsidR="00E92036" w:rsidRPr="00305D32" w:rsidRDefault="00E92036">
      <w:pPr>
        <w:spacing w:after="0"/>
        <w:rPr>
          <w:lang w:val="es-MX"/>
        </w:rPr>
      </w:pPr>
      <w:r w:rsidRPr="00305D32">
        <w:rPr>
          <w:noProof/>
          <w:lang w:val="es-MX" w:eastAsia="es-MX"/>
        </w:rPr>
        <w:drawing>
          <wp:inline distT="0" distB="0" distL="0" distR="0" wp14:anchorId="5DE26356" wp14:editId="112B3560">
            <wp:extent cx="5716800" cy="2667600"/>
            <wp:effectExtent l="0" t="0" r="17780" b="0"/>
            <wp:docPr id="291881289" name="Gráfico 1">
              <a:extLst xmlns:a="http://schemas.openxmlformats.org/drawingml/2006/main">
                <a:ext uri="{FF2B5EF4-FFF2-40B4-BE49-F238E27FC236}">
                  <a16:creationId xmlns:a16="http://schemas.microsoft.com/office/drawing/2014/main" id="{6A9C7468-7CEB-4859-A511-0C9B12A29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D083721" w14:textId="4143A006" w:rsidR="00AE57F0" w:rsidRPr="00305D32" w:rsidRDefault="00414F7C">
      <w:pPr>
        <w:spacing w:line="240"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base en datos del Registro Público Único de la Secretaría de Hacienda y Crédito Público (202</w:t>
      </w:r>
      <w:r w:rsidR="00BE35A1" w:rsidRPr="00305D32">
        <w:rPr>
          <w:sz w:val="20"/>
          <w:szCs w:val="20"/>
          <w:lang w:val="es-MX"/>
        </w:rPr>
        <w:t>5</w:t>
      </w:r>
      <w:r w:rsidRPr="00305D32">
        <w:rPr>
          <w:sz w:val="20"/>
          <w:szCs w:val="20"/>
          <w:lang w:val="es-MX"/>
        </w:rPr>
        <w:t>)</w:t>
      </w:r>
      <w:r w:rsidRPr="00305D32">
        <w:rPr>
          <w:i/>
          <w:sz w:val="20"/>
          <w:szCs w:val="20"/>
          <w:lang w:val="es-MX"/>
        </w:rPr>
        <w:t>.</w:t>
      </w:r>
    </w:p>
    <w:p w14:paraId="5F6E0D5F" w14:textId="4B6E8435" w:rsidR="003C3D2A" w:rsidRPr="00305D32" w:rsidRDefault="00414F7C" w:rsidP="003C3D2A">
      <w:pPr>
        <w:rPr>
          <w:lang w:val="es-MX"/>
        </w:rPr>
      </w:pPr>
      <w:r w:rsidRPr="00305D32">
        <w:rPr>
          <w:lang w:val="es-MX"/>
        </w:rPr>
        <w:t xml:space="preserve">La </w:t>
      </w:r>
      <w:r w:rsidR="006C237D" w:rsidRPr="00305D32">
        <w:rPr>
          <w:lang w:val="es-MX"/>
        </w:rPr>
        <w:fldChar w:fldCharType="begin"/>
      </w:r>
      <w:r w:rsidR="006C237D" w:rsidRPr="00305D32">
        <w:rPr>
          <w:lang w:val="es-MX"/>
        </w:rPr>
        <w:instrText xml:space="preserve"> REF _Ref210296809 \h </w:instrText>
      </w:r>
      <w:r w:rsidR="006C237D" w:rsidRPr="00305D32">
        <w:rPr>
          <w:lang w:val="es-MX"/>
        </w:rPr>
      </w:r>
      <w:r w:rsidR="006C237D" w:rsidRPr="00305D32">
        <w:rPr>
          <w:lang w:val="es-MX"/>
        </w:rPr>
        <w:fldChar w:fldCharType="separate"/>
      </w:r>
      <w:r w:rsidR="00ED1F2F" w:rsidRPr="00305D32">
        <w:rPr>
          <w:lang w:val="es-MX"/>
        </w:rPr>
        <w:t xml:space="preserve">Figura </w:t>
      </w:r>
      <w:r w:rsidR="00ED1F2F">
        <w:rPr>
          <w:noProof/>
          <w:lang w:val="es-MX"/>
        </w:rPr>
        <w:t>42</w:t>
      </w:r>
      <w:r w:rsidR="006C237D" w:rsidRPr="00305D32">
        <w:rPr>
          <w:lang w:val="es-MX"/>
        </w:rPr>
        <w:fldChar w:fldCharType="end"/>
      </w:r>
      <w:r w:rsidRPr="00305D32">
        <w:rPr>
          <w:lang w:val="es-MX"/>
        </w:rPr>
        <w:t xml:space="preserve"> </w:t>
      </w:r>
      <w:r w:rsidR="00B46215" w:rsidRPr="00B46215">
        <w:rPr>
          <w:lang w:val="es-MX"/>
        </w:rPr>
        <w:t xml:space="preserve">muestra la composición de la deuda pública, distribuida entre la deuda del Gobierno del Estado (deuda directa), la correspondiente a los entes públicos principalmente a la Comisión de Agua Potable y Alcantarillado (CAPA) y la de los municipios. La deuda del Gobierno del Estado había mostrado tendencia creciente desde 2019; no obstante, se aprecia un cambio de tendencia en 2022, al pasar de21,044.7 millones de pesos en 2021 a 19,264.3 millones de pesos en 2024. Con corte al segundo trimestre de 2025, el saldo de la deuda </w:t>
      </w:r>
      <w:r w:rsidR="002242C5" w:rsidRPr="00B46215">
        <w:rPr>
          <w:lang w:val="es-MX"/>
        </w:rPr>
        <w:t>estatal continuó</w:t>
      </w:r>
      <w:r w:rsidR="00B46215" w:rsidRPr="00B46215">
        <w:rPr>
          <w:lang w:val="es-MX"/>
        </w:rPr>
        <w:t xml:space="preserve"> a la baja, ubicándose en 19,231.4 millones de pesos</w:t>
      </w:r>
      <w:r w:rsidR="003C3D2A" w:rsidRPr="00305D32">
        <w:rPr>
          <w:lang w:val="es-MX"/>
        </w:rPr>
        <w:t>.</w:t>
      </w:r>
    </w:p>
    <w:p w14:paraId="20806716" w14:textId="1737A3C3" w:rsidR="002242C5" w:rsidRPr="002242C5" w:rsidRDefault="002242C5" w:rsidP="002242C5">
      <w:pPr>
        <w:rPr>
          <w:lang w:val="es-MX"/>
        </w:rPr>
      </w:pPr>
      <w:r w:rsidRPr="002242C5">
        <w:rPr>
          <w:lang w:val="es-MX"/>
        </w:rPr>
        <w:t>En el caso de la deuda de los municipios, esta pasó de 2,334 millones de pesos en 2021 a 1,954 en 2024 y, con corte al segundo trimestre de 2025, el endeudamiento municipal se ubicó en 1,885.1 millones de pesos.</w:t>
      </w:r>
    </w:p>
    <w:p w14:paraId="5B13C2E7" w14:textId="25398448" w:rsidR="003C3D2A" w:rsidRPr="00305D32" w:rsidRDefault="002242C5" w:rsidP="002242C5">
      <w:pPr>
        <w:rPr>
          <w:lang w:val="es-MX"/>
        </w:rPr>
      </w:pPr>
      <w:r w:rsidRPr="002242C5">
        <w:rPr>
          <w:lang w:val="es-MX"/>
        </w:rPr>
        <w:lastRenderedPageBreak/>
        <w:t>Por su parte, los entes públicos han mostrado desde 2018 una tendencia sostenida a la baja en su nivel de endeudamiento, Al cierre de 2024, el saldo de su deuda ascendía a 300.6 millones de pesos, mientras que para el segundo trimestre de 2025 se redujo a 279.5 millones de pesos.</w:t>
      </w:r>
    </w:p>
    <w:p w14:paraId="4D083725" w14:textId="0F5625DA" w:rsidR="00AE57F0" w:rsidRPr="00305D32" w:rsidRDefault="00414F7C" w:rsidP="002A0413">
      <w:pPr>
        <w:pStyle w:val="Descripcin"/>
        <w:jc w:val="center"/>
        <w:rPr>
          <w:b w:val="0"/>
          <w:color w:val="000000"/>
          <w:lang w:val="es-MX"/>
        </w:rPr>
      </w:pPr>
      <w:bookmarkStart w:id="126" w:name="_Ref210296809"/>
      <w:r w:rsidRPr="00305D32">
        <w:rPr>
          <w:lang w:val="es-MX"/>
        </w:rPr>
        <w:t xml:space="preserve">Figura </w:t>
      </w:r>
      <w:r w:rsidR="002A0413" w:rsidRPr="00305D32">
        <w:rPr>
          <w:lang w:val="es-MX"/>
        </w:rPr>
        <w:fldChar w:fldCharType="begin"/>
      </w:r>
      <w:r w:rsidR="002A0413" w:rsidRPr="00305D32">
        <w:rPr>
          <w:lang w:val="es-MX"/>
        </w:rPr>
        <w:instrText xml:space="preserve"> SEQ Figura \* ARABIC </w:instrText>
      </w:r>
      <w:r w:rsidR="002A0413" w:rsidRPr="00305D32">
        <w:rPr>
          <w:lang w:val="es-MX"/>
        </w:rPr>
        <w:fldChar w:fldCharType="separate"/>
      </w:r>
      <w:r w:rsidR="00ED1F2F">
        <w:rPr>
          <w:noProof/>
          <w:lang w:val="es-MX"/>
        </w:rPr>
        <w:t>42</w:t>
      </w:r>
      <w:r w:rsidR="002A0413" w:rsidRPr="00305D32">
        <w:rPr>
          <w:lang w:val="es-MX"/>
        </w:rPr>
        <w:fldChar w:fldCharType="end"/>
      </w:r>
      <w:bookmarkEnd w:id="126"/>
      <w:r w:rsidRPr="00305D32">
        <w:rPr>
          <w:color w:val="000000"/>
          <w:lang w:val="es-MX"/>
        </w:rPr>
        <w:t xml:space="preserve">. Deuda pública en Quintana Roo según sujeto obligado, en millones de pesos corrientes, </w:t>
      </w:r>
      <w:r w:rsidRPr="001E487D">
        <w:rPr>
          <w:color w:val="000000"/>
          <w:lang w:val="es-MX"/>
        </w:rPr>
        <w:t>201</w:t>
      </w:r>
      <w:r w:rsidR="00595D20" w:rsidRPr="00F556EE">
        <w:rPr>
          <w:color w:val="000000"/>
          <w:lang w:val="es-MX"/>
        </w:rPr>
        <w:t>9</w:t>
      </w:r>
      <w:r w:rsidRPr="00F556EE">
        <w:rPr>
          <w:color w:val="000000"/>
          <w:lang w:val="es-MX"/>
        </w:rPr>
        <w:t>-202</w:t>
      </w:r>
      <w:r w:rsidR="00595D20" w:rsidRPr="00F556EE">
        <w:rPr>
          <w:color w:val="000000"/>
          <w:lang w:val="es-MX"/>
        </w:rPr>
        <w:t>5</w:t>
      </w:r>
      <w:r w:rsidRPr="00F556EE">
        <w:rPr>
          <w:color w:val="000000"/>
          <w:lang w:val="es-MX"/>
        </w:rPr>
        <w:t xml:space="preserve"> T</w:t>
      </w:r>
      <w:r w:rsidR="008350DB" w:rsidRPr="00F556EE">
        <w:rPr>
          <w:color w:val="000000"/>
          <w:lang w:val="es-MX"/>
        </w:rPr>
        <w:t>2</w:t>
      </w:r>
    </w:p>
    <w:p w14:paraId="6977CDA7" w14:textId="1BAFD72D" w:rsidR="00B97A37" w:rsidRPr="00305D32" w:rsidRDefault="0010443D">
      <w:pPr>
        <w:spacing w:after="0"/>
        <w:rPr>
          <w:lang w:val="es-MX"/>
        </w:rPr>
      </w:pPr>
      <w:r w:rsidRPr="00305D32">
        <w:rPr>
          <w:noProof/>
          <w:lang w:val="es-MX" w:eastAsia="es-MX"/>
        </w:rPr>
        <w:drawing>
          <wp:inline distT="0" distB="0" distL="0" distR="0" wp14:anchorId="43DE9404" wp14:editId="46BF276A">
            <wp:extent cx="5752800" cy="2685600"/>
            <wp:effectExtent l="0" t="0" r="635" b="635"/>
            <wp:docPr id="448125631" name="Gráfico 1">
              <a:extLst xmlns:a="http://schemas.openxmlformats.org/drawingml/2006/main">
                <a:ext uri="{FF2B5EF4-FFF2-40B4-BE49-F238E27FC236}">
                  <a16:creationId xmlns:a16="http://schemas.microsoft.com/office/drawing/2014/main" id="{BEF4A612-19C9-4042-B7E2-979546F79F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D083727" w14:textId="419FE133" w:rsidR="00AE57F0" w:rsidRPr="00305D32" w:rsidRDefault="00414F7C">
      <w:pPr>
        <w:spacing w:line="240" w:lineRule="auto"/>
        <w:jc w:val="center"/>
        <w:rPr>
          <w:i/>
          <w:sz w:val="20"/>
          <w:szCs w:val="20"/>
          <w:lang w:val="es-MX"/>
        </w:rPr>
      </w:pPr>
      <w:r w:rsidRPr="00305D32">
        <w:rPr>
          <w:sz w:val="20"/>
          <w:szCs w:val="20"/>
          <w:lang w:val="es-MX"/>
        </w:rPr>
        <w:t>Fuente: Elaboración de la Subsecretaría de Análisis Económico y Finanzas Públicas de la Secretaría de Finanzas y Planeación, con base en datos del Registro Público Único de la Secretaría de Hacienda y Crédito Público (202</w:t>
      </w:r>
      <w:r w:rsidR="00F632D6" w:rsidRPr="00305D32">
        <w:rPr>
          <w:sz w:val="20"/>
          <w:szCs w:val="20"/>
          <w:lang w:val="es-MX"/>
        </w:rPr>
        <w:t>5</w:t>
      </w:r>
      <w:r w:rsidRPr="00305D32">
        <w:rPr>
          <w:sz w:val="20"/>
          <w:szCs w:val="20"/>
          <w:lang w:val="es-MX"/>
        </w:rPr>
        <w:t>)</w:t>
      </w:r>
      <w:r w:rsidRPr="00305D32">
        <w:rPr>
          <w:i/>
          <w:sz w:val="20"/>
          <w:szCs w:val="20"/>
          <w:lang w:val="es-MX"/>
        </w:rPr>
        <w:t>.</w:t>
      </w:r>
    </w:p>
    <w:p w14:paraId="10CCE112" w14:textId="1458D8E7" w:rsidR="00707503" w:rsidRDefault="00B06D00" w:rsidP="00B06D00">
      <w:pPr>
        <w:rPr>
          <w:lang w:val="es-MX"/>
        </w:rPr>
      </w:pPr>
      <w:r w:rsidRPr="00305D32">
        <w:rPr>
          <w:lang w:val="es-MX"/>
        </w:rPr>
        <w:t>La deuda directa (</w:t>
      </w:r>
      <w:r w:rsidR="006C237D" w:rsidRPr="00305D32">
        <w:rPr>
          <w:b/>
          <w:color w:val="000000"/>
          <w:lang w:val="es-MX"/>
        </w:rPr>
        <w:fldChar w:fldCharType="begin"/>
      </w:r>
      <w:r w:rsidR="006C237D" w:rsidRPr="00305D32">
        <w:rPr>
          <w:lang w:val="es-MX"/>
        </w:rPr>
        <w:instrText xml:space="preserve"> REF _Ref210296834 \h </w:instrText>
      </w:r>
      <w:r w:rsidR="006C237D" w:rsidRPr="00305D32">
        <w:rPr>
          <w:b/>
          <w:color w:val="000000"/>
          <w:lang w:val="es-MX"/>
        </w:rPr>
      </w:r>
      <w:r w:rsidR="006C237D" w:rsidRPr="00305D32">
        <w:rPr>
          <w:b/>
          <w:color w:val="000000"/>
          <w:lang w:val="es-MX"/>
        </w:rPr>
        <w:fldChar w:fldCharType="separate"/>
      </w:r>
      <w:r w:rsidR="00ED1F2F" w:rsidRPr="00305D32">
        <w:rPr>
          <w:lang w:val="es-MX"/>
        </w:rPr>
        <w:t xml:space="preserve">Figura </w:t>
      </w:r>
      <w:r w:rsidR="00ED1F2F">
        <w:rPr>
          <w:noProof/>
          <w:lang w:val="es-MX"/>
        </w:rPr>
        <w:t>43</w:t>
      </w:r>
      <w:r w:rsidR="006C237D" w:rsidRPr="00305D32">
        <w:rPr>
          <w:b/>
          <w:color w:val="000000"/>
          <w:lang w:val="es-MX"/>
        </w:rPr>
        <w:fldChar w:fldCharType="end"/>
      </w:r>
      <w:r w:rsidRPr="00305D32">
        <w:rPr>
          <w:lang w:val="es-MX"/>
        </w:rPr>
        <w:t xml:space="preserve">) </w:t>
      </w:r>
      <w:r w:rsidR="00707503" w:rsidRPr="00707503">
        <w:rPr>
          <w:lang w:val="es-MX"/>
        </w:rPr>
        <w:t>está integrada por la</w:t>
      </w:r>
      <w:r w:rsidR="00707503">
        <w:rPr>
          <w:lang w:val="es-MX"/>
        </w:rPr>
        <w:t>s</w:t>
      </w:r>
      <w:r w:rsidR="00707503" w:rsidRPr="00707503">
        <w:rPr>
          <w:lang w:val="es-MX"/>
        </w:rPr>
        <w:t xml:space="preserve"> </w:t>
      </w:r>
      <w:r w:rsidR="00707503">
        <w:rPr>
          <w:lang w:val="es-MX"/>
        </w:rPr>
        <w:t>obligaciones</w:t>
      </w:r>
      <w:r w:rsidR="00707503" w:rsidRPr="00707503">
        <w:rPr>
          <w:lang w:val="es-MX"/>
        </w:rPr>
        <w:t xml:space="preserve"> de largo y corto plazo. La deuda de largo plazo disminuyó en</w:t>
      </w:r>
      <w:r w:rsidR="001E487D">
        <w:rPr>
          <w:lang w:val="es-MX"/>
        </w:rPr>
        <w:t xml:space="preserve"> </w:t>
      </w:r>
      <w:r w:rsidR="00707503" w:rsidRPr="00707503">
        <w:rPr>
          <w:lang w:val="es-MX"/>
        </w:rPr>
        <w:t>63 millones de pesos entre 2018 y 2020, derivado del pago de amortizaciones; sin embargo, durante 2021 registró un incremento, para posteriormente reducirse a 21,396.1 millones de pesos al segundo trimestre de 2025.</w:t>
      </w:r>
    </w:p>
    <w:p w14:paraId="18607919" w14:textId="6A26737C" w:rsidR="00B06D00" w:rsidRPr="00305D32" w:rsidRDefault="00F34CBA" w:rsidP="00B06D00">
      <w:pPr>
        <w:rPr>
          <w:lang w:val="es-MX"/>
        </w:rPr>
      </w:pPr>
      <w:r w:rsidRPr="00F34CBA">
        <w:rPr>
          <w:lang w:val="es-MX"/>
        </w:rPr>
        <w:t xml:space="preserve">Por su parte, la deuda de corto plazo aumentó entre 2018 y 2020 debido a la contratación de financiamientos escalonados y, derivado de las estrategias implementadas por la actual administración, esta fue liquidada en su totalidad en </w:t>
      </w:r>
      <w:r w:rsidRPr="00F34CBA">
        <w:rPr>
          <w:lang w:val="es-MX"/>
        </w:rPr>
        <w:lastRenderedPageBreak/>
        <w:t>2023. Al corte del segundo trimestre de 2025, no se ha contratado deuda directa de corto plazo en el Estado</w:t>
      </w:r>
      <w:r w:rsidR="00B06D00" w:rsidRPr="00305D32">
        <w:rPr>
          <w:lang w:val="es-MX"/>
        </w:rPr>
        <w:t>.</w:t>
      </w:r>
    </w:p>
    <w:p w14:paraId="4D08372C" w14:textId="5DDC1E0C" w:rsidR="00AE57F0" w:rsidRPr="00305D32" w:rsidRDefault="00414F7C" w:rsidP="006C237D">
      <w:pPr>
        <w:pStyle w:val="Descripcin"/>
        <w:jc w:val="center"/>
        <w:rPr>
          <w:color w:val="000000"/>
          <w:lang w:val="es-MX"/>
        </w:rPr>
      </w:pPr>
      <w:bookmarkStart w:id="127" w:name="_Ref210296834"/>
      <w:r w:rsidRPr="00305D32">
        <w:rPr>
          <w:lang w:val="es-MX"/>
        </w:rPr>
        <w:t xml:space="preserve">Figura </w:t>
      </w:r>
      <w:r w:rsidR="006C237D" w:rsidRPr="00305D32">
        <w:rPr>
          <w:lang w:val="es-MX"/>
        </w:rPr>
        <w:fldChar w:fldCharType="begin"/>
      </w:r>
      <w:r w:rsidR="006C237D" w:rsidRPr="00305D32">
        <w:rPr>
          <w:lang w:val="es-MX"/>
        </w:rPr>
        <w:instrText xml:space="preserve"> SEQ Figura \* ARABIC </w:instrText>
      </w:r>
      <w:r w:rsidR="006C237D" w:rsidRPr="00305D32">
        <w:rPr>
          <w:lang w:val="es-MX"/>
        </w:rPr>
        <w:fldChar w:fldCharType="separate"/>
      </w:r>
      <w:r w:rsidR="00ED1F2F">
        <w:rPr>
          <w:noProof/>
          <w:lang w:val="es-MX"/>
        </w:rPr>
        <w:t>43</w:t>
      </w:r>
      <w:r w:rsidR="006C237D" w:rsidRPr="00305D32">
        <w:rPr>
          <w:lang w:val="es-MX"/>
        </w:rPr>
        <w:fldChar w:fldCharType="end"/>
      </w:r>
      <w:bookmarkEnd w:id="127"/>
      <w:r w:rsidRPr="00305D32">
        <w:rPr>
          <w:color w:val="000000"/>
          <w:lang w:val="es-MX"/>
        </w:rPr>
        <w:t>. Deuda directa en Quintana Roo por plazo, en millones de pesos corrientes, 201</w:t>
      </w:r>
      <w:r w:rsidR="00B225C7" w:rsidRPr="00305D32">
        <w:rPr>
          <w:color w:val="000000"/>
          <w:lang w:val="es-MX"/>
        </w:rPr>
        <w:t>9</w:t>
      </w:r>
      <w:r w:rsidRPr="00305D32">
        <w:rPr>
          <w:color w:val="000000"/>
          <w:lang w:val="es-MX"/>
        </w:rPr>
        <w:t>-202</w:t>
      </w:r>
      <w:r w:rsidR="00B225C7" w:rsidRPr="00305D32">
        <w:rPr>
          <w:color w:val="000000"/>
          <w:lang w:val="es-MX"/>
        </w:rPr>
        <w:t>5</w:t>
      </w:r>
      <w:r w:rsidRPr="00305D32">
        <w:rPr>
          <w:color w:val="000000"/>
          <w:lang w:val="es-MX"/>
        </w:rPr>
        <w:t xml:space="preserve"> T</w:t>
      </w:r>
      <w:r w:rsidR="0086271E" w:rsidRPr="00305D32">
        <w:rPr>
          <w:color w:val="000000"/>
          <w:lang w:val="es-MX"/>
        </w:rPr>
        <w:t>2</w:t>
      </w:r>
    </w:p>
    <w:p w14:paraId="11C79534" w14:textId="7F237CAB" w:rsidR="002537E6" w:rsidRPr="00305D32" w:rsidRDefault="002537E6" w:rsidP="00EA4758">
      <w:pPr>
        <w:spacing w:after="0"/>
        <w:jc w:val="center"/>
        <w:rPr>
          <w:lang w:val="es-MX"/>
        </w:rPr>
      </w:pPr>
      <w:r w:rsidRPr="00305D32">
        <w:rPr>
          <w:noProof/>
          <w:lang w:val="es-MX" w:eastAsia="es-MX"/>
        </w:rPr>
        <w:drawing>
          <wp:inline distT="0" distB="0" distL="0" distR="0" wp14:anchorId="0F72A8CE" wp14:editId="67449E1D">
            <wp:extent cx="5752465" cy="3099460"/>
            <wp:effectExtent l="0" t="0" r="635" b="5715"/>
            <wp:docPr id="849065309" name="Gráfico 1">
              <a:extLst xmlns:a="http://schemas.openxmlformats.org/drawingml/2006/main">
                <a:ext uri="{FF2B5EF4-FFF2-40B4-BE49-F238E27FC236}">
                  <a16:creationId xmlns:a16="http://schemas.microsoft.com/office/drawing/2014/main" id="{999F8CA3-90E6-4E12-B59A-CCB0F7325C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D08372E" w14:textId="718D5341" w:rsidR="00AE57F0" w:rsidRPr="00305D32" w:rsidRDefault="00414F7C">
      <w:pPr>
        <w:spacing w:line="240"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base en datos del Registro Público Único de la Secretaría de Hacienda y Crédito Público (202</w:t>
      </w:r>
      <w:r w:rsidR="00B06D00" w:rsidRPr="00305D32">
        <w:rPr>
          <w:sz w:val="20"/>
          <w:szCs w:val="20"/>
          <w:lang w:val="es-MX"/>
        </w:rPr>
        <w:t>5</w:t>
      </w:r>
      <w:r w:rsidRPr="00305D32">
        <w:rPr>
          <w:sz w:val="20"/>
          <w:szCs w:val="20"/>
          <w:lang w:val="es-MX"/>
        </w:rPr>
        <w:t>)</w:t>
      </w:r>
      <w:r w:rsidRPr="00305D32">
        <w:rPr>
          <w:i/>
          <w:sz w:val="20"/>
          <w:szCs w:val="20"/>
          <w:lang w:val="es-MX"/>
        </w:rPr>
        <w:t>.</w:t>
      </w:r>
    </w:p>
    <w:p w14:paraId="403F3803" w14:textId="2F6E4AD0" w:rsidR="00BA3C81" w:rsidRPr="00305D32" w:rsidRDefault="00A11C62" w:rsidP="00BA3C81">
      <w:pPr>
        <w:rPr>
          <w:lang w:val="es-MX"/>
        </w:rPr>
      </w:pPr>
      <w:r w:rsidRPr="00A11C62">
        <w:rPr>
          <w:lang w:val="es-MX"/>
        </w:rPr>
        <w:t>En relación con la deuda como proporción de los ingresos totales, se observa una reducción significativa, al pasar de 75.17</w:t>
      </w:r>
      <w:r w:rsidR="0019290E">
        <w:rPr>
          <w:lang w:val="es-MX"/>
        </w:rPr>
        <w:t xml:space="preserve"> %</w:t>
      </w:r>
      <w:r w:rsidRPr="00A11C62">
        <w:rPr>
          <w:lang w:val="es-MX"/>
        </w:rPr>
        <w:t xml:space="preserve"> en 2020 a 41.57</w:t>
      </w:r>
      <w:r w:rsidR="0019290E">
        <w:rPr>
          <w:lang w:val="es-MX"/>
        </w:rPr>
        <w:t xml:space="preserve"> %</w:t>
      </w:r>
      <w:r w:rsidRPr="00A11C62">
        <w:rPr>
          <w:lang w:val="es-MX"/>
        </w:rPr>
        <w:t xml:space="preserve"> al segundo trimestre de 2025. Tomando como referencia 2022, año de inicio de la actual administración, la deuda como porcentaje de los ingresos a disminuido en 18.91</w:t>
      </w:r>
      <w:r w:rsidR="0019290E">
        <w:rPr>
          <w:lang w:val="es-MX"/>
        </w:rPr>
        <w:t xml:space="preserve"> %</w:t>
      </w:r>
      <w:r w:rsidRPr="00A11C62">
        <w:rPr>
          <w:lang w:val="es-MX"/>
        </w:rPr>
        <w:t xml:space="preserve"> al segundo trimestre de 2025. Este comportamiento refleja una mejora en la capacidad de pago del Gobierno del Estado de Quintana Roo, tal como se muestra en la</w:t>
      </w:r>
      <w:r w:rsidR="00BA3C81" w:rsidRPr="00305D32">
        <w:rPr>
          <w:lang w:val="es-MX"/>
        </w:rPr>
        <w:t xml:space="preserve"> </w:t>
      </w:r>
      <w:r w:rsidR="006C237D" w:rsidRPr="00305D32">
        <w:rPr>
          <w:lang w:val="es-MX"/>
        </w:rPr>
        <w:fldChar w:fldCharType="begin"/>
      </w:r>
      <w:r w:rsidR="006C237D" w:rsidRPr="00305D32">
        <w:rPr>
          <w:lang w:val="es-MX"/>
        </w:rPr>
        <w:instrText xml:space="preserve"> REF _Ref210296864 \h </w:instrText>
      </w:r>
      <w:r w:rsidR="006C237D" w:rsidRPr="00305D32">
        <w:rPr>
          <w:lang w:val="es-MX"/>
        </w:rPr>
      </w:r>
      <w:r w:rsidR="006C237D" w:rsidRPr="00305D32">
        <w:rPr>
          <w:lang w:val="es-MX"/>
        </w:rPr>
        <w:fldChar w:fldCharType="separate"/>
      </w:r>
      <w:r w:rsidR="00ED1F2F" w:rsidRPr="00305D32">
        <w:rPr>
          <w:lang w:val="es-MX"/>
        </w:rPr>
        <w:t xml:space="preserve">Figura </w:t>
      </w:r>
      <w:r w:rsidR="00ED1F2F">
        <w:rPr>
          <w:noProof/>
          <w:lang w:val="es-MX"/>
        </w:rPr>
        <w:t>44</w:t>
      </w:r>
      <w:r w:rsidR="006C237D" w:rsidRPr="00305D32">
        <w:rPr>
          <w:lang w:val="es-MX"/>
        </w:rPr>
        <w:fldChar w:fldCharType="end"/>
      </w:r>
      <w:r w:rsidR="00BA3C81" w:rsidRPr="00305D32">
        <w:rPr>
          <w:lang w:val="es-MX"/>
        </w:rPr>
        <w:t>.</w:t>
      </w:r>
    </w:p>
    <w:p w14:paraId="200CACDD" w14:textId="77777777" w:rsidR="00DB722F" w:rsidRPr="00327AD1" w:rsidRDefault="00DB722F" w:rsidP="00BA3C81">
      <w:pPr>
        <w:rPr>
          <w:lang w:val="es-MX"/>
        </w:rPr>
      </w:pPr>
    </w:p>
    <w:p w14:paraId="4D083734" w14:textId="47C7A77F" w:rsidR="00AE57F0" w:rsidRPr="00305D32" w:rsidRDefault="00414F7C" w:rsidP="006C237D">
      <w:pPr>
        <w:pStyle w:val="Descripcin"/>
        <w:jc w:val="center"/>
        <w:rPr>
          <w:color w:val="000000"/>
          <w:lang w:val="es-MX"/>
        </w:rPr>
      </w:pPr>
      <w:bookmarkStart w:id="128" w:name="_heading=h.3u2rp3q" w:colFirst="0" w:colLast="0"/>
      <w:bookmarkStart w:id="129" w:name="_Ref210296864"/>
      <w:bookmarkEnd w:id="128"/>
      <w:r w:rsidRPr="00305D32">
        <w:rPr>
          <w:lang w:val="es-MX"/>
        </w:rPr>
        <w:lastRenderedPageBreak/>
        <w:t xml:space="preserve">Figura </w:t>
      </w:r>
      <w:r w:rsidR="006C237D" w:rsidRPr="00305D32">
        <w:rPr>
          <w:lang w:val="es-MX"/>
        </w:rPr>
        <w:fldChar w:fldCharType="begin"/>
      </w:r>
      <w:r w:rsidR="006C237D" w:rsidRPr="00305D32">
        <w:rPr>
          <w:lang w:val="es-MX"/>
        </w:rPr>
        <w:instrText xml:space="preserve"> SEQ Figura \* ARABIC </w:instrText>
      </w:r>
      <w:r w:rsidR="006C237D" w:rsidRPr="00305D32">
        <w:rPr>
          <w:lang w:val="es-MX"/>
        </w:rPr>
        <w:fldChar w:fldCharType="separate"/>
      </w:r>
      <w:r w:rsidR="00ED1F2F">
        <w:rPr>
          <w:noProof/>
          <w:lang w:val="es-MX"/>
        </w:rPr>
        <w:t>44</w:t>
      </w:r>
      <w:r w:rsidR="006C237D" w:rsidRPr="00305D32">
        <w:rPr>
          <w:lang w:val="es-MX"/>
        </w:rPr>
        <w:fldChar w:fldCharType="end"/>
      </w:r>
      <w:bookmarkEnd w:id="129"/>
      <w:r w:rsidRPr="00305D32">
        <w:rPr>
          <w:color w:val="000000"/>
          <w:lang w:val="es-MX"/>
        </w:rPr>
        <w:t>. Deuda pública en Quintana Roo como proporción de los ingresos totales, 2018-202</w:t>
      </w:r>
      <w:r w:rsidR="00A15F2A" w:rsidRPr="00305D32">
        <w:rPr>
          <w:color w:val="000000"/>
          <w:lang w:val="es-MX"/>
        </w:rPr>
        <w:t>5</w:t>
      </w:r>
      <w:r w:rsidRPr="00305D32">
        <w:rPr>
          <w:color w:val="000000"/>
          <w:lang w:val="es-MX"/>
        </w:rPr>
        <w:t xml:space="preserve"> T1</w:t>
      </w:r>
    </w:p>
    <w:p w14:paraId="02E28168" w14:textId="30EA25B9" w:rsidR="005129C9" w:rsidRPr="00305D32" w:rsidRDefault="005129C9" w:rsidP="00A15F2A">
      <w:pPr>
        <w:spacing w:after="0"/>
        <w:jc w:val="center"/>
        <w:rPr>
          <w:lang w:val="es-MX"/>
        </w:rPr>
      </w:pPr>
      <w:r w:rsidRPr="00305D32">
        <w:rPr>
          <w:noProof/>
          <w:lang w:val="es-MX" w:eastAsia="es-MX"/>
        </w:rPr>
        <w:drawing>
          <wp:inline distT="0" distB="0" distL="0" distR="0" wp14:anchorId="21B5F3DD" wp14:editId="67462C45">
            <wp:extent cx="5752800" cy="2743200"/>
            <wp:effectExtent l="0" t="0" r="635" b="0"/>
            <wp:docPr id="1447666514" name="Gráfico 1">
              <a:extLst xmlns:a="http://schemas.openxmlformats.org/drawingml/2006/main">
                <a:ext uri="{FF2B5EF4-FFF2-40B4-BE49-F238E27FC236}">
                  <a16:creationId xmlns:a16="http://schemas.microsoft.com/office/drawing/2014/main" id="{03EA8C45-1EB7-4FC1-B2F1-EF311F8D3A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D083736" w14:textId="24BF9B26" w:rsidR="00AE57F0" w:rsidRPr="00305D32" w:rsidRDefault="00414F7C">
      <w:pPr>
        <w:spacing w:line="240" w:lineRule="auto"/>
        <w:jc w:val="center"/>
        <w:rPr>
          <w:i/>
          <w:sz w:val="20"/>
          <w:szCs w:val="20"/>
          <w:lang w:val="es-MX"/>
        </w:rPr>
      </w:pPr>
      <w:r w:rsidRPr="00305D32">
        <w:rPr>
          <w:sz w:val="20"/>
          <w:szCs w:val="20"/>
          <w:lang w:val="es-MX"/>
        </w:rPr>
        <w:t xml:space="preserve"> Fuente: Elaboración de la Subsecretaría de Análisis Económico y Finanzas Públicas de la Secretaría de Finanzas y Planeación, con base en datos del Registro Público Único de la Secretaría de Hacienda y Crédito Público (202</w:t>
      </w:r>
      <w:r w:rsidR="00132D1C" w:rsidRPr="00305D32">
        <w:rPr>
          <w:sz w:val="20"/>
          <w:szCs w:val="20"/>
          <w:lang w:val="es-MX"/>
        </w:rPr>
        <w:t>5</w:t>
      </w:r>
      <w:r w:rsidRPr="00305D32">
        <w:rPr>
          <w:sz w:val="20"/>
          <w:szCs w:val="20"/>
          <w:lang w:val="es-MX"/>
        </w:rPr>
        <w:t>) y los Estados Analíticos del Ingreso de la Secretaría de Finanzas y Planeación (202</w:t>
      </w:r>
      <w:r w:rsidR="00132D1C" w:rsidRPr="00305D32">
        <w:rPr>
          <w:sz w:val="20"/>
          <w:szCs w:val="20"/>
          <w:lang w:val="es-MX"/>
        </w:rPr>
        <w:t>5</w:t>
      </w:r>
      <w:r w:rsidRPr="00305D32">
        <w:rPr>
          <w:sz w:val="20"/>
          <w:szCs w:val="20"/>
          <w:lang w:val="es-MX"/>
        </w:rPr>
        <w:t>)</w:t>
      </w:r>
      <w:r w:rsidRPr="00305D32">
        <w:rPr>
          <w:i/>
          <w:sz w:val="20"/>
          <w:szCs w:val="20"/>
          <w:lang w:val="es-MX"/>
        </w:rPr>
        <w:t>.</w:t>
      </w:r>
    </w:p>
    <w:p w14:paraId="635C59A8" w14:textId="426B68D7" w:rsidR="00B94663" w:rsidRPr="00305D32" w:rsidRDefault="00B94663" w:rsidP="00B94663">
      <w:pPr>
        <w:rPr>
          <w:lang w:val="es-MX"/>
        </w:rPr>
      </w:pPr>
      <w:r w:rsidRPr="00305D32">
        <w:rPr>
          <w:lang w:val="es-MX"/>
        </w:rPr>
        <w:t xml:space="preserve">Como se observa en la </w:t>
      </w:r>
      <w:r w:rsidR="009B00DA" w:rsidRPr="00305D32">
        <w:rPr>
          <w:lang w:val="es-MX"/>
        </w:rPr>
        <w:fldChar w:fldCharType="begin"/>
      </w:r>
      <w:r w:rsidR="009B00DA" w:rsidRPr="00305D32">
        <w:rPr>
          <w:lang w:val="es-MX"/>
        </w:rPr>
        <w:instrText xml:space="preserve"> REF _Ref210297214 \h </w:instrText>
      </w:r>
      <w:r w:rsidR="009B00DA" w:rsidRPr="00305D32">
        <w:rPr>
          <w:lang w:val="es-MX"/>
        </w:rPr>
      </w:r>
      <w:r w:rsidR="009B00DA" w:rsidRPr="00305D32">
        <w:rPr>
          <w:lang w:val="es-MX"/>
        </w:rPr>
        <w:fldChar w:fldCharType="separate"/>
      </w:r>
      <w:r w:rsidR="00ED1F2F" w:rsidRPr="00305D32">
        <w:rPr>
          <w:lang w:val="es-MX"/>
        </w:rPr>
        <w:t xml:space="preserve">Figura </w:t>
      </w:r>
      <w:r w:rsidR="00ED1F2F">
        <w:rPr>
          <w:noProof/>
          <w:lang w:val="es-MX"/>
        </w:rPr>
        <w:t>45</w:t>
      </w:r>
      <w:r w:rsidR="009B00DA" w:rsidRPr="00305D32">
        <w:rPr>
          <w:lang w:val="es-MX"/>
        </w:rPr>
        <w:fldChar w:fldCharType="end"/>
      </w:r>
      <w:r w:rsidR="0008195F">
        <w:rPr>
          <w:lang w:val="es-MX"/>
        </w:rPr>
        <w:t>,</w:t>
      </w:r>
      <w:r w:rsidRPr="00305D32">
        <w:rPr>
          <w:lang w:val="es-MX"/>
        </w:rPr>
        <w:t xml:space="preserve"> </w:t>
      </w:r>
      <w:r w:rsidR="0008195F" w:rsidRPr="0008195F">
        <w:rPr>
          <w:lang w:val="es-MX"/>
        </w:rPr>
        <w:t>durante el periodo de 2016 a 2022 la deuda per cápita registró un incremento sostenido, alcanzando una cifra de $14,878.56 pesos en este último año, siendo el pico más alto de la serie en análisis. En 2023 se observa una ligera reducción, situándose en $14,461.75 pesos, mientras que para al segundo trimestre de 2025 se presentó un incremento, alcanzando un monto de $15,309.62 pesos</w:t>
      </w:r>
      <w:r w:rsidRPr="00305D32">
        <w:rPr>
          <w:lang w:val="es-MX"/>
        </w:rPr>
        <w:t>.</w:t>
      </w:r>
      <w:bookmarkStart w:id="130" w:name="_heading=h.2981zbj" w:colFirst="0" w:colLast="0"/>
      <w:bookmarkEnd w:id="130"/>
    </w:p>
    <w:p w14:paraId="3AE6FF87" w14:textId="478A4AD0" w:rsidR="000B664F" w:rsidRPr="00305D32" w:rsidRDefault="006A41A7" w:rsidP="00B94663">
      <w:pPr>
        <w:rPr>
          <w:lang w:val="es-MX"/>
        </w:rPr>
      </w:pPr>
      <w:r w:rsidRPr="006A41A7">
        <w:rPr>
          <w:lang w:val="es-MX"/>
        </w:rPr>
        <w:t xml:space="preserve">El crecimiento de la deuda per cápita en términos reales, aun cuando la deuda total presenta una ligera reducción y la inflación ha incrementado, se explica principalmente por la disminución de la población registrada en los últimos años. Al repartirse la deuda entre un menor número de habitantes, el peso de la deuda por persona aumenta. Es decir, aunque el monto absoluto de la deuda disminuya, la reducción en la población provoca que cada individuo asuma proporcionalmente una </w:t>
      </w:r>
      <w:r w:rsidRPr="006A41A7">
        <w:rPr>
          <w:lang w:val="es-MX"/>
        </w:rPr>
        <w:lastRenderedPageBreak/>
        <w:t>mayor carga, lo que justifica el incremento sostenido de la deuda per cápita en valores constantes</w:t>
      </w:r>
      <w:r w:rsidR="000B664F" w:rsidRPr="00305D32">
        <w:rPr>
          <w:lang w:val="es-MX"/>
        </w:rPr>
        <w:t>.</w:t>
      </w:r>
    </w:p>
    <w:p w14:paraId="4D08373C" w14:textId="50521889" w:rsidR="00AE57F0" w:rsidRPr="00305D32" w:rsidRDefault="009B00DA" w:rsidP="009B00DA">
      <w:pPr>
        <w:pStyle w:val="Descripcin"/>
        <w:jc w:val="center"/>
        <w:rPr>
          <w:color w:val="000000"/>
          <w:lang w:val="es-MX"/>
        </w:rPr>
      </w:pPr>
      <w:bookmarkStart w:id="131" w:name="_Ref210297214"/>
      <w:r w:rsidRPr="00305D32">
        <w:rPr>
          <w:lang w:val="es-MX"/>
        </w:rPr>
        <w:t xml:space="preserve">Figura </w:t>
      </w:r>
      <w:r w:rsidRPr="00305D32">
        <w:rPr>
          <w:lang w:val="es-MX"/>
        </w:rPr>
        <w:fldChar w:fldCharType="begin"/>
      </w:r>
      <w:r w:rsidRPr="00305D32">
        <w:rPr>
          <w:lang w:val="es-MX"/>
        </w:rPr>
        <w:instrText xml:space="preserve"> SEQ Figura \* ARABIC </w:instrText>
      </w:r>
      <w:r w:rsidRPr="00305D32">
        <w:rPr>
          <w:lang w:val="es-MX"/>
        </w:rPr>
        <w:fldChar w:fldCharType="separate"/>
      </w:r>
      <w:r w:rsidR="00ED1F2F">
        <w:rPr>
          <w:noProof/>
          <w:lang w:val="es-MX"/>
        </w:rPr>
        <w:t>45</w:t>
      </w:r>
      <w:r w:rsidRPr="00305D32">
        <w:rPr>
          <w:lang w:val="es-MX"/>
        </w:rPr>
        <w:fldChar w:fldCharType="end"/>
      </w:r>
      <w:bookmarkEnd w:id="131"/>
      <w:r w:rsidR="00414F7C" w:rsidRPr="00305D32">
        <w:rPr>
          <w:color w:val="000000"/>
          <w:lang w:val="es-MX"/>
        </w:rPr>
        <w:t>. Deuda pública total per cápita en Quintana Roo 201</w:t>
      </w:r>
      <w:r w:rsidR="00942BD7" w:rsidRPr="00305D32">
        <w:rPr>
          <w:color w:val="000000"/>
          <w:lang w:val="es-MX"/>
        </w:rPr>
        <w:t>6</w:t>
      </w:r>
      <w:r w:rsidR="00414F7C" w:rsidRPr="00305D32">
        <w:rPr>
          <w:color w:val="000000"/>
          <w:lang w:val="es-MX"/>
        </w:rPr>
        <w:t>-202</w:t>
      </w:r>
      <w:r w:rsidR="00942BD7" w:rsidRPr="00305D32">
        <w:rPr>
          <w:color w:val="000000"/>
          <w:lang w:val="es-MX"/>
        </w:rPr>
        <w:t>5</w:t>
      </w:r>
      <w:r w:rsidR="00414F7C" w:rsidRPr="00305D32">
        <w:rPr>
          <w:color w:val="000000"/>
          <w:lang w:val="es-MX"/>
        </w:rPr>
        <w:t>, a precios constantes de 2018</w:t>
      </w:r>
    </w:p>
    <w:p w14:paraId="66A6ACD7" w14:textId="54597880" w:rsidR="001D79CF" w:rsidRPr="00305D32" w:rsidRDefault="004115A6" w:rsidP="003E68F0">
      <w:pPr>
        <w:spacing w:after="0"/>
        <w:rPr>
          <w:lang w:val="es-MX"/>
        </w:rPr>
      </w:pPr>
      <w:r w:rsidRPr="00305D32">
        <w:rPr>
          <w:noProof/>
          <w:lang w:val="es-MX" w:eastAsia="es-MX"/>
        </w:rPr>
        <w:drawing>
          <wp:inline distT="0" distB="0" distL="0" distR="0" wp14:anchorId="0770A883" wp14:editId="335D80B1">
            <wp:extent cx="5752465" cy="2495550"/>
            <wp:effectExtent l="0" t="0" r="635" b="0"/>
            <wp:docPr id="780711154" name="Gráfico 1">
              <a:extLst xmlns:a="http://schemas.openxmlformats.org/drawingml/2006/main">
                <a:ext uri="{FF2B5EF4-FFF2-40B4-BE49-F238E27FC236}">
                  <a16:creationId xmlns:a16="http://schemas.microsoft.com/office/drawing/2014/main" id="{67EF7455-DA19-40A7-8588-4E22B969BB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D08373E" w14:textId="22076AE6" w:rsidR="00AE57F0" w:rsidRPr="00305D32" w:rsidRDefault="00414F7C">
      <w:pPr>
        <w:spacing w:after="0" w:line="240" w:lineRule="auto"/>
        <w:jc w:val="center"/>
        <w:rPr>
          <w:lang w:val="es-MX"/>
        </w:rPr>
      </w:pPr>
      <w:r w:rsidRPr="00305D32">
        <w:rPr>
          <w:sz w:val="20"/>
          <w:szCs w:val="20"/>
          <w:lang w:val="es-MX"/>
        </w:rPr>
        <w:t>Fuente: Elaboración de la Subsecretaría de Análisis Económico y Finanzas Públicas de la Secretaría de Finanzas y Planeación, con base en datos del Registro Público Único de la Secretaría de Hacienda y Crédito Público (202</w:t>
      </w:r>
      <w:r w:rsidR="00942BD7" w:rsidRPr="00305D32">
        <w:rPr>
          <w:sz w:val="20"/>
          <w:szCs w:val="20"/>
          <w:lang w:val="es-MX"/>
        </w:rPr>
        <w:t>5</w:t>
      </w:r>
      <w:r w:rsidRPr="00305D32">
        <w:rPr>
          <w:sz w:val="20"/>
          <w:szCs w:val="20"/>
          <w:lang w:val="es-MX"/>
        </w:rPr>
        <w:t>), del Índice Nacional de Precios al Consumidor (INPC) y de la Encuesta</w:t>
      </w:r>
      <w:r w:rsidR="001324C3" w:rsidRPr="00305D32">
        <w:rPr>
          <w:sz w:val="20"/>
          <w:szCs w:val="20"/>
          <w:lang w:val="es-MX"/>
        </w:rPr>
        <w:t xml:space="preserve"> </w:t>
      </w:r>
      <w:r w:rsidRPr="00305D32">
        <w:rPr>
          <w:sz w:val="20"/>
          <w:szCs w:val="20"/>
          <w:lang w:val="es-MX"/>
        </w:rPr>
        <w:t>Nacional de Ocupación y Empleo (ENOE) del INEGI (202</w:t>
      </w:r>
      <w:r w:rsidR="00942BD7" w:rsidRPr="00305D32">
        <w:rPr>
          <w:sz w:val="20"/>
          <w:szCs w:val="20"/>
          <w:lang w:val="es-MX"/>
        </w:rPr>
        <w:t>5</w:t>
      </w:r>
      <w:r w:rsidRPr="00305D32">
        <w:rPr>
          <w:sz w:val="20"/>
          <w:szCs w:val="20"/>
          <w:lang w:val="es-MX"/>
        </w:rPr>
        <w:t>)</w:t>
      </w:r>
      <w:r w:rsidRPr="00305D32">
        <w:rPr>
          <w:i/>
          <w:lang w:val="es-MX"/>
        </w:rPr>
        <w:t>.</w:t>
      </w:r>
    </w:p>
    <w:p w14:paraId="4D08373F" w14:textId="0C2A2292" w:rsidR="00AE57F0" w:rsidRPr="00305D32" w:rsidRDefault="00414F7C">
      <w:pPr>
        <w:spacing w:after="0" w:line="240" w:lineRule="auto"/>
        <w:jc w:val="center"/>
        <w:rPr>
          <w:sz w:val="20"/>
          <w:szCs w:val="20"/>
          <w:lang w:val="es-MX"/>
        </w:rPr>
      </w:pPr>
      <w:r w:rsidRPr="00305D32">
        <w:rPr>
          <w:sz w:val="20"/>
          <w:szCs w:val="20"/>
          <w:lang w:val="es-MX"/>
        </w:rPr>
        <w:t>Nota: Los datos de 201</w:t>
      </w:r>
      <w:r w:rsidR="00744A29" w:rsidRPr="00305D32">
        <w:rPr>
          <w:sz w:val="20"/>
          <w:szCs w:val="20"/>
          <w:lang w:val="es-MX"/>
        </w:rPr>
        <w:t>6</w:t>
      </w:r>
      <w:r w:rsidRPr="00305D32">
        <w:rPr>
          <w:sz w:val="20"/>
          <w:szCs w:val="20"/>
          <w:lang w:val="es-MX"/>
        </w:rPr>
        <w:t xml:space="preserve"> a 202</w:t>
      </w:r>
      <w:r w:rsidR="00744A29" w:rsidRPr="00305D32">
        <w:rPr>
          <w:sz w:val="20"/>
          <w:szCs w:val="20"/>
          <w:lang w:val="es-MX"/>
        </w:rPr>
        <w:t>4</w:t>
      </w:r>
      <w:r w:rsidRPr="00305D32">
        <w:rPr>
          <w:sz w:val="20"/>
          <w:szCs w:val="20"/>
          <w:lang w:val="es-MX"/>
        </w:rPr>
        <w:t xml:space="preserve"> corresponden a los saldos del cuarto trimestre y el dato de 202</w:t>
      </w:r>
      <w:r w:rsidR="00942BD7" w:rsidRPr="00305D32">
        <w:rPr>
          <w:sz w:val="20"/>
          <w:szCs w:val="20"/>
          <w:lang w:val="es-MX"/>
        </w:rPr>
        <w:t>5</w:t>
      </w:r>
      <w:r w:rsidRPr="00305D32">
        <w:rPr>
          <w:sz w:val="20"/>
          <w:szCs w:val="20"/>
          <w:lang w:val="es-MX"/>
        </w:rPr>
        <w:t xml:space="preserve"> corresponde al saldo al </w:t>
      </w:r>
      <w:r w:rsidR="001324C3" w:rsidRPr="00305D32">
        <w:rPr>
          <w:sz w:val="20"/>
          <w:szCs w:val="20"/>
          <w:lang w:val="es-MX"/>
        </w:rPr>
        <w:t>segundo</w:t>
      </w:r>
      <w:r w:rsidRPr="00305D32">
        <w:rPr>
          <w:sz w:val="20"/>
          <w:szCs w:val="20"/>
          <w:lang w:val="es-MX"/>
        </w:rPr>
        <w:t xml:space="preserve"> trimestre.</w:t>
      </w:r>
    </w:p>
    <w:p w14:paraId="4D083740" w14:textId="77777777" w:rsidR="00AE57F0" w:rsidRPr="00305D32" w:rsidRDefault="00AE57F0">
      <w:pPr>
        <w:spacing w:after="0"/>
        <w:jc w:val="center"/>
        <w:rPr>
          <w:sz w:val="20"/>
          <w:szCs w:val="20"/>
          <w:lang w:val="es-MX"/>
        </w:rPr>
      </w:pPr>
    </w:p>
    <w:p w14:paraId="62613835" w14:textId="77777777" w:rsidR="00021197" w:rsidRPr="00021197" w:rsidRDefault="00021197" w:rsidP="00F556EE">
      <w:pPr>
        <w:widowControl w:val="0"/>
        <w:autoSpaceDE w:val="0"/>
        <w:autoSpaceDN w:val="0"/>
        <w:spacing w:after="0"/>
        <w:ind w:right="49"/>
        <w:rPr>
          <w:rFonts w:ascii="Arial MT" w:eastAsia="Arial MT" w:hAnsi="Arial MT" w:cs="Arial MT"/>
          <w:lang w:eastAsia="en-US"/>
        </w:rPr>
      </w:pPr>
      <w:bookmarkStart w:id="132" w:name="_Hlk212116749"/>
      <w:r w:rsidRPr="00021197">
        <w:rPr>
          <w:rFonts w:ascii="Arial MT" w:eastAsia="Arial MT" w:hAnsi="Arial MT" w:cs="Arial MT"/>
          <w:lang w:eastAsia="en-US"/>
        </w:rPr>
        <w:t>El Estado concluyó en abril de 2024 el proceso de refinanciamiento de la deuda</w:t>
      </w:r>
      <w:r w:rsidRPr="00021197">
        <w:rPr>
          <w:rFonts w:ascii="Arial MT" w:eastAsia="Arial MT" w:hAnsi="Arial MT" w:cs="Arial MT"/>
          <w:spacing w:val="-2"/>
          <w:lang w:eastAsia="en-US"/>
        </w:rPr>
        <w:t xml:space="preserve"> </w:t>
      </w:r>
      <w:r w:rsidRPr="00021197">
        <w:rPr>
          <w:rFonts w:ascii="Arial MT" w:eastAsia="Arial MT" w:hAnsi="Arial MT" w:cs="Arial MT"/>
          <w:lang w:eastAsia="en-US"/>
        </w:rPr>
        <w:t>de</w:t>
      </w:r>
      <w:r w:rsidRPr="00021197">
        <w:rPr>
          <w:rFonts w:ascii="Arial MT" w:eastAsia="Arial MT" w:hAnsi="Arial MT" w:cs="Arial MT"/>
          <w:spacing w:val="-2"/>
          <w:lang w:eastAsia="en-US"/>
        </w:rPr>
        <w:t xml:space="preserve"> </w:t>
      </w:r>
      <w:r w:rsidRPr="00021197">
        <w:rPr>
          <w:rFonts w:ascii="Arial MT" w:eastAsia="Arial MT" w:hAnsi="Arial MT" w:cs="Arial MT"/>
          <w:lang w:eastAsia="en-US"/>
        </w:rPr>
        <w:t>largo</w:t>
      </w:r>
      <w:r w:rsidRPr="00021197">
        <w:rPr>
          <w:rFonts w:ascii="Arial MT" w:eastAsia="Arial MT" w:hAnsi="Arial MT" w:cs="Arial MT"/>
          <w:spacing w:val="-2"/>
          <w:lang w:eastAsia="en-US"/>
        </w:rPr>
        <w:t xml:space="preserve"> </w:t>
      </w:r>
      <w:r w:rsidRPr="00021197">
        <w:rPr>
          <w:rFonts w:ascii="Arial MT" w:eastAsia="Arial MT" w:hAnsi="Arial MT" w:cs="Arial MT"/>
          <w:lang w:eastAsia="en-US"/>
        </w:rPr>
        <w:t>plazo,</w:t>
      </w:r>
      <w:r w:rsidRPr="00021197">
        <w:rPr>
          <w:rFonts w:ascii="Arial MT" w:eastAsia="Arial MT" w:hAnsi="Arial MT" w:cs="Arial MT"/>
          <w:spacing w:val="-4"/>
          <w:lang w:eastAsia="en-US"/>
        </w:rPr>
        <w:t xml:space="preserve"> </w:t>
      </w:r>
      <w:r w:rsidRPr="00021197">
        <w:rPr>
          <w:rFonts w:ascii="Arial MT" w:eastAsia="Arial MT" w:hAnsi="Arial MT" w:cs="Arial MT"/>
          <w:lang w:eastAsia="en-US"/>
        </w:rPr>
        <w:t>mediante el cual</w:t>
      </w:r>
      <w:r w:rsidRPr="00021197">
        <w:rPr>
          <w:rFonts w:ascii="Arial MT" w:eastAsia="Arial MT" w:hAnsi="Arial MT" w:cs="Arial MT"/>
          <w:spacing w:val="-4"/>
          <w:lang w:eastAsia="en-US"/>
        </w:rPr>
        <w:t xml:space="preserve"> </w:t>
      </w:r>
      <w:r w:rsidRPr="00021197">
        <w:rPr>
          <w:rFonts w:ascii="Arial MT" w:eastAsia="Arial MT" w:hAnsi="Arial MT" w:cs="Arial MT"/>
          <w:lang w:eastAsia="en-US"/>
        </w:rPr>
        <w:t>se</w:t>
      </w:r>
      <w:r w:rsidRPr="00021197">
        <w:rPr>
          <w:rFonts w:ascii="Arial MT" w:eastAsia="Arial MT" w:hAnsi="Arial MT" w:cs="Arial MT"/>
          <w:spacing w:val="-1"/>
          <w:lang w:eastAsia="en-US"/>
        </w:rPr>
        <w:t xml:space="preserve"> </w:t>
      </w:r>
      <w:r w:rsidRPr="00021197">
        <w:rPr>
          <w:rFonts w:ascii="Arial MT" w:eastAsia="Arial MT" w:hAnsi="Arial MT" w:cs="Arial MT"/>
          <w:lang w:eastAsia="en-US"/>
        </w:rPr>
        <w:t>redujo</w:t>
      </w:r>
      <w:r w:rsidRPr="00021197">
        <w:rPr>
          <w:rFonts w:ascii="Arial MT" w:eastAsia="Arial MT" w:hAnsi="Arial MT" w:cs="Arial MT"/>
          <w:spacing w:val="-4"/>
          <w:lang w:eastAsia="en-US"/>
        </w:rPr>
        <w:t xml:space="preserve"> </w:t>
      </w:r>
      <w:r w:rsidRPr="00021197">
        <w:rPr>
          <w:rFonts w:ascii="Arial MT" w:eastAsia="Arial MT" w:hAnsi="Arial MT" w:cs="Arial MT"/>
          <w:lang w:eastAsia="en-US"/>
        </w:rPr>
        <w:t>el</w:t>
      </w:r>
      <w:r w:rsidRPr="00021197">
        <w:rPr>
          <w:rFonts w:ascii="Arial MT" w:eastAsia="Arial MT" w:hAnsi="Arial MT" w:cs="Arial MT"/>
          <w:spacing w:val="-5"/>
          <w:lang w:eastAsia="en-US"/>
        </w:rPr>
        <w:t xml:space="preserve"> </w:t>
      </w:r>
      <w:r w:rsidRPr="00021197">
        <w:rPr>
          <w:rFonts w:ascii="Arial MT" w:eastAsia="Arial MT" w:hAnsi="Arial MT" w:cs="Arial MT"/>
          <w:lang w:eastAsia="en-US"/>
        </w:rPr>
        <w:t>número</w:t>
      </w:r>
      <w:r w:rsidRPr="00021197">
        <w:rPr>
          <w:rFonts w:ascii="Arial MT" w:eastAsia="Arial MT" w:hAnsi="Arial MT" w:cs="Arial MT"/>
          <w:spacing w:val="22"/>
          <w:lang w:eastAsia="en-US"/>
        </w:rPr>
        <w:t xml:space="preserve"> </w:t>
      </w:r>
      <w:r w:rsidRPr="00021197">
        <w:rPr>
          <w:rFonts w:ascii="Arial MT" w:eastAsia="Arial MT" w:hAnsi="Arial MT" w:cs="Arial MT"/>
          <w:lang w:eastAsia="en-US"/>
        </w:rPr>
        <w:t>de</w:t>
      </w:r>
      <w:r w:rsidRPr="00021197">
        <w:rPr>
          <w:rFonts w:ascii="Arial MT" w:eastAsia="Arial MT" w:hAnsi="Arial MT" w:cs="Arial MT"/>
          <w:spacing w:val="-13"/>
          <w:lang w:eastAsia="en-US"/>
        </w:rPr>
        <w:t xml:space="preserve"> </w:t>
      </w:r>
      <w:r w:rsidRPr="00021197">
        <w:rPr>
          <w:rFonts w:ascii="Arial MT" w:eastAsia="Arial MT" w:hAnsi="Arial MT" w:cs="Arial MT"/>
          <w:lang w:eastAsia="en-US"/>
        </w:rPr>
        <w:t>financiamientos</w:t>
      </w:r>
      <w:r w:rsidRPr="00021197">
        <w:rPr>
          <w:rFonts w:ascii="Arial MT" w:eastAsia="Arial MT" w:hAnsi="Arial MT" w:cs="Arial MT"/>
          <w:spacing w:val="-14"/>
          <w:lang w:eastAsia="en-US"/>
        </w:rPr>
        <w:t xml:space="preserve"> </w:t>
      </w:r>
      <w:r w:rsidRPr="00021197">
        <w:rPr>
          <w:rFonts w:ascii="Arial MT" w:eastAsia="Arial MT" w:hAnsi="Arial MT" w:cs="Arial MT"/>
          <w:lang w:eastAsia="en-US"/>
        </w:rPr>
        <w:t>de</w:t>
      </w:r>
      <w:r w:rsidRPr="00021197">
        <w:rPr>
          <w:rFonts w:ascii="Arial MT" w:eastAsia="Arial MT" w:hAnsi="Arial MT" w:cs="Arial MT"/>
          <w:spacing w:val="-16"/>
          <w:lang w:eastAsia="en-US"/>
        </w:rPr>
        <w:t xml:space="preserve"> </w:t>
      </w:r>
      <w:r w:rsidRPr="00021197">
        <w:rPr>
          <w:rFonts w:ascii="Arial MT" w:eastAsia="Arial MT" w:hAnsi="Arial MT" w:cs="Arial MT"/>
          <w:lang w:eastAsia="en-US"/>
        </w:rPr>
        <w:t>9</w:t>
      </w:r>
      <w:r w:rsidRPr="00021197">
        <w:rPr>
          <w:rFonts w:ascii="Arial MT" w:eastAsia="Arial MT" w:hAnsi="Arial MT" w:cs="Arial MT"/>
          <w:spacing w:val="-13"/>
          <w:lang w:eastAsia="en-US"/>
        </w:rPr>
        <w:t xml:space="preserve"> </w:t>
      </w:r>
      <w:r w:rsidRPr="00021197">
        <w:rPr>
          <w:rFonts w:ascii="Arial MT" w:eastAsia="Arial MT" w:hAnsi="Arial MT" w:cs="Arial MT"/>
          <w:lang w:eastAsia="en-US"/>
        </w:rPr>
        <w:t>a</w:t>
      </w:r>
      <w:r w:rsidRPr="00021197">
        <w:rPr>
          <w:rFonts w:ascii="Arial MT" w:eastAsia="Arial MT" w:hAnsi="Arial MT" w:cs="Arial MT"/>
          <w:spacing w:val="-13"/>
          <w:lang w:eastAsia="en-US"/>
        </w:rPr>
        <w:t xml:space="preserve"> </w:t>
      </w:r>
      <w:r w:rsidRPr="00021197">
        <w:rPr>
          <w:rFonts w:ascii="Arial MT" w:eastAsia="Arial MT" w:hAnsi="Arial MT" w:cs="Arial MT"/>
          <w:lang w:eastAsia="en-US"/>
        </w:rPr>
        <w:t>7</w:t>
      </w:r>
      <w:r w:rsidRPr="00021197">
        <w:rPr>
          <w:rFonts w:ascii="Arial MT" w:eastAsia="Arial MT" w:hAnsi="Arial MT" w:cs="Arial MT"/>
          <w:spacing w:val="-13"/>
          <w:lang w:eastAsia="en-US"/>
        </w:rPr>
        <w:t xml:space="preserve"> </w:t>
      </w:r>
      <w:r w:rsidRPr="00021197">
        <w:rPr>
          <w:rFonts w:ascii="Arial MT" w:eastAsia="Arial MT" w:hAnsi="Arial MT" w:cs="Arial MT"/>
          <w:lang w:eastAsia="en-US"/>
        </w:rPr>
        <w:t>y</w:t>
      </w:r>
      <w:r w:rsidRPr="00021197">
        <w:rPr>
          <w:rFonts w:ascii="Arial MT" w:eastAsia="Arial MT" w:hAnsi="Arial MT" w:cs="Arial MT"/>
          <w:spacing w:val="-14"/>
          <w:lang w:eastAsia="en-US"/>
        </w:rPr>
        <w:t xml:space="preserve"> </w:t>
      </w:r>
      <w:r w:rsidRPr="00021197">
        <w:rPr>
          <w:rFonts w:ascii="Arial MT" w:eastAsia="Arial MT" w:hAnsi="Arial MT" w:cs="Arial MT"/>
          <w:lang w:eastAsia="en-US"/>
        </w:rPr>
        <w:t>se amplió el plazo promedio de vencimiento de 2042 a 2050.</w:t>
      </w:r>
    </w:p>
    <w:p w14:paraId="46B64496" w14:textId="77777777" w:rsidR="00021197" w:rsidRPr="00021197" w:rsidRDefault="00021197" w:rsidP="00F556EE">
      <w:pPr>
        <w:widowControl w:val="0"/>
        <w:autoSpaceDE w:val="0"/>
        <w:autoSpaceDN w:val="0"/>
        <w:spacing w:before="261" w:after="0"/>
        <w:rPr>
          <w:rFonts w:ascii="Arial MT" w:eastAsia="Arial MT" w:hAnsi="Arial MT" w:cs="Arial MT"/>
          <w:lang w:eastAsia="en-US"/>
        </w:rPr>
      </w:pPr>
      <w:r w:rsidRPr="00021197">
        <w:rPr>
          <w:rFonts w:ascii="Arial MT" w:eastAsia="Arial MT" w:hAnsi="Arial MT" w:cs="Arial MT"/>
          <w:lang w:eastAsia="en-US"/>
        </w:rPr>
        <w:t>El</w:t>
      </w:r>
      <w:r w:rsidRPr="00021197">
        <w:rPr>
          <w:rFonts w:ascii="Arial MT" w:eastAsia="Arial MT" w:hAnsi="Arial MT" w:cs="Arial MT"/>
          <w:spacing w:val="-4"/>
          <w:lang w:eastAsia="en-US"/>
        </w:rPr>
        <w:t xml:space="preserve"> </w:t>
      </w:r>
      <w:r w:rsidRPr="00021197">
        <w:rPr>
          <w:rFonts w:ascii="Arial MT" w:eastAsia="Arial MT" w:hAnsi="Arial MT" w:cs="Arial MT"/>
          <w:lang w:eastAsia="en-US"/>
        </w:rPr>
        <w:t>refinanciamiento</w:t>
      </w:r>
      <w:r w:rsidRPr="00021197">
        <w:rPr>
          <w:rFonts w:ascii="Arial MT" w:eastAsia="Arial MT" w:hAnsi="Arial MT" w:cs="Arial MT"/>
          <w:spacing w:val="-4"/>
          <w:lang w:eastAsia="en-US"/>
        </w:rPr>
        <w:t xml:space="preserve"> </w:t>
      </w:r>
      <w:r w:rsidRPr="00021197">
        <w:rPr>
          <w:rFonts w:ascii="Arial MT" w:eastAsia="Arial MT" w:hAnsi="Arial MT" w:cs="Arial MT"/>
          <w:lang w:eastAsia="en-US"/>
        </w:rPr>
        <w:t>presenta</w:t>
      </w:r>
      <w:r w:rsidRPr="00021197">
        <w:rPr>
          <w:rFonts w:ascii="Arial MT" w:eastAsia="Arial MT" w:hAnsi="Arial MT" w:cs="Arial MT"/>
          <w:spacing w:val="-4"/>
          <w:lang w:eastAsia="en-US"/>
        </w:rPr>
        <w:t xml:space="preserve"> </w:t>
      </w:r>
      <w:r w:rsidRPr="00021197">
        <w:rPr>
          <w:rFonts w:ascii="Arial MT" w:eastAsia="Arial MT" w:hAnsi="Arial MT" w:cs="Arial MT"/>
          <w:lang w:eastAsia="en-US"/>
        </w:rPr>
        <w:t>diversas</w:t>
      </w:r>
      <w:r w:rsidRPr="00021197">
        <w:rPr>
          <w:rFonts w:ascii="Arial MT" w:eastAsia="Arial MT" w:hAnsi="Arial MT" w:cs="Arial MT"/>
          <w:spacing w:val="-3"/>
          <w:lang w:eastAsia="en-US"/>
        </w:rPr>
        <w:t xml:space="preserve"> </w:t>
      </w:r>
      <w:r w:rsidRPr="00021197">
        <w:rPr>
          <w:rFonts w:ascii="Arial MT" w:eastAsia="Arial MT" w:hAnsi="Arial MT" w:cs="Arial MT"/>
          <w:lang w:eastAsia="en-US"/>
        </w:rPr>
        <w:t>ventajas</w:t>
      </w:r>
      <w:r w:rsidRPr="00021197">
        <w:rPr>
          <w:rFonts w:ascii="Arial MT" w:eastAsia="Arial MT" w:hAnsi="Arial MT" w:cs="Arial MT"/>
          <w:spacing w:val="-5"/>
          <w:lang w:eastAsia="en-US"/>
        </w:rPr>
        <w:t xml:space="preserve"> </w:t>
      </w:r>
      <w:r w:rsidRPr="00021197">
        <w:rPr>
          <w:rFonts w:ascii="Arial MT" w:eastAsia="Arial MT" w:hAnsi="Arial MT" w:cs="Arial MT"/>
          <w:lang w:eastAsia="en-US"/>
        </w:rPr>
        <w:t>para</w:t>
      </w:r>
      <w:r w:rsidRPr="00021197">
        <w:rPr>
          <w:rFonts w:ascii="Arial MT" w:eastAsia="Arial MT" w:hAnsi="Arial MT" w:cs="Arial MT"/>
          <w:spacing w:val="-4"/>
          <w:lang w:eastAsia="en-US"/>
        </w:rPr>
        <w:t xml:space="preserve"> </w:t>
      </w:r>
      <w:r w:rsidRPr="00021197">
        <w:rPr>
          <w:rFonts w:ascii="Arial MT" w:eastAsia="Arial MT" w:hAnsi="Arial MT" w:cs="Arial MT"/>
          <w:lang w:eastAsia="en-US"/>
        </w:rPr>
        <w:t>el</w:t>
      </w:r>
      <w:r w:rsidRPr="00021197">
        <w:rPr>
          <w:rFonts w:ascii="Arial MT" w:eastAsia="Arial MT" w:hAnsi="Arial MT" w:cs="Arial MT"/>
          <w:spacing w:val="-5"/>
          <w:lang w:eastAsia="en-US"/>
        </w:rPr>
        <w:t xml:space="preserve"> </w:t>
      </w:r>
      <w:r w:rsidRPr="00021197">
        <w:rPr>
          <w:rFonts w:ascii="Arial MT" w:eastAsia="Arial MT" w:hAnsi="Arial MT" w:cs="Arial MT"/>
          <w:lang w:eastAsia="en-US"/>
        </w:rPr>
        <w:t>Estado,</w:t>
      </w:r>
      <w:r w:rsidRPr="00021197">
        <w:rPr>
          <w:rFonts w:ascii="Arial MT" w:eastAsia="Arial MT" w:hAnsi="Arial MT" w:cs="Arial MT"/>
          <w:spacing w:val="-3"/>
          <w:lang w:eastAsia="en-US"/>
        </w:rPr>
        <w:t xml:space="preserve"> </w:t>
      </w:r>
      <w:r w:rsidRPr="00021197">
        <w:rPr>
          <w:rFonts w:ascii="Arial MT" w:eastAsia="Arial MT" w:hAnsi="Arial MT" w:cs="Arial MT"/>
          <w:lang w:eastAsia="en-US"/>
        </w:rPr>
        <w:t>entre las que destacan</w:t>
      </w:r>
      <w:r w:rsidRPr="00021197">
        <w:rPr>
          <w:rFonts w:ascii="Arial MT" w:eastAsia="Arial MT" w:hAnsi="Arial MT" w:cs="Arial MT"/>
          <w:spacing w:val="-4"/>
          <w:lang w:eastAsia="en-US"/>
        </w:rPr>
        <w:t>:</w:t>
      </w:r>
    </w:p>
    <w:p w14:paraId="0E707BE9" w14:textId="40079342" w:rsidR="00DD1C96" w:rsidRPr="00021197" w:rsidRDefault="00021197" w:rsidP="00C82AC0">
      <w:pPr>
        <w:widowControl w:val="0"/>
        <w:numPr>
          <w:ilvl w:val="0"/>
          <w:numId w:val="11"/>
        </w:numPr>
        <w:tabs>
          <w:tab w:val="left" w:pos="981"/>
        </w:tabs>
        <w:autoSpaceDE w:val="0"/>
        <w:autoSpaceDN w:val="0"/>
        <w:spacing w:before="260" w:after="0"/>
        <w:ind w:left="981" w:right="701"/>
        <w:rPr>
          <w:rFonts w:ascii="Arial MT" w:eastAsia="Arial MT" w:hAnsi="Arial MT" w:cs="Arial MT"/>
          <w:szCs w:val="22"/>
          <w:lang w:eastAsia="en-US"/>
        </w:rPr>
      </w:pPr>
      <w:r w:rsidRPr="00021197">
        <w:rPr>
          <w:rFonts w:ascii="Arial MT" w:eastAsia="Arial MT" w:hAnsi="Arial MT" w:cs="Arial MT"/>
          <w:szCs w:val="22"/>
          <w:lang w:eastAsia="en-US"/>
        </w:rPr>
        <w:t>La</w:t>
      </w:r>
      <w:r w:rsidRPr="00021197">
        <w:rPr>
          <w:rFonts w:ascii="Arial MT" w:eastAsia="Arial MT" w:hAnsi="Arial MT" w:cs="Arial MT"/>
          <w:spacing w:val="33"/>
          <w:szCs w:val="22"/>
          <w:lang w:eastAsia="en-US"/>
        </w:rPr>
        <w:t xml:space="preserve"> </w:t>
      </w:r>
      <w:r w:rsidR="00260D1E">
        <w:rPr>
          <w:rFonts w:ascii="Arial MT" w:eastAsia="Arial MT" w:hAnsi="Arial MT" w:cs="Arial MT"/>
          <w:szCs w:val="22"/>
          <w:lang w:eastAsia="en-US"/>
        </w:rPr>
        <w:t>r</w:t>
      </w:r>
      <w:r w:rsidRPr="00021197">
        <w:rPr>
          <w:rFonts w:ascii="Arial MT" w:eastAsia="Arial MT" w:hAnsi="Arial MT" w:cs="Arial MT"/>
          <w:szCs w:val="22"/>
          <w:lang w:eastAsia="en-US"/>
        </w:rPr>
        <w:t>educción</w:t>
      </w:r>
      <w:r w:rsidRPr="00021197">
        <w:rPr>
          <w:rFonts w:ascii="Arial MT" w:eastAsia="Arial MT" w:hAnsi="Arial MT" w:cs="Arial MT"/>
          <w:spacing w:val="31"/>
          <w:szCs w:val="22"/>
          <w:lang w:eastAsia="en-US"/>
        </w:rPr>
        <w:t xml:space="preserve"> </w:t>
      </w:r>
      <w:r w:rsidRPr="00021197">
        <w:rPr>
          <w:rFonts w:ascii="Arial MT" w:eastAsia="Arial MT" w:hAnsi="Arial MT" w:cs="Arial MT"/>
          <w:szCs w:val="22"/>
          <w:lang w:eastAsia="en-US"/>
        </w:rPr>
        <w:t>de</w:t>
      </w:r>
      <w:r w:rsidRPr="00021197">
        <w:rPr>
          <w:rFonts w:ascii="Arial MT" w:eastAsia="Arial MT" w:hAnsi="Arial MT" w:cs="Arial MT"/>
          <w:spacing w:val="33"/>
          <w:szCs w:val="22"/>
          <w:lang w:eastAsia="en-US"/>
        </w:rPr>
        <w:t xml:space="preserve"> </w:t>
      </w:r>
      <w:r w:rsidRPr="00021197">
        <w:rPr>
          <w:rFonts w:ascii="Arial MT" w:eastAsia="Arial MT" w:hAnsi="Arial MT" w:cs="Arial MT"/>
          <w:szCs w:val="22"/>
          <w:lang w:eastAsia="en-US"/>
        </w:rPr>
        <w:t>la</w:t>
      </w:r>
      <w:r w:rsidRPr="00021197">
        <w:rPr>
          <w:rFonts w:ascii="Arial MT" w:eastAsia="Arial MT" w:hAnsi="Arial MT" w:cs="Arial MT"/>
          <w:spacing w:val="30"/>
          <w:szCs w:val="22"/>
          <w:lang w:eastAsia="en-US"/>
        </w:rPr>
        <w:t xml:space="preserve"> </w:t>
      </w:r>
      <w:r w:rsidRPr="00021197">
        <w:rPr>
          <w:rFonts w:ascii="Arial MT" w:eastAsia="Arial MT" w:hAnsi="Arial MT" w:cs="Arial MT"/>
          <w:szCs w:val="22"/>
          <w:lang w:eastAsia="en-US"/>
        </w:rPr>
        <w:t>sobretasa</w:t>
      </w:r>
      <w:r w:rsidRPr="00021197">
        <w:rPr>
          <w:rFonts w:ascii="Arial MT" w:eastAsia="Arial MT" w:hAnsi="Arial MT" w:cs="Arial MT"/>
          <w:spacing w:val="33"/>
          <w:szCs w:val="22"/>
          <w:lang w:eastAsia="en-US"/>
        </w:rPr>
        <w:t xml:space="preserve"> </w:t>
      </w:r>
      <w:r w:rsidRPr="00021197">
        <w:rPr>
          <w:rFonts w:ascii="Arial MT" w:eastAsia="Arial MT" w:hAnsi="Arial MT" w:cs="Arial MT"/>
          <w:szCs w:val="22"/>
          <w:lang w:eastAsia="en-US"/>
        </w:rPr>
        <w:t>de</w:t>
      </w:r>
      <w:r w:rsidRPr="00021197">
        <w:rPr>
          <w:rFonts w:ascii="Arial MT" w:eastAsia="Arial MT" w:hAnsi="Arial MT" w:cs="Arial MT"/>
          <w:spacing w:val="33"/>
          <w:szCs w:val="22"/>
          <w:lang w:eastAsia="en-US"/>
        </w:rPr>
        <w:t xml:space="preserve"> </w:t>
      </w:r>
      <w:r w:rsidRPr="00021197">
        <w:rPr>
          <w:rFonts w:ascii="Arial MT" w:eastAsia="Arial MT" w:hAnsi="Arial MT" w:cs="Arial MT"/>
          <w:szCs w:val="22"/>
          <w:lang w:eastAsia="en-US"/>
        </w:rPr>
        <w:t>interés</w:t>
      </w:r>
      <w:r w:rsidRPr="00021197">
        <w:rPr>
          <w:rFonts w:ascii="Arial MT" w:eastAsia="Arial MT" w:hAnsi="Arial MT" w:cs="Arial MT"/>
          <w:spacing w:val="32"/>
          <w:szCs w:val="22"/>
          <w:lang w:eastAsia="en-US"/>
        </w:rPr>
        <w:t xml:space="preserve"> </w:t>
      </w:r>
      <w:r w:rsidRPr="00021197">
        <w:rPr>
          <w:rFonts w:ascii="Arial MT" w:eastAsia="Arial MT" w:hAnsi="Arial MT" w:cs="Arial MT"/>
          <w:szCs w:val="22"/>
          <w:lang w:eastAsia="en-US"/>
        </w:rPr>
        <w:t>promedio</w:t>
      </w:r>
      <w:r w:rsidRPr="00021197">
        <w:rPr>
          <w:rFonts w:ascii="Arial MT" w:eastAsia="Arial MT" w:hAnsi="Arial MT" w:cs="Arial MT"/>
          <w:spacing w:val="30"/>
          <w:szCs w:val="22"/>
          <w:lang w:eastAsia="en-US"/>
        </w:rPr>
        <w:t xml:space="preserve"> </w:t>
      </w:r>
      <w:r w:rsidRPr="00021197">
        <w:rPr>
          <w:rFonts w:ascii="Arial MT" w:eastAsia="Arial MT" w:hAnsi="Arial MT" w:cs="Arial MT"/>
          <w:szCs w:val="22"/>
          <w:lang w:eastAsia="en-US"/>
        </w:rPr>
        <w:t>ponderada, que paso</w:t>
      </w:r>
      <w:r w:rsidRPr="00021197">
        <w:rPr>
          <w:rFonts w:ascii="Arial MT" w:eastAsia="Arial MT" w:hAnsi="Arial MT" w:cs="Arial MT"/>
          <w:spacing w:val="30"/>
          <w:szCs w:val="22"/>
          <w:lang w:eastAsia="en-US"/>
        </w:rPr>
        <w:t xml:space="preserve"> </w:t>
      </w:r>
      <w:r w:rsidRPr="00021197">
        <w:rPr>
          <w:rFonts w:ascii="Arial MT" w:eastAsia="Arial MT" w:hAnsi="Arial MT" w:cs="Arial MT"/>
          <w:szCs w:val="22"/>
          <w:lang w:eastAsia="en-US"/>
        </w:rPr>
        <w:t>del</w:t>
      </w:r>
      <w:r w:rsidRPr="00021197">
        <w:rPr>
          <w:rFonts w:ascii="Arial MT" w:eastAsia="Arial MT" w:hAnsi="Arial MT" w:cs="Arial MT"/>
          <w:spacing w:val="32"/>
          <w:szCs w:val="22"/>
          <w:lang w:eastAsia="en-US"/>
        </w:rPr>
        <w:t xml:space="preserve"> </w:t>
      </w:r>
      <w:r w:rsidRPr="00021197">
        <w:rPr>
          <w:rFonts w:ascii="Arial MT" w:eastAsia="Arial MT" w:hAnsi="Arial MT" w:cs="Arial MT"/>
          <w:szCs w:val="22"/>
          <w:lang w:eastAsia="en-US"/>
        </w:rPr>
        <w:t>0.57</w:t>
      </w:r>
      <w:r w:rsidR="0019290E">
        <w:rPr>
          <w:rFonts w:ascii="Arial MT" w:eastAsia="Arial MT" w:hAnsi="Arial MT" w:cs="Arial MT"/>
          <w:szCs w:val="22"/>
          <w:lang w:eastAsia="en-US"/>
        </w:rPr>
        <w:t xml:space="preserve"> %</w:t>
      </w:r>
      <w:r w:rsidRPr="00021197">
        <w:rPr>
          <w:rFonts w:ascii="Arial MT" w:eastAsia="Arial MT" w:hAnsi="Arial MT" w:cs="Arial MT"/>
          <w:spacing w:val="30"/>
          <w:szCs w:val="22"/>
          <w:lang w:eastAsia="en-US"/>
        </w:rPr>
        <w:t xml:space="preserve"> </w:t>
      </w:r>
      <w:r w:rsidRPr="00021197">
        <w:rPr>
          <w:rFonts w:ascii="Arial MT" w:eastAsia="Arial MT" w:hAnsi="Arial MT" w:cs="Arial MT"/>
          <w:szCs w:val="22"/>
          <w:lang w:eastAsia="en-US"/>
        </w:rPr>
        <w:t xml:space="preserve">a </w:t>
      </w:r>
      <w:r w:rsidRPr="00021197">
        <w:rPr>
          <w:rFonts w:ascii="Arial MT" w:eastAsia="Arial MT" w:hAnsi="Arial MT" w:cs="Arial MT"/>
          <w:spacing w:val="-2"/>
          <w:szCs w:val="22"/>
          <w:lang w:eastAsia="en-US"/>
        </w:rPr>
        <w:t>0.48</w:t>
      </w:r>
      <w:r w:rsidR="0019290E">
        <w:rPr>
          <w:rFonts w:ascii="Arial MT" w:eastAsia="Arial MT" w:hAnsi="Arial MT" w:cs="Arial MT"/>
          <w:spacing w:val="-2"/>
          <w:szCs w:val="22"/>
          <w:lang w:eastAsia="en-US"/>
        </w:rPr>
        <w:t xml:space="preserve"> %</w:t>
      </w:r>
      <w:r w:rsidRPr="00021197">
        <w:rPr>
          <w:rFonts w:ascii="Arial MT" w:eastAsia="Arial MT" w:hAnsi="Arial MT" w:cs="Arial MT"/>
          <w:spacing w:val="-2"/>
          <w:szCs w:val="22"/>
          <w:lang w:eastAsia="en-US"/>
        </w:rPr>
        <w:t>.</w:t>
      </w:r>
    </w:p>
    <w:p w14:paraId="0699B7D9" w14:textId="5D40F43C" w:rsidR="00021197" w:rsidRPr="00021197" w:rsidRDefault="00021197" w:rsidP="00C82AC0">
      <w:pPr>
        <w:widowControl w:val="0"/>
        <w:numPr>
          <w:ilvl w:val="0"/>
          <w:numId w:val="11"/>
        </w:numPr>
        <w:tabs>
          <w:tab w:val="left" w:pos="981"/>
        </w:tabs>
        <w:autoSpaceDE w:val="0"/>
        <w:autoSpaceDN w:val="0"/>
        <w:spacing w:before="26" w:after="0"/>
        <w:ind w:left="981" w:right="702"/>
        <w:rPr>
          <w:rFonts w:ascii="Arial MT" w:eastAsia="Arial MT" w:hAnsi="Arial MT" w:cs="Arial MT"/>
          <w:szCs w:val="22"/>
          <w:lang w:eastAsia="en-US"/>
        </w:rPr>
      </w:pPr>
      <w:r w:rsidRPr="00021197">
        <w:rPr>
          <w:rFonts w:ascii="Arial MT" w:eastAsia="Arial MT" w:hAnsi="Arial MT" w:cs="Arial MT"/>
          <w:szCs w:val="22"/>
          <w:lang w:eastAsia="en-US"/>
        </w:rPr>
        <w:t xml:space="preserve">La modificación de la curva de amortización, al transitar de un </w:t>
      </w:r>
      <w:r w:rsidRPr="00021197">
        <w:rPr>
          <w:rFonts w:ascii="Arial MT" w:eastAsia="Arial MT" w:hAnsi="Arial MT" w:cs="Arial MT"/>
          <w:szCs w:val="22"/>
          <w:lang w:eastAsia="en-US"/>
        </w:rPr>
        <w:lastRenderedPageBreak/>
        <w:t>modelo sigmoideo a uno creciente de 1.3</w:t>
      </w:r>
      <w:r w:rsidR="0019290E">
        <w:rPr>
          <w:rFonts w:ascii="Arial MT" w:eastAsia="Arial MT" w:hAnsi="Arial MT" w:cs="Arial MT"/>
          <w:szCs w:val="22"/>
          <w:lang w:eastAsia="en-US"/>
        </w:rPr>
        <w:t xml:space="preserve"> %</w:t>
      </w:r>
      <w:r w:rsidRPr="00021197">
        <w:rPr>
          <w:rFonts w:ascii="Arial MT" w:eastAsia="Arial MT" w:hAnsi="Arial MT" w:cs="Arial MT"/>
          <w:szCs w:val="22"/>
          <w:lang w:eastAsia="en-US"/>
        </w:rPr>
        <w:t>.</w:t>
      </w:r>
    </w:p>
    <w:p w14:paraId="16D78F02" w14:textId="77777777" w:rsidR="00DD1C96" w:rsidRDefault="00021197" w:rsidP="00C82AC0">
      <w:pPr>
        <w:widowControl w:val="0"/>
        <w:numPr>
          <w:ilvl w:val="0"/>
          <w:numId w:val="11"/>
        </w:numPr>
        <w:tabs>
          <w:tab w:val="left" w:pos="981"/>
        </w:tabs>
        <w:autoSpaceDE w:val="0"/>
        <w:autoSpaceDN w:val="0"/>
        <w:spacing w:before="199" w:after="0"/>
        <w:ind w:left="981" w:right="703"/>
        <w:rPr>
          <w:rFonts w:ascii="Arial MT" w:eastAsia="Arial MT" w:hAnsi="Arial MT" w:cs="Arial MT"/>
          <w:szCs w:val="22"/>
          <w:lang w:eastAsia="en-US"/>
        </w:rPr>
      </w:pPr>
      <w:r w:rsidRPr="00021197">
        <w:rPr>
          <w:rFonts w:ascii="Arial MT" w:eastAsia="Arial MT" w:hAnsi="Arial MT" w:cs="Arial MT"/>
          <w:szCs w:val="22"/>
          <w:lang w:eastAsia="en-US"/>
        </w:rPr>
        <w:t>La eliminación de la necesidad de contratar Garantías de Pago Oportuno (GPO) en los nuevos contratos de crédito, gracias a la solidez de la reestructura y a la fortaleza de las finanzas públicas estatales.</w:t>
      </w:r>
    </w:p>
    <w:p w14:paraId="75B9FA3B" w14:textId="3B53BF1D" w:rsidR="00021197" w:rsidRPr="00DD1C96" w:rsidRDefault="00021197" w:rsidP="00C82AC0">
      <w:pPr>
        <w:widowControl w:val="0"/>
        <w:numPr>
          <w:ilvl w:val="0"/>
          <w:numId w:val="11"/>
        </w:numPr>
        <w:tabs>
          <w:tab w:val="left" w:pos="981"/>
        </w:tabs>
        <w:autoSpaceDE w:val="0"/>
        <w:autoSpaceDN w:val="0"/>
        <w:spacing w:before="199" w:after="0"/>
        <w:ind w:left="981" w:right="703"/>
        <w:rPr>
          <w:rFonts w:ascii="Arial MT" w:eastAsia="Arial MT" w:hAnsi="Arial MT" w:cs="Arial MT"/>
          <w:szCs w:val="22"/>
          <w:lang w:eastAsia="en-US"/>
        </w:rPr>
      </w:pPr>
      <w:r w:rsidRPr="00DD1C96">
        <w:rPr>
          <w:rFonts w:ascii="Arial MT" w:eastAsia="Arial MT" w:hAnsi="Arial MT" w:cs="Arial MT"/>
          <w:szCs w:val="22"/>
          <w:lang w:eastAsia="en-US"/>
        </w:rPr>
        <w:t>Una mejor evaluación de los créditos nuevos por parte de las Agencias Calificadoras, alcanzando una calificación de AA+</w:t>
      </w:r>
      <w:bookmarkEnd w:id="132"/>
    </w:p>
    <w:p w14:paraId="73F4542E" w14:textId="77777777" w:rsidR="00021197" w:rsidRPr="00305D32" w:rsidRDefault="00021197" w:rsidP="00021197">
      <w:pPr>
        <w:pBdr>
          <w:top w:val="nil"/>
          <w:left w:val="nil"/>
          <w:bottom w:val="nil"/>
          <w:right w:val="nil"/>
          <w:between w:val="nil"/>
        </w:pBdr>
        <w:rPr>
          <w:lang w:val="es-MX"/>
        </w:rPr>
      </w:pPr>
    </w:p>
    <w:p w14:paraId="4D083748" w14:textId="154A2702" w:rsidR="00AE57F0" w:rsidRPr="00305D32" w:rsidRDefault="00414F7C" w:rsidP="005620E3">
      <w:pPr>
        <w:pStyle w:val="Descripcin"/>
        <w:jc w:val="center"/>
        <w:rPr>
          <w:color w:val="000000"/>
          <w:lang w:val="es-MX"/>
        </w:rPr>
      </w:pPr>
      <w:r w:rsidRPr="00305D32">
        <w:rPr>
          <w:lang w:val="es-MX"/>
        </w:rPr>
        <w:t xml:space="preserve">Tabla </w:t>
      </w:r>
      <w:r w:rsidR="005620E3" w:rsidRPr="00305D32">
        <w:rPr>
          <w:lang w:val="es-MX"/>
        </w:rPr>
        <w:fldChar w:fldCharType="begin"/>
      </w:r>
      <w:r w:rsidR="005620E3" w:rsidRPr="00305D32">
        <w:rPr>
          <w:lang w:val="es-MX"/>
        </w:rPr>
        <w:instrText xml:space="preserve"> SEQ Tabla \* ARABIC </w:instrText>
      </w:r>
      <w:r w:rsidR="005620E3" w:rsidRPr="00305D32">
        <w:rPr>
          <w:lang w:val="es-MX"/>
        </w:rPr>
        <w:fldChar w:fldCharType="separate"/>
      </w:r>
      <w:r w:rsidR="00ED1F2F">
        <w:rPr>
          <w:noProof/>
          <w:lang w:val="es-MX"/>
        </w:rPr>
        <w:t>19</w:t>
      </w:r>
      <w:r w:rsidR="005620E3" w:rsidRPr="00305D32">
        <w:rPr>
          <w:lang w:val="es-MX"/>
        </w:rPr>
        <w:fldChar w:fldCharType="end"/>
      </w:r>
      <w:r w:rsidRPr="00305D32">
        <w:rPr>
          <w:color w:val="000000"/>
          <w:lang w:val="es-MX"/>
        </w:rPr>
        <w:t>. Deuda Pública Bancaria Directa de Largo Plazo, saldos al 30 de junio de 202</w:t>
      </w:r>
      <w:r w:rsidR="00CC025D" w:rsidRPr="00305D32">
        <w:rPr>
          <w:color w:val="000000"/>
          <w:lang w:val="es-MX"/>
        </w:rPr>
        <w:t>5</w:t>
      </w:r>
      <w:r w:rsidRPr="00305D32">
        <w:rPr>
          <w:color w:val="000000"/>
          <w:lang w:val="es-MX"/>
        </w:rPr>
        <w:t>, millones de pesos</w:t>
      </w:r>
    </w:p>
    <w:tbl>
      <w:tblPr>
        <w:tblStyle w:val="af0"/>
        <w:tblW w:w="9121" w:type="dxa"/>
        <w:tblInd w:w="0" w:type="dxa"/>
        <w:tblLayout w:type="fixed"/>
        <w:tblLook w:val="0600" w:firstRow="0" w:lastRow="0" w:firstColumn="0" w:lastColumn="0" w:noHBand="1" w:noVBand="1"/>
      </w:tblPr>
      <w:tblGrid>
        <w:gridCol w:w="1689"/>
        <w:gridCol w:w="1837"/>
        <w:gridCol w:w="1501"/>
        <w:gridCol w:w="1228"/>
        <w:gridCol w:w="1646"/>
        <w:gridCol w:w="1220"/>
      </w:tblGrid>
      <w:tr w:rsidR="00AE57F0" w:rsidRPr="00305D32" w14:paraId="4D08374F" w14:textId="77777777">
        <w:trPr>
          <w:trHeight w:val="574"/>
        </w:trPr>
        <w:tc>
          <w:tcPr>
            <w:tcW w:w="1689" w:type="dxa"/>
            <w:tcBorders>
              <w:top w:val="single" w:sz="4" w:space="0" w:color="000000"/>
              <w:bottom w:val="single" w:sz="4" w:space="0" w:color="000000"/>
            </w:tcBorders>
            <w:shd w:val="clear" w:color="auto" w:fill="AB0A3D"/>
            <w:tcMar>
              <w:top w:w="10" w:type="dxa"/>
              <w:left w:w="10" w:type="dxa"/>
              <w:bottom w:w="0" w:type="dxa"/>
              <w:right w:w="10" w:type="dxa"/>
            </w:tcMar>
            <w:vAlign w:val="center"/>
          </w:tcPr>
          <w:p w14:paraId="4D083749" w14:textId="77777777" w:rsidR="00AE57F0" w:rsidRPr="00305D32" w:rsidRDefault="00414F7C">
            <w:pPr>
              <w:spacing w:after="0" w:line="240" w:lineRule="auto"/>
              <w:jc w:val="center"/>
              <w:rPr>
                <w:sz w:val="20"/>
                <w:szCs w:val="20"/>
                <w:lang w:val="es-MX"/>
              </w:rPr>
            </w:pPr>
            <w:r w:rsidRPr="00305D32">
              <w:rPr>
                <w:b/>
                <w:color w:val="FFFFFF"/>
                <w:sz w:val="20"/>
                <w:szCs w:val="20"/>
                <w:lang w:val="es-MX"/>
              </w:rPr>
              <w:t>Acreedor</w:t>
            </w:r>
          </w:p>
        </w:tc>
        <w:tc>
          <w:tcPr>
            <w:tcW w:w="1837" w:type="dxa"/>
            <w:tcBorders>
              <w:top w:val="single" w:sz="4" w:space="0" w:color="000000"/>
              <w:bottom w:val="single" w:sz="4" w:space="0" w:color="000000"/>
            </w:tcBorders>
            <w:shd w:val="clear" w:color="auto" w:fill="AB0A3D"/>
            <w:tcMar>
              <w:top w:w="10" w:type="dxa"/>
              <w:left w:w="10" w:type="dxa"/>
              <w:bottom w:w="0" w:type="dxa"/>
              <w:right w:w="10" w:type="dxa"/>
            </w:tcMar>
            <w:vAlign w:val="center"/>
          </w:tcPr>
          <w:p w14:paraId="4D08374A" w14:textId="77777777" w:rsidR="00AE57F0" w:rsidRPr="00305D32" w:rsidRDefault="00414F7C">
            <w:pPr>
              <w:spacing w:after="0" w:line="240" w:lineRule="auto"/>
              <w:jc w:val="center"/>
              <w:rPr>
                <w:sz w:val="20"/>
                <w:szCs w:val="20"/>
                <w:lang w:val="es-MX"/>
              </w:rPr>
            </w:pPr>
            <w:r w:rsidRPr="00305D32">
              <w:rPr>
                <w:b/>
                <w:color w:val="FFFFFF"/>
                <w:sz w:val="20"/>
                <w:szCs w:val="20"/>
                <w:lang w:val="es-MX"/>
              </w:rPr>
              <w:t>Fecha de Contratación</w:t>
            </w:r>
          </w:p>
        </w:tc>
        <w:tc>
          <w:tcPr>
            <w:tcW w:w="1501" w:type="dxa"/>
            <w:tcBorders>
              <w:top w:val="single" w:sz="4" w:space="0" w:color="000000"/>
              <w:bottom w:val="single" w:sz="4" w:space="0" w:color="000000"/>
            </w:tcBorders>
            <w:shd w:val="clear" w:color="auto" w:fill="AB0A3D"/>
            <w:tcMar>
              <w:top w:w="10" w:type="dxa"/>
              <w:left w:w="10" w:type="dxa"/>
              <w:bottom w:w="0" w:type="dxa"/>
              <w:right w:w="10" w:type="dxa"/>
            </w:tcMar>
            <w:vAlign w:val="center"/>
          </w:tcPr>
          <w:p w14:paraId="4D08374B" w14:textId="77777777" w:rsidR="00AE57F0" w:rsidRPr="00305D32" w:rsidRDefault="00414F7C">
            <w:pPr>
              <w:spacing w:after="0" w:line="240" w:lineRule="auto"/>
              <w:jc w:val="center"/>
              <w:rPr>
                <w:sz w:val="20"/>
                <w:szCs w:val="20"/>
                <w:lang w:val="es-MX"/>
              </w:rPr>
            </w:pPr>
            <w:r w:rsidRPr="00305D32">
              <w:rPr>
                <w:b/>
                <w:color w:val="FFFFFF"/>
                <w:sz w:val="20"/>
                <w:szCs w:val="20"/>
                <w:lang w:val="es-MX"/>
              </w:rPr>
              <w:t>Monto Contratado</w:t>
            </w:r>
          </w:p>
        </w:tc>
        <w:tc>
          <w:tcPr>
            <w:tcW w:w="1228" w:type="dxa"/>
            <w:tcBorders>
              <w:top w:val="single" w:sz="4" w:space="0" w:color="000000"/>
              <w:bottom w:val="single" w:sz="4" w:space="0" w:color="000000"/>
            </w:tcBorders>
            <w:shd w:val="clear" w:color="auto" w:fill="AB0A3D"/>
            <w:tcMar>
              <w:top w:w="10" w:type="dxa"/>
              <w:left w:w="10" w:type="dxa"/>
              <w:bottom w:w="0" w:type="dxa"/>
              <w:right w:w="10" w:type="dxa"/>
            </w:tcMar>
            <w:vAlign w:val="center"/>
          </w:tcPr>
          <w:p w14:paraId="4D08374C" w14:textId="77777777" w:rsidR="00AE57F0" w:rsidRPr="00305D32" w:rsidRDefault="00414F7C">
            <w:pPr>
              <w:spacing w:after="0" w:line="240" w:lineRule="auto"/>
              <w:jc w:val="center"/>
              <w:rPr>
                <w:sz w:val="20"/>
                <w:szCs w:val="20"/>
                <w:lang w:val="es-MX"/>
              </w:rPr>
            </w:pPr>
            <w:r w:rsidRPr="00305D32">
              <w:rPr>
                <w:b/>
                <w:color w:val="FFFFFF"/>
                <w:sz w:val="20"/>
                <w:szCs w:val="20"/>
                <w:lang w:val="es-MX"/>
              </w:rPr>
              <w:t>Saldo Jun 2024</w:t>
            </w:r>
          </w:p>
        </w:tc>
        <w:tc>
          <w:tcPr>
            <w:tcW w:w="1646" w:type="dxa"/>
            <w:tcBorders>
              <w:top w:val="single" w:sz="4" w:space="0" w:color="000000"/>
              <w:bottom w:val="single" w:sz="4" w:space="0" w:color="000000"/>
            </w:tcBorders>
            <w:shd w:val="clear" w:color="auto" w:fill="AB0A3D"/>
            <w:tcMar>
              <w:top w:w="10" w:type="dxa"/>
              <w:left w:w="10" w:type="dxa"/>
              <w:bottom w:w="0" w:type="dxa"/>
              <w:right w:w="10" w:type="dxa"/>
            </w:tcMar>
            <w:vAlign w:val="center"/>
          </w:tcPr>
          <w:p w14:paraId="4D08374D" w14:textId="77777777" w:rsidR="00AE57F0" w:rsidRPr="00305D32" w:rsidRDefault="00414F7C">
            <w:pPr>
              <w:spacing w:after="0" w:line="240" w:lineRule="auto"/>
              <w:jc w:val="center"/>
              <w:rPr>
                <w:sz w:val="20"/>
                <w:szCs w:val="20"/>
                <w:lang w:val="es-MX"/>
              </w:rPr>
            </w:pPr>
            <w:r w:rsidRPr="00305D32">
              <w:rPr>
                <w:b/>
                <w:color w:val="FFFFFF"/>
                <w:sz w:val="20"/>
                <w:szCs w:val="20"/>
                <w:lang w:val="es-MX"/>
              </w:rPr>
              <w:t>Plazo Restante (años)</w:t>
            </w:r>
          </w:p>
        </w:tc>
        <w:tc>
          <w:tcPr>
            <w:tcW w:w="1220" w:type="dxa"/>
            <w:tcBorders>
              <w:top w:val="single" w:sz="4" w:space="0" w:color="000000"/>
              <w:bottom w:val="single" w:sz="4" w:space="0" w:color="000000"/>
            </w:tcBorders>
            <w:shd w:val="clear" w:color="auto" w:fill="AB0A3D"/>
            <w:tcMar>
              <w:top w:w="10" w:type="dxa"/>
              <w:left w:w="10" w:type="dxa"/>
              <w:bottom w:w="0" w:type="dxa"/>
              <w:right w:w="10" w:type="dxa"/>
            </w:tcMar>
            <w:vAlign w:val="center"/>
          </w:tcPr>
          <w:p w14:paraId="4D08374E" w14:textId="3581C1C0" w:rsidR="00AE57F0" w:rsidRPr="00305D32" w:rsidRDefault="00414F7C">
            <w:pPr>
              <w:spacing w:after="0" w:line="240" w:lineRule="auto"/>
              <w:jc w:val="center"/>
              <w:rPr>
                <w:sz w:val="20"/>
                <w:szCs w:val="20"/>
                <w:lang w:val="es-MX"/>
              </w:rPr>
            </w:pPr>
            <w:r w:rsidRPr="00305D32">
              <w:rPr>
                <w:b/>
                <w:color w:val="FFFFFF"/>
                <w:sz w:val="20"/>
                <w:szCs w:val="20"/>
                <w:lang w:val="es-MX"/>
              </w:rPr>
              <w:t xml:space="preserve">Sobretasa </w:t>
            </w:r>
            <w:r w:rsidR="00F556EE" w:rsidRPr="00305D32">
              <w:rPr>
                <w:b/>
                <w:color w:val="FFFFFF"/>
                <w:sz w:val="20"/>
                <w:szCs w:val="20"/>
                <w:lang w:val="es-MX"/>
              </w:rPr>
              <w:t>(</w:t>
            </w:r>
            <w:r w:rsidR="00F556EE">
              <w:rPr>
                <w:b/>
                <w:color w:val="FFFFFF"/>
                <w:sz w:val="20"/>
                <w:szCs w:val="20"/>
                <w:lang w:val="es-MX"/>
              </w:rPr>
              <w:t>%</w:t>
            </w:r>
            <w:r w:rsidRPr="00305D32">
              <w:rPr>
                <w:b/>
                <w:color w:val="FFFFFF"/>
                <w:sz w:val="20"/>
                <w:szCs w:val="20"/>
                <w:lang w:val="es-MX"/>
              </w:rPr>
              <w:t>)</w:t>
            </w:r>
          </w:p>
        </w:tc>
      </w:tr>
      <w:tr w:rsidR="00AE57F0" w:rsidRPr="00305D32" w14:paraId="4D083756" w14:textId="77777777" w:rsidTr="008C0A4F">
        <w:trPr>
          <w:trHeight w:val="386"/>
        </w:trPr>
        <w:tc>
          <w:tcPr>
            <w:tcW w:w="1689" w:type="dxa"/>
            <w:tcBorders>
              <w:top w:val="single" w:sz="4" w:space="0" w:color="000000"/>
            </w:tcBorders>
            <w:tcMar>
              <w:top w:w="10" w:type="dxa"/>
              <w:left w:w="10" w:type="dxa"/>
              <w:bottom w:w="0" w:type="dxa"/>
              <w:right w:w="10" w:type="dxa"/>
            </w:tcMar>
            <w:vAlign w:val="center"/>
          </w:tcPr>
          <w:p w14:paraId="4D083750" w14:textId="77777777" w:rsidR="00AE57F0" w:rsidRPr="00305D32" w:rsidRDefault="00414F7C">
            <w:pPr>
              <w:spacing w:after="0" w:line="240" w:lineRule="auto"/>
              <w:jc w:val="left"/>
              <w:rPr>
                <w:b/>
                <w:sz w:val="20"/>
                <w:szCs w:val="20"/>
                <w:lang w:val="es-MX"/>
              </w:rPr>
            </w:pPr>
            <w:r w:rsidRPr="00305D32">
              <w:rPr>
                <w:b/>
                <w:sz w:val="20"/>
                <w:szCs w:val="20"/>
                <w:lang w:val="es-MX"/>
              </w:rPr>
              <w:t>Deuda Directa</w:t>
            </w:r>
          </w:p>
        </w:tc>
        <w:tc>
          <w:tcPr>
            <w:tcW w:w="1837" w:type="dxa"/>
            <w:tcBorders>
              <w:top w:val="single" w:sz="4" w:space="0" w:color="000000"/>
            </w:tcBorders>
            <w:tcMar>
              <w:top w:w="10" w:type="dxa"/>
              <w:left w:w="10" w:type="dxa"/>
              <w:bottom w:w="0" w:type="dxa"/>
              <w:right w:w="10" w:type="dxa"/>
            </w:tcMar>
            <w:vAlign w:val="center"/>
          </w:tcPr>
          <w:p w14:paraId="4D083751" w14:textId="77777777" w:rsidR="00AE57F0" w:rsidRPr="00305D32" w:rsidRDefault="00414F7C">
            <w:pPr>
              <w:spacing w:after="0" w:line="240" w:lineRule="auto"/>
              <w:jc w:val="center"/>
              <w:rPr>
                <w:b/>
                <w:sz w:val="20"/>
                <w:szCs w:val="20"/>
                <w:lang w:val="es-MX"/>
              </w:rPr>
            </w:pPr>
            <w:r w:rsidRPr="00305D32">
              <w:rPr>
                <w:b/>
                <w:sz w:val="20"/>
                <w:szCs w:val="20"/>
                <w:lang w:val="es-MX"/>
              </w:rPr>
              <w:t>-</w:t>
            </w:r>
          </w:p>
        </w:tc>
        <w:tc>
          <w:tcPr>
            <w:tcW w:w="1501" w:type="dxa"/>
            <w:tcBorders>
              <w:top w:val="single" w:sz="4" w:space="0" w:color="000000"/>
            </w:tcBorders>
            <w:tcMar>
              <w:top w:w="10" w:type="dxa"/>
              <w:left w:w="10" w:type="dxa"/>
              <w:bottom w:w="0" w:type="dxa"/>
              <w:right w:w="10" w:type="dxa"/>
            </w:tcMar>
            <w:vAlign w:val="center"/>
          </w:tcPr>
          <w:p w14:paraId="4D083752" w14:textId="7E9AA4B1" w:rsidR="00AE57F0" w:rsidRPr="00305D32" w:rsidRDefault="00414F7C" w:rsidP="009E56F8">
            <w:pPr>
              <w:spacing w:after="0" w:line="240" w:lineRule="auto"/>
              <w:jc w:val="right"/>
              <w:rPr>
                <w:b/>
                <w:sz w:val="20"/>
                <w:szCs w:val="20"/>
                <w:lang w:val="es-MX"/>
              </w:rPr>
            </w:pPr>
            <w:r w:rsidRPr="00305D32">
              <w:rPr>
                <w:b/>
                <w:sz w:val="20"/>
                <w:szCs w:val="20"/>
                <w:lang w:val="es-MX"/>
              </w:rPr>
              <w:t>19,</w:t>
            </w:r>
            <w:r w:rsidR="004E7CB0" w:rsidRPr="00305D32">
              <w:rPr>
                <w:b/>
                <w:sz w:val="20"/>
                <w:szCs w:val="20"/>
                <w:lang w:val="es-MX"/>
              </w:rPr>
              <w:t>306.77</w:t>
            </w:r>
          </w:p>
        </w:tc>
        <w:tc>
          <w:tcPr>
            <w:tcW w:w="1228" w:type="dxa"/>
            <w:tcBorders>
              <w:top w:val="single" w:sz="4" w:space="0" w:color="000000"/>
            </w:tcBorders>
            <w:tcMar>
              <w:top w:w="10" w:type="dxa"/>
              <w:left w:w="10" w:type="dxa"/>
              <w:bottom w:w="0" w:type="dxa"/>
              <w:right w:w="10" w:type="dxa"/>
            </w:tcMar>
            <w:vAlign w:val="center"/>
          </w:tcPr>
          <w:p w14:paraId="4D083753" w14:textId="467F65C8" w:rsidR="00AE57F0" w:rsidRPr="00305D32" w:rsidRDefault="00414F7C" w:rsidP="009E56F8">
            <w:pPr>
              <w:spacing w:after="0" w:line="240" w:lineRule="auto"/>
              <w:jc w:val="right"/>
              <w:rPr>
                <w:b/>
                <w:sz w:val="20"/>
                <w:szCs w:val="20"/>
                <w:lang w:val="es-MX"/>
              </w:rPr>
            </w:pPr>
            <w:r w:rsidRPr="00305D32">
              <w:rPr>
                <w:b/>
                <w:sz w:val="20"/>
                <w:szCs w:val="20"/>
                <w:lang w:val="es-MX"/>
              </w:rPr>
              <w:t>19,</w:t>
            </w:r>
            <w:r w:rsidR="004E7CB0" w:rsidRPr="00305D32">
              <w:rPr>
                <w:b/>
                <w:sz w:val="20"/>
                <w:szCs w:val="20"/>
                <w:lang w:val="es-MX"/>
              </w:rPr>
              <w:t>231.42</w:t>
            </w:r>
          </w:p>
        </w:tc>
        <w:tc>
          <w:tcPr>
            <w:tcW w:w="1646" w:type="dxa"/>
            <w:tcBorders>
              <w:top w:val="single" w:sz="4" w:space="0" w:color="000000"/>
            </w:tcBorders>
            <w:tcMar>
              <w:top w:w="10" w:type="dxa"/>
              <w:left w:w="10" w:type="dxa"/>
              <w:bottom w:w="0" w:type="dxa"/>
              <w:right w:w="10" w:type="dxa"/>
            </w:tcMar>
            <w:vAlign w:val="center"/>
          </w:tcPr>
          <w:p w14:paraId="4D083754" w14:textId="2070934F" w:rsidR="00AE57F0" w:rsidRPr="00305D32" w:rsidRDefault="00AE57F0">
            <w:pPr>
              <w:spacing w:after="0" w:line="240" w:lineRule="auto"/>
              <w:jc w:val="center"/>
              <w:rPr>
                <w:b/>
                <w:sz w:val="20"/>
                <w:szCs w:val="20"/>
                <w:lang w:val="es-MX"/>
              </w:rPr>
            </w:pPr>
          </w:p>
        </w:tc>
        <w:tc>
          <w:tcPr>
            <w:tcW w:w="1220" w:type="dxa"/>
            <w:tcBorders>
              <w:top w:val="single" w:sz="4" w:space="0" w:color="000000"/>
            </w:tcBorders>
            <w:tcMar>
              <w:top w:w="10" w:type="dxa"/>
              <w:left w:w="10" w:type="dxa"/>
              <w:bottom w:w="0" w:type="dxa"/>
              <w:right w:w="10" w:type="dxa"/>
            </w:tcMar>
            <w:vAlign w:val="center"/>
          </w:tcPr>
          <w:p w14:paraId="4D083755" w14:textId="19CFF586" w:rsidR="00AE57F0" w:rsidRPr="00305D32" w:rsidRDefault="00AE57F0">
            <w:pPr>
              <w:spacing w:after="0" w:line="240" w:lineRule="auto"/>
              <w:jc w:val="center"/>
              <w:rPr>
                <w:b/>
                <w:sz w:val="20"/>
                <w:szCs w:val="20"/>
                <w:lang w:val="es-MX"/>
              </w:rPr>
            </w:pPr>
          </w:p>
        </w:tc>
      </w:tr>
      <w:tr w:rsidR="00AE57F0" w:rsidRPr="00305D32" w14:paraId="4D08375D" w14:textId="77777777" w:rsidTr="008C0A4F">
        <w:trPr>
          <w:trHeight w:val="416"/>
        </w:trPr>
        <w:tc>
          <w:tcPr>
            <w:tcW w:w="1689" w:type="dxa"/>
            <w:tcMar>
              <w:top w:w="10" w:type="dxa"/>
              <w:left w:w="10" w:type="dxa"/>
              <w:bottom w:w="0" w:type="dxa"/>
              <w:right w:w="10" w:type="dxa"/>
            </w:tcMar>
            <w:vAlign w:val="center"/>
          </w:tcPr>
          <w:p w14:paraId="4D083757" w14:textId="77777777" w:rsidR="00AE57F0" w:rsidRPr="00305D32" w:rsidRDefault="00414F7C">
            <w:pPr>
              <w:spacing w:after="0" w:line="240" w:lineRule="auto"/>
              <w:jc w:val="left"/>
              <w:rPr>
                <w:b/>
                <w:sz w:val="20"/>
                <w:szCs w:val="20"/>
                <w:lang w:val="es-MX"/>
              </w:rPr>
            </w:pPr>
            <w:r w:rsidRPr="00305D32">
              <w:rPr>
                <w:b/>
                <w:sz w:val="20"/>
                <w:szCs w:val="20"/>
                <w:lang w:val="es-MX"/>
              </w:rPr>
              <w:t>Créditos de LP</w:t>
            </w:r>
          </w:p>
        </w:tc>
        <w:tc>
          <w:tcPr>
            <w:tcW w:w="1837" w:type="dxa"/>
            <w:tcMar>
              <w:top w:w="10" w:type="dxa"/>
              <w:left w:w="10" w:type="dxa"/>
              <w:bottom w:w="0" w:type="dxa"/>
              <w:right w:w="10" w:type="dxa"/>
            </w:tcMar>
            <w:vAlign w:val="center"/>
          </w:tcPr>
          <w:p w14:paraId="4D083758" w14:textId="77777777" w:rsidR="00AE57F0" w:rsidRPr="00305D32" w:rsidRDefault="00414F7C">
            <w:pPr>
              <w:spacing w:after="0" w:line="240" w:lineRule="auto"/>
              <w:jc w:val="center"/>
              <w:rPr>
                <w:b/>
                <w:sz w:val="20"/>
                <w:szCs w:val="20"/>
                <w:lang w:val="es-MX"/>
              </w:rPr>
            </w:pPr>
            <w:r w:rsidRPr="00305D32">
              <w:rPr>
                <w:b/>
                <w:sz w:val="20"/>
                <w:szCs w:val="20"/>
                <w:lang w:val="es-MX"/>
              </w:rPr>
              <w:t>-</w:t>
            </w:r>
          </w:p>
        </w:tc>
        <w:tc>
          <w:tcPr>
            <w:tcW w:w="1501" w:type="dxa"/>
            <w:tcMar>
              <w:top w:w="10" w:type="dxa"/>
              <w:left w:w="10" w:type="dxa"/>
              <w:bottom w:w="0" w:type="dxa"/>
              <w:right w:w="10" w:type="dxa"/>
            </w:tcMar>
            <w:vAlign w:val="center"/>
          </w:tcPr>
          <w:p w14:paraId="4D083759" w14:textId="0CBA6241" w:rsidR="00AE57F0" w:rsidRPr="00305D32" w:rsidRDefault="00414F7C" w:rsidP="009E56F8">
            <w:pPr>
              <w:spacing w:after="0" w:line="240" w:lineRule="auto"/>
              <w:jc w:val="right"/>
              <w:rPr>
                <w:b/>
                <w:sz w:val="20"/>
                <w:szCs w:val="20"/>
                <w:lang w:val="es-MX"/>
              </w:rPr>
            </w:pPr>
            <w:r w:rsidRPr="00305D32">
              <w:rPr>
                <w:b/>
                <w:sz w:val="20"/>
                <w:szCs w:val="20"/>
                <w:lang w:val="es-MX"/>
              </w:rPr>
              <w:t>19,</w:t>
            </w:r>
            <w:r w:rsidR="004E7CB0" w:rsidRPr="00305D32">
              <w:rPr>
                <w:b/>
                <w:sz w:val="20"/>
                <w:szCs w:val="20"/>
                <w:lang w:val="es-MX"/>
              </w:rPr>
              <w:t>306.77</w:t>
            </w:r>
          </w:p>
        </w:tc>
        <w:tc>
          <w:tcPr>
            <w:tcW w:w="1228" w:type="dxa"/>
            <w:tcMar>
              <w:top w:w="10" w:type="dxa"/>
              <w:left w:w="10" w:type="dxa"/>
              <w:bottom w:w="0" w:type="dxa"/>
              <w:right w:w="10" w:type="dxa"/>
            </w:tcMar>
            <w:vAlign w:val="center"/>
          </w:tcPr>
          <w:p w14:paraId="4D08375A" w14:textId="7E8E78F0" w:rsidR="00AE57F0" w:rsidRPr="00305D32" w:rsidRDefault="00414F7C" w:rsidP="009E56F8">
            <w:pPr>
              <w:spacing w:after="0" w:line="240" w:lineRule="auto"/>
              <w:jc w:val="right"/>
              <w:rPr>
                <w:b/>
                <w:sz w:val="20"/>
                <w:szCs w:val="20"/>
                <w:lang w:val="es-MX"/>
              </w:rPr>
            </w:pPr>
            <w:r w:rsidRPr="00305D32">
              <w:rPr>
                <w:b/>
                <w:sz w:val="20"/>
                <w:szCs w:val="20"/>
                <w:lang w:val="es-MX"/>
              </w:rPr>
              <w:t>19,</w:t>
            </w:r>
            <w:r w:rsidR="004E7CB0" w:rsidRPr="00305D32">
              <w:rPr>
                <w:b/>
                <w:sz w:val="20"/>
                <w:szCs w:val="20"/>
                <w:lang w:val="es-MX"/>
              </w:rPr>
              <w:t>231.42</w:t>
            </w:r>
          </w:p>
        </w:tc>
        <w:tc>
          <w:tcPr>
            <w:tcW w:w="1646" w:type="dxa"/>
            <w:tcMar>
              <w:top w:w="10" w:type="dxa"/>
              <w:left w:w="10" w:type="dxa"/>
              <w:bottom w:w="0" w:type="dxa"/>
              <w:right w:w="10" w:type="dxa"/>
            </w:tcMar>
            <w:vAlign w:val="center"/>
          </w:tcPr>
          <w:p w14:paraId="4D08375B" w14:textId="52C4DAF0" w:rsidR="00AE57F0" w:rsidRPr="00305D32" w:rsidRDefault="004E7CB0">
            <w:pPr>
              <w:spacing w:after="0" w:line="240" w:lineRule="auto"/>
              <w:jc w:val="center"/>
              <w:rPr>
                <w:b/>
                <w:sz w:val="20"/>
                <w:szCs w:val="20"/>
                <w:lang w:val="es-MX"/>
              </w:rPr>
            </w:pPr>
            <w:r w:rsidRPr="00305D32">
              <w:rPr>
                <w:b/>
                <w:sz w:val="20"/>
                <w:szCs w:val="20"/>
                <w:lang w:val="es-MX"/>
              </w:rPr>
              <w:t>24.71</w:t>
            </w:r>
          </w:p>
        </w:tc>
        <w:tc>
          <w:tcPr>
            <w:tcW w:w="1220" w:type="dxa"/>
            <w:tcMar>
              <w:top w:w="10" w:type="dxa"/>
              <w:left w:w="10" w:type="dxa"/>
              <w:bottom w:w="0" w:type="dxa"/>
              <w:right w:w="10" w:type="dxa"/>
            </w:tcMar>
            <w:vAlign w:val="center"/>
          </w:tcPr>
          <w:p w14:paraId="4D08375C" w14:textId="5B6D520F" w:rsidR="00AE57F0" w:rsidRPr="00305D32" w:rsidRDefault="00414F7C">
            <w:pPr>
              <w:spacing w:after="0" w:line="240" w:lineRule="auto"/>
              <w:jc w:val="center"/>
              <w:rPr>
                <w:b/>
                <w:sz w:val="20"/>
                <w:szCs w:val="20"/>
                <w:lang w:val="es-MX"/>
              </w:rPr>
            </w:pPr>
            <w:r w:rsidRPr="00305D32">
              <w:rPr>
                <w:b/>
                <w:sz w:val="20"/>
                <w:szCs w:val="20"/>
                <w:lang w:val="es-MX"/>
              </w:rPr>
              <w:t>0.</w:t>
            </w:r>
            <w:r w:rsidR="004E7CB0" w:rsidRPr="00305D32">
              <w:rPr>
                <w:b/>
                <w:sz w:val="20"/>
                <w:szCs w:val="20"/>
                <w:lang w:val="es-MX"/>
              </w:rPr>
              <w:t>48</w:t>
            </w:r>
            <w:r w:rsidR="0019290E">
              <w:rPr>
                <w:b/>
                <w:sz w:val="20"/>
                <w:szCs w:val="20"/>
                <w:lang w:val="es-MX"/>
              </w:rPr>
              <w:t xml:space="preserve"> %</w:t>
            </w:r>
          </w:p>
        </w:tc>
      </w:tr>
      <w:tr w:rsidR="00AE57F0" w:rsidRPr="00305D32" w14:paraId="4D083764" w14:textId="77777777">
        <w:trPr>
          <w:trHeight w:val="50"/>
        </w:trPr>
        <w:tc>
          <w:tcPr>
            <w:tcW w:w="1689" w:type="dxa"/>
            <w:tcMar>
              <w:top w:w="10" w:type="dxa"/>
              <w:left w:w="10" w:type="dxa"/>
              <w:bottom w:w="0" w:type="dxa"/>
              <w:right w:w="10" w:type="dxa"/>
            </w:tcMar>
            <w:vAlign w:val="center"/>
          </w:tcPr>
          <w:p w14:paraId="4D08375E" w14:textId="4C2FA7A1" w:rsidR="00AE57F0" w:rsidRPr="00305D32" w:rsidRDefault="004E7CB0">
            <w:pPr>
              <w:spacing w:after="0" w:line="240" w:lineRule="auto"/>
              <w:jc w:val="left"/>
              <w:rPr>
                <w:sz w:val="20"/>
                <w:szCs w:val="20"/>
                <w:lang w:val="es-MX"/>
              </w:rPr>
            </w:pPr>
            <w:r w:rsidRPr="00305D32">
              <w:rPr>
                <w:sz w:val="20"/>
                <w:szCs w:val="20"/>
                <w:lang w:val="es-MX"/>
              </w:rPr>
              <w:t xml:space="preserve">Banco Mercantil del Norte, S.A. </w:t>
            </w:r>
          </w:p>
        </w:tc>
        <w:tc>
          <w:tcPr>
            <w:tcW w:w="1837" w:type="dxa"/>
            <w:tcMar>
              <w:top w:w="10" w:type="dxa"/>
              <w:left w:w="10" w:type="dxa"/>
              <w:bottom w:w="0" w:type="dxa"/>
              <w:right w:w="10" w:type="dxa"/>
            </w:tcMar>
            <w:vAlign w:val="center"/>
          </w:tcPr>
          <w:p w14:paraId="4D08375F" w14:textId="77777777" w:rsidR="00AE57F0" w:rsidRPr="00305D32" w:rsidRDefault="00414F7C">
            <w:pPr>
              <w:spacing w:after="0" w:line="240" w:lineRule="auto"/>
              <w:jc w:val="center"/>
              <w:rPr>
                <w:sz w:val="20"/>
                <w:szCs w:val="20"/>
                <w:lang w:val="es-MX"/>
              </w:rPr>
            </w:pPr>
            <w:r w:rsidRPr="00305D32">
              <w:rPr>
                <w:sz w:val="20"/>
                <w:szCs w:val="20"/>
                <w:lang w:val="es-MX"/>
              </w:rPr>
              <w:t>12/01/2024</w:t>
            </w:r>
          </w:p>
        </w:tc>
        <w:tc>
          <w:tcPr>
            <w:tcW w:w="1501" w:type="dxa"/>
            <w:tcMar>
              <w:top w:w="10" w:type="dxa"/>
              <w:left w:w="10" w:type="dxa"/>
              <w:bottom w:w="0" w:type="dxa"/>
              <w:right w:w="10" w:type="dxa"/>
            </w:tcMar>
            <w:vAlign w:val="center"/>
          </w:tcPr>
          <w:p w14:paraId="4D083760" w14:textId="77777777" w:rsidR="00AE57F0" w:rsidRPr="00305D32" w:rsidRDefault="00414F7C" w:rsidP="009E56F8">
            <w:pPr>
              <w:spacing w:after="0" w:line="240" w:lineRule="auto"/>
              <w:jc w:val="right"/>
              <w:rPr>
                <w:sz w:val="20"/>
                <w:szCs w:val="20"/>
                <w:lang w:val="es-MX"/>
              </w:rPr>
            </w:pPr>
            <w:r w:rsidRPr="00305D32">
              <w:rPr>
                <w:sz w:val="20"/>
                <w:szCs w:val="20"/>
                <w:lang w:val="es-MX"/>
              </w:rPr>
              <w:t>3,000.0</w:t>
            </w:r>
          </w:p>
        </w:tc>
        <w:tc>
          <w:tcPr>
            <w:tcW w:w="1228" w:type="dxa"/>
            <w:tcMar>
              <w:top w:w="10" w:type="dxa"/>
              <w:left w:w="10" w:type="dxa"/>
              <w:bottom w:w="0" w:type="dxa"/>
              <w:right w:w="10" w:type="dxa"/>
            </w:tcMar>
            <w:vAlign w:val="center"/>
          </w:tcPr>
          <w:p w14:paraId="4D083761" w14:textId="782B3917" w:rsidR="00AE57F0" w:rsidRPr="00305D32" w:rsidRDefault="004E7CB0" w:rsidP="009E56F8">
            <w:pPr>
              <w:spacing w:after="0" w:line="240" w:lineRule="auto"/>
              <w:jc w:val="right"/>
              <w:rPr>
                <w:sz w:val="20"/>
                <w:szCs w:val="20"/>
                <w:lang w:val="es-MX"/>
              </w:rPr>
            </w:pPr>
            <w:r w:rsidRPr="00305D32">
              <w:rPr>
                <w:sz w:val="20"/>
                <w:szCs w:val="20"/>
                <w:lang w:val="es-MX"/>
              </w:rPr>
              <w:t>2,986.9</w:t>
            </w:r>
          </w:p>
        </w:tc>
        <w:tc>
          <w:tcPr>
            <w:tcW w:w="1646" w:type="dxa"/>
            <w:tcMar>
              <w:top w:w="10" w:type="dxa"/>
              <w:left w:w="10" w:type="dxa"/>
              <w:bottom w:w="0" w:type="dxa"/>
              <w:right w:w="10" w:type="dxa"/>
            </w:tcMar>
            <w:vAlign w:val="center"/>
          </w:tcPr>
          <w:p w14:paraId="4D083762" w14:textId="2BCD021C" w:rsidR="00AE57F0" w:rsidRPr="00305D32" w:rsidRDefault="004E7CB0">
            <w:pPr>
              <w:spacing w:after="0" w:line="240" w:lineRule="auto"/>
              <w:jc w:val="center"/>
              <w:rPr>
                <w:sz w:val="20"/>
                <w:szCs w:val="20"/>
                <w:lang w:val="es-MX"/>
              </w:rPr>
            </w:pPr>
            <w:r w:rsidRPr="00305D32">
              <w:rPr>
                <w:sz w:val="20"/>
                <w:szCs w:val="20"/>
                <w:lang w:val="es-MX"/>
              </w:rPr>
              <w:t>24</w:t>
            </w:r>
          </w:p>
        </w:tc>
        <w:tc>
          <w:tcPr>
            <w:tcW w:w="1220" w:type="dxa"/>
            <w:tcMar>
              <w:top w:w="10" w:type="dxa"/>
              <w:left w:w="10" w:type="dxa"/>
              <w:bottom w:w="0" w:type="dxa"/>
              <w:right w:w="10" w:type="dxa"/>
            </w:tcMar>
            <w:vAlign w:val="center"/>
          </w:tcPr>
          <w:p w14:paraId="4D083763" w14:textId="5C44418D" w:rsidR="00AE57F0" w:rsidRPr="00305D32" w:rsidRDefault="00414F7C">
            <w:pPr>
              <w:spacing w:after="0" w:line="240" w:lineRule="auto"/>
              <w:jc w:val="center"/>
              <w:rPr>
                <w:sz w:val="20"/>
                <w:szCs w:val="20"/>
                <w:lang w:val="es-MX"/>
              </w:rPr>
            </w:pPr>
            <w:r w:rsidRPr="00305D32">
              <w:rPr>
                <w:sz w:val="20"/>
                <w:szCs w:val="20"/>
                <w:lang w:val="es-MX"/>
              </w:rPr>
              <w:t>0.45</w:t>
            </w:r>
            <w:r w:rsidR="0019290E">
              <w:rPr>
                <w:sz w:val="20"/>
                <w:szCs w:val="20"/>
                <w:lang w:val="es-MX"/>
              </w:rPr>
              <w:t xml:space="preserve"> %</w:t>
            </w:r>
          </w:p>
        </w:tc>
      </w:tr>
      <w:tr w:rsidR="00AE57F0" w:rsidRPr="00305D32" w14:paraId="4D08376B" w14:textId="77777777">
        <w:trPr>
          <w:trHeight w:val="50"/>
        </w:trPr>
        <w:tc>
          <w:tcPr>
            <w:tcW w:w="1689" w:type="dxa"/>
            <w:tcMar>
              <w:top w:w="10" w:type="dxa"/>
              <w:left w:w="10" w:type="dxa"/>
              <w:bottom w:w="0" w:type="dxa"/>
              <w:right w:w="10" w:type="dxa"/>
            </w:tcMar>
            <w:vAlign w:val="center"/>
          </w:tcPr>
          <w:p w14:paraId="4D083765" w14:textId="5B3EB330" w:rsidR="00AE57F0" w:rsidRPr="00305D32" w:rsidRDefault="004E7CB0">
            <w:pPr>
              <w:spacing w:after="0" w:line="240" w:lineRule="auto"/>
              <w:jc w:val="left"/>
              <w:rPr>
                <w:sz w:val="20"/>
                <w:szCs w:val="20"/>
                <w:lang w:val="es-MX"/>
              </w:rPr>
            </w:pPr>
            <w:r w:rsidRPr="00305D32">
              <w:rPr>
                <w:sz w:val="20"/>
                <w:szCs w:val="20"/>
                <w:lang w:val="es-MX"/>
              </w:rPr>
              <w:t xml:space="preserve">Banco Mercantil del Norte, S.A. </w:t>
            </w:r>
          </w:p>
        </w:tc>
        <w:tc>
          <w:tcPr>
            <w:tcW w:w="1837" w:type="dxa"/>
            <w:tcMar>
              <w:top w:w="10" w:type="dxa"/>
              <w:left w:w="10" w:type="dxa"/>
              <w:bottom w:w="0" w:type="dxa"/>
              <w:right w:w="10" w:type="dxa"/>
            </w:tcMar>
            <w:vAlign w:val="center"/>
          </w:tcPr>
          <w:p w14:paraId="4D083766" w14:textId="77777777" w:rsidR="00AE57F0" w:rsidRPr="00305D32" w:rsidRDefault="00414F7C">
            <w:pPr>
              <w:spacing w:after="0" w:line="240" w:lineRule="auto"/>
              <w:jc w:val="center"/>
              <w:rPr>
                <w:sz w:val="20"/>
                <w:szCs w:val="20"/>
                <w:lang w:val="es-MX"/>
              </w:rPr>
            </w:pPr>
            <w:r w:rsidRPr="00305D32">
              <w:rPr>
                <w:sz w:val="20"/>
                <w:szCs w:val="20"/>
                <w:lang w:val="es-MX"/>
              </w:rPr>
              <w:t>12/01/2024</w:t>
            </w:r>
          </w:p>
        </w:tc>
        <w:tc>
          <w:tcPr>
            <w:tcW w:w="1501" w:type="dxa"/>
            <w:tcMar>
              <w:top w:w="10" w:type="dxa"/>
              <w:left w:w="10" w:type="dxa"/>
              <w:bottom w:w="0" w:type="dxa"/>
              <w:right w:w="10" w:type="dxa"/>
            </w:tcMar>
            <w:vAlign w:val="center"/>
          </w:tcPr>
          <w:p w14:paraId="4D083767" w14:textId="77777777" w:rsidR="00AE57F0" w:rsidRPr="00305D32" w:rsidRDefault="00414F7C" w:rsidP="009E56F8">
            <w:pPr>
              <w:spacing w:after="0" w:line="240" w:lineRule="auto"/>
              <w:jc w:val="right"/>
              <w:rPr>
                <w:sz w:val="20"/>
                <w:szCs w:val="20"/>
                <w:lang w:val="es-MX"/>
              </w:rPr>
            </w:pPr>
            <w:r w:rsidRPr="00305D32">
              <w:rPr>
                <w:sz w:val="20"/>
                <w:szCs w:val="20"/>
                <w:lang w:val="es-MX"/>
              </w:rPr>
              <w:t>3,300.0</w:t>
            </w:r>
          </w:p>
        </w:tc>
        <w:tc>
          <w:tcPr>
            <w:tcW w:w="1228" w:type="dxa"/>
            <w:tcMar>
              <w:top w:w="10" w:type="dxa"/>
              <w:left w:w="10" w:type="dxa"/>
              <w:bottom w:w="0" w:type="dxa"/>
              <w:right w:w="10" w:type="dxa"/>
            </w:tcMar>
            <w:vAlign w:val="center"/>
          </w:tcPr>
          <w:p w14:paraId="4D083768" w14:textId="1A3A9F37" w:rsidR="00AE57F0" w:rsidRPr="00305D32" w:rsidRDefault="004E7CB0" w:rsidP="009E56F8">
            <w:pPr>
              <w:spacing w:after="0" w:line="240" w:lineRule="auto"/>
              <w:jc w:val="right"/>
              <w:rPr>
                <w:sz w:val="20"/>
                <w:szCs w:val="20"/>
                <w:lang w:val="es-MX"/>
              </w:rPr>
            </w:pPr>
            <w:r w:rsidRPr="00305D32">
              <w:rPr>
                <w:sz w:val="20"/>
                <w:szCs w:val="20"/>
                <w:lang w:val="es-MX"/>
              </w:rPr>
              <w:t>3,285.6</w:t>
            </w:r>
          </w:p>
        </w:tc>
        <w:tc>
          <w:tcPr>
            <w:tcW w:w="1646" w:type="dxa"/>
            <w:tcMar>
              <w:top w:w="10" w:type="dxa"/>
              <w:left w:w="10" w:type="dxa"/>
              <w:bottom w:w="0" w:type="dxa"/>
              <w:right w:w="10" w:type="dxa"/>
            </w:tcMar>
            <w:vAlign w:val="center"/>
          </w:tcPr>
          <w:p w14:paraId="4D083769" w14:textId="0E067CE3" w:rsidR="00AE57F0" w:rsidRPr="00305D32" w:rsidRDefault="004E7CB0">
            <w:pPr>
              <w:spacing w:after="0" w:line="240" w:lineRule="auto"/>
              <w:jc w:val="center"/>
              <w:rPr>
                <w:sz w:val="20"/>
                <w:szCs w:val="20"/>
                <w:lang w:val="es-MX"/>
              </w:rPr>
            </w:pPr>
            <w:r w:rsidRPr="00305D32">
              <w:rPr>
                <w:sz w:val="20"/>
                <w:szCs w:val="20"/>
                <w:lang w:val="es-MX"/>
              </w:rPr>
              <w:t>24</w:t>
            </w:r>
          </w:p>
        </w:tc>
        <w:tc>
          <w:tcPr>
            <w:tcW w:w="1220" w:type="dxa"/>
            <w:tcMar>
              <w:top w:w="10" w:type="dxa"/>
              <w:left w:w="10" w:type="dxa"/>
              <w:bottom w:w="0" w:type="dxa"/>
              <w:right w:w="10" w:type="dxa"/>
            </w:tcMar>
            <w:vAlign w:val="center"/>
          </w:tcPr>
          <w:p w14:paraId="4D08376A" w14:textId="569F2B16" w:rsidR="00AE57F0" w:rsidRPr="00305D32" w:rsidRDefault="00414F7C">
            <w:pPr>
              <w:spacing w:after="0" w:line="240" w:lineRule="auto"/>
              <w:jc w:val="center"/>
              <w:rPr>
                <w:sz w:val="20"/>
                <w:szCs w:val="20"/>
                <w:lang w:val="es-MX"/>
              </w:rPr>
            </w:pPr>
            <w:r w:rsidRPr="00305D32">
              <w:rPr>
                <w:sz w:val="20"/>
                <w:szCs w:val="20"/>
                <w:lang w:val="es-MX"/>
              </w:rPr>
              <w:t>0.48</w:t>
            </w:r>
            <w:r w:rsidR="0019290E">
              <w:rPr>
                <w:sz w:val="20"/>
                <w:szCs w:val="20"/>
                <w:lang w:val="es-MX"/>
              </w:rPr>
              <w:t xml:space="preserve"> %</w:t>
            </w:r>
          </w:p>
        </w:tc>
      </w:tr>
      <w:tr w:rsidR="00AE57F0" w:rsidRPr="00305D32" w14:paraId="4D083772" w14:textId="77777777">
        <w:trPr>
          <w:trHeight w:val="50"/>
        </w:trPr>
        <w:tc>
          <w:tcPr>
            <w:tcW w:w="1689" w:type="dxa"/>
            <w:tcMar>
              <w:top w:w="10" w:type="dxa"/>
              <w:left w:w="10" w:type="dxa"/>
              <w:bottom w:w="0" w:type="dxa"/>
              <w:right w:w="10" w:type="dxa"/>
            </w:tcMar>
            <w:vAlign w:val="center"/>
          </w:tcPr>
          <w:p w14:paraId="4D08376C" w14:textId="0F6D2144" w:rsidR="00AE57F0" w:rsidRPr="00305D32" w:rsidRDefault="004E7CB0">
            <w:pPr>
              <w:spacing w:after="0" w:line="240" w:lineRule="auto"/>
              <w:jc w:val="left"/>
              <w:rPr>
                <w:sz w:val="20"/>
                <w:szCs w:val="20"/>
                <w:lang w:val="es-MX"/>
              </w:rPr>
            </w:pPr>
            <w:r w:rsidRPr="00305D32">
              <w:rPr>
                <w:sz w:val="20"/>
                <w:szCs w:val="20"/>
                <w:lang w:val="es-MX"/>
              </w:rPr>
              <w:t xml:space="preserve">BBVA México, S.A. </w:t>
            </w:r>
          </w:p>
        </w:tc>
        <w:tc>
          <w:tcPr>
            <w:tcW w:w="1837" w:type="dxa"/>
            <w:tcMar>
              <w:top w:w="10" w:type="dxa"/>
              <w:left w:w="10" w:type="dxa"/>
              <w:bottom w:w="0" w:type="dxa"/>
              <w:right w:w="10" w:type="dxa"/>
            </w:tcMar>
            <w:vAlign w:val="center"/>
          </w:tcPr>
          <w:p w14:paraId="4D08376D" w14:textId="2B4DD73C" w:rsidR="00AE57F0" w:rsidRPr="00305D32" w:rsidRDefault="004E7CB0">
            <w:pPr>
              <w:spacing w:after="0" w:line="240" w:lineRule="auto"/>
              <w:jc w:val="center"/>
              <w:rPr>
                <w:sz w:val="20"/>
                <w:szCs w:val="20"/>
                <w:lang w:val="es-MX"/>
              </w:rPr>
            </w:pPr>
            <w:r w:rsidRPr="00305D32">
              <w:rPr>
                <w:sz w:val="20"/>
                <w:szCs w:val="20"/>
                <w:lang w:val="es-MX"/>
              </w:rPr>
              <w:t>12</w:t>
            </w:r>
            <w:r w:rsidR="00414F7C" w:rsidRPr="00305D32">
              <w:rPr>
                <w:sz w:val="20"/>
                <w:szCs w:val="20"/>
                <w:lang w:val="es-MX"/>
              </w:rPr>
              <w:t>/01/2024</w:t>
            </w:r>
          </w:p>
        </w:tc>
        <w:tc>
          <w:tcPr>
            <w:tcW w:w="1501" w:type="dxa"/>
            <w:tcMar>
              <w:top w:w="10" w:type="dxa"/>
              <w:left w:w="10" w:type="dxa"/>
              <w:bottom w:w="0" w:type="dxa"/>
              <w:right w:w="10" w:type="dxa"/>
            </w:tcMar>
            <w:vAlign w:val="center"/>
          </w:tcPr>
          <w:p w14:paraId="4D08376E" w14:textId="110AE690" w:rsidR="00AE57F0" w:rsidRPr="00305D32" w:rsidRDefault="004E7CB0" w:rsidP="009E56F8">
            <w:pPr>
              <w:spacing w:after="0" w:line="240" w:lineRule="auto"/>
              <w:jc w:val="right"/>
              <w:rPr>
                <w:sz w:val="20"/>
                <w:szCs w:val="20"/>
                <w:lang w:val="es-MX"/>
              </w:rPr>
            </w:pPr>
            <w:r w:rsidRPr="00305D32">
              <w:rPr>
                <w:sz w:val="20"/>
                <w:szCs w:val="20"/>
                <w:lang w:val="es-MX"/>
              </w:rPr>
              <w:t>737.1</w:t>
            </w:r>
          </w:p>
        </w:tc>
        <w:tc>
          <w:tcPr>
            <w:tcW w:w="1228" w:type="dxa"/>
            <w:tcMar>
              <w:top w:w="10" w:type="dxa"/>
              <w:left w:w="10" w:type="dxa"/>
              <w:bottom w:w="0" w:type="dxa"/>
              <w:right w:w="10" w:type="dxa"/>
            </w:tcMar>
            <w:vAlign w:val="center"/>
          </w:tcPr>
          <w:p w14:paraId="4D08376F" w14:textId="14D5F470" w:rsidR="00AE57F0" w:rsidRPr="00305D32" w:rsidRDefault="004E7CB0" w:rsidP="009E56F8">
            <w:pPr>
              <w:spacing w:after="0" w:line="240" w:lineRule="auto"/>
              <w:jc w:val="right"/>
              <w:rPr>
                <w:sz w:val="20"/>
                <w:szCs w:val="20"/>
                <w:lang w:val="es-MX"/>
              </w:rPr>
            </w:pPr>
            <w:r w:rsidRPr="00305D32">
              <w:rPr>
                <w:sz w:val="20"/>
                <w:szCs w:val="20"/>
                <w:lang w:val="es-MX"/>
              </w:rPr>
              <w:t>733.9</w:t>
            </w:r>
          </w:p>
        </w:tc>
        <w:tc>
          <w:tcPr>
            <w:tcW w:w="1646" w:type="dxa"/>
            <w:tcMar>
              <w:top w:w="10" w:type="dxa"/>
              <w:left w:w="10" w:type="dxa"/>
              <w:bottom w:w="0" w:type="dxa"/>
              <w:right w:w="10" w:type="dxa"/>
            </w:tcMar>
            <w:vAlign w:val="center"/>
          </w:tcPr>
          <w:p w14:paraId="4D083770" w14:textId="3234FE39" w:rsidR="00AE57F0" w:rsidRPr="00305D32" w:rsidRDefault="004E7CB0">
            <w:pPr>
              <w:spacing w:after="0" w:line="240" w:lineRule="auto"/>
              <w:jc w:val="center"/>
              <w:rPr>
                <w:sz w:val="20"/>
                <w:szCs w:val="20"/>
                <w:lang w:val="es-MX"/>
              </w:rPr>
            </w:pPr>
            <w:r w:rsidRPr="00305D32">
              <w:rPr>
                <w:sz w:val="20"/>
                <w:szCs w:val="20"/>
                <w:lang w:val="es-MX"/>
              </w:rPr>
              <w:t>24</w:t>
            </w:r>
          </w:p>
        </w:tc>
        <w:tc>
          <w:tcPr>
            <w:tcW w:w="1220" w:type="dxa"/>
            <w:tcMar>
              <w:top w:w="10" w:type="dxa"/>
              <w:left w:w="10" w:type="dxa"/>
              <w:bottom w:w="0" w:type="dxa"/>
              <w:right w:w="10" w:type="dxa"/>
            </w:tcMar>
            <w:vAlign w:val="center"/>
          </w:tcPr>
          <w:p w14:paraId="4D083771" w14:textId="722E5ACE" w:rsidR="00AE57F0" w:rsidRPr="00305D32" w:rsidRDefault="00414F7C">
            <w:pPr>
              <w:spacing w:after="0" w:line="240" w:lineRule="auto"/>
              <w:jc w:val="center"/>
              <w:rPr>
                <w:sz w:val="20"/>
                <w:szCs w:val="20"/>
                <w:lang w:val="es-MX"/>
              </w:rPr>
            </w:pPr>
            <w:r w:rsidRPr="00305D32">
              <w:rPr>
                <w:sz w:val="20"/>
                <w:szCs w:val="20"/>
                <w:lang w:val="es-MX"/>
              </w:rPr>
              <w:t>0.</w:t>
            </w:r>
            <w:r w:rsidR="004E7CB0" w:rsidRPr="00305D32">
              <w:rPr>
                <w:sz w:val="20"/>
                <w:szCs w:val="20"/>
                <w:lang w:val="es-MX"/>
              </w:rPr>
              <w:t>46</w:t>
            </w:r>
            <w:r w:rsidR="0019290E">
              <w:rPr>
                <w:sz w:val="20"/>
                <w:szCs w:val="20"/>
                <w:lang w:val="es-MX"/>
              </w:rPr>
              <w:t xml:space="preserve"> %</w:t>
            </w:r>
          </w:p>
        </w:tc>
      </w:tr>
      <w:tr w:rsidR="00AE57F0" w:rsidRPr="00305D32" w14:paraId="4D083779" w14:textId="77777777">
        <w:trPr>
          <w:trHeight w:val="50"/>
        </w:trPr>
        <w:tc>
          <w:tcPr>
            <w:tcW w:w="1689" w:type="dxa"/>
            <w:tcMar>
              <w:top w:w="10" w:type="dxa"/>
              <w:left w:w="10" w:type="dxa"/>
              <w:bottom w:w="0" w:type="dxa"/>
              <w:right w:w="10" w:type="dxa"/>
            </w:tcMar>
            <w:vAlign w:val="center"/>
          </w:tcPr>
          <w:p w14:paraId="4D083773" w14:textId="68A1E599" w:rsidR="00AE57F0" w:rsidRPr="00305D32" w:rsidRDefault="004E7CB0">
            <w:pPr>
              <w:spacing w:after="0" w:line="240" w:lineRule="auto"/>
              <w:jc w:val="left"/>
              <w:rPr>
                <w:sz w:val="20"/>
                <w:szCs w:val="20"/>
                <w:lang w:val="es-MX"/>
              </w:rPr>
            </w:pPr>
            <w:r w:rsidRPr="00305D32">
              <w:rPr>
                <w:sz w:val="20"/>
                <w:szCs w:val="20"/>
                <w:lang w:val="es-MX"/>
              </w:rPr>
              <w:t xml:space="preserve">Santander México, S.A. </w:t>
            </w:r>
          </w:p>
        </w:tc>
        <w:tc>
          <w:tcPr>
            <w:tcW w:w="1837" w:type="dxa"/>
            <w:tcMar>
              <w:top w:w="10" w:type="dxa"/>
              <w:left w:w="10" w:type="dxa"/>
              <w:bottom w:w="0" w:type="dxa"/>
              <w:right w:w="10" w:type="dxa"/>
            </w:tcMar>
            <w:vAlign w:val="center"/>
          </w:tcPr>
          <w:p w14:paraId="4D083774" w14:textId="017E05B3" w:rsidR="00AE57F0" w:rsidRPr="00305D32" w:rsidRDefault="004E7CB0">
            <w:pPr>
              <w:spacing w:after="0" w:line="240" w:lineRule="auto"/>
              <w:jc w:val="center"/>
              <w:rPr>
                <w:sz w:val="20"/>
                <w:szCs w:val="20"/>
                <w:lang w:val="es-MX"/>
              </w:rPr>
            </w:pPr>
            <w:r w:rsidRPr="00305D32">
              <w:rPr>
                <w:sz w:val="20"/>
                <w:szCs w:val="20"/>
                <w:lang w:val="es-MX"/>
              </w:rPr>
              <w:t>12</w:t>
            </w:r>
            <w:r w:rsidR="00414F7C" w:rsidRPr="00305D32">
              <w:rPr>
                <w:sz w:val="20"/>
                <w:szCs w:val="20"/>
                <w:lang w:val="es-MX"/>
              </w:rPr>
              <w:t>/01/2024</w:t>
            </w:r>
          </w:p>
        </w:tc>
        <w:tc>
          <w:tcPr>
            <w:tcW w:w="1501" w:type="dxa"/>
            <w:tcMar>
              <w:top w:w="10" w:type="dxa"/>
              <w:left w:w="10" w:type="dxa"/>
              <w:bottom w:w="0" w:type="dxa"/>
              <w:right w:w="10" w:type="dxa"/>
            </w:tcMar>
            <w:vAlign w:val="center"/>
          </w:tcPr>
          <w:p w14:paraId="4D083775" w14:textId="46986652" w:rsidR="00AE57F0" w:rsidRPr="00305D32" w:rsidRDefault="004E7CB0" w:rsidP="009E56F8">
            <w:pPr>
              <w:spacing w:after="0" w:line="240" w:lineRule="auto"/>
              <w:jc w:val="right"/>
              <w:rPr>
                <w:sz w:val="20"/>
                <w:szCs w:val="20"/>
                <w:lang w:val="es-MX"/>
              </w:rPr>
            </w:pPr>
            <w:r w:rsidRPr="00305D32">
              <w:rPr>
                <w:sz w:val="20"/>
                <w:szCs w:val="20"/>
                <w:lang w:val="es-MX"/>
              </w:rPr>
              <w:t>1,461.3</w:t>
            </w:r>
          </w:p>
        </w:tc>
        <w:tc>
          <w:tcPr>
            <w:tcW w:w="1228" w:type="dxa"/>
            <w:tcMar>
              <w:top w:w="10" w:type="dxa"/>
              <w:left w:w="10" w:type="dxa"/>
              <w:bottom w:w="0" w:type="dxa"/>
              <w:right w:w="10" w:type="dxa"/>
            </w:tcMar>
            <w:vAlign w:val="center"/>
          </w:tcPr>
          <w:p w14:paraId="4D083776" w14:textId="3AEFEDD5" w:rsidR="00AE57F0" w:rsidRPr="00305D32" w:rsidRDefault="004E7CB0" w:rsidP="009E56F8">
            <w:pPr>
              <w:spacing w:after="0" w:line="240" w:lineRule="auto"/>
              <w:jc w:val="right"/>
              <w:rPr>
                <w:sz w:val="20"/>
                <w:szCs w:val="20"/>
                <w:lang w:val="es-MX"/>
              </w:rPr>
            </w:pPr>
            <w:r w:rsidRPr="00305D32">
              <w:rPr>
                <w:sz w:val="20"/>
                <w:szCs w:val="20"/>
                <w:lang w:val="es-MX"/>
              </w:rPr>
              <w:t>1,454.8</w:t>
            </w:r>
          </w:p>
        </w:tc>
        <w:tc>
          <w:tcPr>
            <w:tcW w:w="1646" w:type="dxa"/>
            <w:tcMar>
              <w:top w:w="10" w:type="dxa"/>
              <w:left w:w="10" w:type="dxa"/>
              <w:bottom w:w="0" w:type="dxa"/>
              <w:right w:w="10" w:type="dxa"/>
            </w:tcMar>
            <w:vAlign w:val="center"/>
          </w:tcPr>
          <w:p w14:paraId="4D083777" w14:textId="589AF6EA" w:rsidR="00AE57F0" w:rsidRPr="00305D32" w:rsidRDefault="004E7CB0">
            <w:pPr>
              <w:spacing w:after="0" w:line="240" w:lineRule="auto"/>
              <w:jc w:val="center"/>
              <w:rPr>
                <w:sz w:val="20"/>
                <w:szCs w:val="20"/>
                <w:lang w:val="es-MX"/>
              </w:rPr>
            </w:pPr>
            <w:r w:rsidRPr="00305D32">
              <w:rPr>
                <w:sz w:val="20"/>
                <w:szCs w:val="20"/>
                <w:lang w:val="es-MX"/>
              </w:rPr>
              <w:t>24</w:t>
            </w:r>
          </w:p>
        </w:tc>
        <w:tc>
          <w:tcPr>
            <w:tcW w:w="1220" w:type="dxa"/>
            <w:tcMar>
              <w:top w:w="10" w:type="dxa"/>
              <w:left w:w="10" w:type="dxa"/>
              <w:bottom w:w="0" w:type="dxa"/>
              <w:right w:w="10" w:type="dxa"/>
            </w:tcMar>
            <w:vAlign w:val="center"/>
          </w:tcPr>
          <w:p w14:paraId="4D083778" w14:textId="7F205EB5" w:rsidR="00AE57F0" w:rsidRPr="00305D32" w:rsidRDefault="00414F7C">
            <w:pPr>
              <w:spacing w:after="0" w:line="240" w:lineRule="auto"/>
              <w:jc w:val="center"/>
              <w:rPr>
                <w:sz w:val="20"/>
                <w:szCs w:val="20"/>
                <w:lang w:val="es-MX"/>
              </w:rPr>
            </w:pPr>
            <w:r w:rsidRPr="00305D32">
              <w:rPr>
                <w:sz w:val="20"/>
                <w:szCs w:val="20"/>
                <w:lang w:val="es-MX"/>
              </w:rPr>
              <w:t>0.</w:t>
            </w:r>
            <w:r w:rsidR="004E7CB0" w:rsidRPr="00305D32">
              <w:rPr>
                <w:sz w:val="20"/>
                <w:szCs w:val="20"/>
                <w:lang w:val="es-MX"/>
              </w:rPr>
              <w:t>49</w:t>
            </w:r>
            <w:r w:rsidR="0019290E">
              <w:rPr>
                <w:sz w:val="20"/>
                <w:szCs w:val="20"/>
                <w:lang w:val="es-MX"/>
              </w:rPr>
              <w:t xml:space="preserve"> %</w:t>
            </w:r>
          </w:p>
        </w:tc>
      </w:tr>
      <w:tr w:rsidR="00AE57F0" w:rsidRPr="00305D32" w14:paraId="4D083780" w14:textId="77777777">
        <w:trPr>
          <w:trHeight w:val="138"/>
        </w:trPr>
        <w:tc>
          <w:tcPr>
            <w:tcW w:w="1689" w:type="dxa"/>
            <w:tcMar>
              <w:top w:w="10" w:type="dxa"/>
              <w:left w:w="10" w:type="dxa"/>
              <w:bottom w:w="0" w:type="dxa"/>
              <w:right w:w="10" w:type="dxa"/>
            </w:tcMar>
            <w:vAlign w:val="center"/>
          </w:tcPr>
          <w:p w14:paraId="4D08377A" w14:textId="25F20BC1" w:rsidR="00AE57F0" w:rsidRPr="00305D32" w:rsidRDefault="00414F7C">
            <w:pPr>
              <w:spacing w:after="0" w:line="240" w:lineRule="auto"/>
              <w:jc w:val="left"/>
              <w:rPr>
                <w:sz w:val="20"/>
                <w:szCs w:val="20"/>
                <w:lang w:val="es-MX"/>
              </w:rPr>
            </w:pPr>
            <w:r w:rsidRPr="00305D32">
              <w:rPr>
                <w:sz w:val="20"/>
                <w:szCs w:val="20"/>
                <w:lang w:val="es-MX"/>
              </w:rPr>
              <w:t>Banobras</w:t>
            </w:r>
            <w:r w:rsidR="004E7CB0" w:rsidRPr="00305D32">
              <w:rPr>
                <w:sz w:val="20"/>
                <w:szCs w:val="20"/>
                <w:lang w:val="es-MX"/>
              </w:rPr>
              <w:t xml:space="preserve">, S.N.C. </w:t>
            </w:r>
          </w:p>
        </w:tc>
        <w:tc>
          <w:tcPr>
            <w:tcW w:w="1837" w:type="dxa"/>
            <w:tcMar>
              <w:top w:w="10" w:type="dxa"/>
              <w:left w:w="10" w:type="dxa"/>
              <w:bottom w:w="0" w:type="dxa"/>
              <w:right w:w="10" w:type="dxa"/>
            </w:tcMar>
            <w:vAlign w:val="center"/>
          </w:tcPr>
          <w:p w14:paraId="4D08377B" w14:textId="77777777" w:rsidR="00AE57F0" w:rsidRPr="00305D32" w:rsidRDefault="00414F7C">
            <w:pPr>
              <w:spacing w:after="0" w:line="240" w:lineRule="auto"/>
              <w:jc w:val="center"/>
              <w:rPr>
                <w:sz w:val="20"/>
                <w:szCs w:val="20"/>
                <w:lang w:val="es-MX"/>
              </w:rPr>
            </w:pPr>
            <w:r w:rsidRPr="00305D32">
              <w:rPr>
                <w:sz w:val="20"/>
                <w:szCs w:val="20"/>
                <w:lang w:val="es-MX"/>
              </w:rPr>
              <w:t>16/01/2024</w:t>
            </w:r>
          </w:p>
        </w:tc>
        <w:tc>
          <w:tcPr>
            <w:tcW w:w="1501" w:type="dxa"/>
            <w:tcMar>
              <w:top w:w="10" w:type="dxa"/>
              <w:left w:w="10" w:type="dxa"/>
              <w:bottom w:w="0" w:type="dxa"/>
              <w:right w:w="10" w:type="dxa"/>
            </w:tcMar>
            <w:vAlign w:val="center"/>
          </w:tcPr>
          <w:p w14:paraId="4D08377C" w14:textId="6344F322" w:rsidR="00AE57F0" w:rsidRPr="00305D32" w:rsidRDefault="004E7CB0" w:rsidP="009E56F8">
            <w:pPr>
              <w:spacing w:after="0" w:line="240" w:lineRule="auto"/>
              <w:jc w:val="right"/>
              <w:rPr>
                <w:sz w:val="20"/>
                <w:szCs w:val="20"/>
                <w:lang w:val="es-MX"/>
              </w:rPr>
            </w:pPr>
            <w:r w:rsidRPr="00305D32">
              <w:rPr>
                <w:sz w:val="20"/>
                <w:szCs w:val="20"/>
                <w:lang w:val="es-MX"/>
              </w:rPr>
              <w:t>5,000.0</w:t>
            </w:r>
          </w:p>
        </w:tc>
        <w:tc>
          <w:tcPr>
            <w:tcW w:w="1228" w:type="dxa"/>
            <w:tcMar>
              <w:top w:w="10" w:type="dxa"/>
              <w:left w:w="10" w:type="dxa"/>
              <w:bottom w:w="0" w:type="dxa"/>
              <w:right w:w="10" w:type="dxa"/>
            </w:tcMar>
            <w:vAlign w:val="center"/>
          </w:tcPr>
          <w:p w14:paraId="4D08377D" w14:textId="420E8774" w:rsidR="00AE57F0" w:rsidRPr="00305D32" w:rsidRDefault="004E7CB0" w:rsidP="009E56F8">
            <w:pPr>
              <w:spacing w:after="0" w:line="240" w:lineRule="auto"/>
              <w:jc w:val="right"/>
              <w:rPr>
                <w:sz w:val="20"/>
                <w:szCs w:val="20"/>
                <w:lang w:val="es-MX"/>
              </w:rPr>
            </w:pPr>
            <w:r w:rsidRPr="00305D32">
              <w:rPr>
                <w:sz w:val="20"/>
                <w:szCs w:val="20"/>
                <w:lang w:val="es-MX"/>
              </w:rPr>
              <w:t>4,989.3</w:t>
            </w:r>
          </w:p>
        </w:tc>
        <w:tc>
          <w:tcPr>
            <w:tcW w:w="1646" w:type="dxa"/>
            <w:tcMar>
              <w:top w:w="10" w:type="dxa"/>
              <w:left w:w="10" w:type="dxa"/>
              <w:bottom w:w="0" w:type="dxa"/>
              <w:right w:w="10" w:type="dxa"/>
            </w:tcMar>
            <w:vAlign w:val="center"/>
          </w:tcPr>
          <w:p w14:paraId="4D08377E" w14:textId="413F65A6" w:rsidR="00AE57F0" w:rsidRPr="00305D32" w:rsidRDefault="004E7CB0">
            <w:pPr>
              <w:spacing w:after="0" w:line="240" w:lineRule="auto"/>
              <w:jc w:val="center"/>
              <w:rPr>
                <w:sz w:val="20"/>
                <w:szCs w:val="20"/>
                <w:lang w:val="es-MX"/>
              </w:rPr>
            </w:pPr>
            <w:r w:rsidRPr="00305D32">
              <w:rPr>
                <w:sz w:val="20"/>
                <w:szCs w:val="20"/>
                <w:lang w:val="es-MX"/>
              </w:rPr>
              <w:t>29</w:t>
            </w:r>
          </w:p>
        </w:tc>
        <w:tc>
          <w:tcPr>
            <w:tcW w:w="1220" w:type="dxa"/>
            <w:tcMar>
              <w:top w:w="10" w:type="dxa"/>
              <w:left w:w="10" w:type="dxa"/>
              <w:bottom w:w="0" w:type="dxa"/>
              <w:right w:w="10" w:type="dxa"/>
            </w:tcMar>
            <w:vAlign w:val="center"/>
          </w:tcPr>
          <w:p w14:paraId="4D08377F" w14:textId="4556D7F1" w:rsidR="00AE57F0" w:rsidRPr="00305D32" w:rsidRDefault="00414F7C">
            <w:pPr>
              <w:spacing w:after="0" w:line="240" w:lineRule="auto"/>
              <w:jc w:val="center"/>
              <w:rPr>
                <w:sz w:val="20"/>
                <w:szCs w:val="20"/>
                <w:lang w:val="es-MX"/>
              </w:rPr>
            </w:pPr>
            <w:r w:rsidRPr="00305D32">
              <w:rPr>
                <w:sz w:val="20"/>
                <w:szCs w:val="20"/>
                <w:lang w:val="es-MX"/>
              </w:rPr>
              <w:t>0.</w:t>
            </w:r>
            <w:r w:rsidR="004E7CB0" w:rsidRPr="00305D32">
              <w:rPr>
                <w:sz w:val="20"/>
                <w:szCs w:val="20"/>
                <w:lang w:val="es-MX"/>
              </w:rPr>
              <w:t>53</w:t>
            </w:r>
            <w:r w:rsidR="0019290E">
              <w:rPr>
                <w:sz w:val="20"/>
                <w:szCs w:val="20"/>
                <w:lang w:val="es-MX"/>
              </w:rPr>
              <w:t xml:space="preserve"> %</w:t>
            </w:r>
          </w:p>
        </w:tc>
      </w:tr>
      <w:tr w:rsidR="00AE57F0" w:rsidRPr="00305D32" w14:paraId="4D083787" w14:textId="77777777">
        <w:trPr>
          <w:trHeight w:val="50"/>
        </w:trPr>
        <w:tc>
          <w:tcPr>
            <w:tcW w:w="1689" w:type="dxa"/>
            <w:tcMar>
              <w:top w:w="10" w:type="dxa"/>
              <w:left w:w="10" w:type="dxa"/>
              <w:bottom w:w="0" w:type="dxa"/>
              <w:right w:w="10" w:type="dxa"/>
            </w:tcMar>
            <w:vAlign w:val="center"/>
          </w:tcPr>
          <w:p w14:paraId="4D083781" w14:textId="51B9B78A" w:rsidR="00AE57F0" w:rsidRPr="00305D32" w:rsidRDefault="004E7CB0">
            <w:pPr>
              <w:spacing w:after="0" w:line="240" w:lineRule="auto"/>
              <w:jc w:val="left"/>
              <w:rPr>
                <w:sz w:val="20"/>
                <w:szCs w:val="20"/>
                <w:lang w:val="es-MX"/>
              </w:rPr>
            </w:pPr>
            <w:r w:rsidRPr="00305D32">
              <w:rPr>
                <w:sz w:val="20"/>
                <w:szCs w:val="20"/>
                <w:lang w:val="es-MX"/>
              </w:rPr>
              <w:t xml:space="preserve">Banobras, S.N.C. </w:t>
            </w:r>
          </w:p>
        </w:tc>
        <w:tc>
          <w:tcPr>
            <w:tcW w:w="1837" w:type="dxa"/>
            <w:tcMar>
              <w:top w:w="10" w:type="dxa"/>
              <w:left w:w="10" w:type="dxa"/>
              <w:bottom w:w="0" w:type="dxa"/>
              <w:right w:w="10" w:type="dxa"/>
            </w:tcMar>
            <w:vAlign w:val="center"/>
          </w:tcPr>
          <w:p w14:paraId="4D083782" w14:textId="5294F01D" w:rsidR="00AE57F0" w:rsidRPr="00305D32" w:rsidRDefault="004E7CB0">
            <w:pPr>
              <w:spacing w:after="0" w:line="240" w:lineRule="auto"/>
              <w:jc w:val="center"/>
              <w:rPr>
                <w:sz w:val="20"/>
                <w:szCs w:val="20"/>
                <w:lang w:val="es-MX"/>
              </w:rPr>
            </w:pPr>
            <w:r w:rsidRPr="00305D32">
              <w:rPr>
                <w:sz w:val="20"/>
                <w:szCs w:val="20"/>
                <w:lang w:val="es-MX"/>
              </w:rPr>
              <w:t>16</w:t>
            </w:r>
            <w:r w:rsidR="00414F7C" w:rsidRPr="00305D32">
              <w:rPr>
                <w:sz w:val="20"/>
                <w:szCs w:val="20"/>
                <w:lang w:val="es-MX"/>
              </w:rPr>
              <w:t>/01/2024</w:t>
            </w:r>
          </w:p>
        </w:tc>
        <w:tc>
          <w:tcPr>
            <w:tcW w:w="1501" w:type="dxa"/>
            <w:tcMar>
              <w:top w:w="10" w:type="dxa"/>
              <w:left w:w="10" w:type="dxa"/>
              <w:bottom w:w="0" w:type="dxa"/>
              <w:right w:w="10" w:type="dxa"/>
            </w:tcMar>
            <w:vAlign w:val="center"/>
          </w:tcPr>
          <w:p w14:paraId="4D083783" w14:textId="5CE08C46" w:rsidR="00AE57F0" w:rsidRPr="00305D32" w:rsidRDefault="004E7CB0" w:rsidP="009E56F8">
            <w:pPr>
              <w:spacing w:after="0" w:line="240" w:lineRule="auto"/>
              <w:jc w:val="right"/>
              <w:rPr>
                <w:sz w:val="20"/>
                <w:szCs w:val="20"/>
                <w:lang w:val="es-MX"/>
              </w:rPr>
            </w:pPr>
            <w:r w:rsidRPr="00305D32">
              <w:rPr>
                <w:sz w:val="20"/>
                <w:szCs w:val="20"/>
                <w:lang w:val="es-MX"/>
              </w:rPr>
              <w:t>3,000.0</w:t>
            </w:r>
          </w:p>
        </w:tc>
        <w:tc>
          <w:tcPr>
            <w:tcW w:w="1228" w:type="dxa"/>
            <w:tcMar>
              <w:top w:w="10" w:type="dxa"/>
              <w:left w:w="10" w:type="dxa"/>
              <w:bottom w:w="0" w:type="dxa"/>
              <w:right w:w="10" w:type="dxa"/>
            </w:tcMar>
            <w:vAlign w:val="center"/>
          </w:tcPr>
          <w:p w14:paraId="4D083784" w14:textId="14252D36" w:rsidR="00AE57F0" w:rsidRPr="00305D32" w:rsidRDefault="004E7CB0" w:rsidP="009E56F8">
            <w:pPr>
              <w:spacing w:after="0" w:line="240" w:lineRule="auto"/>
              <w:jc w:val="right"/>
              <w:rPr>
                <w:sz w:val="20"/>
                <w:szCs w:val="20"/>
                <w:lang w:val="es-MX"/>
              </w:rPr>
            </w:pPr>
            <w:r w:rsidRPr="00305D32">
              <w:rPr>
                <w:sz w:val="20"/>
                <w:szCs w:val="20"/>
                <w:lang w:val="es-MX"/>
              </w:rPr>
              <w:t>2,985.9</w:t>
            </w:r>
          </w:p>
        </w:tc>
        <w:tc>
          <w:tcPr>
            <w:tcW w:w="1646" w:type="dxa"/>
            <w:tcMar>
              <w:top w:w="10" w:type="dxa"/>
              <w:left w:w="10" w:type="dxa"/>
              <w:bottom w:w="0" w:type="dxa"/>
              <w:right w:w="10" w:type="dxa"/>
            </w:tcMar>
            <w:vAlign w:val="center"/>
          </w:tcPr>
          <w:p w14:paraId="4D083785" w14:textId="5FECCA16" w:rsidR="00AE57F0" w:rsidRPr="00305D32" w:rsidRDefault="004E7CB0">
            <w:pPr>
              <w:spacing w:after="0" w:line="240" w:lineRule="auto"/>
              <w:jc w:val="center"/>
              <w:rPr>
                <w:sz w:val="20"/>
                <w:szCs w:val="20"/>
                <w:lang w:val="es-MX"/>
              </w:rPr>
            </w:pPr>
            <w:r w:rsidRPr="00305D32">
              <w:rPr>
                <w:sz w:val="20"/>
                <w:szCs w:val="20"/>
                <w:lang w:val="es-MX"/>
              </w:rPr>
              <w:t>24</w:t>
            </w:r>
          </w:p>
        </w:tc>
        <w:tc>
          <w:tcPr>
            <w:tcW w:w="1220" w:type="dxa"/>
            <w:tcMar>
              <w:top w:w="10" w:type="dxa"/>
              <w:left w:w="10" w:type="dxa"/>
              <w:bottom w:w="0" w:type="dxa"/>
              <w:right w:w="10" w:type="dxa"/>
            </w:tcMar>
            <w:vAlign w:val="center"/>
          </w:tcPr>
          <w:p w14:paraId="4D083786" w14:textId="358DCE1E" w:rsidR="00AE57F0" w:rsidRPr="00305D32" w:rsidRDefault="00414F7C">
            <w:pPr>
              <w:spacing w:after="0" w:line="240" w:lineRule="auto"/>
              <w:jc w:val="center"/>
              <w:rPr>
                <w:sz w:val="20"/>
                <w:szCs w:val="20"/>
                <w:lang w:val="es-MX"/>
              </w:rPr>
            </w:pPr>
            <w:r w:rsidRPr="00305D32">
              <w:rPr>
                <w:sz w:val="20"/>
                <w:szCs w:val="20"/>
                <w:lang w:val="es-MX"/>
              </w:rPr>
              <w:t>0.</w:t>
            </w:r>
            <w:r w:rsidR="004E7CB0" w:rsidRPr="00305D32">
              <w:rPr>
                <w:sz w:val="20"/>
                <w:szCs w:val="20"/>
                <w:lang w:val="es-MX"/>
              </w:rPr>
              <w:t>41</w:t>
            </w:r>
            <w:r w:rsidR="0019290E">
              <w:rPr>
                <w:sz w:val="20"/>
                <w:szCs w:val="20"/>
                <w:lang w:val="es-MX"/>
              </w:rPr>
              <w:t xml:space="preserve"> %</w:t>
            </w:r>
          </w:p>
        </w:tc>
      </w:tr>
      <w:tr w:rsidR="00AE57F0" w:rsidRPr="00305D32" w14:paraId="4D08379C" w14:textId="77777777">
        <w:trPr>
          <w:trHeight w:val="524"/>
        </w:trPr>
        <w:tc>
          <w:tcPr>
            <w:tcW w:w="1689" w:type="dxa"/>
            <w:tcBorders>
              <w:bottom w:val="single" w:sz="4" w:space="0" w:color="000000"/>
            </w:tcBorders>
            <w:tcMar>
              <w:top w:w="10" w:type="dxa"/>
              <w:left w:w="10" w:type="dxa"/>
              <w:bottom w:w="0" w:type="dxa"/>
              <w:right w:w="10" w:type="dxa"/>
            </w:tcMar>
            <w:vAlign w:val="center"/>
          </w:tcPr>
          <w:p w14:paraId="4D083796" w14:textId="2AE10305" w:rsidR="00AE57F0" w:rsidRPr="00305D32" w:rsidRDefault="00414F7C">
            <w:pPr>
              <w:spacing w:after="0" w:line="240" w:lineRule="auto"/>
              <w:jc w:val="left"/>
              <w:rPr>
                <w:sz w:val="20"/>
                <w:szCs w:val="20"/>
                <w:lang w:val="es-MX"/>
              </w:rPr>
            </w:pPr>
            <w:r w:rsidRPr="00305D32">
              <w:rPr>
                <w:sz w:val="20"/>
                <w:szCs w:val="20"/>
                <w:lang w:val="es-MX"/>
              </w:rPr>
              <w:t>Banobras</w:t>
            </w:r>
            <w:r w:rsidR="00F972EB" w:rsidRPr="00305D32">
              <w:rPr>
                <w:sz w:val="20"/>
                <w:szCs w:val="20"/>
                <w:lang w:val="es-MX"/>
              </w:rPr>
              <w:t xml:space="preserve">, S.N.C. </w:t>
            </w:r>
          </w:p>
        </w:tc>
        <w:tc>
          <w:tcPr>
            <w:tcW w:w="1837" w:type="dxa"/>
            <w:tcBorders>
              <w:bottom w:val="single" w:sz="4" w:space="0" w:color="000000"/>
            </w:tcBorders>
            <w:tcMar>
              <w:top w:w="10" w:type="dxa"/>
              <w:left w:w="10" w:type="dxa"/>
              <w:bottom w:w="0" w:type="dxa"/>
              <w:right w:w="10" w:type="dxa"/>
            </w:tcMar>
            <w:vAlign w:val="center"/>
          </w:tcPr>
          <w:p w14:paraId="4D083797" w14:textId="286B1104" w:rsidR="00AE57F0" w:rsidRPr="00305D32" w:rsidRDefault="00F972EB">
            <w:pPr>
              <w:spacing w:after="0" w:line="240" w:lineRule="auto"/>
              <w:jc w:val="center"/>
              <w:rPr>
                <w:sz w:val="20"/>
                <w:szCs w:val="20"/>
                <w:lang w:val="es-MX"/>
              </w:rPr>
            </w:pPr>
            <w:r w:rsidRPr="00305D32">
              <w:rPr>
                <w:sz w:val="20"/>
                <w:szCs w:val="20"/>
                <w:lang w:val="es-MX"/>
              </w:rPr>
              <w:t>16/01/2024</w:t>
            </w:r>
          </w:p>
        </w:tc>
        <w:tc>
          <w:tcPr>
            <w:tcW w:w="1501" w:type="dxa"/>
            <w:tcBorders>
              <w:bottom w:val="single" w:sz="4" w:space="0" w:color="000000"/>
            </w:tcBorders>
            <w:tcMar>
              <w:top w:w="10" w:type="dxa"/>
              <w:left w:w="10" w:type="dxa"/>
              <w:bottom w:w="0" w:type="dxa"/>
              <w:right w:w="10" w:type="dxa"/>
            </w:tcMar>
            <w:vAlign w:val="center"/>
          </w:tcPr>
          <w:p w14:paraId="4D083798" w14:textId="0B2B6D9C" w:rsidR="00AE57F0" w:rsidRPr="00305D32" w:rsidRDefault="00F972EB" w:rsidP="009E56F8">
            <w:pPr>
              <w:spacing w:after="0" w:line="240" w:lineRule="auto"/>
              <w:jc w:val="right"/>
              <w:rPr>
                <w:sz w:val="20"/>
                <w:szCs w:val="20"/>
                <w:lang w:val="es-MX"/>
              </w:rPr>
            </w:pPr>
            <w:r w:rsidRPr="00305D32">
              <w:rPr>
                <w:sz w:val="20"/>
                <w:szCs w:val="20"/>
                <w:lang w:val="es-MX"/>
              </w:rPr>
              <w:t>2,808</w:t>
            </w:r>
            <w:r w:rsidR="00414F7C" w:rsidRPr="00305D32">
              <w:rPr>
                <w:sz w:val="20"/>
                <w:szCs w:val="20"/>
                <w:lang w:val="es-MX"/>
              </w:rPr>
              <w:t>.4</w:t>
            </w:r>
          </w:p>
        </w:tc>
        <w:tc>
          <w:tcPr>
            <w:tcW w:w="1228" w:type="dxa"/>
            <w:tcBorders>
              <w:bottom w:val="single" w:sz="4" w:space="0" w:color="000000"/>
            </w:tcBorders>
            <w:tcMar>
              <w:top w:w="10" w:type="dxa"/>
              <w:left w:w="10" w:type="dxa"/>
              <w:bottom w:w="0" w:type="dxa"/>
              <w:right w:w="10" w:type="dxa"/>
            </w:tcMar>
            <w:vAlign w:val="center"/>
          </w:tcPr>
          <w:p w14:paraId="4D083799" w14:textId="1420B5F2" w:rsidR="00AE57F0" w:rsidRPr="00305D32" w:rsidRDefault="00F972EB" w:rsidP="009E56F8">
            <w:pPr>
              <w:spacing w:after="0" w:line="240" w:lineRule="auto"/>
              <w:jc w:val="right"/>
              <w:rPr>
                <w:sz w:val="20"/>
                <w:szCs w:val="20"/>
                <w:lang w:val="es-MX"/>
              </w:rPr>
            </w:pPr>
            <w:r w:rsidRPr="00305D32">
              <w:rPr>
                <w:sz w:val="20"/>
                <w:szCs w:val="20"/>
                <w:lang w:val="es-MX"/>
              </w:rPr>
              <w:t>2,795.1</w:t>
            </w:r>
          </w:p>
        </w:tc>
        <w:tc>
          <w:tcPr>
            <w:tcW w:w="1646" w:type="dxa"/>
            <w:tcBorders>
              <w:bottom w:val="single" w:sz="4" w:space="0" w:color="000000"/>
            </w:tcBorders>
            <w:tcMar>
              <w:top w:w="10" w:type="dxa"/>
              <w:left w:w="10" w:type="dxa"/>
              <w:bottom w:w="0" w:type="dxa"/>
              <w:right w:w="10" w:type="dxa"/>
            </w:tcMar>
            <w:vAlign w:val="center"/>
          </w:tcPr>
          <w:p w14:paraId="4D08379A" w14:textId="0079E179" w:rsidR="00AE57F0" w:rsidRPr="00305D32" w:rsidRDefault="00F972EB">
            <w:pPr>
              <w:spacing w:after="0" w:line="240" w:lineRule="auto"/>
              <w:jc w:val="center"/>
              <w:rPr>
                <w:sz w:val="20"/>
                <w:szCs w:val="20"/>
                <w:lang w:val="es-MX"/>
              </w:rPr>
            </w:pPr>
            <w:r w:rsidRPr="00305D32">
              <w:rPr>
                <w:sz w:val="20"/>
                <w:szCs w:val="20"/>
                <w:lang w:val="es-MX"/>
              </w:rPr>
              <w:t>24</w:t>
            </w:r>
          </w:p>
        </w:tc>
        <w:tc>
          <w:tcPr>
            <w:tcW w:w="1220" w:type="dxa"/>
            <w:tcBorders>
              <w:bottom w:val="single" w:sz="4" w:space="0" w:color="000000"/>
            </w:tcBorders>
            <w:tcMar>
              <w:top w:w="10" w:type="dxa"/>
              <w:left w:w="10" w:type="dxa"/>
              <w:bottom w:w="0" w:type="dxa"/>
              <w:right w:w="10" w:type="dxa"/>
            </w:tcMar>
            <w:vAlign w:val="center"/>
          </w:tcPr>
          <w:p w14:paraId="4D08379B" w14:textId="6F4124E1" w:rsidR="00AE57F0" w:rsidRPr="00305D32" w:rsidRDefault="00414F7C">
            <w:pPr>
              <w:spacing w:after="0" w:line="240" w:lineRule="auto"/>
              <w:jc w:val="center"/>
              <w:rPr>
                <w:sz w:val="20"/>
                <w:szCs w:val="20"/>
                <w:lang w:val="es-MX"/>
              </w:rPr>
            </w:pPr>
            <w:r w:rsidRPr="00305D32">
              <w:rPr>
                <w:sz w:val="20"/>
                <w:szCs w:val="20"/>
                <w:lang w:val="es-MX"/>
              </w:rPr>
              <w:t>0.</w:t>
            </w:r>
            <w:r w:rsidR="00F972EB" w:rsidRPr="00305D32">
              <w:rPr>
                <w:sz w:val="20"/>
                <w:szCs w:val="20"/>
                <w:lang w:val="es-MX"/>
              </w:rPr>
              <w:t>51</w:t>
            </w:r>
            <w:r w:rsidR="0019290E">
              <w:rPr>
                <w:sz w:val="20"/>
                <w:szCs w:val="20"/>
                <w:lang w:val="es-MX"/>
              </w:rPr>
              <w:t xml:space="preserve"> %</w:t>
            </w:r>
          </w:p>
        </w:tc>
      </w:tr>
    </w:tbl>
    <w:p w14:paraId="4D08379D" w14:textId="7C1AD448" w:rsidR="00AE57F0" w:rsidRPr="00305D32" w:rsidRDefault="00414F7C">
      <w:pPr>
        <w:spacing w:line="240" w:lineRule="auto"/>
        <w:jc w:val="center"/>
        <w:rPr>
          <w:lang w:val="es-MX"/>
        </w:rPr>
      </w:pPr>
      <w:r w:rsidRPr="00305D32">
        <w:rPr>
          <w:sz w:val="20"/>
          <w:szCs w:val="20"/>
          <w:lang w:val="es-MX"/>
        </w:rPr>
        <w:t>Fuente: Elaboración de la Subsecretaría de Análisis Económico y Finanzas Públicas de la Secretaría de Finanzas y Planeación con datos de la Secretaría de finanzas y Planeación, 202</w:t>
      </w:r>
      <w:r w:rsidR="00CC025D" w:rsidRPr="00305D32">
        <w:rPr>
          <w:sz w:val="20"/>
          <w:szCs w:val="20"/>
          <w:lang w:val="es-MX"/>
        </w:rPr>
        <w:t>5</w:t>
      </w:r>
      <w:r w:rsidRPr="00305D32">
        <w:rPr>
          <w:sz w:val="20"/>
          <w:szCs w:val="20"/>
          <w:lang w:val="es-MX"/>
        </w:rPr>
        <w:t>.</w:t>
      </w:r>
    </w:p>
    <w:p w14:paraId="26D58188" w14:textId="383D4046" w:rsidR="00A414ED" w:rsidRPr="00305D32" w:rsidRDefault="00DE5A5C" w:rsidP="00A414ED">
      <w:pPr>
        <w:rPr>
          <w:lang w:val="es-MX"/>
        </w:rPr>
      </w:pPr>
      <w:bookmarkStart w:id="133" w:name="_heading=h.odc9jc" w:colFirst="0" w:colLast="0"/>
      <w:bookmarkEnd w:id="133"/>
      <w:r w:rsidRPr="00DE5A5C">
        <w:rPr>
          <w:lang w:val="es-MX"/>
        </w:rPr>
        <w:t>El monto de los adeudos de ejercicios fiscales anteriores, como se observa</w:t>
      </w:r>
      <w:r w:rsidR="00A414ED" w:rsidRPr="00305D32">
        <w:rPr>
          <w:lang w:val="es-MX"/>
        </w:rPr>
        <w:t xml:space="preserve"> en la </w:t>
      </w:r>
      <w:r w:rsidR="005620E3" w:rsidRPr="00305D32">
        <w:rPr>
          <w:lang w:val="es-MX"/>
        </w:rPr>
        <w:fldChar w:fldCharType="begin"/>
      </w:r>
      <w:r w:rsidR="005620E3" w:rsidRPr="00305D32">
        <w:rPr>
          <w:lang w:val="es-MX"/>
        </w:rPr>
        <w:instrText xml:space="preserve"> REF _Ref210297305 \h </w:instrText>
      </w:r>
      <w:r w:rsidR="005620E3" w:rsidRPr="00305D32">
        <w:rPr>
          <w:lang w:val="es-MX"/>
        </w:rPr>
      </w:r>
      <w:r w:rsidR="005620E3" w:rsidRPr="00305D32">
        <w:rPr>
          <w:lang w:val="es-MX"/>
        </w:rPr>
        <w:fldChar w:fldCharType="separate"/>
      </w:r>
      <w:r w:rsidR="00ED1F2F" w:rsidRPr="00305D32">
        <w:rPr>
          <w:lang w:val="es-MX"/>
        </w:rPr>
        <w:t xml:space="preserve">Figura </w:t>
      </w:r>
      <w:r w:rsidR="00ED1F2F">
        <w:rPr>
          <w:noProof/>
          <w:lang w:val="es-MX"/>
        </w:rPr>
        <w:t>46</w:t>
      </w:r>
      <w:r w:rsidR="005620E3" w:rsidRPr="00305D32">
        <w:rPr>
          <w:lang w:val="es-MX"/>
        </w:rPr>
        <w:fldChar w:fldCharType="end"/>
      </w:r>
      <w:r w:rsidR="00A414ED" w:rsidRPr="00305D32">
        <w:rPr>
          <w:lang w:val="es-MX"/>
        </w:rPr>
        <w:t xml:space="preserve">, </w:t>
      </w:r>
      <w:r w:rsidR="00787FF0" w:rsidRPr="00787FF0">
        <w:rPr>
          <w:lang w:val="es-MX"/>
        </w:rPr>
        <w:t>ha disminuido de forma constante. En 2023, el saldo ascendía a 1,528 millones de pesos; en 2024, decreció a 204 millones de pesos y, al segundo trimestre de 2025, este saldo se redujo a 109 millones de pesos</w:t>
      </w:r>
      <w:r w:rsidR="00A414ED" w:rsidRPr="00C27567">
        <w:rPr>
          <w:lang w:val="es-MX"/>
        </w:rPr>
        <w:t>.</w:t>
      </w:r>
    </w:p>
    <w:p w14:paraId="4D08379F" w14:textId="3A035AA9" w:rsidR="00AE57F0" w:rsidRPr="00305D32" w:rsidRDefault="00414F7C" w:rsidP="00653488">
      <w:pPr>
        <w:pStyle w:val="Descripcin"/>
        <w:jc w:val="center"/>
        <w:rPr>
          <w:color w:val="000000"/>
          <w:lang w:val="es-MX"/>
        </w:rPr>
      </w:pPr>
      <w:bookmarkStart w:id="134" w:name="_Ref210297305"/>
      <w:r w:rsidRPr="00305D32">
        <w:rPr>
          <w:lang w:val="es-MX"/>
        </w:rPr>
        <w:lastRenderedPageBreak/>
        <w:t xml:space="preserve">Figura </w:t>
      </w:r>
      <w:r w:rsidR="005620E3" w:rsidRPr="00305D32">
        <w:rPr>
          <w:lang w:val="es-MX"/>
        </w:rPr>
        <w:fldChar w:fldCharType="begin"/>
      </w:r>
      <w:r w:rsidR="005620E3" w:rsidRPr="00305D32">
        <w:rPr>
          <w:lang w:val="es-MX"/>
        </w:rPr>
        <w:instrText xml:space="preserve"> SEQ Figura \* ARABIC </w:instrText>
      </w:r>
      <w:r w:rsidR="005620E3" w:rsidRPr="00305D32">
        <w:rPr>
          <w:lang w:val="es-MX"/>
        </w:rPr>
        <w:fldChar w:fldCharType="separate"/>
      </w:r>
      <w:r w:rsidR="00ED1F2F">
        <w:rPr>
          <w:noProof/>
          <w:lang w:val="es-MX"/>
        </w:rPr>
        <w:t>46</w:t>
      </w:r>
      <w:r w:rsidR="005620E3" w:rsidRPr="00305D32">
        <w:rPr>
          <w:lang w:val="es-MX"/>
        </w:rPr>
        <w:fldChar w:fldCharType="end"/>
      </w:r>
      <w:bookmarkEnd w:id="134"/>
      <w:r w:rsidRPr="00305D32">
        <w:rPr>
          <w:color w:val="000000"/>
          <w:lang w:val="es-MX"/>
        </w:rPr>
        <w:t>. Saldo de los Adeudos de Ejercicios Fiscales Anteriores (Adefas) en Quintana Roo 202</w:t>
      </w:r>
      <w:r w:rsidR="002C6582" w:rsidRPr="00305D32">
        <w:rPr>
          <w:color w:val="000000"/>
          <w:lang w:val="es-MX"/>
        </w:rPr>
        <w:t>3</w:t>
      </w:r>
      <w:r w:rsidRPr="00305D32">
        <w:rPr>
          <w:color w:val="000000"/>
          <w:lang w:val="es-MX"/>
        </w:rPr>
        <w:t>-202</w:t>
      </w:r>
      <w:r w:rsidR="002C6582" w:rsidRPr="00305D32">
        <w:rPr>
          <w:color w:val="000000"/>
          <w:lang w:val="es-MX"/>
        </w:rPr>
        <w:t>5</w:t>
      </w:r>
      <w:r w:rsidRPr="00305D32">
        <w:rPr>
          <w:color w:val="000000"/>
          <w:lang w:val="es-MX"/>
        </w:rPr>
        <w:t>, millones de pesos</w:t>
      </w:r>
    </w:p>
    <w:p w14:paraId="71639517" w14:textId="51FD9308" w:rsidR="002A68A7" w:rsidRPr="00305D32" w:rsidRDefault="002D4373">
      <w:pPr>
        <w:spacing w:after="0"/>
        <w:jc w:val="center"/>
        <w:rPr>
          <w:lang w:val="es-MX"/>
        </w:rPr>
      </w:pPr>
      <w:r w:rsidRPr="00305D32">
        <w:rPr>
          <w:noProof/>
          <w:lang w:val="es-MX" w:eastAsia="es-MX"/>
        </w:rPr>
        <w:drawing>
          <wp:inline distT="0" distB="0" distL="0" distR="0" wp14:anchorId="07FE753F" wp14:editId="4A2EFD13">
            <wp:extent cx="5581650" cy="2743200"/>
            <wp:effectExtent l="0" t="0" r="0" b="0"/>
            <wp:docPr id="1114075534" name="Gráfico 1">
              <a:extLst xmlns:a="http://schemas.openxmlformats.org/drawingml/2006/main">
                <a:ext uri="{FF2B5EF4-FFF2-40B4-BE49-F238E27FC236}">
                  <a16:creationId xmlns:a16="http://schemas.microsoft.com/office/drawing/2014/main" id="{692B4966-5D6E-4835-905D-2A574FC000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D0837A1" w14:textId="5DF23E37" w:rsidR="00AE57F0" w:rsidRPr="00305D32" w:rsidRDefault="00414F7C">
      <w:pPr>
        <w:spacing w:line="240" w:lineRule="auto"/>
        <w:jc w:val="center"/>
        <w:rPr>
          <w:lang w:val="es-MX"/>
        </w:rPr>
      </w:pPr>
      <w:r w:rsidRPr="00305D32">
        <w:rPr>
          <w:sz w:val="20"/>
          <w:szCs w:val="20"/>
          <w:lang w:val="es-MX"/>
        </w:rPr>
        <w:t>Fuente: Elaboración de la Subsecretaría de Análisis Económico y Finanzas Públicas de la Secretaría de Finanzas y Planeación, con base en datos del Estado Analítico del Ejercicio del Presupuesto de Egresos de la SEFIPLAN (202</w:t>
      </w:r>
      <w:r w:rsidR="003420B8" w:rsidRPr="00305D32">
        <w:rPr>
          <w:sz w:val="20"/>
          <w:szCs w:val="20"/>
          <w:lang w:val="es-MX"/>
        </w:rPr>
        <w:t>5</w:t>
      </w:r>
      <w:r w:rsidRPr="00305D32">
        <w:rPr>
          <w:sz w:val="20"/>
          <w:szCs w:val="20"/>
          <w:lang w:val="es-MX"/>
        </w:rPr>
        <w:t>).</w:t>
      </w:r>
      <w:r w:rsidRPr="00305D32">
        <w:rPr>
          <w:lang w:val="es-MX"/>
        </w:rPr>
        <w:t xml:space="preserve"> *</w:t>
      </w:r>
      <w:r w:rsidRPr="00305D32">
        <w:rPr>
          <w:sz w:val="20"/>
          <w:szCs w:val="20"/>
          <w:lang w:val="es-MX"/>
        </w:rPr>
        <w:t>Corresponde al valor del segundo trimestre 202</w:t>
      </w:r>
      <w:r w:rsidR="003420B8" w:rsidRPr="00305D32">
        <w:rPr>
          <w:sz w:val="20"/>
          <w:szCs w:val="20"/>
          <w:lang w:val="es-MX"/>
        </w:rPr>
        <w:t>5</w:t>
      </w:r>
      <w:r w:rsidRPr="00305D32">
        <w:rPr>
          <w:sz w:val="20"/>
          <w:szCs w:val="20"/>
          <w:lang w:val="es-MX"/>
        </w:rPr>
        <w:t>.</w:t>
      </w:r>
    </w:p>
    <w:p w14:paraId="6C0EFA1D" w14:textId="77777777" w:rsidR="00E833AF" w:rsidRPr="00E833AF" w:rsidRDefault="00E833AF" w:rsidP="00E833AF">
      <w:pPr>
        <w:rPr>
          <w:lang w:val="es-MX"/>
        </w:rPr>
      </w:pPr>
      <w:bookmarkStart w:id="135" w:name="_heading=h.38czs75" w:colFirst="0" w:colLast="0"/>
      <w:bookmarkEnd w:id="135"/>
      <w:r w:rsidRPr="00E833AF">
        <w:rPr>
          <w:lang w:val="es-MX"/>
        </w:rPr>
        <w:t>De acuerdo con los estados de situación financiera del Estado, se observa que los pasivos de corto plazo fueron liquidados en su totalidad y que, al segundo trimestre de 2025, no se ha contratado deuda pública de corto plazo, lo que ha reducido de forma sustancial las presiones en las finanzas del Estado.</w:t>
      </w:r>
    </w:p>
    <w:p w14:paraId="6EB6B86B" w14:textId="1C0F44FF" w:rsidR="001A601B" w:rsidRPr="00305D32" w:rsidRDefault="00E833AF" w:rsidP="00E833AF">
      <w:pPr>
        <w:rPr>
          <w:lang w:val="es-MX"/>
        </w:rPr>
      </w:pPr>
      <w:r w:rsidRPr="00E833AF">
        <w:rPr>
          <w:lang w:val="es-MX"/>
        </w:rPr>
        <w:t xml:space="preserve">Los pasivos de corto plazo se originaron en administraciones anteriores y comprometían en gran medida las finanzas públicas del Estado. Con las acciones implementadas por la actual administración, se ha demostrado el compromiso institucional mediante la aplicación </w:t>
      </w:r>
      <w:r w:rsidR="002104EB" w:rsidRPr="00E833AF">
        <w:rPr>
          <w:lang w:val="es-MX"/>
        </w:rPr>
        <w:t>de medidas</w:t>
      </w:r>
      <w:r w:rsidRPr="00E833AF">
        <w:rPr>
          <w:lang w:val="es-MX"/>
        </w:rPr>
        <w:t xml:space="preserve"> encaminadas al fortalecimiento de los ingresos y al ejercicio racional, responsable, moderado y eficaz del gasto público</w:t>
      </w:r>
      <w:r w:rsidR="001A601B" w:rsidRPr="00305D32">
        <w:rPr>
          <w:lang w:val="es-MX"/>
        </w:rPr>
        <w:t>.</w:t>
      </w:r>
    </w:p>
    <w:p w14:paraId="7969E97A" w14:textId="77777777" w:rsidR="001A601B" w:rsidRPr="00305D32" w:rsidRDefault="001A601B">
      <w:pPr>
        <w:rPr>
          <w:lang w:val="es-MX"/>
        </w:rPr>
      </w:pPr>
    </w:p>
    <w:p w14:paraId="4D0837A5" w14:textId="77777777" w:rsidR="00AE57F0" w:rsidRPr="00305D32" w:rsidRDefault="00414F7C">
      <w:pPr>
        <w:pStyle w:val="Ttulo1"/>
        <w:numPr>
          <w:ilvl w:val="0"/>
          <w:numId w:val="5"/>
        </w:numPr>
        <w:spacing w:before="0"/>
        <w:rPr>
          <w:lang w:val="es-MX"/>
        </w:rPr>
      </w:pPr>
      <w:r w:rsidRPr="00305D32">
        <w:rPr>
          <w:lang w:val="es-MX"/>
        </w:rPr>
        <w:lastRenderedPageBreak/>
        <w:t>Economía Municipal</w:t>
      </w:r>
    </w:p>
    <w:p w14:paraId="4333ECD5" w14:textId="64C3F934" w:rsidR="005742EE" w:rsidRDefault="00155DDE" w:rsidP="00155DDE">
      <w:pPr>
        <w:pStyle w:val="Ttulo2"/>
        <w:numPr>
          <w:ilvl w:val="1"/>
          <w:numId w:val="5"/>
        </w:numPr>
        <w:rPr>
          <w:lang w:val="es-MX"/>
        </w:rPr>
      </w:pPr>
      <w:r>
        <w:rPr>
          <w:lang w:val="es-MX"/>
        </w:rPr>
        <w:t>Producto Interno Bruto</w:t>
      </w:r>
    </w:p>
    <w:p w14:paraId="450CA584" w14:textId="715F968C" w:rsidR="009C4267" w:rsidRDefault="007372F8" w:rsidP="00B91474">
      <w:pPr>
        <w:rPr>
          <w:lang w:val="es-MX"/>
        </w:rPr>
      </w:pPr>
      <w:r w:rsidRPr="007372F8">
        <w:rPr>
          <w:lang w:val="es-MX"/>
        </w:rPr>
        <w:t>La evolución económica municipal muestra comportamientos diferenciados, con una alta concentración de la producción en tres municipios: Benito Juárez (47.95</w:t>
      </w:r>
      <w:r w:rsidR="0019290E">
        <w:rPr>
          <w:lang w:val="es-MX"/>
        </w:rPr>
        <w:t xml:space="preserve"> %</w:t>
      </w:r>
      <w:r w:rsidRPr="007372F8">
        <w:rPr>
          <w:lang w:val="es-MX"/>
        </w:rPr>
        <w:t>), Playa del Carmen (17.64</w:t>
      </w:r>
      <w:r w:rsidR="0019290E">
        <w:rPr>
          <w:lang w:val="es-MX"/>
        </w:rPr>
        <w:t xml:space="preserve"> %</w:t>
      </w:r>
      <w:r w:rsidRPr="007372F8">
        <w:rPr>
          <w:lang w:val="es-MX"/>
        </w:rPr>
        <w:t>, anteriormente Solidaridad) y Othón P. Blanco (12.55</w:t>
      </w:r>
      <w:r w:rsidR="0019290E">
        <w:rPr>
          <w:lang w:val="es-MX"/>
        </w:rPr>
        <w:t xml:space="preserve"> %</w:t>
      </w:r>
      <w:r w:rsidRPr="007372F8">
        <w:rPr>
          <w:lang w:val="es-MX"/>
        </w:rPr>
        <w:t>), los cuales en conjunto generan el 78.14</w:t>
      </w:r>
      <w:r w:rsidR="0019290E">
        <w:rPr>
          <w:lang w:val="es-MX"/>
        </w:rPr>
        <w:t xml:space="preserve"> %</w:t>
      </w:r>
      <w:r w:rsidRPr="007372F8">
        <w:rPr>
          <w:lang w:val="es-MX"/>
        </w:rPr>
        <w:t xml:space="preserve"> del PIBE. La información disponible confirma que la mayor parte de la actividad económica se concentra en la zona norte de Quintana Roo, impulsada principalmente por el sector turístico, que se desarrolla en destinos como Cancún, Playa del Carmen, Cozumel, Tulum e Isla Mujeres</w:t>
      </w:r>
      <w:r w:rsidR="005130D9" w:rsidRPr="00305D32">
        <w:rPr>
          <w:lang w:val="es-MX"/>
        </w:rPr>
        <w:t>.</w:t>
      </w:r>
    </w:p>
    <w:p w14:paraId="5065B918" w14:textId="756A7FCD" w:rsidR="00A31A5B" w:rsidRPr="00305D32" w:rsidRDefault="00A31A5B" w:rsidP="00A31A5B">
      <w:pPr>
        <w:pStyle w:val="Descripcin"/>
        <w:jc w:val="center"/>
        <w:rPr>
          <w:b w:val="0"/>
          <w:color w:val="000000"/>
          <w:lang w:val="es-MX"/>
        </w:rPr>
      </w:pPr>
      <w:bookmarkStart w:id="136" w:name="_Ref210297813"/>
      <w:r w:rsidRPr="00367E3B">
        <w:t xml:space="preserve">Tabla </w:t>
      </w:r>
      <w:fldSimple w:instr=" SEQ Tabla \* ARABIC ">
        <w:r w:rsidR="00ED1F2F">
          <w:rPr>
            <w:noProof/>
          </w:rPr>
          <w:t>20</w:t>
        </w:r>
      </w:fldSimple>
      <w:bookmarkEnd w:id="136"/>
      <w:r w:rsidRPr="00367E3B">
        <w:rPr>
          <w:color w:val="000000"/>
          <w:lang w:val="es-MX"/>
        </w:rPr>
        <w:t xml:space="preserve">. </w:t>
      </w:r>
      <w:r w:rsidRPr="001B1C06">
        <w:rPr>
          <w:color w:val="000000"/>
          <w:lang w:val="es-MX"/>
        </w:rPr>
        <w:t>Producto Interno Bruto Municipal de Quintana Roo, 2024-2025, millones de pesos corrientes</w:t>
      </w:r>
      <w:r>
        <w:rPr>
          <w:color w:val="000000"/>
          <w:lang w:val="es-MX"/>
        </w:rPr>
        <w:t>.</w:t>
      </w:r>
    </w:p>
    <w:tbl>
      <w:tblPr>
        <w:tblStyle w:val="af1"/>
        <w:tblW w:w="9400" w:type="dxa"/>
        <w:tblInd w:w="0" w:type="dxa"/>
        <w:tblLayout w:type="fixed"/>
        <w:tblLook w:val="0400" w:firstRow="0" w:lastRow="0" w:firstColumn="0" w:lastColumn="0" w:noHBand="0" w:noVBand="1"/>
      </w:tblPr>
      <w:tblGrid>
        <w:gridCol w:w="3153"/>
        <w:gridCol w:w="1995"/>
        <w:gridCol w:w="1995"/>
        <w:gridCol w:w="2257"/>
      </w:tblGrid>
      <w:tr w:rsidR="00FF438C" w:rsidRPr="00305D32" w14:paraId="563B375B" w14:textId="77777777" w:rsidTr="00A31A5B">
        <w:trPr>
          <w:trHeight w:val="67"/>
        </w:trPr>
        <w:tc>
          <w:tcPr>
            <w:tcW w:w="3153" w:type="dxa"/>
            <w:tcBorders>
              <w:top w:val="single" w:sz="8" w:space="0" w:color="000000"/>
              <w:left w:val="nil"/>
              <w:bottom w:val="single" w:sz="8" w:space="0" w:color="000000"/>
              <w:right w:val="nil"/>
            </w:tcBorders>
            <w:vAlign w:val="center"/>
          </w:tcPr>
          <w:p w14:paraId="1E1BC37B" w14:textId="77777777" w:rsidR="00FF438C" w:rsidRPr="00305D32" w:rsidRDefault="00FF438C" w:rsidP="00A31A5B">
            <w:pPr>
              <w:spacing w:after="0" w:line="240" w:lineRule="auto"/>
              <w:jc w:val="center"/>
              <w:rPr>
                <w:b/>
                <w:color w:val="000000"/>
                <w:sz w:val="20"/>
                <w:szCs w:val="20"/>
                <w:lang w:val="es-MX"/>
              </w:rPr>
            </w:pPr>
            <w:r w:rsidRPr="00305D32">
              <w:rPr>
                <w:b/>
                <w:color w:val="000000"/>
                <w:sz w:val="20"/>
                <w:szCs w:val="20"/>
                <w:lang w:val="es-MX"/>
              </w:rPr>
              <w:t xml:space="preserve">PIB por municipio </w:t>
            </w:r>
          </w:p>
        </w:tc>
        <w:tc>
          <w:tcPr>
            <w:tcW w:w="1995" w:type="dxa"/>
            <w:tcBorders>
              <w:top w:val="single" w:sz="8" w:space="0" w:color="000000"/>
              <w:left w:val="nil"/>
              <w:bottom w:val="single" w:sz="8" w:space="0" w:color="000000"/>
              <w:right w:val="nil"/>
            </w:tcBorders>
            <w:vAlign w:val="center"/>
          </w:tcPr>
          <w:p w14:paraId="2A271303" w14:textId="77777777" w:rsidR="00FF438C" w:rsidRPr="00305D32" w:rsidRDefault="00FF438C" w:rsidP="00A31A5B">
            <w:pPr>
              <w:spacing w:after="0" w:line="240" w:lineRule="auto"/>
              <w:jc w:val="center"/>
              <w:rPr>
                <w:b/>
                <w:color w:val="000000"/>
                <w:sz w:val="20"/>
                <w:szCs w:val="20"/>
                <w:lang w:val="es-MX"/>
              </w:rPr>
            </w:pPr>
            <w:r w:rsidRPr="00305D32">
              <w:rPr>
                <w:b/>
                <w:color w:val="000000"/>
                <w:sz w:val="20"/>
                <w:szCs w:val="20"/>
                <w:lang w:val="es-MX"/>
              </w:rPr>
              <w:t>2024</w:t>
            </w:r>
          </w:p>
        </w:tc>
        <w:tc>
          <w:tcPr>
            <w:tcW w:w="1995" w:type="dxa"/>
            <w:tcBorders>
              <w:top w:val="single" w:sz="8" w:space="0" w:color="000000"/>
              <w:left w:val="nil"/>
              <w:bottom w:val="single" w:sz="8" w:space="0" w:color="000000"/>
              <w:right w:val="nil"/>
            </w:tcBorders>
            <w:vAlign w:val="center"/>
          </w:tcPr>
          <w:p w14:paraId="38111EF3" w14:textId="77777777" w:rsidR="00FF438C" w:rsidRPr="00305D32" w:rsidRDefault="00FF438C" w:rsidP="00A31A5B">
            <w:pPr>
              <w:spacing w:after="0" w:line="240" w:lineRule="auto"/>
              <w:jc w:val="center"/>
              <w:rPr>
                <w:b/>
                <w:color w:val="000000"/>
                <w:sz w:val="20"/>
                <w:szCs w:val="20"/>
                <w:lang w:val="es-MX"/>
              </w:rPr>
            </w:pPr>
            <w:r w:rsidRPr="00305D32">
              <w:rPr>
                <w:b/>
                <w:color w:val="000000"/>
                <w:sz w:val="20"/>
                <w:szCs w:val="20"/>
                <w:lang w:val="es-MX"/>
              </w:rPr>
              <w:t>2025</w:t>
            </w:r>
          </w:p>
        </w:tc>
        <w:tc>
          <w:tcPr>
            <w:tcW w:w="2257" w:type="dxa"/>
            <w:tcBorders>
              <w:top w:val="single" w:sz="8" w:space="0" w:color="000000"/>
              <w:left w:val="nil"/>
              <w:bottom w:val="single" w:sz="8" w:space="0" w:color="000000"/>
              <w:right w:val="nil"/>
            </w:tcBorders>
            <w:vAlign w:val="center"/>
          </w:tcPr>
          <w:p w14:paraId="03DD2759" w14:textId="77777777" w:rsidR="00FF438C" w:rsidRPr="00305D32" w:rsidRDefault="00FF438C" w:rsidP="00A31A5B">
            <w:pPr>
              <w:spacing w:after="0" w:line="240" w:lineRule="auto"/>
              <w:jc w:val="center"/>
              <w:rPr>
                <w:b/>
                <w:color w:val="000000"/>
                <w:sz w:val="20"/>
                <w:szCs w:val="20"/>
                <w:lang w:val="es-MX"/>
              </w:rPr>
            </w:pPr>
            <w:r w:rsidRPr="00305D32">
              <w:rPr>
                <w:b/>
                <w:color w:val="000000"/>
                <w:sz w:val="20"/>
                <w:szCs w:val="20"/>
                <w:lang w:val="es-MX"/>
              </w:rPr>
              <w:t>Composición porcentual 2025</w:t>
            </w:r>
          </w:p>
        </w:tc>
      </w:tr>
      <w:tr w:rsidR="00FF438C" w:rsidRPr="00305D32" w14:paraId="3E3ABF89" w14:textId="77777777" w:rsidTr="00A31A5B">
        <w:trPr>
          <w:trHeight w:val="300"/>
        </w:trPr>
        <w:tc>
          <w:tcPr>
            <w:tcW w:w="3153" w:type="dxa"/>
            <w:tcBorders>
              <w:top w:val="nil"/>
              <w:left w:val="nil"/>
              <w:bottom w:val="nil"/>
              <w:right w:val="nil"/>
            </w:tcBorders>
            <w:vAlign w:val="center"/>
          </w:tcPr>
          <w:p w14:paraId="38C7767A" w14:textId="77777777" w:rsidR="00FF438C" w:rsidRPr="00305D32" w:rsidRDefault="00FF438C" w:rsidP="00A31A5B">
            <w:pPr>
              <w:spacing w:after="0" w:line="240" w:lineRule="auto"/>
              <w:jc w:val="left"/>
              <w:rPr>
                <w:color w:val="000000"/>
                <w:sz w:val="20"/>
                <w:szCs w:val="20"/>
                <w:lang w:val="es-MX"/>
              </w:rPr>
            </w:pPr>
            <w:r w:rsidRPr="00305D32">
              <w:rPr>
                <w:color w:val="000000"/>
                <w:sz w:val="20"/>
                <w:szCs w:val="20"/>
                <w:lang w:val="es-MX"/>
              </w:rPr>
              <w:t>Bacalar</w:t>
            </w:r>
          </w:p>
        </w:tc>
        <w:tc>
          <w:tcPr>
            <w:tcW w:w="1995" w:type="dxa"/>
            <w:tcBorders>
              <w:top w:val="nil"/>
              <w:left w:val="nil"/>
              <w:bottom w:val="nil"/>
              <w:right w:val="nil"/>
            </w:tcBorders>
            <w:vAlign w:val="bottom"/>
          </w:tcPr>
          <w:p w14:paraId="5718E6AF" w14:textId="77777777"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7,565.90</w:t>
            </w:r>
          </w:p>
        </w:tc>
        <w:tc>
          <w:tcPr>
            <w:tcW w:w="1995" w:type="dxa"/>
            <w:tcBorders>
              <w:top w:val="nil"/>
              <w:left w:val="nil"/>
              <w:bottom w:val="nil"/>
              <w:right w:val="nil"/>
            </w:tcBorders>
            <w:vAlign w:val="bottom"/>
          </w:tcPr>
          <w:p w14:paraId="7156A289" w14:textId="77777777"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7,570.60</w:t>
            </w:r>
          </w:p>
        </w:tc>
        <w:tc>
          <w:tcPr>
            <w:tcW w:w="2257" w:type="dxa"/>
            <w:tcBorders>
              <w:top w:val="nil"/>
              <w:left w:val="nil"/>
              <w:bottom w:val="nil"/>
              <w:right w:val="nil"/>
            </w:tcBorders>
            <w:vAlign w:val="bottom"/>
          </w:tcPr>
          <w:p w14:paraId="23A64F3E" w14:textId="01A50A4A"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1.54</w:t>
            </w:r>
            <w:r w:rsidR="0019290E">
              <w:rPr>
                <w:color w:val="000000"/>
                <w:sz w:val="20"/>
                <w:szCs w:val="20"/>
                <w:lang w:val="es-MX"/>
              </w:rPr>
              <w:t xml:space="preserve"> %</w:t>
            </w:r>
          </w:p>
        </w:tc>
      </w:tr>
      <w:tr w:rsidR="00FF438C" w:rsidRPr="00305D32" w14:paraId="2D72EFBF" w14:textId="77777777" w:rsidTr="00A31A5B">
        <w:trPr>
          <w:trHeight w:val="300"/>
        </w:trPr>
        <w:tc>
          <w:tcPr>
            <w:tcW w:w="3153" w:type="dxa"/>
            <w:tcBorders>
              <w:top w:val="nil"/>
              <w:left w:val="nil"/>
              <w:bottom w:val="nil"/>
              <w:right w:val="nil"/>
            </w:tcBorders>
            <w:vAlign w:val="center"/>
          </w:tcPr>
          <w:p w14:paraId="6ED2C595" w14:textId="77777777" w:rsidR="00FF438C" w:rsidRPr="00305D32" w:rsidRDefault="00FF438C" w:rsidP="00A31A5B">
            <w:pPr>
              <w:spacing w:after="0" w:line="240" w:lineRule="auto"/>
              <w:jc w:val="left"/>
              <w:rPr>
                <w:color w:val="000000"/>
                <w:sz w:val="20"/>
                <w:szCs w:val="20"/>
                <w:lang w:val="es-MX"/>
              </w:rPr>
            </w:pPr>
            <w:r w:rsidRPr="00305D32">
              <w:rPr>
                <w:color w:val="000000"/>
                <w:sz w:val="20"/>
                <w:szCs w:val="20"/>
                <w:lang w:val="es-MX"/>
              </w:rPr>
              <w:t>Benito Juárez</w:t>
            </w:r>
          </w:p>
        </w:tc>
        <w:tc>
          <w:tcPr>
            <w:tcW w:w="1995" w:type="dxa"/>
            <w:tcBorders>
              <w:top w:val="nil"/>
              <w:left w:val="nil"/>
              <w:bottom w:val="nil"/>
              <w:right w:val="nil"/>
            </w:tcBorders>
            <w:vAlign w:val="bottom"/>
          </w:tcPr>
          <w:p w14:paraId="26F2C4AA" w14:textId="77777777"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250,564.20</w:t>
            </w:r>
          </w:p>
        </w:tc>
        <w:tc>
          <w:tcPr>
            <w:tcW w:w="1995" w:type="dxa"/>
            <w:tcBorders>
              <w:top w:val="nil"/>
              <w:left w:val="nil"/>
              <w:bottom w:val="nil"/>
              <w:right w:val="nil"/>
            </w:tcBorders>
            <w:vAlign w:val="bottom"/>
          </w:tcPr>
          <w:p w14:paraId="4A6F7803" w14:textId="77777777"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235,016.30</w:t>
            </w:r>
          </w:p>
        </w:tc>
        <w:tc>
          <w:tcPr>
            <w:tcW w:w="2257" w:type="dxa"/>
            <w:tcBorders>
              <w:top w:val="nil"/>
              <w:left w:val="nil"/>
              <w:bottom w:val="nil"/>
              <w:right w:val="nil"/>
            </w:tcBorders>
            <w:vAlign w:val="bottom"/>
          </w:tcPr>
          <w:p w14:paraId="315BE528" w14:textId="14A34C3C"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47.95</w:t>
            </w:r>
            <w:r w:rsidR="0019290E">
              <w:rPr>
                <w:color w:val="000000"/>
                <w:sz w:val="20"/>
                <w:szCs w:val="20"/>
                <w:lang w:val="es-MX"/>
              </w:rPr>
              <w:t xml:space="preserve"> %</w:t>
            </w:r>
          </w:p>
        </w:tc>
      </w:tr>
      <w:tr w:rsidR="00FF438C" w:rsidRPr="00305D32" w14:paraId="30B7C3B2" w14:textId="77777777" w:rsidTr="00A31A5B">
        <w:trPr>
          <w:trHeight w:val="300"/>
        </w:trPr>
        <w:tc>
          <w:tcPr>
            <w:tcW w:w="3153" w:type="dxa"/>
            <w:tcBorders>
              <w:top w:val="nil"/>
              <w:left w:val="nil"/>
              <w:bottom w:val="nil"/>
              <w:right w:val="nil"/>
            </w:tcBorders>
            <w:vAlign w:val="center"/>
          </w:tcPr>
          <w:p w14:paraId="2D643F6A" w14:textId="77777777" w:rsidR="00FF438C" w:rsidRPr="00305D32" w:rsidRDefault="00FF438C" w:rsidP="00A31A5B">
            <w:pPr>
              <w:spacing w:after="0" w:line="240" w:lineRule="auto"/>
              <w:jc w:val="left"/>
              <w:rPr>
                <w:color w:val="000000"/>
                <w:sz w:val="20"/>
                <w:szCs w:val="20"/>
                <w:lang w:val="es-MX"/>
              </w:rPr>
            </w:pPr>
            <w:r w:rsidRPr="00305D32">
              <w:rPr>
                <w:color w:val="000000"/>
                <w:sz w:val="20"/>
                <w:szCs w:val="20"/>
                <w:lang w:val="es-MX"/>
              </w:rPr>
              <w:t>Cozumel</w:t>
            </w:r>
          </w:p>
        </w:tc>
        <w:tc>
          <w:tcPr>
            <w:tcW w:w="1995" w:type="dxa"/>
            <w:tcBorders>
              <w:top w:val="nil"/>
              <w:left w:val="nil"/>
              <w:bottom w:val="nil"/>
              <w:right w:val="nil"/>
            </w:tcBorders>
            <w:vAlign w:val="bottom"/>
          </w:tcPr>
          <w:p w14:paraId="79E194DB" w14:textId="77777777"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34,552.10</w:t>
            </w:r>
          </w:p>
        </w:tc>
        <w:tc>
          <w:tcPr>
            <w:tcW w:w="1995" w:type="dxa"/>
            <w:tcBorders>
              <w:top w:val="nil"/>
              <w:left w:val="nil"/>
              <w:bottom w:val="nil"/>
              <w:right w:val="nil"/>
            </w:tcBorders>
            <w:vAlign w:val="bottom"/>
          </w:tcPr>
          <w:p w14:paraId="5E187D1C" w14:textId="77777777"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33,542.40</w:t>
            </w:r>
          </w:p>
        </w:tc>
        <w:tc>
          <w:tcPr>
            <w:tcW w:w="2257" w:type="dxa"/>
            <w:tcBorders>
              <w:top w:val="nil"/>
              <w:left w:val="nil"/>
              <w:bottom w:val="nil"/>
              <w:right w:val="nil"/>
            </w:tcBorders>
            <w:vAlign w:val="bottom"/>
          </w:tcPr>
          <w:p w14:paraId="6C847635" w14:textId="2316C694"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6.84</w:t>
            </w:r>
            <w:r w:rsidR="0019290E">
              <w:rPr>
                <w:color w:val="000000"/>
                <w:sz w:val="20"/>
                <w:szCs w:val="20"/>
                <w:lang w:val="es-MX"/>
              </w:rPr>
              <w:t xml:space="preserve"> %</w:t>
            </w:r>
          </w:p>
        </w:tc>
      </w:tr>
      <w:tr w:rsidR="00FF438C" w:rsidRPr="00305D32" w14:paraId="50F196BF" w14:textId="77777777" w:rsidTr="00A31A5B">
        <w:trPr>
          <w:trHeight w:val="300"/>
        </w:trPr>
        <w:tc>
          <w:tcPr>
            <w:tcW w:w="3153" w:type="dxa"/>
            <w:tcBorders>
              <w:top w:val="nil"/>
              <w:left w:val="nil"/>
              <w:bottom w:val="nil"/>
              <w:right w:val="nil"/>
            </w:tcBorders>
            <w:vAlign w:val="center"/>
          </w:tcPr>
          <w:p w14:paraId="14DB41A2" w14:textId="77777777" w:rsidR="00FF438C" w:rsidRPr="00305D32" w:rsidRDefault="00FF438C" w:rsidP="00A31A5B">
            <w:pPr>
              <w:spacing w:after="0" w:line="240" w:lineRule="auto"/>
              <w:jc w:val="left"/>
              <w:rPr>
                <w:color w:val="000000"/>
                <w:sz w:val="20"/>
                <w:szCs w:val="20"/>
                <w:lang w:val="es-MX"/>
              </w:rPr>
            </w:pPr>
            <w:r w:rsidRPr="00305D32">
              <w:rPr>
                <w:color w:val="000000"/>
                <w:sz w:val="20"/>
                <w:szCs w:val="20"/>
                <w:lang w:val="es-MX"/>
              </w:rPr>
              <w:t>Felipe Carrillo Puerto</w:t>
            </w:r>
          </w:p>
        </w:tc>
        <w:tc>
          <w:tcPr>
            <w:tcW w:w="1995" w:type="dxa"/>
            <w:tcBorders>
              <w:top w:val="nil"/>
              <w:left w:val="nil"/>
              <w:bottom w:val="nil"/>
              <w:right w:val="nil"/>
            </w:tcBorders>
            <w:vAlign w:val="bottom"/>
          </w:tcPr>
          <w:p w14:paraId="3A719FA5" w14:textId="77777777"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12,655.70</w:t>
            </w:r>
          </w:p>
        </w:tc>
        <w:tc>
          <w:tcPr>
            <w:tcW w:w="1995" w:type="dxa"/>
            <w:tcBorders>
              <w:top w:val="nil"/>
              <w:left w:val="nil"/>
              <w:bottom w:val="nil"/>
              <w:right w:val="nil"/>
            </w:tcBorders>
            <w:vAlign w:val="bottom"/>
          </w:tcPr>
          <w:p w14:paraId="340654D5" w14:textId="77777777"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12,775.80</w:t>
            </w:r>
          </w:p>
        </w:tc>
        <w:tc>
          <w:tcPr>
            <w:tcW w:w="2257" w:type="dxa"/>
            <w:tcBorders>
              <w:top w:val="nil"/>
              <w:left w:val="nil"/>
              <w:bottom w:val="nil"/>
              <w:right w:val="nil"/>
            </w:tcBorders>
            <w:vAlign w:val="bottom"/>
          </w:tcPr>
          <w:p w14:paraId="71F14BB0" w14:textId="40927182"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2.61</w:t>
            </w:r>
            <w:r w:rsidR="0019290E">
              <w:rPr>
                <w:color w:val="000000"/>
                <w:sz w:val="20"/>
                <w:szCs w:val="20"/>
                <w:lang w:val="es-MX"/>
              </w:rPr>
              <w:t xml:space="preserve"> %</w:t>
            </w:r>
          </w:p>
        </w:tc>
      </w:tr>
      <w:tr w:rsidR="00FF438C" w:rsidRPr="00305D32" w14:paraId="66492B0D" w14:textId="77777777" w:rsidTr="00A31A5B">
        <w:trPr>
          <w:trHeight w:val="300"/>
        </w:trPr>
        <w:tc>
          <w:tcPr>
            <w:tcW w:w="3153" w:type="dxa"/>
            <w:tcBorders>
              <w:top w:val="nil"/>
              <w:left w:val="nil"/>
              <w:bottom w:val="nil"/>
              <w:right w:val="nil"/>
            </w:tcBorders>
            <w:vAlign w:val="center"/>
          </w:tcPr>
          <w:p w14:paraId="5F31084F" w14:textId="77777777" w:rsidR="00FF438C" w:rsidRPr="00305D32" w:rsidRDefault="00FF438C" w:rsidP="00A31A5B">
            <w:pPr>
              <w:spacing w:after="0" w:line="240" w:lineRule="auto"/>
              <w:jc w:val="left"/>
              <w:rPr>
                <w:color w:val="000000"/>
                <w:sz w:val="20"/>
                <w:szCs w:val="20"/>
                <w:lang w:val="es-MX"/>
              </w:rPr>
            </w:pPr>
            <w:r w:rsidRPr="00305D32">
              <w:rPr>
                <w:color w:val="000000"/>
                <w:sz w:val="20"/>
                <w:szCs w:val="20"/>
                <w:lang w:val="es-MX"/>
              </w:rPr>
              <w:t>Isla Mujeres</w:t>
            </w:r>
          </w:p>
        </w:tc>
        <w:tc>
          <w:tcPr>
            <w:tcW w:w="1995" w:type="dxa"/>
            <w:tcBorders>
              <w:top w:val="nil"/>
              <w:left w:val="nil"/>
              <w:bottom w:val="nil"/>
              <w:right w:val="nil"/>
            </w:tcBorders>
            <w:vAlign w:val="bottom"/>
          </w:tcPr>
          <w:p w14:paraId="7718A041" w14:textId="77777777"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11,616.00</w:t>
            </w:r>
          </w:p>
        </w:tc>
        <w:tc>
          <w:tcPr>
            <w:tcW w:w="1995" w:type="dxa"/>
            <w:tcBorders>
              <w:top w:val="nil"/>
              <w:left w:val="nil"/>
              <w:bottom w:val="nil"/>
              <w:right w:val="nil"/>
            </w:tcBorders>
            <w:vAlign w:val="bottom"/>
          </w:tcPr>
          <w:p w14:paraId="06C8CA7D" w14:textId="77777777"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11,482.90</w:t>
            </w:r>
          </w:p>
        </w:tc>
        <w:tc>
          <w:tcPr>
            <w:tcW w:w="2257" w:type="dxa"/>
            <w:tcBorders>
              <w:top w:val="nil"/>
              <w:left w:val="nil"/>
              <w:bottom w:val="nil"/>
              <w:right w:val="nil"/>
            </w:tcBorders>
            <w:vAlign w:val="bottom"/>
          </w:tcPr>
          <w:p w14:paraId="600CCE09" w14:textId="60612887"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2.34</w:t>
            </w:r>
            <w:r w:rsidR="0019290E">
              <w:rPr>
                <w:color w:val="000000"/>
                <w:sz w:val="20"/>
                <w:szCs w:val="20"/>
                <w:lang w:val="es-MX"/>
              </w:rPr>
              <w:t xml:space="preserve"> %</w:t>
            </w:r>
          </w:p>
        </w:tc>
      </w:tr>
      <w:tr w:rsidR="00FF438C" w:rsidRPr="00305D32" w14:paraId="1BA6588C" w14:textId="77777777" w:rsidTr="00A31A5B">
        <w:trPr>
          <w:trHeight w:val="300"/>
        </w:trPr>
        <w:tc>
          <w:tcPr>
            <w:tcW w:w="3153" w:type="dxa"/>
            <w:tcBorders>
              <w:top w:val="nil"/>
              <w:left w:val="nil"/>
              <w:bottom w:val="nil"/>
              <w:right w:val="nil"/>
            </w:tcBorders>
            <w:vAlign w:val="center"/>
          </w:tcPr>
          <w:p w14:paraId="20056E43" w14:textId="77777777" w:rsidR="00FF438C" w:rsidRPr="00305D32" w:rsidRDefault="00FF438C" w:rsidP="00A31A5B">
            <w:pPr>
              <w:spacing w:after="0" w:line="240" w:lineRule="auto"/>
              <w:jc w:val="left"/>
              <w:rPr>
                <w:color w:val="000000"/>
                <w:sz w:val="20"/>
                <w:szCs w:val="20"/>
                <w:lang w:val="es-MX"/>
              </w:rPr>
            </w:pPr>
            <w:r w:rsidRPr="00305D32">
              <w:rPr>
                <w:color w:val="000000"/>
                <w:sz w:val="20"/>
                <w:szCs w:val="20"/>
                <w:lang w:val="es-MX"/>
              </w:rPr>
              <w:t>José María Morelos</w:t>
            </w:r>
          </w:p>
        </w:tc>
        <w:tc>
          <w:tcPr>
            <w:tcW w:w="1995" w:type="dxa"/>
            <w:tcBorders>
              <w:top w:val="nil"/>
              <w:left w:val="nil"/>
              <w:bottom w:val="nil"/>
              <w:right w:val="nil"/>
            </w:tcBorders>
            <w:vAlign w:val="bottom"/>
          </w:tcPr>
          <w:p w14:paraId="0B63C055" w14:textId="77777777"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7,673.30</w:t>
            </w:r>
          </w:p>
        </w:tc>
        <w:tc>
          <w:tcPr>
            <w:tcW w:w="1995" w:type="dxa"/>
            <w:tcBorders>
              <w:top w:val="nil"/>
              <w:left w:val="nil"/>
              <w:bottom w:val="nil"/>
              <w:right w:val="nil"/>
            </w:tcBorders>
            <w:vAlign w:val="bottom"/>
          </w:tcPr>
          <w:p w14:paraId="0CD63501" w14:textId="77777777"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7,432.90</w:t>
            </w:r>
          </w:p>
        </w:tc>
        <w:tc>
          <w:tcPr>
            <w:tcW w:w="2257" w:type="dxa"/>
            <w:tcBorders>
              <w:top w:val="nil"/>
              <w:left w:val="nil"/>
              <w:bottom w:val="nil"/>
              <w:right w:val="nil"/>
            </w:tcBorders>
            <w:vAlign w:val="bottom"/>
          </w:tcPr>
          <w:p w14:paraId="10BC1CB7" w14:textId="22D803C7"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1.52</w:t>
            </w:r>
            <w:r w:rsidR="0019290E">
              <w:rPr>
                <w:color w:val="000000"/>
                <w:sz w:val="20"/>
                <w:szCs w:val="20"/>
                <w:lang w:val="es-MX"/>
              </w:rPr>
              <w:t xml:space="preserve"> %</w:t>
            </w:r>
          </w:p>
        </w:tc>
      </w:tr>
      <w:tr w:rsidR="00FF438C" w:rsidRPr="00305D32" w14:paraId="6EBA1B1A" w14:textId="77777777" w:rsidTr="00A31A5B">
        <w:trPr>
          <w:trHeight w:val="300"/>
        </w:trPr>
        <w:tc>
          <w:tcPr>
            <w:tcW w:w="3153" w:type="dxa"/>
            <w:tcBorders>
              <w:top w:val="nil"/>
              <w:left w:val="nil"/>
              <w:bottom w:val="nil"/>
              <w:right w:val="nil"/>
            </w:tcBorders>
            <w:vAlign w:val="center"/>
          </w:tcPr>
          <w:p w14:paraId="579FB1F3" w14:textId="77777777" w:rsidR="00FF438C" w:rsidRPr="00305D32" w:rsidRDefault="00FF438C" w:rsidP="00A31A5B">
            <w:pPr>
              <w:spacing w:after="0" w:line="240" w:lineRule="auto"/>
              <w:jc w:val="left"/>
              <w:rPr>
                <w:color w:val="000000"/>
                <w:sz w:val="20"/>
                <w:szCs w:val="20"/>
                <w:lang w:val="es-MX"/>
              </w:rPr>
            </w:pPr>
            <w:r w:rsidRPr="00305D32">
              <w:rPr>
                <w:color w:val="000000"/>
                <w:sz w:val="20"/>
                <w:szCs w:val="20"/>
                <w:lang w:val="es-MX"/>
              </w:rPr>
              <w:t>Lázaro Cárdenas</w:t>
            </w:r>
          </w:p>
        </w:tc>
        <w:tc>
          <w:tcPr>
            <w:tcW w:w="1995" w:type="dxa"/>
            <w:tcBorders>
              <w:top w:val="nil"/>
              <w:left w:val="nil"/>
              <w:bottom w:val="nil"/>
              <w:right w:val="nil"/>
            </w:tcBorders>
            <w:vAlign w:val="bottom"/>
          </w:tcPr>
          <w:p w14:paraId="247A8EDF" w14:textId="77777777"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5,478.40</w:t>
            </w:r>
          </w:p>
        </w:tc>
        <w:tc>
          <w:tcPr>
            <w:tcW w:w="1995" w:type="dxa"/>
            <w:tcBorders>
              <w:top w:val="nil"/>
              <w:left w:val="nil"/>
              <w:bottom w:val="nil"/>
              <w:right w:val="nil"/>
            </w:tcBorders>
            <w:vAlign w:val="bottom"/>
          </w:tcPr>
          <w:p w14:paraId="0CC7C174" w14:textId="77777777"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5,548.90</w:t>
            </w:r>
          </w:p>
        </w:tc>
        <w:tc>
          <w:tcPr>
            <w:tcW w:w="2257" w:type="dxa"/>
            <w:tcBorders>
              <w:top w:val="nil"/>
              <w:left w:val="nil"/>
              <w:bottom w:val="nil"/>
              <w:right w:val="nil"/>
            </w:tcBorders>
            <w:vAlign w:val="bottom"/>
          </w:tcPr>
          <w:p w14:paraId="66553AB5" w14:textId="5EE683CF"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1.13</w:t>
            </w:r>
            <w:r w:rsidR="0019290E">
              <w:rPr>
                <w:color w:val="000000"/>
                <w:sz w:val="20"/>
                <w:szCs w:val="20"/>
                <w:lang w:val="es-MX"/>
              </w:rPr>
              <w:t xml:space="preserve"> %</w:t>
            </w:r>
          </w:p>
        </w:tc>
      </w:tr>
      <w:tr w:rsidR="00FF438C" w:rsidRPr="00305D32" w14:paraId="75AF2472" w14:textId="77777777" w:rsidTr="00A31A5B">
        <w:trPr>
          <w:trHeight w:val="74"/>
        </w:trPr>
        <w:tc>
          <w:tcPr>
            <w:tcW w:w="3153" w:type="dxa"/>
            <w:tcBorders>
              <w:top w:val="nil"/>
              <w:left w:val="nil"/>
              <w:bottom w:val="nil"/>
              <w:right w:val="nil"/>
            </w:tcBorders>
            <w:vAlign w:val="center"/>
          </w:tcPr>
          <w:p w14:paraId="74AE9D1E" w14:textId="77777777" w:rsidR="00FF438C" w:rsidRPr="00305D32" w:rsidRDefault="00FF438C" w:rsidP="00A31A5B">
            <w:pPr>
              <w:spacing w:after="0" w:line="240" w:lineRule="auto"/>
              <w:jc w:val="left"/>
              <w:rPr>
                <w:color w:val="000000"/>
                <w:sz w:val="20"/>
                <w:szCs w:val="20"/>
                <w:lang w:val="es-MX"/>
              </w:rPr>
            </w:pPr>
            <w:r w:rsidRPr="00305D32">
              <w:rPr>
                <w:color w:val="000000"/>
                <w:sz w:val="20"/>
                <w:szCs w:val="20"/>
                <w:lang w:val="es-MX"/>
              </w:rPr>
              <w:t>Othón P. Blanco</w:t>
            </w:r>
          </w:p>
        </w:tc>
        <w:tc>
          <w:tcPr>
            <w:tcW w:w="1995" w:type="dxa"/>
            <w:tcBorders>
              <w:top w:val="nil"/>
              <w:left w:val="nil"/>
              <w:bottom w:val="nil"/>
              <w:right w:val="nil"/>
            </w:tcBorders>
            <w:vAlign w:val="bottom"/>
          </w:tcPr>
          <w:p w14:paraId="69CE7EA8" w14:textId="77777777"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68,456.60</w:t>
            </w:r>
          </w:p>
        </w:tc>
        <w:tc>
          <w:tcPr>
            <w:tcW w:w="1995" w:type="dxa"/>
            <w:tcBorders>
              <w:top w:val="nil"/>
              <w:left w:val="nil"/>
              <w:bottom w:val="nil"/>
              <w:right w:val="nil"/>
            </w:tcBorders>
            <w:vAlign w:val="bottom"/>
          </w:tcPr>
          <w:p w14:paraId="31DDEF7D" w14:textId="77777777"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61,523.10</w:t>
            </w:r>
          </w:p>
        </w:tc>
        <w:tc>
          <w:tcPr>
            <w:tcW w:w="2257" w:type="dxa"/>
            <w:tcBorders>
              <w:top w:val="nil"/>
              <w:left w:val="nil"/>
              <w:bottom w:val="nil"/>
              <w:right w:val="nil"/>
            </w:tcBorders>
            <w:vAlign w:val="bottom"/>
          </w:tcPr>
          <w:p w14:paraId="2A395CF0" w14:textId="70E254B8"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12.55</w:t>
            </w:r>
            <w:r w:rsidR="0019290E">
              <w:rPr>
                <w:color w:val="000000"/>
                <w:sz w:val="20"/>
                <w:szCs w:val="20"/>
                <w:lang w:val="es-MX"/>
              </w:rPr>
              <w:t xml:space="preserve"> %</w:t>
            </w:r>
          </w:p>
        </w:tc>
      </w:tr>
      <w:tr w:rsidR="00FF438C" w:rsidRPr="00305D32" w14:paraId="06C33F66" w14:textId="77777777" w:rsidTr="00A31A5B">
        <w:trPr>
          <w:trHeight w:val="300"/>
        </w:trPr>
        <w:tc>
          <w:tcPr>
            <w:tcW w:w="3153" w:type="dxa"/>
            <w:tcBorders>
              <w:top w:val="nil"/>
              <w:left w:val="nil"/>
              <w:bottom w:val="nil"/>
              <w:right w:val="nil"/>
            </w:tcBorders>
            <w:vAlign w:val="center"/>
          </w:tcPr>
          <w:p w14:paraId="5B1631A2" w14:textId="77777777" w:rsidR="00FF438C" w:rsidRPr="00305D32" w:rsidRDefault="00FF438C" w:rsidP="00A31A5B">
            <w:pPr>
              <w:spacing w:after="0" w:line="240" w:lineRule="auto"/>
              <w:jc w:val="left"/>
              <w:rPr>
                <w:color w:val="000000"/>
                <w:sz w:val="20"/>
                <w:szCs w:val="20"/>
                <w:lang w:val="es-MX"/>
              </w:rPr>
            </w:pPr>
            <w:r w:rsidRPr="00305D32">
              <w:rPr>
                <w:color w:val="000000"/>
                <w:sz w:val="20"/>
                <w:szCs w:val="20"/>
                <w:lang w:val="es-MX"/>
              </w:rPr>
              <w:t xml:space="preserve">Puerto Morelos </w:t>
            </w:r>
          </w:p>
        </w:tc>
        <w:tc>
          <w:tcPr>
            <w:tcW w:w="1995" w:type="dxa"/>
            <w:tcBorders>
              <w:top w:val="nil"/>
              <w:left w:val="nil"/>
              <w:bottom w:val="nil"/>
              <w:right w:val="nil"/>
            </w:tcBorders>
            <w:vAlign w:val="bottom"/>
          </w:tcPr>
          <w:p w14:paraId="7D7AF661" w14:textId="77777777"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9,900.10</w:t>
            </w:r>
          </w:p>
        </w:tc>
        <w:tc>
          <w:tcPr>
            <w:tcW w:w="1995" w:type="dxa"/>
            <w:tcBorders>
              <w:top w:val="nil"/>
              <w:left w:val="nil"/>
              <w:bottom w:val="nil"/>
              <w:right w:val="nil"/>
            </w:tcBorders>
            <w:vAlign w:val="bottom"/>
          </w:tcPr>
          <w:p w14:paraId="714AE1F8" w14:textId="77777777"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9,903.80</w:t>
            </w:r>
          </w:p>
        </w:tc>
        <w:tc>
          <w:tcPr>
            <w:tcW w:w="2257" w:type="dxa"/>
            <w:tcBorders>
              <w:top w:val="nil"/>
              <w:left w:val="nil"/>
              <w:bottom w:val="nil"/>
              <w:right w:val="nil"/>
            </w:tcBorders>
            <w:vAlign w:val="bottom"/>
          </w:tcPr>
          <w:p w14:paraId="60CBD550" w14:textId="607645CC"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2.02</w:t>
            </w:r>
            <w:r w:rsidR="0019290E">
              <w:rPr>
                <w:color w:val="000000"/>
                <w:sz w:val="20"/>
                <w:szCs w:val="20"/>
                <w:lang w:val="es-MX"/>
              </w:rPr>
              <w:t xml:space="preserve"> %</w:t>
            </w:r>
          </w:p>
        </w:tc>
      </w:tr>
      <w:tr w:rsidR="00FF438C" w:rsidRPr="00305D32" w14:paraId="6B187C80" w14:textId="77777777" w:rsidTr="00A31A5B">
        <w:trPr>
          <w:trHeight w:val="300"/>
        </w:trPr>
        <w:tc>
          <w:tcPr>
            <w:tcW w:w="3153" w:type="dxa"/>
            <w:tcBorders>
              <w:top w:val="nil"/>
              <w:left w:val="nil"/>
              <w:bottom w:val="nil"/>
              <w:right w:val="nil"/>
            </w:tcBorders>
            <w:vAlign w:val="center"/>
          </w:tcPr>
          <w:p w14:paraId="0B63DDA9" w14:textId="77777777" w:rsidR="00FF438C" w:rsidRPr="00305D32" w:rsidRDefault="00FF438C" w:rsidP="00A31A5B">
            <w:pPr>
              <w:spacing w:after="0" w:line="240" w:lineRule="auto"/>
              <w:jc w:val="left"/>
              <w:rPr>
                <w:color w:val="000000"/>
                <w:sz w:val="20"/>
                <w:szCs w:val="20"/>
                <w:lang w:val="es-MX"/>
              </w:rPr>
            </w:pPr>
            <w:r w:rsidRPr="00305D32">
              <w:rPr>
                <w:color w:val="000000"/>
                <w:sz w:val="20"/>
                <w:szCs w:val="20"/>
                <w:lang w:val="es-MX"/>
              </w:rPr>
              <w:t>Playa del Carmen</w:t>
            </w:r>
          </w:p>
        </w:tc>
        <w:tc>
          <w:tcPr>
            <w:tcW w:w="1995" w:type="dxa"/>
            <w:tcBorders>
              <w:top w:val="nil"/>
              <w:left w:val="nil"/>
              <w:bottom w:val="nil"/>
              <w:right w:val="nil"/>
            </w:tcBorders>
            <w:vAlign w:val="bottom"/>
          </w:tcPr>
          <w:p w14:paraId="113B5950" w14:textId="77777777"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89,732.00</w:t>
            </w:r>
          </w:p>
        </w:tc>
        <w:tc>
          <w:tcPr>
            <w:tcW w:w="1995" w:type="dxa"/>
            <w:tcBorders>
              <w:top w:val="nil"/>
              <w:left w:val="nil"/>
              <w:bottom w:val="nil"/>
              <w:right w:val="nil"/>
            </w:tcBorders>
            <w:vAlign w:val="bottom"/>
          </w:tcPr>
          <w:p w14:paraId="2CDE1F64" w14:textId="77777777"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86,451.20</w:t>
            </w:r>
          </w:p>
        </w:tc>
        <w:tc>
          <w:tcPr>
            <w:tcW w:w="2257" w:type="dxa"/>
            <w:tcBorders>
              <w:top w:val="nil"/>
              <w:left w:val="nil"/>
              <w:bottom w:val="nil"/>
              <w:right w:val="nil"/>
            </w:tcBorders>
            <w:vAlign w:val="bottom"/>
          </w:tcPr>
          <w:p w14:paraId="60670430" w14:textId="7704CCA9"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17.64</w:t>
            </w:r>
            <w:r w:rsidR="0019290E">
              <w:rPr>
                <w:color w:val="000000"/>
                <w:sz w:val="20"/>
                <w:szCs w:val="20"/>
                <w:lang w:val="es-MX"/>
              </w:rPr>
              <w:t xml:space="preserve"> %</w:t>
            </w:r>
          </w:p>
        </w:tc>
      </w:tr>
      <w:tr w:rsidR="00FF438C" w:rsidRPr="00305D32" w14:paraId="16489267" w14:textId="77777777" w:rsidTr="00A31A5B">
        <w:trPr>
          <w:trHeight w:val="300"/>
        </w:trPr>
        <w:tc>
          <w:tcPr>
            <w:tcW w:w="3153" w:type="dxa"/>
            <w:tcBorders>
              <w:top w:val="nil"/>
              <w:left w:val="nil"/>
              <w:bottom w:val="nil"/>
              <w:right w:val="nil"/>
            </w:tcBorders>
            <w:vAlign w:val="center"/>
          </w:tcPr>
          <w:p w14:paraId="256D3D40" w14:textId="77777777" w:rsidR="00FF438C" w:rsidRPr="00305D32" w:rsidRDefault="00FF438C" w:rsidP="00A31A5B">
            <w:pPr>
              <w:spacing w:after="0" w:line="240" w:lineRule="auto"/>
              <w:jc w:val="left"/>
              <w:rPr>
                <w:color w:val="000000"/>
                <w:sz w:val="20"/>
                <w:szCs w:val="20"/>
                <w:lang w:val="es-MX"/>
              </w:rPr>
            </w:pPr>
            <w:r w:rsidRPr="00305D32">
              <w:rPr>
                <w:color w:val="000000"/>
                <w:sz w:val="20"/>
                <w:szCs w:val="20"/>
                <w:lang w:val="es-MX"/>
              </w:rPr>
              <w:t>Tulum</w:t>
            </w:r>
          </w:p>
        </w:tc>
        <w:tc>
          <w:tcPr>
            <w:tcW w:w="1995" w:type="dxa"/>
            <w:tcBorders>
              <w:top w:val="nil"/>
              <w:left w:val="nil"/>
              <w:bottom w:val="nil"/>
              <w:right w:val="nil"/>
            </w:tcBorders>
            <w:vAlign w:val="bottom"/>
          </w:tcPr>
          <w:p w14:paraId="6AD398BD" w14:textId="77777777"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19,752.60</w:t>
            </w:r>
          </w:p>
        </w:tc>
        <w:tc>
          <w:tcPr>
            <w:tcW w:w="1995" w:type="dxa"/>
            <w:tcBorders>
              <w:top w:val="nil"/>
              <w:left w:val="nil"/>
              <w:bottom w:val="nil"/>
              <w:right w:val="nil"/>
            </w:tcBorders>
            <w:vAlign w:val="bottom"/>
          </w:tcPr>
          <w:p w14:paraId="5297785B" w14:textId="77777777"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18,892.30</w:t>
            </w:r>
          </w:p>
        </w:tc>
        <w:tc>
          <w:tcPr>
            <w:tcW w:w="2257" w:type="dxa"/>
            <w:tcBorders>
              <w:top w:val="nil"/>
              <w:left w:val="nil"/>
              <w:bottom w:val="nil"/>
              <w:right w:val="nil"/>
            </w:tcBorders>
            <w:vAlign w:val="bottom"/>
          </w:tcPr>
          <w:p w14:paraId="17F111E7" w14:textId="55DC9F21" w:rsidR="00FF438C" w:rsidRPr="00305D32" w:rsidRDefault="00FF438C" w:rsidP="00A31A5B">
            <w:pPr>
              <w:spacing w:after="0" w:line="240" w:lineRule="auto"/>
              <w:jc w:val="center"/>
              <w:rPr>
                <w:color w:val="000000"/>
                <w:sz w:val="20"/>
                <w:szCs w:val="20"/>
                <w:lang w:val="es-MX"/>
              </w:rPr>
            </w:pPr>
            <w:r w:rsidRPr="00305D32">
              <w:rPr>
                <w:color w:val="000000"/>
                <w:sz w:val="20"/>
                <w:szCs w:val="20"/>
                <w:lang w:val="es-MX"/>
              </w:rPr>
              <w:t>3.85</w:t>
            </w:r>
            <w:r w:rsidR="0019290E">
              <w:rPr>
                <w:color w:val="000000"/>
                <w:sz w:val="20"/>
                <w:szCs w:val="20"/>
                <w:lang w:val="es-MX"/>
              </w:rPr>
              <w:t xml:space="preserve"> %</w:t>
            </w:r>
          </w:p>
        </w:tc>
      </w:tr>
      <w:tr w:rsidR="00FF438C" w:rsidRPr="00305D32" w14:paraId="4B98EC87" w14:textId="77777777" w:rsidTr="00A31A5B">
        <w:trPr>
          <w:trHeight w:val="315"/>
        </w:trPr>
        <w:tc>
          <w:tcPr>
            <w:tcW w:w="3153" w:type="dxa"/>
            <w:tcBorders>
              <w:top w:val="nil"/>
              <w:left w:val="nil"/>
              <w:bottom w:val="single" w:sz="8" w:space="0" w:color="000000"/>
              <w:right w:val="nil"/>
            </w:tcBorders>
            <w:vAlign w:val="center"/>
          </w:tcPr>
          <w:p w14:paraId="792537D4" w14:textId="77777777" w:rsidR="00FF438C" w:rsidRPr="00305D32" w:rsidRDefault="00FF438C" w:rsidP="00A31A5B">
            <w:pPr>
              <w:spacing w:after="0" w:line="240" w:lineRule="auto"/>
              <w:jc w:val="left"/>
              <w:rPr>
                <w:b/>
                <w:color w:val="000000"/>
                <w:sz w:val="20"/>
                <w:szCs w:val="20"/>
                <w:lang w:val="es-MX"/>
              </w:rPr>
            </w:pPr>
            <w:r w:rsidRPr="00305D32">
              <w:rPr>
                <w:b/>
                <w:color w:val="000000"/>
                <w:sz w:val="20"/>
                <w:szCs w:val="20"/>
                <w:lang w:val="es-MX"/>
              </w:rPr>
              <w:t>Quintana Roo</w:t>
            </w:r>
          </w:p>
        </w:tc>
        <w:tc>
          <w:tcPr>
            <w:tcW w:w="1995" w:type="dxa"/>
            <w:tcBorders>
              <w:top w:val="nil"/>
              <w:left w:val="nil"/>
              <w:bottom w:val="single" w:sz="8" w:space="0" w:color="000000"/>
              <w:right w:val="nil"/>
            </w:tcBorders>
            <w:vAlign w:val="bottom"/>
          </w:tcPr>
          <w:p w14:paraId="23DBCBFC" w14:textId="77777777" w:rsidR="00FF438C" w:rsidRPr="00305D32" w:rsidRDefault="00FF438C" w:rsidP="00A31A5B">
            <w:pPr>
              <w:spacing w:after="0" w:line="240" w:lineRule="auto"/>
              <w:jc w:val="center"/>
              <w:rPr>
                <w:b/>
                <w:bCs/>
                <w:color w:val="000000"/>
                <w:sz w:val="20"/>
                <w:szCs w:val="20"/>
                <w:lang w:val="es-MX"/>
              </w:rPr>
            </w:pPr>
            <w:r w:rsidRPr="00305D32">
              <w:rPr>
                <w:b/>
                <w:bCs/>
                <w:color w:val="000000"/>
                <w:sz w:val="20"/>
                <w:szCs w:val="20"/>
                <w:lang w:val="es-MX"/>
              </w:rPr>
              <w:t>517,947.00</w:t>
            </w:r>
          </w:p>
        </w:tc>
        <w:tc>
          <w:tcPr>
            <w:tcW w:w="1995" w:type="dxa"/>
            <w:tcBorders>
              <w:top w:val="nil"/>
              <w:left w:val="nil"/>
              <w:bottom w:val="single" w:sz="8" w:space="0" w:color="000000"/>
              <w:right w:val="nil"/>
            </w:tcBorders>
            <w:vAlign w:val="bottom"/>
          </w:tcPr>
          <w:p w14:paraId="422D41B6" w14:textId="77777777" w:rsidR="00FF438C" w:rsidRPr="00305D32" w:rsidRDefault="00FF438C" w:rsidP="00A31A5B">
            <w:pPr>
              <w:spacing w:after="0" w:line="240" w:lineRule="auto"/>
              <w:jc w:val="center"/>
              <w:rPr>
                <w:b/>
                <w:bCs/>
                <w:color w:val="000000"/>
                <w:sz w:val="20"/>
                <w:szCs w:val="20"/>
                <w:lang w:val="es-MX"/>
              </w:rPr>
            </w:pPr>
            <w:r w:rsidRPr="00305D32">
              <w:rPr>
                <w:b/>
                <w:bCs/>
                <w:color w:val="000000"/>
                <w:sz w:val="20"/>
                <w:szCs w:val="20"/>
                <w:lang w:val="es-MX"/>
              </w:rPr>
              <w:t>490,140.30</w:t>
            </w:r>
          </w:p>
        </w:tc>
        <w:tc>
          <w:tcPr>
            <w:tcW w:w="2257" w:type="dxa"/>
            <w:tcBorders>
              <w:top w:val="nil"/>
              <w:left w:val="nil"/>
              <w:bottom w:val="single" w:sz="8" w:space="0" w:color="000000"/>
              <w:right w:val="nil"/>
            </w:tcBorders>
            <w:vAlign w:val="bottom"/>
          </w:tcPr>
          <w:p w14:paraId="5D3EC1AD" w14:textId="02E53B3C" w:rsidR="00FF438C" w:rsidRPr="00305D32" w:rsidRDefault="00FF438C" w:rsidP="00A31A5B">
            <w:pPr>
              <w:spacing w:after="0" w:line="240" w:lineRule="auto"/>
              <w:jc w:val="center"/>
              <w:rPr>
                <w:b/>
                <w:bCs/>
                <w:color w:val="000000"/>
                <w:sz w:val="20"/>
                <w:szCs w:val="20"/>
                <w:lang w:val="es-MX"/>
              </w:rPr>
            </w:pPr>
            <w:r w:rsidRPr="00305D32">
              <w:rPr>
                <w:b/>
                <w:bCs/>
                <w:color w:val="000000"/>
                <w:sz w:val="20"/>
                <w:szCs w:val="20"/>
                <w:lang w:val="es-MX"/>
              </w:rPr>
              <w:t>100.00</w:t>
            </w:r>
            <w:r w:rsidR="0019290E">
              <w:rPr>
                <w:b/>
                <w:bCs/>
                <w:color w:val="000000"/>
                <w:sz w:val="20"/>
                <w:szCs w:val="20"/>
                <w:lang w:val="es-MX"/>
              </w:rPr>
              <w:t xml:space="preserve"> %</w:t>
            </w:r>
          </w:p>
        </w:tc>
      </w:tr>
    </w:tbl>
    <w:p w14:paraId="4D0837EA" w14:textId="0E1AD770" w:rsidR="00AE57F0" w:rsidRPr="00305D32" w:rsidRDefault="00414F7C" w:rsidP="00FF438C">
      <w:pPr>
        <w:spacing w:line="240" w:lineRule="auto"/>
        <w:jc w:val="center"/>
        <w:rPr>
          <w:b/>
          <w:color w:val="000000"/>
          <w:lang w:val="es-MX"/>
        </w:rPr>
      </w:pPr>
      <w:r w:rsidRPr="00305D32">
        <w:rPr>
          <w:sz w:val="20"/>
          <w:szCs w:val="20"/>
          <w:lang w:val="es-MX"/>
        </w:rPr>
        <w:t>Fuente: Elaboración de la Subsecretaría de Análisis Económico y Finanzas Públicas de la Secretaría de Finanzas y Planeación, con base en datos del Centro de Información Estadística y Geográfica del Estado de Quintana Roo (202</w:t>
      </w:r>
      <w:r w:rsidR="00D35D20" w:rsidRPr="00305D32">
        <w:rPr>
          <w:sz w:val="20"/>
          <w:szCs w:val="20"/>
          <w:lang w:val="es-MX"/>
        </w:rPr>
        <w:t>5</w:t>
      </w:r>
      <w:r w:rsidRPr="00305D32">
        <w:rPr>
          <w:sz w:val="20"/>
          <w:szCs w:val="20"/>
          <w:lang w:val="es-MX"/>
        </w:rPr>
        <w:t>)</w:t>
      </w:r>
      <w:r w:rsidRPr="00305D32">
        <w:rPr>
          <w:i/>
          <w:sz w:val="20"/>
          <w:szCs w:val="20"/>
          <w:lang w:val="es-MX"/>
        </w:rPr>
        <w:t>, Estadística Experimental, Producto Interno Bruto Municipal</w:t>
      </w:r>
      <w:r w:rsidRPr="00305D32">
        <w:rPr>
          <w:sz w:val="20"/>
          <w:szCs w:val="20"/>
          <w:lang w:val="es-MX"/>
        </w:rPr>
        <w:t>.</w:t>
      </w:r>
    </w:p>
    <w:p w14:paraId="5A2D0B5B" w14:textId="5625B003" w:rsidR="00C47636" w:rsidRDefault="00B70BEF">
      <w:pPr>
        <w:rPr>
          <w:lang w:val="es-MX"/>
        </w:rPr>
      </w:pPr>
      <w:r w:rsidRPr="00B70BEF">
        <w:rPr>
          <w:lang w:val="es-MX"/>
        </w:rPr>
        <w:t xml:space="preserve">Como se detalló en la sección anterior, la expectativa de crecimiento económico para Quintana Roo es negativa, principalmente por los factores vinculados al sector de la construcción. Este pronóstico se traslada de forma substancial a la mayoría de los </w:t>
      </w:r>
      <w:r w:rsidRPr="00B70BEF">
        <w:rPr>
          <w:lang w:val="es-MX"/>
        </w:rPr>
        <w:lastRenderedPageBreak/>
        <w:t>municipios del Estado</w:t>
      </w:r>
      <w:r w:rsidR="004025B0">
        <w:rPr>
          <w:lang w:val="es-MX"/>
        </w:rPr>
        <w:t xml:space="preserve">, </w:t>
      </w:r>
      <w:r w:rsidR="004025B0" w:rsidRPr="004025B0">
        <w:rPr>
          <w:rStyle w:val="Textoennegrita"/>
          <w:b w:val="0"/>
        </w:rPr>
        <w:t>reflejando una desaceleración generalizada en la actividad económica local y una menor dinámica productiva en comparación con el periodo 2022-2023</w:t>
      </w:r>
      <w:r w:rsidR="004025B0" w:rsidRPr="004025B0">
        <w:rPr>
          <w:b/>
        </w:rPr>
        <w:t>.</w:t>
      </w:r>
      <w:r w:rsidR="00C47636" w:rsidRPr="004025B0">
        <w:rPr>
          <w:b/>
          <w:lang w:val="es-MX"/>
        </w:rPr>
        <w:t xml:space="preserve"> </w:t>
      </w:r>
    </w:p>
    <w:p w14:paraId="0477CA57" w14:textId="3ED80966" w:rsidR="007E4D7B" w:rsidRPr="00305D32" w:rsidRDefault="007E4D7B">
      <w:pPr>
        <w:rPr>
          <w:lang w:val="es-MX"/>
        </w:rPr>
      </w:pPr>
      <w:r w:rsidRPr="00305D32">
        <w:rPr>
          <w:lang w:val="es-MX"/>
        </w:rPr>
        <w:t xml:space="preserve">De acuerdo con la </w:t>
      </w:r>
      <w:r w:rsidR="00D471C1">
        <w:rPr>
          <w:lang w:val="es-MX"/>
        </w:rPr>
        <w:fldChar w:fldCharType="begin"/>
      </w:r>
      <w:r w:rsidR="00D471C1">
        <w:rPr>
          <w:lang w:val="es-MX"/>
        </w:rPr>
        <w:instrText xml:space="preserve"> REF _Ref210297813 \h </w:instrText>
      </w:r>
      <w:r w:rsidR="00D471C1">
        <w:rPr>
          <w:lang w:val="es-MX"/>
        </w:rPr>
      </w:r>
      <w:r w:rsidR="00D471C1">
        <w:rPr>
          <w:lang w:val="es-MX"/>
        </w:rPr>
        <w:fldChar w:fldCharType="separate"/>
      </w:r>
      <w:r w:rsidR="00ED1F2F" w:rsidRPr="00367E3B">
        <w:t xml:space="preserve">Tabla </w:t>
      </w:r>
      <w:r w:rsidR="00ED1F2F">
        <w:rPr>
          <w:noProof/>
        </w:rPr>
        <w:t>20</w:t>
      </w:r>
      <w:r w:rsidR="00D471C1">
        <w:rPr>
          <w:lang w:val="es-MX"/>
        </w:rPr>
        <w:fldChar w:fldCharType="end"/>
      </w:r>
      <w:r w:rsidRPr="00305D32">
        <w:rPr>
          <w:lang w:val="es-MX"/>
        </w:rPr>
        <w:t xml:space="preserve">, </w:t>
      </w:r>
      <w:r w:rsidR="00445A4B" w:rsidRPr="00445A4B">
        <w:rPr>
          <w:lang w:val="es-MX"/>
        </w:rPr>
        <w:t>las proyecciones del PIB municipal a precios corrientes para 2024-2025 señalan que Benito Juárez se mantendrá como el principal contribuyente, con un estimado de 235,016 millones de pesos, equivalente al 47.95</w:t>
      </w:r>
      <w:r w:rsidR="0019290E">
        <w:rPr>
          <w:lang w:val="es-MX"/>
        </w:rPr>
        <w:t xml:space="preserve"> %</w:t>
      </w:r>
      <w:r w:rsidR="00445A4B" w:rsidRPr="00445A4B">
        <w:rPr>
          <w:lang w:val="es-MX"/>
        </w:rPr>
        <w:t xml:space="preserve"> del total estatal; en el extremo opuesto, Lázaro Cárdenas registraría la menor participación, con 5,548 millones de pesos, apenas el 1.13</w:t>
      </w:r>
      <w:r w:rsidR="0019290E">
        <w:rPr>
          <w:lang w:val="es-MX"/>
        </w:rPr>
        <w:t xml:space="preserve"> %</w:t>
      </w:r>
      <w:r w:rsidR="00445A4B" w:rsidRPr="00445A4B">
        <w:rPr>
          <w:lang w:val="es-MX"/>
        </w:rPr>
        <w:t xml:space="preserve"> del PIBE</w:t>
      </w:r>
      <w:r w:rsidRPr="00305D32">
        <w:rPr>
          <w:lang w:val="es-MX"/>
        </w:rPr>
        <w:t>.</w:t>
      </w:r>
    </w:p>
    <w:p w14:paraId="4D0837ED" w14:textId="03B90C67" w:rsidR="00AE57F0" w:rsidRPr="00305D32" w:rsidRDefault="00414F7C" w:rsidP="00D471C1">
      <w:pPr>
        <w:pStyle w:val="Descripcin"/>
        <w:jc w:val="center"/>
        <w:rPr>
          <w:lang w:val="es-MX"/>
        </w:rPr>
      </w:pPr>
      <w:bookmarkStart w:id="137" w:name="_heading=h.47hxl2r" w:colFirst="0" w:colLast="0"/>
      <w:bookmarkStart w:id="138" w:name="_Ref210297836"/>
      <w:bookmarkEnd w:id="137"/>
      <w:r w:rsidRPr="00D471C1">
        <w:t xml:space="preserve">Tabla </w:t>
      </w:r>
      <w:fldSimple w:instr=" SEQ Tabla \* ARABIC ">
        <w:r w:rsidR="00ED1F2F">
          <w:rPr>
            <w:noProof/>
          </w:rPr>
          <w:t>21</w:t>
        </w:r>
      </w:fldSimple>
      <w:bookmarkEnd w:id="138"/>
      <w:r w:rsidRPr="00D471C1">
        <w:rPr>
          <w:lang w:val="es-MX"/>
        </w:rPr>
        <w:t xml:space="preserve">. </w:t>
      </w:r>
      <w:r w:rsidRPr="001B1C06">
        <w:rPr>
          <w:lang w:val="es-MX"/>
        </w:rPr>
        <w:t>Producto Interno Bruto Municipal, 202</w:t>
      </w:r>
      <w:r w:rsidR="00AE7240" w:rsidRPr="001B1C06">
        <w:rPr>
          <w:lang w:val="es-MX"/>
        </w:rPr>
        <w:t>4</w:t>
      </w:r>
      <w:r w:rsidRPr="001B1C06">
        <w:rPr>
          <w:lang w:val="es-MX"/>
        </w:rPr>
        <w:t>-202</w:t>
      </w:r>
      <w:r w:rsidR="00AE7240" w:rsidRPr="001B1C06">
        <w:rPr>
          <w:lang w:val="es-MX"/>
        </w:rPr>
        <w:t>5</w:t>
      </w:r>
      <w:r w:rsidRPr="001B1C06">
        <w:rPr>
          <w:lang w:val="es-MX"/>
        </w:rPr>
        <w:t>, millones de pesos constantes de 2018</w:t>
      </w:r>
      <w:r w:rsidR="00A31A5B">
        <w:rPr>
          <w:lang w:val="es-MX"/>
        </w:rPr>
        <w:t>.</w:t>
      </w:r>
    </w:p>
    <w:tbl>
      <w:tblPr>
        <w:tblStyle w:val="af2"/>
        <w:tblW w:w="8789" w:type="dxa"/>
        <w:jc w:val="center"/>
        <w:tblInd w:w="0" w:type="dxa"/>
        <w:tblLayout w:type="fixed"/>
        <w:tblLook w:val="0400" w:firstRow="0" w:lastRow="0" w:firstColumn="0" w:lastColumn="0" w:noHBand="0" w:noVBand="1"/>
      </w:tblPr>
      <w:tblGrid>
        <w:gridCol w:w="2111"/>
        <w:gridCol w:w="1575"/>
        <w:gridCol w:w="1559"/>
        <w:gridCol w:w="1843"/>
        <w:gridCol w:w="1701"/>
      </w:tblGrid>
      <w:tr w:rsidR="00AE57F0" w:rsidRPr="00305D32" w14:paraId="4D0837F3" w14:textId="77777777" w:rsidTr="00EC2005">
        <w:trPr>
          <w:trHeight w:val="718"/>
          <w:jc w:val="center"/>
        </w:trPr>
        <w:tc>
          <w:tcPr>
            <w:tcW w:w="2111" w:type="dxa"/>
            <w:tcBorders>
              <w:top w:val="single" w:sz="8" w:space="0" w:color="000000"/>
              <w:left w:val="nil"/>
              <w:bottom w:val="single" w:sz="8" w:space="0" w:color="000000"/>
              <w:right w:val="nil"/>
            </w:tcBorders>
            <w:vAlign w:val="center"/>
          </w:tcPr>
          <w:p w14:paraId="4D0837EE" w14:textId="77777777"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 xml:space="preserve">PIB por municipio </w:t>
            </w:r>
          </w:p>
        </w:tc>
        <w:tc>
          <w:tcPr>
            <w:tcW w:w="1575" w:type="dxa"/>
            <w:tcBorders>
              <w:top w:val="single" w:sz="8" w:space="0" w:color="000000"/>
              <w:left w:val="nil"/>
              <w:bottom w:val="single" w:sz="8" w:space="0" w:color="000000"/>
              <w:right w:val="nil"/>
            </w:tcBorders>
            <w:vAlign w:val="center"/>
          </w:tcPr>
          <w:p w14:paraId="4D0837EF" w14:textId="3D0629BD"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202</w:t>
            </w:r>
            <w:r w:rsidR="008F4B46" w:rsidRPr="00305D32">
              <w:rPr>
                <w:b/>
                <w:color w:val="000000"/>
                <w:sz w:val="20"/>
                <w:szCs w:val="20"/>
                <w:lang w:val="es-MX"/>
              </w:rPr>
              <w:t>4</w:t>
            </w:r>
          </w:p>
        </w:tc>
        <w:tc>
          <w:tcPr>
            <w:tcW w:w="1559" w:type="dxa"/>
            <w:tcBorders>
              <w:top w:val="single" w:sz="8" w:space="0" w:color="000000"/>
              <w:left w:val="nil"/>
              <w:bottom w:val="single" w:sz="8" w:space="0" w:color="000000"/>
              <w:right w:val="nil"/>
            </w:tcBorders>
            <w:vAlign w:val="center"/>
          </w:tcPr>
          <w:p w14:paraId="4D0837F0" w14:textId="24A696EE"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202</w:t>
            </w:r>
            <w:r w:rsidR="008F4B46" w:rsidRPr="00305D32">
              <w:rPr>
                <w:b/>
                <w:color w:val="000000"/>
                <w:sz w:val="20"/>
                <w:szCs w:val="20"/>
                <w:lang w:val="es-MX"/>
              </w:rPr>
              <w:t>5</w:t>
            </w:r>
          </w:p>
        </w:tc>
        <w:tc>
          <w:tcPr>
            <w:tcW w:w="1843" w:type="dxa"/>
            <w:tcBorders>
              <w:top w:val="single" w:sz="8" w:space="0" w:color="000000"/>
              <w:left w:val="nil"/>
              <w:bottom w:val="single" w:sz="8" w:space="0" w:color="000000"/>
              <w:right w:val="nil"/>
            </w:tcBorders>
            <w:vAlign w:val="center"/>
          </w:tcPr>
          <w:p w14:paraId="4D0837F1" w14:textId="66C71C69"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 xml:space="preserve">Variación </w:t>
            </w:r>
            <w:r w:rsidRPr="00305D32">
              <w:rPr>
                <w:b/>
                <w:color w:val="000000"/>
                <w:sz w:val="20"/>
                <w:szCs w:val="20"/>
                <w:lang w:val="es-MX"/>
              </w:rPr>
              <w:br/>
              <w:t>202</w:t>
            </w:r>
            <w:r w:rsidR="008F4B46" w:rsidRPr="00305D32">
              <w:rPr>
                <w:b/>
                <w:color w:val="000000"/>
                <w:sz w:val="20"/>
                <w:szCs w:val="20"/>
                <w:lang w:val="es-MX"/>
              </w:rPr>
              <w:t>5</w:t>
            </w:r>
            <w:r w:rsidRPr="00305D32">
              <w:rPr>
                <w:b/>
                <w:color w:val="000000"/>
                <w:sz w:val="20"/>
                <w:szCs w:val="20"/>
                <w:lang w:val="es-MX"/>
              </w:rPr>
              <w:t xml:space="preserve"> vs. 202</w:t>
            </w:r>
            <w:r w:rsidR="008F4B46" w:rsidRPr="00305D32">
              <w:rPr>
                <w:b/>
                <w:color w:val="000000"/>
                <w:sz w:val="20"/>
                <w:szCs w:val="20"/>
                <w:lang w:val="es-MX"/>
              </w:rPr>
              <w:t>4</w:t>
            </w:r>
          </w:p>
        </w:tc>
        <w:tc>
          <w:tcPr>
            <w:tcW w:w="1701" w:type="dxa"/>
            <w:tcBorders>
              <w:top w:val="single" w:sz="8" w:space="0" w:color="000000"/>
              <w:left w:val="nil"/>
              <w:bottom w:val="single" w:sz="8" w:space="0" w:color="000000"/>
              <w:right w:val="nil"/>
            </w:tcBorders>
            <w:vAlign w:val="center"/>
          </w:tcPr>
          <w:p w14:paraId="4D0837F2" w14:textId="64FCAFAA" w:rsidR="00AE57F0" w:rsidRPr="00305D32" w:rsidRDefault="00414F7C">
            <w:pPr>
              <w:spacing w:after="0" w:line="240" w:lineRule="auto"/>
              <w:jc w:val="center"/>
              <w:rPr>
                <w:b/>
                <w:color w:val="000000"/>
                <w:sz w:val="20"/>
                <w:szCs w:val="20"/>
                <w:lang w:val="es-MX"/>
              </w:rPr>
            </w:pPr>
            <w:r w:rsidRPr="00305D32">
              <w:rPr>
                <w:b/>
                <w:color w:val="000000"/>
                <w:sz w:val="20"/>
                <w:szCs w:val="20"/>
                <w:lang w:val="es-MX"/>
              </w:rPr>
              <w:t>Var</w:t>
            </w:r>
            <w:r w:rsidR="0019290E">
              <w:rPr>
                <w:b/>
                <w:color w:val="000000"/>
                <w:sz w:val="20"/>
                <w:szCs w:val="20"/>
                <w:lang w:val="es-MX"/>
              </w:rPr>
              <w:t xml:space="preserve"> %</w:t>
            </w:r>
            <w:r w:rsidRPr="00305D32">
              <w:rPr>
                <w:b/>
                <w:color w:val="000000"/>
                <w:sz w:val="20"/>
                <w:szCs w:val="20"/>
                <w:lang w:val="es-MX"/>
              </w:rPr>
              <w:t xml:space="preserve"> </w:t>
            </w:r>
            <w:r w:rsidRPr="00305D32">
              <w:rPr>
                <w:b/>
                <w:color w:val="000000"/>
                <w:sz w:val="20"/>
                <w:szCs w:val="20"/>
                <w:lang w:val="es-MX"/>
              </w:rPr>
              <w:br/>
              <w:t>202</w:t>
            </w:r>
            <w:r w:rsidR="008F4B46" w:rsidRPr="00305D32">
              <w:rPr>
                <w:b/>
                <w:color w:val="000000"/>
                <w:sz w:val="20"/>
                <w:szCs w:val="20"/>
                <w:lang w:val="es-MX"/>
              </w:rPr>
              <w:t>5</w:t>
            </w:r>
            <w:r w:rsidRPr="00305D32">
              <w:rPr>
                <w:b/>
                <w:color w:val="000000"/>
                <w:sz w:val="20"/>
                <w:szCs w:val="20"/>
                <w:lang w:val="es-MX"/>
              </w:rPr>
              <w:t xml:space="preserve"> vs. 202</w:t>
            </w:r>
            <w:r w:rsidR="008F4B46" w:rsidRPr="00305D32">
              <w:rPr>
                <w:b/>
                <w:color w:val="000000"/>
                <w:sz w:val="20"/>
                <w:szCs w:val="20"/>
                <w:lang w:val="es-MX"/>
              </w:rPr>
              <w:t>4</w:t>
            </w:r>
          </w:p>
        </w:tc>
      </w:tr>
      <w:tr w:rsidR="008D3246" w:rsidRPr="00305D32" w14:paraId="4D0837F9" w14:textId="77777777" w:rsidTr="00EC2005">
        <w:trPr>
          <w:trHeight w:val="300"/>
          <w:jc w:val="center"/>
        </w:trPr>
        <w:tc>
          <w:tcPr>
            <w:tcW w:w="2111" w:type="dxa"/>
            <w:tcBorders>
              <w:top w:val="nil"/>
              <w:left w:val="nil"/>
              <w:bottom w:val="nil"/>
              <w:right w:val="nil"/>
            </w:tcBorders>
            <w:vAlign w:val="center"/>
          </w:tcPr>
          <w:p w14:paraId="4D0837F4" w14:textId="77777777" w:rsidR="008D3246" w:rsidRPr="00305D32" w:rsidRDefault="008D3246" w:rsidP="008D3246">
            <w:pPr>
              <w:spacing w:after="0" w:line="240" w:lineRule="auto"/>
              <w:jc w:val="left"/>
              <w:rPr>
                <w:color w:val="000000"/>
                <w:sz w:val="20"/>
                <w:szCs w:val="20"/>
                <w:lang w:val="es-MX"/>
              </w:rPr>
            </w:pPr>
            <w:r w:rsidRPr="00305D32">
              <w:rPr>
                <w:color w:val="000000"/>
                <w:sz w:val="20"/>
                <w:szCs w:val="20"/>
                <w:lang w:val="es-MX"/>
              </w:rPr>
              <w:t>Bacalar</w:t>
            </w:r>
          </w:p>
        </w:tc>
        <w:tc>
          <w:tcPr>
            <w:tcW w:w="1575" w:type="dxa"/>
            <w:tcBorders>
              <w:top w:val="nil"/>
              <w:left w:val="nil"/>
              <w:bottom w:val="nil"/>
              <w:right w:val="nil"/>
            </w:tcBorders>
            <w:vAlign w:val="bottom"/>
          </w:tcPr>
          <w:p w14:paraId="4D0837F5" w14:textId="3EA2C565"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5</w:t>
            </w:r>
            <w:r w:rsidR="008F4B46" w:rsidRPr="00305D32">
              <w:rPr>
                <w:color w:val="000000"/>
                <w:sz w:val="20"/>
                <w:szCs w:val="20"/>
                <w:lang w:val="es-MX"/>
              </w:rPr>
              <w:t>,</w:t>
            </w:r>
            <w:r w:rsidRPr="00305D32">
              <w:rPr>
                <w:color w:val="000000"/>
                <w:sz w:val="20"/>
                <w:szCs w:val="20"/>
                <w:lang w:val="es-MX"/>
              </w:rPr>
              <w:t>496.7</w:t>
            </w:r>
          </w:p>
        </w:tc>
        <w:tc>
          <w:tcPr>
            <w:tcW w:w="1559" w:type="dxa"/>
            <w:tcBorders>
              <w:top w:val="nil"/>
              <w:left w:val="nil"/>
              <w:bottom w:val="nil"/>
              <w:right w:val="nil"/>
            </w:tcBorders>
            <w:vAlign w:val="bottom"/>
          </w:tcPr>
          <w:p w14:paraId="4D0837F6" w14:textId="0EB89DE7"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5</w:t>
            </w:r>
            <w:r w:rsidR="0071043E" w:rsidRPr="00305D32">
              <w:rPr>
                <w:color w:val="000000"/>
                <w:sz w:val="20"/>
                <w:szCs w:val="20"/>
                <w:lang w:val="es-MX"/>
              </w:rPr>
              <w:t>,</w:t>
            </w:r>
            <w:r w:rsidRPr="00305D32">
              <w:rPr>
                <w:color w:val="000000"/>
                <w:sz w:val="20"/>
                <w:szCs w:val="20"/>
                <w:lang w:val="es-MX"/>
              </w:rPr>
              <w:t>272.3</w:t>
            </w:r>
          </w:p>
        </w:tc>
        <w:tc>
          <w:tcPr>
            <w:tcW w:w="1843" w:type="dxa"/>
            <w:tcBorders>
              <w:top w:val="nil"/>
              <w:left w:val="nil"/>
              <w:bottom w:val="nil"/>
              <w:right w:val="nil"/>
            </w:tcBorders>
            <w:vAlign w:val="bottom"/>
          </w:tcPr>
          <w:p w14:paraId="4D0837F7" w14:textId="40751228"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-224.4</w:t>
            </w:r>
          </w:p>
        </w:tc>
        <w:tc>
          <w:tcPr>
            <w:tcW w:w="1701" w:type="dxa"/>
            <w:tcBorders>
              <w:top w:val="nil"/>
              <w:left w:val="nil"/>
              <w:bottom w:val="nil"/>
              <w:right w:val="nil"/>
            </w:tcBorders>
            <w:vAlign w:val="bottom"/>
          </w:tcPr>
          <w:p w14:paraId="4D0837F8" w14:textId="11E602A7"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-4.08</w:t>
            </w:r>
            <w:r w:rsidR="0019290E">
              <w:rPr>
                <w:color w:val="000000"/>
                <w:sz w:val="20"/>
                <w:szCs w:val="20"/>
                <w:lang w:val="es-MX"/>
              </w:rPr>
              <w:t xml:space="preserve"> %</w:t>
            </w:r>
          </w:p>
        </w:tc>
      </w:tr>
      <w:tr w:rsidR="008D3246" w:rsidRPr="00305D32" w14:paraId="4D0837FF" w14:textId="77777777" w:rsidTr="00EC2005">
        <w:trPr>
          <w:trHeight w:val="300"/>
          <w:jc w:val="center"/>
        </w:trPr>
        <w:tc>
          <w:tcPr>
            <w:tcW w:w="2111" w:type="dxa"/>
            <w:tcBorders>
              <w:top w:val="nil"/>
              <w:left w:val="nil"/>
              <w:bottom w:val="nil"/>
              <w:right w:val="nil"/>
            </w:tcBorders>
            <w:vAlign w:val="center"/>
          </w:tcPr>
          <w:p w14:paraId="4D0837FA" w14:textId="77777777" w:rsidR="008D3246" w:rsidRPr="00305D32" w:rsidRDefault="008D3246" w:rsidP="008D3246">
            <w:pPr>
              <w:spacing w:after="0" w:line="240" w:lineRule="auto"/>
              <w:jc w:val="left"/>
              <w:rPr>
                <w:color w:val="000000"/>
                <w:sz w:val="20"/>
                <w:szCs w:val="20"/>
                <w:lang w:val="es-MX"/>
              </w:rPr>
            </w:pPr>
            <w:r w:rsidRPr="00305D32">
              <w:rPr>
                <w:color w:val="000000"/>
                <w:sz w:val="20"/>
                <w:szCs w:val="20"/>
                <w:lang w:val="es-MX"/>
              </w:rPr>
              <w:t>Benito Juárez</w:t>
            </w:r>
          </w:p>
        </w:tc>
        <w:tc>
          <w:tcPr>
            <w:tcW w:w="1575" w:type="dxa"/>
            <w:tcBorders>
              <w:top w:val="nil"/>
              <w:left w:val="nil"/>
              <w:bottom w:val="nil"/>
              <w:right w:val="nil"/>
            </w:tcBorders>
            <w:vAlign w:val="bottom"/>
          </w:tcPr>
          <w:p w14:paraId="4D0837FB" w14:textId="057B7D80"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189</w:t>
            </w:r>
            <w:r w:rsidR="008F4B46" w:rsidRPr="00305D32">
              <w:rPr>
                <w:color w:val="000000"/>
                <w:sz w:val="20"/>
                <w:szCs w:val="20"/>
                <w:lang w:val="es-MX"/>
              </w:rPr>
              <w:t>,</w:t>
            </w:r>
            <w:r w:rsidRPr="00305D32">
              <w:rPr>
                <w:color w:val="000000"/>
                <w:sz w:val="20"/>
                <w:szCs w:val="20"/>
                <w:lang w:val="es-MX"/>
              </w:rPr>
              <w:t>197.2</w:t>
            </w:r>
          </w:p>
        </w:tc>
        <w:tc>
          <w:tcPr>
            <w:tcW w:w="1559" w:type="dxa"/>
            <w:tcBorders>
              <w:top w:val="nil"/>
              <w:left w:val="nil"/>
              <w:bottom w:val="nil"/>
              <w:right w:val="nil"/>
            </w:tcBorders>
            <w:vAlign w:val="bottom"/>
          </w:tcPr>
          <w:p w14:paraId="4D0837FC" w14:textId="0125AFBC"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170</w:t>
            </w:r>
            <w:r w:rsidR="0071043E" w:rsidRPr="00305D32">
              <w:rPr>
                <w:color w:val="000000"/>
                <w:sz w:val="20"/>
                <w:szCs w:val="20"/>
                <w:lang w:val="es-MX"/>
              </w:rPr>
              <w:t>,</w:t>
            </w:r>
            <w:r w:rsidRPr="00305D32">
              <w:rPr>
                <w:color w:val="000000"/>
                <w:sz w:val="20"/>
                <w:szCs w:val="20"/>
                <w:lang w:val="es-MX"/>
              </w:rPr>
              <w:t>461</w:t>
            </w:r>
          </w:p>
        </w:tc>
        <w:tc>
          <w:tcPr>
            <w:tcW w:w="1843" w:type="dxa"/>
            <w:tcBorders>
              <w:top w:val="nil"/>
              <w:left w:val="nil"/>
              <w:bottom w:val="nil"/>
              <w:right w:val="nil"/>
            </w:tcBorders>
            <w:vAlign w:val="bottom"/>
          </w:tcPr>
          <w:p w14:paraId="4D0837FD" w14:textId="61E9B138"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-18</w:t>
            </w:r>
            <w:r w:rsidR="00FC3232" w:rsidRPr="00305D32">
              <w:rPr>
                <w:color w:val="000000"/>
                <w:sz w:val="20"/>
                <w:szCs w:val="20"/>
                <w:lang w:val="es-MX"/>
              </w:rPr>
              <w:t>,</w:t>
            </w:r>
            <w:r w:rsidRPr="00305D32">
              <w:rPr>
                <w:color w:val="000000"/>
                <w:sz w:val="20"/>
                <w:szCs w:val="20"/>
                <w:lang w:val="es-MX"/>
              </w:rPr>
              <w:t>736.2</w:t>
            </w:r>
          </w:p>
        </w:tc>
        <w:tc>
          <w:tcPr>
            <w:tcW w:w="1701" w:type="dxa"/>
            <w:tcBorders>
              <w:top w:val="nil"/>
              <w:left w:val="nil"/>
              <w:bottom w:val="nil"/>
              <w:right w:val="nil"/>
            </w:tcBorders>
            <w:vAlign w:val="bottom"/>
          </w:tcPr>
          <w:p w14:paraId="4D0837FE" w14:textId="6D7CF536"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-9.90</w:t>
            </w:r>
            <w:r w:rsidR="0019290E">
              <w:rPr>
                <w:color w:val="000000"/>
                <w:sz w:val="20"/>
                <w:szCs w:val="20"/>
                <w:lang w:val="es-MX"/>
              </w:rPr>
              <w:t xml:space="preserve"> %</w:t>
            </w:r>
          </w:p>
        </w:tc>
      </w:tr>
      <w:tr w:rsidR="008D3246" w:rsidRPr="00305D32" w14:paraId="4D083805" w14:textId="77777777" w:rsidTr="00EC2005">
        <w:trPr>
          <w:trHeight w:val="300"/>
          <w:jc w:val="center"/>
        </w:trPr>
        <w:tc>
          <w:tcPr>
            <w:tcW w:w="2111" w:type="dxa"/>
            <w:tcBorders>
              <w:top w:val="nil"/>
              <w:left w:val="nil"/>
              <w:bottom w:val="nil"/>
              <w:right w:val="nil"/>
            </w:tcBorders>
            <w:vAlign w:val="center"/>
          </w:tcPr>
          <w:p w14:paraId="4D083800" w14:textId="77777777" w:rsidR="008D3246" w:rsidRPr="00305D32" w:rsidRDefault="008D3246" w:rsidP="008D3246">
            <w:pPr>
              <w:spacing w:after="0" w:line="240" w:lineRule="auto"/>
              <w:jc w:val="left"/>
              <w:rPr>
                <w:color w:val="000000"/>
                <w:sz w:val="20"/>
                <w:szCs w:val="20"/>
                <w:lang w:val="es-MX"/>
              </w:rPr>
            </w:pPr>
            <w:r w:rsidRPr="00305D32">
              <w:rPr>
                <w:color w:val="000000"/>
                <w:sz w:val="20"/>
                <w:szCs w:val="20"/>
                <w:lang w:val="es-MX"/>
              </w:rPr>
              <w:t>Cozumel</w:t>
            </w:r>
          </w:p>
        </w:tc>
        <w:tc>
          <w:tcPr>
            <w:tcW w:w="1575" w:type="dxa"/>
            <w:tcBorders>
              <w:top w:val="nil"/>
              <w:left w:val="nil"/>
              <w:bottom w:val="nil"/>
              <w:right w:val="nil"/>
            </w:tcBorders>
            <w:vAlign w:val="bottom"/>
          </w:tcPr>
          <w:p w14:paraId="4D083801" w14:textId="6D8A47C0"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26</w:t>
            </w:r>
            <w:r w:rsidR="008F4B46" w:rsidRPr="00305D32">
              <w:rPr>
                <w:color w:val="000000"/>
                <w:sz w:val="20"/>
                <w:szCs w:val="20"/>
                <w:lang w:val="es-MX"/>
              </w:rPr>
              <w:t>,</w:t>
            </w:r>
            <w:r w:rsidRPr="00305D32">
              <w:rPr>
                <w:color w:val="000000"/>
                <w:sz w:val="20"/>
                <w:szCs w:val="20"/>
                <w:lang w:val="es-MX"/>
              </w:rPr>
              <w:t>181.1</w:t>
            </w:r>
          </w:p>
        </w:tc>
        <w:tc>
          <w:tcPr>
            <w:tcW w:w="1559" w:type="dxa"/>
            <w:tcBorders>
              <w:top w:val="nil"/>
              <w:left w:val="nil"/>
              <w:bottom w:val="nil"/>
              <w:right w:val="nil"/>
            </w:tcBorders>
            <w:vAlign w:val="bottom"/>
          </w:tcPr>
          <w:p w14:paraId="4D083802" w14:textId="786DEE3F"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24</w:t>
            </w:r>
            <w:r w:rsidR="0071043E" w:rsidRPr="00305D32">
              <w:rPr>
                <w:color w:val="000000"/>
                <w:sz w:val="20"/>
                <w:szCs w:val="20"/>
                <w:lang w:val="es-MX"/>
              </w:rPr>
              <w:t>,</w:t>
            </w:r>
            <w:r w:rsidRPr="00305D32">
              <w:rPr>
                <w:color w:val="000000"/>
                <w:sz w:val="20"/>
                <w:szCs w:val="20"/>
                <w:lang w:val="es-MX"/>
              </w:rPr>
              <w:t>333.3</w:t>
            </w:r>
          </w:p>
        </w:tc>
        <w:tc>
          <w:tcPr>
            <w:tcW w:w="1843" w:type="dxa"/>
            <w:tcBorders>
              <w:top w:val="nil"/>
              <w:left w:val="nil"/>
              <w:bottom w:val="nil"/>
              <w:right w:val="nil"/>
            </w:tcBorders>
            <w:vAlign w:val="bottom"/>
          </w:tcPr>
          <w:p w14:paraId="4D083803" w14:textId="5D408C01"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-1</w:t>
            </w:r>
            <w:r w:rsidR="00FC3232" w:rsidRPr="00305D32">
              <w:rPr>
                <w:color w:val="000000"/>
                <w:sz w:val="20"/>
                <w:szCs w:val="20"/>
                <w:lang w:val="es-MX"/>
              </w:rPr>
              <w:t>,</w:t>
            </w:r>
            <w:r w:rsidRPr="00305D32">
              <w:rPr>
                <w:color w:val="000000"/>
                <w:sz w:val="20"/>
                <w:szCs w:val="20"/>
                <w:lang w:val="es-MX"/>
              </w:rPr>
              <w:t>847.8</w:t>
            </w:r>
          </w:p>
        </w:tc>
        <w:tc>
          <w:tcPr>
            <w:tcW w:w="1701" w:type="dxa"/>
            <w:tcBorders>
              <w:top w:val="nil"/>
              <w:left w:val="nil"/>
              <w:bottom w:val="nil"/>
              <w:right w:val="nil"/>
            </w:tcBorders>
            <w:vAlign w:val="bottom"/>
          </w:tcPr>
          <w:p w14:paraId="4D083804" w14:textId="16D83B0E"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-7.06</w:t>
            </w:r>
            <w:r w:rsidR="0019290E">
              <w:rPr>
                <w:color w:val="000000"/>
                <w:sz w:val="20"/>
                <w:szCs w:val="20"/>
                <w:lang w:val="es-MX"/>
              </w:rPr>
              <w:t xml:space="preserve"> %</w:t>
            </w:r>
          </w:p>
        </w:tc>
      </w:tr>
      <w:tr w:rsidR="008D3246" w:rsidRPr="00305D32" w14:paraId="4D08380B" w14:textId="77777777" w:rsidTr="00EC2005">
        <w:trPr>
          <w:trHeight w:val="300"/>
          <w:jc w:val="center"/>
        </w:trPr>
        <w:tc>
          <w:tcPr>
            <w:tcW w:w="2111" w:type="dxa"/>
            <w:tcBorders>
              <w:top w:val="nil"/>
              <w:left w:val="nil"/>
              <w:bottom w:val="nil"/>
              <w:right w:val="nil"/>
            </w:tcBorders>
            <w:vAlign w:val="center"/>
          </w:tcPr>
          <w:p w14:paraId="4D083806" w14:textId="77777777" w:rsidR="008D3246" w:rsidRPr="00305D32" w:rsidRDefault="008D3246" w:rsidP="008D3246">
            <w:pPr>
              <w:spacing w:after="0" w:line="240" w:lineRule="auto"/>
              <w:jc w:val="left"/>
              <w:rPr>
                <w:color w:val="000000"/>
                <w:sz w:val="20"/>
                <w:szCs w:val="20"/>
                <w:lang w:val="es-MX"/>
              </w:rPr>
            </w:pPr>
            <w:r w:rsidRPr="00305D32">
              <w:rPr>
                <w:color w:val="000000"/>
                <w:sz w:val="20"/>
                <w:szCs w:val="20"/>
                <w:lang w:val="es-MX"/>
              </w:rPr>
              <w:t>Felipe Carrillo Puerto</w:t>
            </w:r>
          </w:p>
        </w:tc>
        <w:tc>
          <w:tcPr>
            <w:tcW w:w="1575" w:type="dxa"/>
            <w:tcBorders>
              <w:top w:val="nil"/>
              <w:left w:val="nil"/>
              <w:bottom w:val="nil"/>
              <w:right w:val="nil"/>
            </w:tcBorders>
            <w:vAlign w:val="bottom"/>
          </w:tcPr>
          <w:p w14:paraId="4D083807" w14:textId="6CEF900D"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9</w:t>
            </w:r>
            <w:r w:rsidR="008F4B46" w:rsidRPr="00305D32">
              <w:rPr>
                <w:color w:val="000000"/>
                <w:sz w:val="20"/>
                <w:szCs w:val="20"/>
                <w:lang w:val="es-MX"/>
              </w:rPr>
              <w:t>,</w:t>
            </w:r>
            <w:r w:rsidRPr="00305D32">
              <w:rPr>
                <w:color w:val="000000"/>
                <w:sz w:val="20"/>
                <w:szCs w:val="20"/>
                <w:lang w:val="es-MX"/>
              </w:rPr>
              <w:t>316.6</w:t>
            </w:r>
          </w:p>
        </w:tc>
        <w:tc>
          <w:tcPr>
            <w:tcW w:w="1559" w:type="dxa"/>
            <w:tcBorders>
              <w:top w:val="nil"/>
              <w:left w:val="nil"/>
              <w:bottom w:val="nil"/>
              <w:right w:val="nil"/>
            </w:tcBorders>
            <w:vAlign w:val="bottom"/>
          </w:tcPr>
          <w:p w14:paraId="4D083808" w14:textId="54D487E3"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9</w:t>
            </w:r>
            <w:r w:rsidR="0071043E" w:rsidRPr="00305D32">
              <w:rPr>
                <w:color w:val="000000"/>
                <w:sz w:val="20"/>
                <w:szCs w:val="20"/>
                <w:lang w:val="es-MX"/>
              </w:rPr>
              <w:t>,</w:t>
            </w:r>
            <w:r w:rsidRPr="00305D32">
              <w:rPr>
                <w:color w:val="000000"/>
                <w:sz w:val="20"/>
                <w:szCs w:val="20"/>
                <w:lang w:val="es-MX"/>
              </w:rPr>
              <w:t>012.5</w:t>
            </w:r>
          </w:p>
        </w:tc>
        <w:tc>
          <w:tcPr>
            <w:tcW w:w="1843" w:type="dxa"/>
            <w:tcBorders>
              <w:top w:val="nil"/>
              <w:left w:val="nil"/>
              <w:bottom w:val="nil"/>
              <w:right w:val="nil"/>
            </w:tcBorders>
            <w:vAlign w:val="bottom"/>
          </w:tcPr>
          <w:p w14:paraId="4D083809" w14:textId="2FAF7F81"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-304.1</w:t>
            </w:r>
          </w:p>
        </w:tc>
        <w:tc>
          <w:tcPr>
            <w:tcW w:w="1701" w:type="dxa"/>
            <w:tcBorders>
              <w:top w:val="nil"/>
              <w:left w:val="nil"/>
              <w:bottom w:val="nil"/>
              <w:right w:val="nil"/>
            </w:tcBorders>
            <w:vAlign w:val="bottom"/>
          </w:tcPr>
          <w:p w14:paraId="4D08380A" w14:textId="3C41FC6A"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-3.26</w:t>
            </w:r>
            <w:r w:rsidR="0019290E">
              <w:rPr>
                <w:color w:val="000000"/>
                <w:sz w:val="20"/>
                <w:szCs w:val="20"/>
                <w:lang w:val="es-MX"/>
              </w:rPr>
              <w:t xml:space="preserve"> %</w:t>
            </w:r>
          </w:p>
        </w:tc>
      </w:tr>
      <w:tr w:rsidR="008D3246" w:rsidRPr="00305D32" w14:paraId="4D083811" w14:textId="77777777" w:rsidTr="00EC2005">
        <w:trPr>
          <w:trHeight w:val="300"/>
          <w:jc w:val="center"/>
        </w:trPr>
        <w:tc>
          <w:tcPr>
            <w:tcW w:w="2111" w:type="dxa"/>
            <w:tcBorders>
              <w:top w:val="nil"/>
              <w:left w:val="nil"/>
              <w:bottom w:val="nil"/>
              <w:right w:val="nil"/>
            </w:tcBorders>
            <w:vAlign w:val="center"/>
          </w:tcPr>
          <w:p w14:paraId="4D08380C" w14:textId="77777777" w:rsidR="008D3246" w:rsidRPr="00305D32" w:rsidRDefault="008D3246" w:rsidP="008D3246">
            <w:pPr>
              <w:spacing w:after="0" w:line="240" w:lineRule="auto"/>
              <w:jc w:val="left"/>
              <w:rPr>
                <w:color w:val="000000"/>
                <w:sz w:val="20"/>
                <w:szCs w:val="20"/>
                <w:lang w:val="es-MX"/>
              </w:rPr>
            </w:pPr>
            <w:r w:rsidRPr="00305D32">
              <w:rPr>
                <w:color w:val="000000"/>
                <w:sz w:val="20"/>
                <w:szCs w:val="20"/>
                <w:lang w:val="es-MX"/>
              </w:rPr>
              <w:t>Isla Mujeres</w:t>
            </w:r>
          </w:p>
        </w:tc>
        <w:tc>
          <w:tcPr>
            <w:tcW w:w="1575" w:type="dxa"/>
            <w:tcBorders>
              <w:top w:val="nil"/>
              <w:left w:val="nil"/>
              <w:bottom w:val="nil"/>
              <w:right w:val="nil"/>
            </w:tcBorders>
            <w:vAlign w:val="bottom"/>
          </w:tcPr>
          <w:p w14:paraId="4D08380D" w14:textId="3D7633F1"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8</w:t>
            </w:r>
            <w:r w:rsidR="008F4B46" w:rsidRPr="00305D32">
              <w:rPr>
                <w:color w:val="000000"/>
                <w:sz w:val="20"/>
                <w:szCs w:val="20"/>
                <w:lang w:val="es-MX"/>
              </w:rPr>
              <w:t>,</w:t>
            </w:r>
            <w:r w:rsidRPr="00305D32">
              <w:rPr>
                <w:color w:val="000000"/>
                <w:sz w:val="20"/>
                <w:szCs w:val="20"/>
                <w:lang w:val="es-MX"/>
              </w:rPr>
              <w:t>845.8</w:t>
            </w:r>
          </w:p>
        </w:tc>
        <w:tc>
          <w:tcPr>
            <w:tcW w:w="1559" w:type="dxa"/>
            <w:tcBorders>
              <w:top w:val="nil"/>
              <w:left w:val="nil"/>
              <w:bottom w:val="nil"/>
              <w:right w:val="nil"/>
            </w:tcBorders>
            <w:vAlign w:val="bottom"/>
          </w:tcPr>
          <w:p w14:paraId="4D08380E" w14:textId="7067AFEA"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8</w:t>
            </w:r>
            <w:r w:rsidR="0071043E" w:rsidRPr="00305D32">
              <w:rPr>
                <w:color w:val="000000"/>
                <w:sz w:val="20"/>
                <w:szCs w:val="20"/>
                <w:lang w:val="es-MX"/>
              </w:rPr>
              <w:t>,</w:t>
            </w:r>
            <w:r w:rsidRPr="00305D32">
              <w:rPr>
                <w:color w:val="000000"/>
                <w:sz w:val="20"/>
                <w:szCs w:val="20"/>
                <w:lang w:val="es-MX"/>
              </w:rPr>
              <w:t>347.4</w:t>
            </w:r>
          </w:p>
        </w:tc>
        <w:tc>
          <w:tcPr>
            <w:tcW w:w="1843" w:type="dxa"/>
            <w:tcBorders>
              <w:top w:val="nil"/>
              <w:left w:val="nil"/>
              <w:bottom w:val="nil"/>
              <w:right w:val="nil"/>
            </w:tcBorders>
            <w:vAlign w:val="bottom"/>
          </w:tcPr>
          <w:p w14:paraId="4D08380F" w14:textId="55F6A21E"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-498.4</w:t>
            </w:r>
          </w:p>
        </w:tc>
        <w:tc>
          <w:tcPr>
            <w:tcW w:w="1701" w:type="dxa"/>
            <w:tcBorders>
              <w:top w:val="nil"/>
              <w:left w:val="nil"/>
              <w:bottom w:val="nil"/>
              <w:right w:val="nil"/>
            </w:tcBorders>
            <w:vAlign w:val="bottom"/>
          </w:tcPr>
          <w:p w14:paraId="4D083810" w14:textId="40E07A53"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-5.63</w:t>
            </w:r>
            <w:r w:rsidR="0019290E">
              <w:rPr>
                <w:color w:val="000000"/>
                <w:sz w:val="20"/>
                <w:szCs w:val="20"/>
                <w:lang w:val="es-MX"/>
              </w:rPr>
              <w:t xml:space="preserve"> %</w:t>
            </w:r>
          </w:p>
        </w:tc>
      </w:tr>
      <w:tr w:rsidR="008D3246" w:rsidRPr="00305D32" w14:paraId="4D083817" w14:textId="77777777" w:rsidTr="00EC2005">
        <w:trPr>
          <w:trHeight w:val="300"/>
          <w:jc w:val="center"/>
        </w:trPr>
        <w:tc>
          <w:tcPr>
            <w:tcW w:w="2111" w:type="dxa"/>
            <w:tcBorders>
              <w:top w:val="nil"/>
              <w:left w:val="nil"/>
              <w:bottom w:val="nil"/>
              <w:right w:val="nil"/>
            </w:tcBorders>
            <w:vAlign w:val="center"/>
          </w:tcPr>
          <w:p w14:paraId="4D083812" w14:textId="77777777" w:rsidR="008D3246" w:rsidRPr="00305D32" w:rsidRDefault="008D3246" w:rsidP="008D3246">
            <w:pPr>
              <w:spacing w:after="0" w:line="240" w:lineRule="auto"/>
              <w:jc w:val="left"/>
              <w:rPr>
                <w:color w:val="000000"/>
                <w:sz w:val="20"/>
                <w:szCs w:val="20"/>
                <w:lang w:val="es-MX"/>
              </w:rPr>
            </w:pPr>
            <w:r w:rsidRPr="00305D32">
              <w:rPr>
                <w:color w:val="000000"/>
                <w:sz w:val="20"/>
                <w:szCs w:val="20"/>
                <w:lang w:val="es-MX"/>
              </w:rPr>
              <w:t>José María Morelos</w:t>
            </w:r>
          </w:p>
        </w:tc>
        <w:tc>
          <w:tcPr>
            <w:tcW w:w="1575" w:type="dxa"/>
            <w:tcBorders>
              <w:top w:val="nil"/>
              <w:left w:val="nil"/>
              <w:bottom w:val="nil"/>
              <w:right w:val="nil"/>
            </w:tcBorders>
            <w:vAlign w:val="bottom"/>
          </w:tcPr>
          <w:p w14:paraId="4D083813" w14:textId="7AB369B5"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5</w:t>
            </w:r>
            <w:r w:rsidR="008F4B46" w:rsidRPr="00305D32">
              <w:rPr>
                <w:color w:val="000000"/>
                <w:sz w:val="20"/>
                <w:szCs w:val="20"/>
                <w:lang w:val="es-MX"/>
              </w:rPr>
              <w:t>,</w:t>
            </w:r>
            <w:r w:rsidRPr="00305D32">
              <w:rPr>
                <w:color w:val="000000"/>
                <w:sz w:val="20"/>
                <w:szCs w:val="20"/>
                <w:lang w:val="es-MX"/>
              </w:rPr>
              <w:t>570.5</w:t>
            </w:r>
          </w:p>
        </w:tc>
        <w:tc>
          <w:tcPr>
            <w:tcW w:w="1559" w:type="dxa"/>
            <w:tcBorders>
              <w:top w:val="nil"/>
              <w:left w:val="nil"/>
              <w:bottom w:val="nil"/>
              <w:right w:val="nil"/>
            </w:tcBorders>
            <w:vAlign w:val="bottom"/>
          </w:tcPr>
          <w:p w14:paraId="4D083814" w14:textId="4B3FFA07"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5</w:t>
            </w:r>
            <w:r w:rsidR="0071043E" w:rsidRPr="00305D32">
              <w:rPr>
                <w:color w:val="000000"/>
                <w:sz w:val="20"/>
                <w:szCs w:val="20"/>
                <w:lang w:val="es-MX"/>
              </w:rPr>
              <w:t>,</w:t>
            </w:r>
            <w:r w:rsidRPr="00305D32">
              <w:rPr>
                <w:color w:val="000000"/>
                <w:sz w:val="20"/>
                <w:szCs w:val="20"/>
                <w:lang w:val="es-MX"/>
              </w:rPr>
              <w:t>175</w:t>
            </w:r>
          </w:p>
        </w:tc>
        <w:tc>
          <w:tcPr>
            <w:tcW w:w="1843" w:type="dxa"/>
            <w:tcBorders>
              <w:top w:val="nil"/>
              <w:left w:val="nil"/>
              <w:bottom w:val="nil"/>
              <w:right w:val="nil"/>
            </w:tcBorders>
            <w:vAlign w:val="bottom"/>
          </w:tcPr>
          <w:p w14:paraId="4D083815" w14:textId="6C97F854"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-395.5</w:t>
            </w:r>
          </w:p>
        </w:tc>
        <w:tc>
          <w:tcPr>
            <w:tcW w:w="1701" w:type="dxa"/>
            <w:tcBorders>
              <w:top w:val="nil"/>
              <w:left w:val="nil"/>
              <w:bottom w:val="nil"/>
              <w:right w:val="nil"/>
            </w:tcBorders>
            <w:vAlign w:val="bottom"/>
          </w:tcPr>
          <w:p w14:paraId="4D083816" w14:textId="64EBEC8C"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-7.10</w:t>
            </w:r>
            <w:r w:rsidR="0019290E">
              <w:rPr>
                <w:color w:val="000000"/>
                <w:sz w:val="20"/>
                <w:szCs w:val="20"/>
                <w:lang w:val="es-MX"/>
              </w:rPr>
              <w:t xml:space="preserve"> %</w:t>
            </w:r>
          </w:p>
        </w:tc>
      </w:tr>
      <w:tr w:rsidR="008D3246" w:rsidRPr="00305D32" w14:paraId="4D08381D" w14:textId="77777777" w:rsidTr="00EC2005">
        <w:trPr>
          <w:trHeight w:val="300"/>
          <w:jc w:val="center"/>
        </w:trPr>
        <w:tc>
          <w:tcPr>
            <w:tcW w:w="2111" w:type="dxa"/>
            <w:tcBorders>
              <w:top w:val="nil"/>
              <w:left w:val="nil"/>
              <w:bottom w:val="nil"/>
              <w:right w:val="nil"/>
            </w:tcBorders>
            <w:vAlign w:val="center"/>
          </w:tcPr>
          <w:p w14:paraId="4D083818" w14:textId="77777777" w:rsidR="008D3246" w:rsidRPr="00305D32" w:rsidRDefault="008D3246" w:rsidP="008D3246">
            <w:pPr>
              <w:spacing w:after="0" w:line="240" w:lineRule="auto"/>
              <w:jc w:val="left"/>
              <w:rPr>
                <w:color w:val="000000"/>
                <w:sz w:val="20"/>
                <w:szCs w:val="20"/>
                <w:lang w:val="es-MX"/>
              </w:rPr>
            </w:pPr>
            <w:r w:rsidRPr="00305D32">
              <w:rPr>
                <w:color w:val="000000"/>
                <w:sz w:val="20"/>
                <w:szCs w:val="20"/>
                <w:lang w:val="es-MX"/>
              </w:rPr>
              <w:t>Lázaro Cárdenas</w:t>
            </w:r>
          </w:p>
        </w:tc>
        <w:tc>
          <w:tcPr>
            <w:tcW w:w="1575" w:type="dxa"/>
            <w:tcBorders>
              <w:top w:val="nil"/>
              <w:left w:val="nil"/>
              <w:bottom w:val="nil"/>
              <w:right w:val="nil"/>
            </w:tcBorders>
            <w:vAlign w:val="bottom"/>
          </w:tcPr>
          <w:p w14:paraId="4D083819" w14:textId="4FEB37B1"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4</w:t>
            </w:r>
            <w:r w:rsidR="008F4B46" w:rsidRPr="00305D32">
              <w:rPr>
                <w:color w:val="000000"/>
                <w:sz w:val="20"/>
                <w:szCs w:val="20"/>
                <w:lang w:val="es-MX"/>
              </w:rPr>
              <w:t>,</w:t>
            </w:r>
            <w:r w:rsidRPr="00305D32">
              <w:rPr>
                <w:color w:val="000000"/>
                <w:sz w:val="20"/>
                <w:szCs w:val="20"/>
                <w:lang w:val="es-MX"/>
              </w:rPr>
              <w:t>127.9</w:t>
            </w:r>
          </w:p>
        </w:tc>
        <w:tc>
          <w:tcPr>
            <w:tcW w:w="1559" w:type="dxa"/>
            <w:tcBorders>
              <w:top w:val="nil"/>
              <w:left w:val="nil"/>
              <w:bottom w:val="nil"/>
              <w:right w:val="nil"/>
            </w:tcBorders>
            <w:vAlign w:val="bottom"/>
          </w:tcPr>
          <w:p w14:paraId="4D08381A" w14:textId="113F7A35"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3</w:t>
            </w:r>
            <w:r w:rsidR="0071043E" w:rsidRPr="00305D32">
              <w:rPr>
                <w:color w:val="000000"/>
                <w:sz w:val="20"/>
                <w:szCs w:val="20"/>
                <w:lang w:val="es-MX"/>
              </w:rPr>
              <w:t>,</w:t>
            </w:r>
            <w:r w:rsidRPr="00305D32">
              <w:rPr>
                <w:color w:val="000000"/>
                <w:sz w:val="20"/>
                <w:szCs w:val="20"/>
                <w:lang w:val="es-MX"/>
              </w:rPr>
              <w:t>989.7</w:t>
            </w:r>
          </w:p>
        </w:tc>
        <w:tc>
          <w:tcPr>
            <w:tcW w:w="1843" w:type="dxa"/>
            <w:tcBorders>
              <w:top w:val="nil"/>
              <w:left w:val="nil"/>
              <w:bottom w:val="nil"/>
              <w:right w:val="nil"/>
            </w:tcBorders>
            <w:vAlign w:val="bottom"/>
          </w:tcPr>
          <w:p w14:paraId="4D08381B" w14:textId="5913508B"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-138.2</w:t>
            </w:r>
          </w:p>
        </w:tc>
        <w:tc>
          <w:tcPr>
            <w:tcW w:w="1701" w:type="dxa"/>
            <w:tcBorders>
              <w:top w:val="nil"/>
              <w:left w:val="nil"/>
              <w:bottom w:val="nil"/>
              <w:right w:val="nil"/>
            </w:tcBorders>
            <w:vAlign w:val="bottom"/>
          </w:tcPr>
          <w:p w14:paraId="4D08381C" w14:textId="7C505E74"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-3.35</w:t>
            </w:r>
            <w:r w:rsidR="0019290E">
              <w:rPr>
                <w:color w:val="000000"/>
                <w:sz w:val="20"/>
                <w:szCs w:val="20"/>
                <w:lang w:val="es-MX"/>
              </w:rPr>
              <w:t xml:space="preserve"> %</w:t>
            </w:r>
          </w:p>
        </w:tc>
      </w:tr>
      <w:tr w:rsidR="008D3246" w:rsidRPr="00305D32" w14:paraId="4D083823" w14:textId="77777777" w:rsidTr="00EC2005">
        <w:trPr>
          <w:trHeight w:val="300"/>
          <w:jc w:val="center"/>
        </w:trPr>
        <w:tc>
          <w:tcPr>
            <w:tcW w:w="2111" w:type="dxa"/>
            <w:tcBorders>
              <w:top w:val="nil"/>
              <w:left w:val="nil"/>
              <w:bottom w:val="nil"/>
              <w:right w:val="nil"/>
            </w:tcBorders>
            <w:vAlign w:val="center"/>
          </w:tcPr>
          <w:p w14:paraId="4D08381E" w14:textId="77777777" w:rsidR="008D3246" w:rsidRPr="00305D32" w:rsidRDefault="008D3246" w:rsidP="008D3246">
            <w:pPr>
              <w:spacing w:after="0" w:line="240" w:lineRule="auto"/>
              <w:jc w:val="left"/>
              <w:rPr>
                <w:color w:val="000000"/>
                <w:sz w:val="20"/>
                <w:szCs w:val="20"/>
                <w:lang w:val="es-MX"/>
              </w:rPr>
            </w:pPr>
            <w:r w:rsidRPr="00305D32">
              <w:rPr>
                <w:color w:val="000000"/>
                <w:sz w:val="20"/>
                <w:szCs w:val="20"/>
                <w:lang w:val="es-MX"/>
              </w:rPr>
              <w:t>Othón P. Blanco</w:t>
            </w:r>
          </w:p>
        </w:tc>
        <w:tc>
          <w:tcPr>
            <w:tcW w:w="1575" w:type="dxa"/>
            <w:tcBorders>
              <w:top w:val="nil"/>
              <w:left w:val="nil"/>
              <w:bottom w:val="nil"/>
              <w:right w:val="nil"/>
            </w:tcBorders>
            <w:vAlign w:val="bottom"/>
          </w:tcPr>
          <w:p w14:paraId="4D08381F" w14:textId="0DC473B8"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50</w:t>
            </w:r>
            <w:r w:rsidR="008F4B46" w:rsidRPr="00305D32">
              <w:rPr>
                <w:color w:val="000000"/>
                <w:sz w:val="20"/>
                <w:szCs w:val="20"/>
                <w:lang w:val="es-MX"/>
              </w:rPr>
              <w:t>,</w:t>
            </w:r>
            <w:r w:rsidRPr="00305D32">
              <w:rPr>
                <w:color w:val="000000"/>
                <w:sz w:val="20"/>
                <w:szCs w:val="20"/>
                <w:lang w:val="es-MX"/>
              </w:rPr>
              <w:t>584.1</w:t>
            </w:r>
          </w:p>
        </w:tc>
        <w:tc>
          <w:tcPr>
            <w:tcW w:w="1559" w:type="dxa"/>
            <w:tcBorders>
              <w:top w:val="nil"/>
              <w:left w:val="nil"/>
              <w:bottom w:val="nil"/>
              <w:right w:val="nil"/>
            </w:tcBorders>
            <w:vAlign w:val="bottom"/>
          </w:tcPr>
          <w:p w14:paraId="4D083820" w14:textId="6FB1C0D4"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43</w:t>
            </w:r>
            <w:r w:rsidR="0071043E" w:rsidRPr="00305D32">
              <w:rPr>
                <w:color w:val="000000"/>
                <w:sz w:val="20"/>
                <w:szCs w:val="20"/>
                <w:lang w:val="es-MX"/>
              </w:rPr>
              <w:t>,</w:t>
            </w:r>
            <w:r w:rsidRPr="00305D32">
              <w:rPr>
                <w:color w:val="000000"/>
                <w:sz w:val="20"/>
                <w:szCs w:val="20"/>
                <w:lang w:val="es-MX"/>
              </w:rPr>
              <w:t>702</w:t>
            </w:r>
          </w:p>
        </w:tc>
        <w:tc>
          <w:tcPr>
            <w:tcW w:w="1843" w:type="dxa"/>
            <w:tcBorders>
              <w:top w:val="nil"/>
              <w:left w:val="nil"/>
              <w:bottom w:val="nil"/>
              <w:right w:val="nil"/>
            </w:tcBorders>
            <w:vAlign w:val="bottom"/>
          </w:tcPr>
          <w:p w14:paraId="4D083821" w14:textId="1047FA54"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-6</w:t>
            </w:r>
            <w:r w:rsidR="00FC3232" w:rsidRPr="00305D32">
              <w:rPr>
                <w:color w:val="000000"/>
                <w:sz w:val="20"/>
                <w:szCs w:val="20"/>
                <w:lang w:val="es-MX"/>
              </w:rPr>
              <w:t>,</w:t>
            </w:r>
            <w:r w:rsidRPr="00305D32">
              <w:rPr>
                <w:color w:val="000000"/>
                <w:sz w:val="20"/>
                <w:szCs w:val="20"/>
                <w:lang w:val="es-MX"/>
              </w:rPr>
              <w:t>882.1</w:t>
            </w:r>
          </w:p>
        </w:tc>
        <w:tc>
          <w:tcPr>
            <w:tcW w:w="1701" w:type="dxa"/>
            <w:tcBorders>
              <w:top w:val="nil"/>
              <w:left w:val="nil"/>
              <w:bottom w:val="nil"/>
              <w:right w:val="nil"/>
            </w:tcBorders>
            <w:vAlign w:val="bottom"/>
          </w:tcPr>
          <w:p w14:paraId="4D083822" w14:textId="0760CA0D"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-13.61</w:t>
            </w:r>
            <w:r w:rsidR="0019290E">
              <w:rPr>
                <w:color w:val="000000"/>
                <w:sz w:val="20"/>
                <w:szCs w:val="20"/>
                <w:lang w:val="es-MX"/>
              </w:rPr>
              <w:t xml:space="preserve"> %</w:t>
            </w:r>
          </w:p>
        </w:tc>
      </w:tr>
      <w:tr w:rsidR="008D3246" w:rsidRPr="00305D32" w14:paraId="4D083829" w14:textId="77777777" w:rsidTr="00EC2005">
        <w:trPr>
          <w:trHeight w:val="300"/>
          <w:jc w:val="center"/>
        </w:trPr>
        <w:tc>
          <w:tcPr>
            <w:tcW w:w="2111" w:type="dxa"/>
            <w:tcBorders>
              <w:top w:val="nil"/>
              <w:left w:val="nil"/>
              <w:bottom w:val="nil"/>
              <w:right w:val="nil"/>
            </w:tcBorders>
            <w:vAlign w:val="center"/>
          </w:tcPr>
          <w:p w14:paraId="4D083824" w14:textId="77777777" w:rsidR="008D3246" w:rsidRPr="00305D32" w:rsidRDefault="008D3246" w:rsidP="008D3246">
            <w:pPr>
              <w:spacing w:after="0" w:line="240" w:lineRule="auto"/>
              <w:jc w:val="left"/>
              <w:rPr>
                <w:color w:val="000000"/>
                <w:sz w:val="20"/>
                <w:szCs w:val="20"/>
                <w:lang w:val="es-MX"/>
              </w:rPr>
            </w:pPr>
            <w:r w:rsidRPr="00305D32">
              <w:rPr>
                <w:color w:val="000000"/>
                <w:sz w:val="20"/>
                <w:szCs w:val="20"/>
                <w:lang w:val="es-MX"/>
              </w:rPr>
              <w:t xml:space="preserve">Puerto Morelos </w:t>
            </w:r>
          </w:p>
        </w:tc>
        <w:tc>
          <w:tcPr>
            <w:tcW w:w="1575" w:type="dxa"/>
            <w:tcBorders>
              <w:top w:val="nil"/>
              <w:left w:val="nil"/>
              <w:bottom w:val="nil"/>
              <w:right w:val="nil"/>
            </w:tcBorders>
            <w:vAlign w:val="bottom"/>
          </w:tcPr>
          <w:p w14:paraId="4D083825" w14:textId="44981B55"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7</w:t>
            </w:r>
            <w:r w:rsidR="008F4B46" w:rsidRPr="00305D32">
              <w:rPr>
                <w:color w:val="000000"/>
                <w:sz w:val="20"/>
                <w:szCs w:val="20"/>
                <w:lang w:val="es-MX"/>
              </w:rPr>
              <w:t>,</w:t>
            </w:r>
            <w:r w:rsidRPr="00305D32">
              <w:rPr>
                <w:color w:val="000000"/>
                <w:sz w:val="20"/>
                <w:szCs w:val="20"/>
                <w:lang w:val="es-MX"/>
              </w:rPr>
              <w:t>464.9</w:t>
            </w:r>
          </w:p>
        </w:tc>
        <w:tc>
          <w:tcPr>
            <w:tcW w:w="1559" w:type="dxa"/>
            <w:tcBorders>
              <w:top w:val="nil"/>
              <w:left w:val="nil"/>
              <w:bottom w:val="nil"/>
              <w:right w:val="nil"/>
            </w:tcBorders>
            <w:vAlign w:val="bottom"/>
          </w:tcPr>
          <w:p w14:paraId="4D083826" w14:textId="77D9E29D"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7</w:t>
            </w:r>
            <w:r w:rsidR="008F4B46" w:rsidRPr="00305D32">
              <w:rPr>
                <w:color w:val="000000"/>
                <w:sz w:val="20"/>
                <w:szCs w:val="20"/>
                <w:lang w:val="es-MX"/>
              </w:rPr>
              <w:t>,</w:t>
            </w:r>
            <w:r w:rsidRPr="00305D32">
              <w:rPr>
                <w:color w:val="000000"/>
                <w:sz w:val="20"/>
                <w:szCs w:val="20"/>
                <w:lang w:val="es-MX"/>
              </w:rPr>
              <w:t>135</w:t>
            </w:r>
          </w:p>
        </w:tc>
        <w:tc>
          <w:tcPr>
            <w:tcW w:w="1843" w:type="dxa"/>
            <w:tcBorders>
              <w:top w:val="nil"/>
              <w:left w:val="nil"/>
              <w:bottom w:val="nil"/>
              <w:right w:val="nil"/>
            </w:tcBorders>
            <w:vAlign w:val="bottom"/>
          </w:tcPr>
          <w:p w14:paraId="4D083827" w14:textId="6D59ACF5"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-329.9</w:t>
            </w:r>
          </w:p>
        </w:tc>
        <w:tc>
          <w:tcPr>
            <w:tcW w:w="1701" w:type="dxa"/>
            <w:tcBorders>
              <w:top w:val="nil"/>
              <w:left w:val="nil"/>
              <w:bottom w:val="nil"/>
              <w:right w:val="nil"/>
            </w:tcBorders>
            <w:vAlign w:val="bottom"/>
          </w:tcPr>
          <w:p w14:paraId="4D083828" w14:textId="1250BC85"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-4.42</w:t>
            </w:r>
            <w:r w:rsidR="0019290E">
              <w:rPr>
                <w:color w:val="000000"/>
                <w:sz w:val="20"/>
                <w:szCs w:val="20"/>
                <w:lang w:val="es-MX"/>
              </w:rPr>
              <w:t xml:space="preserve"> %</w:t>
            </w:r>
          </w:p>
        </w:tc>
      </w:tr>
      <w:tr w:rsidR="008D3246" w:rsidRPr="00305D32" w14:paraId="4D08382F" w14:textId="77777777" w:rsidTr="00EC2005">
        <w:trPr>
          <w:trHeight w:val="300"/>
          <w:jc w:val="center"/>
        </w:trPr>
        <w:tc>
          <w:tcPr>
            <w:tcW w:w="2111" w:type="dxa"/>
            <w:tcBorders>
              <w:top w:val="nil"/>
              <w:left w:val="nil"/>
              <w:bottom w:val="nil"/>
              <w:right w:val="nil"/>
            </w:tcBorders>
            <w:vAlign w:val="center"/>
          </w:tcPr>
          <w:p w14:paraId="4D08382A" w14:textId="77777777" w:rsidR="008D3246" w:rsidRPr="00305D32" w:rsidRDefault="008D3246" w:rsidP="008D3246">
            <w:pPr>
              <w:spacing w:after="0" w:line="240" w:lineRule="auto"/>
              <w:jc w:val="left"/>
              <w:rPr>
                <w:color w:val="000000"/>
                <w:sz w:val="20"/>
                <w:szCs w:val="20"/>
                <w:lang w:val="es-MX"/>
              </w:rPr>
            </w:pPr>
            <w:r w:rsidRPr="00305D32">
              <w:rPr>
                <w:color w:val="000000"/>
                <w:sz w:val="20"/>
                <w:szCs w:val="20"/>
                <w:lang w:val="es-MX"/>
              </w:rPr>
              <w:t>Solidaridad</w:t>
            </w:r>
          </w:p>
        </w:tc>
        <w:tc>
          <w:tcPr>
            <w:tcW w:w="1575" w:type="dxa"/>
            <w:tcBorders>
              <w:top w:val="nil"/>
              <w:left w:val="nil"/>
              <w:bottom w:val="nil"/>
              <w:right w:val="nil"/>
            </w:tcBorders>
            <w:vAlign w:val="bottom"/>
          </w:tcPr>
          <w:p w14:paraId="4D08382B" w14:textId="1A5D5C48"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68</w:t>
            </w:r>
            <w:r w:rsidR="008F4B46" w:rsidRPr="00305D32">
              <w:rPr>
                <w:color w:val="000000"/>
                <w:sz w:val="20"/>
                <w:szCs w:val="20"/>
                <w:lang w:val="es-MX"/>
              </w:rPr>
              <w:t>,</w:t>
            </w:r>
            <w:r w:rsidRPr="00305D32">
              <w:rPr>
                <w:color w:val="000000"/>
                <w:sz w:val="20"/>
                <w:szCs w:val="20"/>
                <w:lang w:val="es-MX"/>
              </w:rPr>
              <w:t>331.1</w:t>
            </w:r>
          </w:p>
        </w:tc>
        <w:tc>
          <w:tcPr>
            <w:tcW w:w="1559" w:type="dxa"/>
            <w:tcBorders>
              <w:top w:val="nil"/>
              <w:left w:val="nil"/>
              <w:bottom w:val="nil"/>
              <w:right w:val="nil"/>
            </w:tcBorders>
            <w:vAlign w:val="bottom"/>
          </w:tcPr>
          <w:p w14:paraId="4D08382C" w14:textId="15415224"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63</w:t>
            </w:r>
            <w:r w:rsidR="008F4B46" w:rsidRPr="00305D32">
              <w:rPr>
                <w:color w:val="000000"/>
                <w:sz w:val="20"/>
                <w:szCs w:val="20"/>
                <w:lang w:val="es-MX"/>
              </w:rPr>
              <w:t>,</w:t>
            </w:r>
            <w:r w:rsidRPr="00305D32">
              <w:rPr>
                <w:color w:val="000000"/>
                <w:sz w:val="20"/>
                <w:szCs w:val="20"/>
                <w:lang w:val="es-MX"/>
              </w:rPr>
              <w:t>085.5</w:t>
            </w:r>
          </w:p>
        </w:tc>
        <w:tc>
          <w:tcPr>
            <w:tcW w:w="1843" w:type="dxa"/>
            <w:tcBorders>
              <w:top w:val="nil"/>
              <w:left w:val="nil"/>
              <w:bottom w:val="nil"/>
              <w:right w:val="nil"/>
            </w:tcBorders>
            <w:vAlign w:val="bottom"/>
          </w:tcPr>
          <w:p w14:paraId="4D08382D" w14:textId="345B1493"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-5</w:t>
            </w:r>
            <w:r w:rsidR="00FC3232" w:rsidRPr="00305D32">
              <w:rPr>
                <w:color w:val="000000"/>
                <w:sz w:val="20"/>
                <w:szCs w:val="20"/>
                <w:lang w:val="es-MX"/>
              </w:rPr>
              <w:t>,</w:t>
            </w:r>
            <w:r w:rsidRPr="00305D32">
              <w:rPr>
                <w:color w:val="000000"/>
                <w:sz w:val="20"/>
                <w:szCs w:val="20"/>
                <w:lang w:val="es-MX"/>
              </w:rPr>
              <w:t>245.6</w:t>
            </w:r>
          </w:p>
        </w:tc>
        <w:tc>
          <w:tcPr>
            <w:tcW w:w="1701" w:type="dxa"/>
            <w:tcBorders>
              <w:top w:val="nil"/>
              <w:left w:val="nil"/>
              <w:bottom w:val="nil"/>
              <w:right w:val="nil"/>
            </w:tcBorders>
            <w:vAlign w:val="bottom"/>
          </w:tcPr>
          <w:p w14:paraId="4D08382E" w14:textId="11824F3C"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-7.68</w:t>
            </w:r>
            <w:r w:rsidR="0019290E">
              <w:rPr>
                <w:color w:val="000000"/>
                <w:sz w:val="20"/>
                <w:szCs w:val="20"/>
                <w:lang w:val="es-MX"/>
              </w:rPr>
              <w:t xml:space="preserve"> %</w:t>
            </w:r>
          </w:p>
        </w:tc>
      </w:tr>
      <w:tr w:rsidR="008D3246" w:rsidRPr="00305D32" w14:paraId="4D083835" w14:textId="77777777" w:rsidTr="00EC2005">
        <w:trPr>
          <w:trHeight w:val="300"/>
          <w:jc w:val="center"/>
        </w:trPr>
        <w:tc>
          <w:tcPr>
            <w:tcW w:w="2111" w:type="dxa"/>
            <w:tcBorders>
              <w:top w:val="nil"/>
              <w:left w:val="nil"/>
              <w:bottom w:val="nil"/>
              <w:right w:val="nil"/>
            </w:tcBorders>
            <w:vAlign w:val="center"/>
          </w:tcPr>
          <w:p w14:paraId="4D083830" w14:textId="77777777" w:rsidR="008D3246" w:rsidRPr="00305D32" w:rsidRDefault="008D3246" w:rsidP="008D3246">
            <w:pPr>
              <w:spacing w:after="0" w:line="240" w:lineRule="auto"/>
              <w:jc w:val="left"/>
              <w:rPr>
                <w:color w:val="000000"/>
                <w:sz w:val="20"/>
                <w:szCs w:val="20"/>
                <w:lang w:val="es-MX"/>
              </w:rPr>
            </w:pPr>
            <w:r w:rsidRPr="00305D32">
              <w:rPr>
                <w:color w:val="000000"/>
                <w:sz w:val="20"/>
                <w:szCs w:val="20"/>
                <w:lang w:val="es-MX"/>
              </w:rPr>
              <w:t>Tulum</w:t>
            </w:r>
          </w:p>
        </w:tc>
        <w:tc>
          <w:tcPr>
            <w:tcW w:w="1575" w:type="dxa"/>
            <w:tcBorders>
              <w:top w:val="nil"/>
              <w:left w:val="nil"/>
              <w:bottom w:val="nil"/>
              <w:right w:val="nil"/>
            </w:tcBorders>
            <w:vAlign w:val="bottom"/>
          </w:tcPr>
          <w:p w14:paraId="4D083831" w14:textId="0AA9E5D0"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15</w:t>
            </w:r>
            <w:r w:rsidR="008F4B46" w:rsidRPr="00305D32">
              <w:rPr>
                <w:color w:val="000000"/>
                <w:sz w:val="20"/>
                <w:szCs w:val="20"/>
                <w:lang w:val="es-MX"/>
              </w:rPr>
              <w:t>,</w:t>
            </w:r>
            <w:r w:rsidRPr="00305D32">
              <w:rPr>
                <w:color w:val="000000"/>
                <w:sz w:val="20"/>
                <w:szCs w:val="20"/>
                <w:lang w:val="es-MX"/>
              </w:rPr>
              <w:t>147.5</w:t>
            </w:r>
          </w:p>
        </w:tc>
        <w:tc>
          <w:tcPr>
            <w:tcW w:w="1559" w:type="dxa"/>
            <w:tcBorders>
              <w:top w:val="nil"/>
              <w:left w:val="nil"/>
              <w:bottom w:val="nil"/>
              <w:right w:val="nil"/>
            </w:tcBorders>
            <w:vAlign w:val="bottom"/>
          </w:tcPr>
          <w:p w14:paraId="4D083832" w14:textId="4A57616C"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13</w:t>
            </w:r>
            <w:r w:rsidR="008F4B46" w:rsidRPr="00305D32">
              <w:rPr>
                <w:color w:val="000000"/>
                <w:sz w:val="20"/>
                <w:szCs w:val="20"/>
                <w:lang w:val="es-MX"/>
              </w:rPr>
              <w:t>,</w:t>
            </w:r>
            <w:r w:rsidRPr="00305D32">
              <w:rPr>
                <w:color w:val="000000"/>
                <w:sz w:val="20"/>
                <w:szCs w:val="20"/>
                <w:lang w:val="es-MX"/>
              </w:rPr>
              <w:t>869.5</w:t>
            </w:r>
          </w:p>
        </w:tc>
        <w:tc>
          <w:tcPr>
            <w:tcW w:w="1843" w:type="dxa"/>
            <w:tcBorders>
              <w:top w:val="nil"/>
              <w:left w:val="nil"/>
              <w:bottom w:val="nil"/>
              <w:right w:val="nil"/>
            </w:tcBorders>
            <w:vAlign w:val="bottom"/>
          </w:tcPr>
          <w:p w14:paraId="4D083833" w14:textId="684F1A20"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-1</w:t>
            </w:r>
            <w:r w:rsidR="00FC3232" w:rsidRPr="00305D32">
              <w:rPr>
                <w:color w:val="000000"/>
                <w:sz w:val="20"/>
                <w:szCs w:val="20"/>
                <w:lang w:val="es-MX"/>
              </w:rPr>
              <w:t>,</w:t>
            </w:r>
            <w:r w:rsidRPr="00305D32">
              <w:rPr>
                <w:color w:val="000000"/>
                <w:sz w:val="20"/>
                <w:szCs w:val="20"/>
                <w:lang w:val="es-MX"/>
              </w:rPr>
              <w:t>278</w:t>
            </w:r>
          </w:p>
        </w:tc>
        <w:tc>
          <w:tcPr>
            <w:tcW w:w="1701" w:type="dxa"/>
            <w:tcBorders>
              <w:top w:val="nil"/>
              <w:left w:val="nil"/>
              <w:bottom w:val="nil"/>
              <w:right w:val="nil"/>
            </w:tcBorders>
            <w:vAlign w:val="bottom"/>
          </w:tcPr>
          <w:p w14:paraId="4D083834" w14:textId="11686602" w:rsidR="008D3246" w:rsidRPr="00305D32" w:rsidRDefault="008D3246" w:rsidP="00D35D20">
            <w:pPr>
              <w:spacing w:after="0" w:line="240" w:lineRule="auto"/>
              <w:jc w:val="center"/>
              <w:rPr>
                <w:color w:val="000000"/>
                <w:sz w:val="20"/>
                <w:szCs w:val="20"/>
                <w:lang w:val="es-MX"/>
              </w:rPr>
            </w:pPr>
            <w:r w:rsidRPr="00305D32">
              <w:rPr>
                <w:color w:val="000000"/>
                <w:sz w:val="20"/>
                <w:szCs w:val="20"/>
                <w:lang w:val="es-MX"/>
              </w:rPr>
              <w:t>-8.44</w:t>
            </w:r>
            <w:r w:rsidR="0019290E">
              <w:rPr>
                <w:color w:val="000000"/>
                <w:sz w:val="20"/>
                <w:szCs w:val="20"/>
                <w:lang w:val="es-MX"/>
              </w:rPr>
              <w:t xml:space="preserve"> %</w:t>
            </w:r>
          </w:p>
        </w:tc>
      </w:tr>
      <w:tr w:rsidR="008D3246" w:rsidRPr="00305D32" w14:paraId="4D08383B" w14:textId="77777777" w:rsidTr="00EC2005">
        <w:trPr>
          <w:trHeight w:val="315"/>
          <w:jc w:val="center"/>
        </w:trPr>
        <w:tc>
          <w:tcPr>
            <w:tcW w:w="2111" w:type="dxa"/>
            <w:tcBorders>
              <w:top w:val="nil"/>
              <w:left w:val="nil"/>
              <w:bottom w:val="single" w:sz="8" w:space="0" w:color="000000"/>
              <w:right w:val="nil"/>
            </w:tcBorders>
            <w:vAlign w:val="center"/>
          </w:tcPr>
          <w:p w14:paraId="4D083836" w14:textId="77777777" w:rsidR="008D3246" w:rsidRPr="00305D32" w:rsidRDefault="008D3246" w:rsidP="008D3246">
            <w:pPr>
              <w:spacing w:after="0" w:line="240" w:lineRule="auto"/>
              <w:jc w:val="left"/>
              <w:rPr>
                <w:b/>
                <w:color w:val="000000"/>
                <w:sz w:val="20"/>
                <w:szCs w:val="20"/>
                <w:lang w:val="es-MX"/>
              </w:rPr>
            </w:pPr>
            <w:r w:rsidRPr="00305D32">
              <w:rPr>
                <w:b/>
                <w:color w:val="000000"/>
                <w:sz w:val="20"/>
                <w:szCs w:val="20"/>
                <w:lang w:val="es-MX"/>
              </w:rPr>
              <w:t>Quintana Roo</w:t>
            </w:r>
          </w:p>
        </w:tc>
        <w:tc>
          <w:tcPr>
            <w:tcW w:w="1575" w:type="dxa"/>
            <w:tcBorders>
              <w:top w:val="nil"/>
              <w:left w:val="nil"/>
              <w:bottom w:val="single" w:sz="8" w:space="0" w:color="000000"/>
              <w:right w:val="nil"/>
            </w:tcBorders>
            <w:vAlign w:val="bottom"/>
          </w:tcPr>
          <w:p w14:paraId="4D083837" w14:textId="32E2241F" w:rsidR="008D3246" w:rsidRPr="00305D32" w:rsidRDefault="008D3246" w:rsidP="00D35D20">
            <w:pPr>
              <w:spacing w:after="0" w:line="240" w:lineRule="auto"/>
              <w:jc w:val="center"/>
              <w:rPr>
                <w:b/>
                <w:bCs/>
                <w:color w:val="000000"/>
                <w:sz w:val="20"/>
                <w:szCs w:val="20"/>
                <w:lang w:val="es-MX"/>
              </w:rPr>
            </w:pPr>
            <w:r w:rsidRPr="00305D32">
              <w:rPr>
                <w:b/>
                <w:bCs/>
                <w:color w:val="000000"/>
                <w:sz w:val="20"/>
                <w:szCs w:val="20"/>
                <w:lang w:val="es-MX"/>
              </w:rPr>
              <w:t>390</w:t>
            </w:r>
            <w:r w:rsidR="008F4B46" w:rsidRPr="00305D32">
              <w:rPr>
                <w:b/>
                <w:bCs/>
                <w:color w:val="000000"/>
                <w:sz w:val="20"/>
                <w:szCs w:val="20"/>
                <w:lang w:val="es-MX"/>
              </w:rPr>
              <w:t>,</w:t>
            </w:r>
            <w:r w:rsidRPr="00305D32">
              <w:rPr>
                <w:b/>
                <w:bCs/>
                <w:color w:val="000000"/>
                <w:sz w:val="20"/>
                <w:szCs w:val="20"/>
                <w:lang w:val="es-MX"/>
              </w:rPr>
              <w:t>263.4</w:t>
            </w:r>
          </w:p>
        </w:tc>
        <w:tc>
          <w:tcPr>
            <w:tcW w:w="1559" w:type="dxa"/>
            <w:tcBorders>
              <w:top w:val="nil"/>
              <w:left w:val="nil"/>
              <w:bottom w:val="single" w:sz="8" w:space="0" w:color="000000"/>
              <w:right w:val="nil"/>
            </w:tcBorders>
            <w:vAlign w:val="bottom"/>
          </w:tcPr>
          <w:p w14:paraId="4D083838" w14:textId="28907EA6" w:rsidR="008D3246" w:rsidRPr="00305D32" w:rsidRDefault="008D3246" w:rsidP="00D35D20">
            <w:pPr>
              <w:spacing w:after="0" w:line="240" w:lineRule="auto"/>
              <w:jc w:val="center"/>
              <w:rPr>
                <w:b/>
                <w:bCs/>
                <w:color w:val="000000"/>
                <w:sz w:val="20"/>
                <w:szCs w:val="20"/>
                <w:lang w:val="es-MX"/>
              </w:rPr>
            </w:pPr>
            <w:r w:rsidRPr="00305D32">
              <w:rPr>
                <w:b/>
                <w:bCs/>
                <w:color w:val="000000"/>
                <w:sz w:val="20"/>
                <w:szCs w:val="20"/>
                <w:lang w:val="es-MX"/>
              </w:rPr>
              <w:t>354</w:t>
            </w:r>
            <w:r w:rsidR="008F4B46" w:rsidRPr="00305D32">
              <w:rPr>
                <w:b/>
                <w:bCs/>
                <w:color w:val="000000"/>
                <w:sz w:val="20"/>
                <w:szCs w:val="20"/>
                <w:lang w:val="es-MX"/>
              </w:rPr>
              <w:t>,</w:t>
            </w:r>
            <w:r w:rsidRPr="00305D32">
              <w:rPr>
                <w:b/>
                <w:bCs/>
                <w:color w:val="000000"/>
                <w:sz w:val="20"/>
                <w:szCs w:val="20"/>
                <w:lang w:val="es-MX"/>
              </w:rPr>
              <w:t>383.2</w:t>
            </w:r>
          </w:p>
        </w:tc>
        <w:tc>
          <w:tcPr>
            <w:tcW w:w="1843" w:type="dxa"/>
            <w:tcBorders>
              <w:top w:val="nil"/>
              <w:left w:val="nil"/>
              <w:bottom w:val="single" w:sz="8" w:space="0" w:color="000000"/>
              <w:right w:val="nil"/>
            </w:tcBorders>
            <w:vAlign w:val="bottom"/>
          </w:tcPr>
          <w:p w14:paraId="4D083839" w14:textId="25311DC0" w:rsidR="008D3246" w:rsidRPr="00305D32" w:rsidRDefault="008D3246" w:rsidP="00D35D20">
            <w:pPr>
              <w:spacing w:after="0" w:line="240" w:lineRule="auto"/>
              <w:jc w:val="center"/>
              <w:rPr>
                <w:b/>
                <w:bCs/>
                <w:color w:val="000000"/>
                <w:sz w:val="20"/>
                <w:szCs w:val="20"/>
                <w:lang w:val="es-MX"/>
              </w:rPr>
            </w:pPr>
            <w:r w:rsidRPr="00305D32">
              <w:rPr>
                <w:b/>
                <w:bCs/>
                <w:color w:val="000000"/>
                <w:sz w:val="20"/>
                <w:szCs w:val="20"/>
                <w:lang w:val="es-MX"/>
              </w:rPr>
              <w:t>-35</w:t>
            </w:r>
            <w:r w:rsidR="00FC3232" w:rsidRPr="00305D32">
              <w:rPr>
                <w:b/>
                <w:bCs/>
                <w:color w:val="000000"/>
                <w:sz w:val="20"/>
                <w:szCs w:val="20"/>
                <w:lang w:val="es-MX"/>
              </w:rPr>
              <w:t>,</w:t>
            </w:r>
            <w:r w:rsidRPr="00305D32">
              <w:rPr>
                <w:b/>
                <w:bCs/>
                <w:color w:val="000000"/>
                <w:sz w:val="20"/>
                <w:szCs w:val="20"/>
                <w:lang w:val="es-MX"/>
              </w:rPr>
              <w:t>880.2</w:t>
            </w:r>
          </w:p>
        </w:tc>
        <w:tc>
          <w:tcPr>
            <w:tcW w:w="1701" w:type="dxa"/>
            <w:tcBorders>
              <w:top w:val="nil"/>
              <w:left w:val="nil"/>
              <w:bottom w:val="single" w:sz="8" w:space="0" w:color="000000"/>
              <w:right w:val="nil"/>
            </w:tcBorders>
            <w:vAlign w:val="bottom"/>
          </w:tcPr>
          <w:p w14:paraId="4D08383A" w14:textId="34085E97" w:rsidR="008D3246" w:rsidRPr="00305D32" w:rsidRDefault="008D3246" w:rsidP="00D35D20">
            <w:pPr>
              <w:spacing w:after="0" w:line="240" w:lineRule="auto"/>
              <w:jc w:val="center"/>
              <w:rPr>
                <w:b/>
                <w:bCs/>
                <w:color w:val="000000"/>
                <w:sz w:val="20"/>
                <w:szCs w:val="20"/>
                <w:lang w:val="es-MX"/>
              </w:rPr>
            </w:pPr>
            <w:r w:rsidRPr="00305D32">
              <w:rPr>
                <w:b/>
                <w:bCs/>
                <w:color w:val="000000"/>
                <w:sz w:val="20"/>
                <w:szCs w:val="20"/>
                <w:lang w:val="es-MX"/>
              </w:rPr>
              <w:t>-9.19</w:t>
            </w:r>
            <w:r w:rsidR="0019290E">
              <w:rPr>
                <w:b/>
                <w:bCs/>
                <w:color w:val="000000"/>
                <w:sz w:val="20"/>
                <w:szCs w:val="20"/>
                <w:lang w:val="es-MX"/>
              </w:rPr>
              <w:t xml:space="preserve"> %</w:t>
            </w:r>
          </w:p>
        </w:tc>
      </w:tr>
    </w:tbl>
    <w:p w14:paraId="4D08383C" w14:textId="78AE66AC" w:rsidR="00AE57F0" w:rsidRPr="00305D32" w:rsidRDefault="00414F7C">
      <w:pPr>
        <w:spacing w:line="240"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base en datos del Centro de Información Estadística y Geográfica del Estado de Quintana Roo (202</w:t>
      </w:r>
      <w:r w:rsidR="00AE7240" w:rsidRPr="00305D32">
        <w:rPr>
          <w:sz w:val="20"/>
          <w:szCs w:val="20"/>
          <w:lang w:val="es-MX"/>
        </w:rPr>
        <w:t>5</w:t>
      </w:r>
      <w:r w:rsidRPr="00305D32">
        <w:rPr>
          <w:sz w:val="20"/>
          <w:szCs w:val="20"/>
          <w:lang w:val="es-MX"/>
        </w:rPr>
        <w:t>)</w:t>
      </w:r>
      <w:r w:rsidRPr="00305D32">
        <w:rPr>
          <w:i/>
          <w:sz w:val="20"/>
          <w:szCs w:val="20"/>
          <w:lang w:val="es-MX"/>
        </w:rPr>
        <w:t>, Estadística Experimental, Producto Interno Bruto Municipal</w:t>
      </w:r>
      <w:r w:rsidRPr="00305D32">
        <w:rPr>
          <w:sz w:val="20"/>
          <w:szCs w:val="20"/>
          <w:lang w:val="es-MX"/>
        </w:rPr>
        <w:t>.</w:t>
      </w:r>
    </w:p>
    <w:p w14:paraId="602EC66A" w14:textId="0D96A2B4" w:rsidR="00733316" w:rsidRDefault="00972187" w:rsidP="001D0394">
      <w:pPr>
        <w:rPr>
          <w:lang w:val="es-MX"/>
        </w:rPr>
      </w:pPr>
      <w:r w:rsidRPr="00305D32">
        <w:rPr>
          <w:lang w:val="es-MX"/>
        </w:rPr>
        <w:t xml:space="preserve">En la </w:t>
      </w:r>
      <w:r w:rsidR="00D471C1">
        <w:rPr>
          <w:lang w:val="es-MX"/>
        </w:rPr>
        <w:fldChar w:fldCharType="begin"/>
      </w:r>
      <w:r w:rsidR="00D471C1">
        <w:rPr>
          <w:lang w:val="es-MX"/>
        </w:rPr>
        <w:instrText xml:space="preserve"> REF _Ref210297836 \h </w:instrText>
      </w:r>
      <w:r w:rsidR="00D471C1">
        <w:rPr>
          <w:lang w:val="es-MX"/>
        </w:rPr>
      </w:r>
      <w:r w:rsidR="00D471C1">
        <w:rPr>
          <w:lang w:val="es-MX"/>
        </w:rPr>
        <w:fldChar w:fldCharType="separate"/>
      </w:r>
      <w:r w:rsidR="00ED1F2F" w:rsidRPr="00D471C1">
        <w:t xml:space="preserve">Tabla </w:t>
      </w:r>
      <w:r w:rsidR="00ED1F2F">
        <w:rPr>
          <w:noProof/>
        </w:rPr>
        <w:t>21</w:t>
      </w:r>
      <w:r w:rsidR="00D471C1">
        <w:rPr>
          <w:lang w:val="es-MX"/>
        </w:rPr>
        <w:fldChar w:fldCharType="end"/>
      </w:r>
      <w:r w:rsidRPr="00305D32">
        <w:rPr>
          <w:lang w:val="es-MX"/>
        </w:rPr>
        <w:t xml:space="preserve"> </w:t>
      </w:r>
      <w:r w:rsidR="00AC4192" w:rsidRPr="00AC4192">
        <w:rPr>
          <w:lang w:val="es-MX"/>
        </w:rPr>
        <w:t xml:space="preserve">se muestra el PIB municipal proyectado y su tasa de variación esperada entre 2024 y 2025. Los datos se presentan a precios constantes de 2018, con el fin de evitar los efectos inflacionarios. En 2025, todos los municipios de Quintana Roo están proyectados a presentar un decremento en su actividad </w:t>
      </w:r>
      <w:r w:rsidR="00AC4192" w:rsidRPr="00AC4192">
        <w:rPr>
          <w:lang w:val="es-MX"/>
        </w:rPr>
        <w:lastRenderedPageBreak/>
        <w:t>económica, siendo Othón P. Blanco (-13.61</w:t>
      </w:r>
      <w:r w:rsidR="0019290E">
        <w:rPr>
          <w:lang w:val="es-MX"/>
        </w:rPr>
        <w:t xml:space="preserve"> %</w:t>
      </w:r>
      <w:r w:rsidR="00AC4192" w:rsidRPr="00AC4192">
        <w:rPr>
          <w:lang w:val="es-MX"/>
        </w:rPr>
        <w:t>), Benito Juárez (-9.9</w:t>
      </w:r>
      <w:r w:rsidR="0019290E">
        <w:rPr>
          <w:lang w:val="es-MX"/>
        </w:rPr>
        <w:t xml:space="preserve"> %</w:t>
      </w:r>
      <w:r w:rsidR="00AC4192" w:rsidRPr="00AC4192">
        <w:rPr>
          <w:lang w:val="es-MX"/>
        </w:rPr>
        <w:t>) y Tulum (-8.44</w:t>
      </w:r>
      <w:r w:rsidR="0019290E">
        <w:rPr>
          <w:lang w:val="es-MX"/>
        </w:rPr>
        <w:t xml:space="preserve"> %</w:t>
      </w:r>
      <w:r w:rsidR="00AC4192" w:rsidRPr="00AC4192">
        <w:rPr>
          <w:lang w:val="es-MX"/>
        </w:rPr>
        <w:t>) los que registrarían mayor caída porcentual</w:t>
      </w:r>
      <w:r w:rsidR="00AB5C49" w:rsidRPr="00305D32">
        <w:rPr>
          <w:lang w:val="es-MX"/>
        </w:rPr>
        <w:t>.</w:t>
      </w:r>
    </w:p>
    <w:p w14:paraId="7229AC3A" w14:textId="0D102964" w:rsidR="00155DDE" w:rsidRDefault="00155DDE" w:rsidP="00155DDE">
      <w:pPr>
        <w:pStyle w:val="Ttulo2"/>
        <w:numPr>
          <w:ilvl w:val="1"/>
          <w:numId w:val="5"/>
        </w:numPr>
        <w:rPr>
          <w:lang w:val="es-MX"/>
        </w:rPr>
      </w:pPr>
      <w:r>
        <w:rPr>
          <w:lang w:val="es-MX"/>
        </w:rPr>
        <w:t>Mercado Laboral</w:t>
      </w:r>
    </w:p>
    <w:p w14:paraId="654573F3" w14:textId="4AC1FE41" w:rsidR="00092D00" w:rsidRPr="00092D00" w:rsidRDefault="00092D00" w:rsidP="00092D00">
      <w:pPr>
        <w:rPr>
          <w:lang w:val="es-419"/>
        </w:rPr>
      </w:pPr>
      <w:r>
        <w:rPr>
          <w:lang w:val="es-MX"/>
        </w:rPr>
        <w:t xml:space="preserve">En el caso del </w:t>
      </w:r>
      <w:r w:rsidR="00171122">
        <w:rPr>
          <w:lang w:val="es-MX"/>
        </w:rPr>
        <w:t>m</w:t>
      </w:r>
      <w:r>
        <w:rPr>
          <w:lang w:val="es-MX"/>
        </w:rPr>
        <w:t xml:space="preserve">ercado </w:t>
      </w:r>
      <w:r w:rsidR="00171122">
        <w:rPr>
          <w:lang w:val="es-MX"/>
        </w:rPr>
        <w:t>l</w:t>
      </w:r>
      <w:r>
        <w:rPr>
          <w:lang w:val="es-MX"/>
        </w:rPr>
        <w:t xml:space="preserve">aboral, </w:t>
      </w:r>
      <w:r>
        <w:rPr>
          <w:lang w:val="es-419"/>
        </w:rPr>
        <w:t>e</w:t>
      </w:r>
      <w:r w:rsidRPr="00092D00">
        <w:rPr>
          <w:lang w:val="es-419"/>
        </w:rPr>
        <w:t xml:space="preserve">n la </w:t>
      </w:r>
      <w:r w:rsidR="001A2483">
        <w:rPr>
          <w:lang w:val="es-419"/>
        </w:rPr>
        <w:fldChar w:fldCharType="begin"/>
      </w:r>
      <w:r w:rsidR="001A2483">
        <w:rPr>
          <w:lang w:val="es-419"/>
        </w:rPr>
        <w:instrText xml:space="preserve"> REF _Ref210307710 \h </w:instrText>
      </w:r>
      <w:r w:rsidR="001A2483">
        <w:rPr>
          <w:lang w:val="es-419"/>
        </w:rPr>
      </w:r>
      <w:r w:rsidR="001A2483">
        <w:rPr>
          <w:lang w:val="es-419"/>
        </w:rPr>
        <w:fldChar w:fldCharType="separate"/>
      </w:r>
      <w:r w:rsidR="00ED1F2F">
        <w:t xml:space="preserve">Tabla </w:t>
      </w:r>
      <w:r w:rsidR="00ED1F2F">
        <w:rPr>
          <w:noProof/>
        </w:rPr>
        <w:t>22</w:t>
      </w:r>
      <w:r w:rsidR="001A2483">
        <w:rPr>
          <w:lang w:val="es-419"/>
        </w:rPr>
        <w:fldChar w:fldCharType="end"/>
      </w:r>
      <w:r>
        <w:rPr>
          <w:lang w:val="es-419"/>
        </w:rPr>
        <w:t xml:space="preserve"> </w:t>
      </w:r>
      <w:r w:rsidRPr="00092D00">
        <w:rPr>
          <w:lang w:val="es-419"/>
        </w:rPr>
        <w:t xml:space="preserve">se presenta la tasa de participación laboral por municipio de Quintana Roo para los periodos </w:t>
      </w:r>
      <w:r w:rsidR="00BF5908">
        <w:rPr>
          <w:lang w:val="es-419"/>
        </w:rPr>
        <w:t>d</w:t>
      </w:r>
      <w:r>
        <w:rPr>
          <w:lang w:val="es-419"/>
        </w:rPr>
        <w:t xml:space="preserve">el cuarto trimestre de </w:t>
      </w:r>
      <w:r w:rsidR="001347AE">
        <w:rPr>
          <w:lang w:val="es-419"/>
        </w:rPr>
        <w:t>2023 y 2024</w:t>
      </w:r>
      <w:r w:rsidR="009C096D">
        <w:rPr>
          <w:lang w:val="es-419"/>
        </w:rPr>
        <w:t xml:space="preserve">, </w:t>
      </w:r>
      <w:r w:rsidR="001347AE">
        <w:rPr>
          <w:lang w:val="es-419"/>
        </w:rPr>
        <w:t xml:space="preserve">junto </w:t>
      </w:r>
      <w:r w:rsidR="00EE374F">
        <w:rPr>
          <w:lang w:val="es-419"/>
        </w:rPr>
        <w:t>con e</w:t>
      </w:r>
      <w:r w:rsidR="001347AE">
        <w:rPr>
          <w:lang w:val="es-419"/>
        </w:rPr>
        <w:t xml:space="preserve">l segundo trimestre </w:t>
      </w:r>
      <w:r w:rsidR="002E6EDE">
        <w:rPr>
          <w:lang w:val="es-419"/>
        </w:rPr>
        <w:t>de</w:t>
      </w:r>
      <w:r w:rsidRPr="00092D00">
        <w:rPr>
          <w:lang w:val="es-419"/>
        </w:rPr>
        <w:t xml:space="preserve"> 2025. Se observa que, a nivel estatal, la participación laboral muestra un crecimiento moderado</w:t>
      </w:r>
      <w:r w:rsidR="00540178">
        <w:rPr>
          <w:lang w:val="es-419"/>
        </w:rPr>
        <w:t>,</w:t>
      </w:r>
      <w:r w:rsidRPr="00092D00">
        <w:rPr>
          <w:lang w:val="es-419"/>
        </w:rPr>
        <w:t xml:space="preserve"> al pasar de 65.72</w:t>
      </w:r>
      <w:r w:rsidR="0019290E">
        <w:rPr>
          <w:lang w:val="es-419"/>
        </w:rPr>
        <w:t xml:space="preserve"> %</w:t>
      </w:r>
      <w:r w:rsidRPr="00092D00">
        <w:rPr>
          <w:lang w:val="es-419"/>
        </w:rPr>
        <w:t xml:space="preserve"> en 2023 a 67.01</w:t>
      </w:r>
      <w:r w:rsidR="0019290E">
        <w:rPr>
          <w:lang w:val="es-419"/>
        </w:rPr>
        <w:t xml:space="preserve"> %</w:t>
      </w:r>
      <w:r w:rsidRPr="00092D00">
        <w:rPr>
          <w:lang w:val="es-419"/>
        </w:rPr>
        <w:t xml:space="preserve"> en 2025. Destacan los incrementos en municipios como Playa del Carmen (de 71.60</w:t>
      </w:r>
      <w:r w:rsidR="0019290E">
        <w:rPr>
          <w:lang w:val="es-419"/>
        </w:rPr>
        <w:t xml:space="preserve"> %</w:t>
      </w:r>
      <w:r w:rsidRPr="00092D00">
        <w:rPr>
          <w:lang w:val="es-419"/>
        </w:rPr>
        <w:t xml:space="preserve"> a 75.70</w:t>
      </w:r>
      <w:r w:rsidR="0019290E">
        <w:rPr>
          <w:lang w:val="es-419"/>
        </w:rPr>
        <w:t xml:space="preserve"> %</w:t>
      </w:r>
      <w:r w:rsidRPr="00092D00">
        <w:rPr>
          <w:lang w:val="es-419"/>
        </w:rPr>
        <w:t>)</w:t>
      </w:r>
      <w:r w:rsidR="0098776F">
        <w:rPr>
          <w:lang w:val="es-419"/>
        </w:rPr>
        <w:t xml:space="preserve"> o</w:t>
      </w:r>
      <w:r w:rsidRPr="00092D00">
        <w:rPr>
          <w:lang w:val="es-419"/>
        </w:rPr>
        <w:t xml:space="preserve"> Bacalar (de 70.67</w:t>
      </w:r>
      <w:r w:rsidR="0019290E">
        <w:rPr>
          <w:lang w:val="es-419"/>
        </w:rPr>
        <w:t xml:space="preserve"> %</w:t>
      </w:r>
      <w:r w:rsidRPr="00092D00">
        <w:rPr>
          <w:lang w:val="es-419"/>
        </w:rPr>
        <w:t xml:space="preserve"> a 72.96</w:t>
      </w:r>
      <w:r w:rsidR="0019290E">
        <w:rPr>
          <w:lang w:val="es-419"/>
        </w:rPr>
        <w:t xml:space="preserve"> %</w:t>
      </w:r>
      <w:r w:rsidRPr="00092D00">
        <w:rPr>
          <w:lang w:val="es-419"/>
        </w:rPr>
        <w:t xml:space="preserve">). En contraste, algunos municipios registran una </w:t>
      </w:r>
      <w:r w:rsidR="000B4B74">
        <w:rPr>
          <w:lang w:val="es-419"/>
        </w:rPr>
        <w:t>disminución</w:t>
      </w:r>
      <w:r w:rsidRPr="00092D00">
        <w:rPr>
          <w:lang w:val="es-419"/>
        </w:rPr>
        <w:t xml:space="preserve"> significativa, como Cozumel</w:t>
      </w:r>
      <w:r w:rsidR="000C073C">
        <w:rPr>
          <w:lang w:val="es-419"/>
        </w:rPr>
        <w:t xml:space="preserve">, </w:t>
      </w:r>
      <w:r w:rsidRPr="00092D00">
        <w:rPr>
          <w:lang w:val="es-419"/>
        </w:rPr>
        <w:t>de 72.04</w:t>
      </w:r>
      <w:r w:rsidR="0019290E">
        <w:rPr>
          <w:lang w:val="es-419"/>
        </w:rPr>
        <w:t xml:space="preserve"> %</w:t>
      </w:r>
      <w:r w:rsidRPr="00092D00">
        <w:rPr>
          <w:lang w:val="es-419"/>
        </w:rPr>
        <w:t xml:space="preserve"> en 2023 a 58.24</w:t>
      </w:r>
      <w:r w:rsidR="0019290E">
        <w:rPr>
          <w:lang w:val="es-419"/>
        </w:rPr>
        <w:t xml:space="preserve"> %</w:t>
      </w:r>
      <w:r w:rsidRPr="00092D00">
        <w:rPr>
          <w:lang w:val="es-419"/>
        </w:rPr>
        <w:t xml:space="preserve"> en 2025</w:t>
      </w:r>
      <w:r w:rsidR="000C073C">
        <w:rPr>
          <w:lang w:val="es-419"/>
        </w:rPr>
        <w:t>,</w:t>
      </w:r>
      <w:r w:rsidRPr="00092D00">
        <w:rPr>
          <w:lang w:val="es-419"/>
        </w:rPr>
        <w:t xml:space="preserve"> y Felipe Carrillo Puerto de</w:t>
      </w:r>
      <w:r w:rsidR="00405EBC">
        <w:rPr>
          <w:lang w:val="es-419"/>
        </w:rPr>
        <w:t>,</w:t>
      </w:r>
      <w:r w:rsidRPr="00092D00">
        <w:rPr>
          <w:lang w:val="es-419"/>
        </w:rPr>
        <w:t xml:space="preserve"> 63.01</w:t>
      </w:r>
      <w:r w:rsidR="0019290E">
        <w:rPr>
          <w:lang w:val="es-419"/>
        </w:rPr>
        <w:t xml:space="preserve"> %</w:t>
      </w:r>
      <w:r w:rsidRPr="00092D00">
        <w:rPr>
          <w:lang w:val="es-419"/>
        </w:rPr>
        <w:t xml:space="preserve"> a 53.64</w:t>
      </w:r>
      <w:r w:rsidR="0019290E">
        <w:rPr>
          <w:lang w:val="es-419"/>
        </w:rPr>
        <w:t xml:space="preserve"> %</w:t>
      </w:r>
      <w:r w:rsidRPr="00092D00">
        <w:rPr>
          <w:lang w:val="es-419"/>
        </w:rPr>
        <w:t xml:space="preserve"> en el mismo periodo. Estos resultados evidencian un comportamiento heterogéneo de la participación laboral municipal, con dinámicas diferenciadas en cada región del </w:t>
      </w:r>
      <w:r w:rsidR="00405EBC">
        <w:rPr>
          <w:lang w:val="es-419"/>
        </w:rPr>
        <w:t>E</w:t>
      </w:r>
      <w:r w:rsidRPr="00092D00">
        <w:rPr>
          <w:lang w:val="es-419"/>
        </w:rPr>
        <w:t>stado.</w:t>
      </w:r>
    </w:p>
    <w:p w14:paraId="1FC56112" w14:textId="4BEEEE6A" w:rsidR="00155DDE" w:rsidRPr="00305D32" w:rsidRDefault="001A2483" w:rsidP="001A2483">
      <w:pPr>
        <w:pStyle w:val="Descripcin"/>
        <w:jc w:val="center"/>
        <w:rPr>
          <w:lang w:val="es-MX"/>
        </w:rPr>
      </w:pPr>
      <w:bookmarkStart w:id="139" w:name="_Ref210307710"/>
      <w:r>
        <w:t xml:space="preserve">Tabla </w:t>
      </w:r>
      <w:fldSimple w:instr=" SEQ Tabla \* ARABIC ">
        <w:r w:rsidR="00ED1F2F">
          <w:rPr>
            <w:noProof/>
          </w:rPr>
          <w:t>22</w:t>
        </w:r>
      </w:fldSimple>
      <w:bookmarkEnd w:id="139"/>
      <w:r w:rsidR="00677F22" w:rsidRPr="00D471C1">
        <w:rPr>
          <w:lang w:val="es-MX"/>
        </w:rPr>
        <w:t xml:space="preserve">. </w:t>
      </w:r>
      <w:r w:rsidR="00753547" w:rsidRPr="00305D32">
        <w:rPr>
          <w:lang w:val="es-MX"/>
        </w:rPr>
        <w:t xml:space="preserve">Tasa </w:t>
      </w:r>
      <w:r w:rsidR="00565492">
        <w:rPr>
          <w:lang w:val="es-MX"/>
        </w:rPr>
        <w:t xml:space="preserve">porcentual </w:t>
      </w:r>
      <w:r w:rsidR="00753547" w:rsidRPr="00305D32">
        <w:rPr>
          <w:lang w:val="es-MX"/>
        </w:rPr>
        <w:t xml:space="preserve">de </w:t>
      </w:r>
      <w:r w:rsidR="001E4806">
        <w:rPr>
          <w:lang w:val="es-MX"/>
        </w:rPr>
        <w:t>participación laboral</w:t>
      </w:r>
      <w:r w:rsidR="00753547" w:rsidRPr="00305D32">
        <w:rPr>
          <w:lang w:val="es-MX"/>
        </w:rPr>
        <w:t xml:space="preserve"> trimestral</w:t>
      </w:r>
      <w:r w:rsidR="00753547">
        <w:rPr>
          <w:lang w:val="es-MX"/>
        </w:rPr>
        <w:t xml:space="preserve"> municipal</w:t>
      </w:r>
      <w:r w:rsidR="00753547" w:rsidRPr="00305D32">
        <w:rPr>
          <w:lang w:val="es-MX"/>
        </w:rPr>
        <w:t>, 2023-2025</w:t>
      </w:r>
      <w:r w:rsidR="00A31A5B">
        <w:rPr>
          <w:lang w:val="es-MX"/>
        </w:rPr>
        <w:t>.</w:t>
      </w:r>
    </w:p>
    <w:tbl>
      <w:tblPr>
        <w:tblW w:w="8394" w:type="dxa"/>
        <w:jc w:val="center"/>
        <w:tblCellMar>
          <w:left w:w="70" w:type="dxa"/>
          <w:right w:w="70" w:type="dxa"/>
        </w:tblCellMar>
        <w:tblLook w:val="04A0" w:firstRow="1" w:lastRow="0" w:firstColumn="1" w:lastColumn="0" w:noHBand="0" w:noVBand="1"/>
      </w:tblPr>
      <w:tblGrid>
        <w:gridCol w:w="3339"/>
        <w:gridCol w:w="1685"/>
        <w:gridCol w:w="1685"/>
        <w:gridCol w:w="1685"/>
      </w:tblGrid>
      <w:tr w:rsidR="00DD35B9" w:rsidRPr="00DD35B9" w14:paraId="5F72BC3A" w14:textId="77777777" w:rsidTr="008C0A4F">
        <w:trPr>
          <w:trHeight w:val="26"/>
          <w:tblHeader/>
          <w:jc w:val="center"/>
        </w:trPr>
        <w:tc>
          <w:tcPr>
            <w:tcW w:w="3339" w:type="dxa"/>
            <w:tcBorders>
              <w:top w:val="single" w:sz="8" w:space="0" w:color="000000"/>
              <w:left w:val="nil"/>
              <w:bottom w:val="single" w:sz="8" w:space="0" w:color="000000"/>
              <w:right w:val="nil"/>
            </w:tcBorders>
            <w:vAlign w:val="center"/>
            <w:hideMark/>
          </w:tcPr>
          <w:p w14:paraId="5DDD2B9A" w14:textId="46E01C50" w:rsidR="00DD35B9" w:rsidRPr="00DD35B9" w:rsidRDefault="001A2483" w:rsidP="00DD35B9">
            <w:pPr>
              <w:spacing w:after="0" w:line="240" w:lineRule="auto"/>
              <w:jc w:val="center"/>
              <w:rPr>
                <w:rFonts w:eastAsia="Times New Roman"/>
                <w:b/>
                <w:bCs/>
                <w:color w:val="000000"/>
                <w:sz w:val="20"/>
                <w:szCs w:val="20"/>
                <w:lang w:val="es-419" w:eastAsia="es-419"/>
              </w:rPr>
            </w:pPr>
            <w:bookmarkStart w:id="140" w:name="_heading=h.2mn7vak" w:colFirst="0" w:colLast="0"/>
            <w:bookmarkEnd w:id="140"/>
            <w:r>
              <w:rPr>
                <w:rFonts w:eastAsia="Times New Roman"/>
                <w:b/>
                <w:bCs/>
                <w:color w:val="000000"/>
                <w:sz w:val="20"/>
                <w:szCs w:val="20"/>
                <w:lang w:val="es-MX" w:eastAsia="es-419"/>
              </w:rPr>
              <w:t>M</w:t>
            </w:r>
            <w:r w:rsidR="00DD35B9" w:rsidRPr="00DD35B9">
              <w:rPr>
                <w:rFonts w:eastAsia="Times New Roman"/>
                <w:b/>
                <w:bCs/>
                <w:color w:val="000000"/>
                <w:sz w:val="20"/>
                <w:szCs w:val="20"/>
                <w:lang w:val="es-MX" w:eastAsia="es-419"/>
              </w:rPr>
              <w:t>unicipio</w:t>
            </w:r>
          </w:p>
        </w:tc>
        <w:tc>
          <w:tcPr>
            <w:tcW w:w="1685" w:type="dxa"/>
            <w:tcBorders>
              <w:top w:val="single" w:sz="8" w:space="0" w:color="000000"/>
              <w:left w:val="nil"/>
              <w:bottom w:val="single" w:sz="8" w:space="0" w:color="000000"/>
              <w:right w:val="nil"/>
            </w:tcBorders>
            <w:vAlign w:val="center"/>
            <w:hideMark/>
          </w:tcPr>
          <w:p w14:paraId="08DE8A17" w14:textId="77777777" w:rsidR="00DD35B9" w:rsidRPr="00DD35B9" w:rsidRDefault="00DD35B9" w:rsidP="00DD35B9">
            <w:pPr>
              <w:spacing w:after="0" w:line="240" w:lineRule="auto"/>
              <w:jc w:val="center"/>
              <w:rPr>
                <w:rFonts w:eastAsia="Times New Roman"/>
                <w:b/>
                <w:bCs/>
                <w:color w:val="000000"/>
                <w:sz w:val="20"/>
                <w:szCs w:val="20"/>
                <w:lang w:val="es-419" w:eastAsia="es-419"/>
              </w:rPr>
            </w:pPr>
            <w:r w:rsidRPr="00DD35B9">
              <w:rPr>
                <w:rFonts w:eastAsia="Times New Roman"/>
                <w:b/>
                <w:bCs/>
                <w:color w:val="000000"/>
                <w:sz w:val="20"/>
                <w:szCs w:val="20"/>
                <w:lang w:val="es-MX" w:eastAsia="es-419"/>
              </w:rPr>
              <w:t>2023-T4</w:t>
            </w:r>
          </w:p>
        </w:tc>
        <w:tc>
          <w:tcPr>
            <w:tcW w:w="1685" w:type="dxa"/>
            <w:tcBorders>
              <w:top w:val="single" w:sz="8" w:space="0" w:color="000000"/>
              <w:left w:val="nil"/>
              <w:bottom w:val="single" w:sz="8" w:space="0" w:color="000000"/>
              <w:right w:val="nil"/>
            </w:tcBorders>
            <w:vAlign w:val="center"/>
            <w:hideMark/>
          </w:tcPr>
          <w:p w14:paraId="5C645158" w14:textId="77777777" w:rsidR="00DD35B9" w:rsidRPr="00DD35B9" w:rsidRDefault="00DD35B9" w:rsidP="00DD35B9">
            <w:pPr>
              <w:spacing w:after="0" w:line="240" w:lineRule="auto"/>
              <w:jc w:val="center"/>
              <w:rPr>
                <w:rFonts w:eastAsia="Times New Roman"/>
                <w:b/>
                <w:bCs/>
                <w:color w:val="000000"/>
                <w:sz w:val="20"/>
                <w:szCs w:val="20"/>
                <w:lang w:val="es-419" w:eastAsia="es-419"/>
              </w:rPr>
            </w:pPr>
            <w:r w:rsidRPr="00DD35B9">
              <w:rPr>
                <w:rFonts w:eastAsia="Times New Roman"/>
                <w:b/>
                <w:bCs/>
                <w:color w:val="000000"/>
                <w:sz w:val="20"/>
                <w:szCs w:val="20"/>
                <w:lang w:val="es-MX" w:eastAsia="es-419"/>
              </w:rPr>
              <w:t>2024-T4</w:t>
            </w:r>
          </w:p>
        </w:tc>
        <w:tc>
          <w:tcPr>
            <w:tcW w:w="1685" w:type="dxa"/>
            <w:tcBorders>
              <w:top w:val="single" w:sz="8" w:space="0" w:color="000000"/>
              <w:left w:val="nil"/>
              <w:bottom w:val="single" w:sz="8" w:space="0" w:color="000000"/>
              <w:right w:val="nil"/>
            </w:tcBorders>
            <w:vAlign w:val="center"/>
            <w:hideMark/>
          </w:tcPr>
          <w:p w14:paraId="0F9197A1" w14:textId="77777777" w:rsidR="00DD35B9" w:rsidRPr="00DD35B9" w:rsidRDefault="00DD35B9" w:rsidP="00DD35B9">
            <w:pPr>
              <w:spacing w:after="0" w:line="240" w:lineRule="auto"/>
              <w:jc w:val="center"/>
              <w:rPr>
                <w:rFonts w:eastAsia="Times New Roman"/>
                <w:b/>
                <w:bCs/>
                <w:color w:val="000000"/>
                <w:sz w:val="20"/>
                <w:szCs w:val="20"/>
                <w:lang w:val="es-419" w:eastAsia="es-419"/>
              </w:rPr>
            </w:pPr>
            <w:r w:rsidRPr="00DD35B9">
              <w:rPr>
                <w:rFonts w:eastAsia="Times New Roman"/>
                <w:b/>
                <w:bCs/>
                <w:color w:val="000000"/>
                <w:sz w:val="20"/>
                <w:szCs w:val="20"/>
                <w:lang w:val="es-MX" w:eastAsia="es-419"/>
              </w:rPr>
              <w:t>2025-T2</w:t>
            </w:r>
          </w:p>
        </w:tc>
      </w:tr>
      <w:tr w:rsidR="00DD35B9" w:rsidRPr="00DD35B9" w14:paraId="249B961D" w14:textId="77777777" w:rsidTr="008C0A4F">
        <w:trPr>
          <w:trHeight w:val="26"/>
          <w:jc w:val="center"/>
        </w:trPr>
        <w:tc>
          <w:tcPr>
            <w:tcW w:w="3339" w:type="dxa"/>
            <w:tcBorders>
              <w:top w:val="nil"/>
              <w:left w:val="nil"/>
              <w:bottom w:val="nil"/>
              <w:right w:val="nil"/>
            </w:tcBorders>
            <w:vAlign w:val="center"/>
            <w:hideMark/>
          </w:tcPr>
          <w:p w14:paraId="4FABD483" w14:textId="77777777" w:rsidR="00DD35B9" w:rsidRPr="00DD35B9" w:rsidRDefault="00DD35B9" w:rsidP="00DD35B9">
            <w:pPr>
              <w:spacing w:after="0" w:line="240" w:lineRule="auto"/>
              <w:jc w:val="left"/>
              <w:rPr>
                <w:rFonts w:eastAsia="Times New Roman"/>
                <w:color w:val="000000"/>
                <w:sz w:val="20"/>
                <w:szCs w:val="20"/>
                <w:lang w:val="es-419" w:eastAsia="es-419"/>
              </w:rPr>
            </w:pPr>
            <w:r w:rsidRPr="00DD35B9">
              <w:rPr>
                <w:rFonts w:eastAsia="Times New Roman"/>
                <w:color w:val="000000"/>
                <w:sz w:val="20"/>
                <w:szCs w:val="20"/>
                <w:lang w:val="es-MX" w:eastAsia="es-419"/>
              </w:rPr>
              <w:t>Bacalar</w:t>
            </w:r>
          </w:p>
        </w:tc>
        <w:tc>
          <w:tcPr>
            <w:tcW w:w="1685" w:type="dxa"/>
            <w:tcBorders>
              <w:top w:val="nil"/>
              <w:left w:val="nil"/>
              <w:bottom w:val="nil"/>
              <w:right w:val="nil"/>
            </w:tcBorders>
            <w:vAlign w:val="center"/>
            <w:hideMark/>
          </w:tcPr>
          <w:p w14:paraId="0E047E75"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70.67</w:t>
            </w:r>
          </w:p>
        </w:tc>
        <w:tc>
          <w:tcPr>
            <w:tcW w:w="1685" w:type="dxa"/>
            <w:tcBorders>
              <w:top w:val="nil"/>
              <w:left w:val="nil"/>
              <w:bottom w:val="nil"/>
              <w:right w:val="nil"/>
            </w:tcBorders>
            <w:vAlign w:val="center"/>
            <w:hideMark/>
          </w:tcPr>
          <w:p w14:paraId="5D741250"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68.59</w:t>
            </w:r>
          </w:p>
        </w:tc>
        <w:tc>
          <w:tcPr>
            <w:tcW w:w="1685" w:type="dxa"/>
            <w:tcBorders>
              <w:top w:val="nil"/>
              <w:left w:val="nil"/>
              <w:bottom w:val="nil"/>
              <w:right w:val="nil"/>
            </w:tcBorders>
            <w:vAlign w:val="center"/>
            <w:hideMark/>
          </w:tcPr>
          <w:p w14:paraId="48EF6FAA"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72.96</w:t>
            </w:r>
          </w:p>
        </w:tc>
      </w:tr>
      <w:tr w:rsidR="00DD35B9" w:rsidRPr="00DD35B9" w14:paraId="5B308E20" w14:textId="77777777" w:rsidTr="008C0A4F">
        <w:trPr>
          <w:trHeight w:val="26"/>
          <w:jc w:val="center"/>
        </w:trPr>
        <w:tc>
          <w:tcPr>
            <w:tcW w:w="3339" w:type="dxa"/>
            <w:tcBorders>
              <w:top w:val="nil"/>
              <w:left w:val="nil"/>
              <w:bottom w:val="nil"/>
              <w:right w:val="nil"/>
            </w:tcBorders>
            <w:vAlign w:val="center"/>
            <w:hideMark/>
          </w:tcPr>
          <w:p w14:paraId="7FDAA9B4" w14:textId="77777777" w:rsidR="00DD35B9" w:rsidRPr="00DD35B9" w:rsidRDefault="00DD35B9" w:rsidP="00DD35B9">
            <w:pPr>
              <w:spacing w:after="0" w:line="240" w:lineRule="auto"/>
              <w:jc w:val="left"/>
              <w:rPr>
                <w:rFonts w:eastAsia="Times New Roman"/>
                <w:color w:val="000000"/>
                <w:sz w:val="20"/>
                <w:szCs w:val="20"/>
                <w:lang w:val="es-419" w:eastAsia="es-419"/>
              </w:rPr>
            </w:pPr>
            <w:r w:rsidRPr="00DD35B9">
              <w:rPr>
                <w:rFonts w:eastAsia="Times New Roman"/>
                <w:color w:val="000000"/>
                <w:sz w:val="20"/>
                <w:szCs w:val="20"/>
                <w:lang w:val="es-MX" w:eastAsia="es-419"/>
              </w:rPr>
              <w:t>Benito Juárez</w:t>
            </w:r>
          </w:p>
        </w:tc>
        <w:tc>
          <w:tcPr>
            <w:tcW w:w="1685" w:type="dxa"/>
            <w:tcBorders>
              <w:top w:val="nil"/>
              <w:left w:val="nil"/>
              <w:bottom w:val="nil"/>
              <w:right w:val="nil"/>
            </w:tcBorders>
            <w:vAlign w:val="center"/>
            <w:hideMark/>
          </w:tcPr>
          <w:p w14:paraId="02AD5010"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63.32</w:t>
            </w:r>
          </w:p>
        </w:tc>
        <w:tc>
          <w:tcPr>
            <w:tcW w:w="1685" w:type="dxa"/>
            <w:tcBorders>
              <w:top w:val="nil"/>
              <w:left w:val="nil"/>
              <w:bottom w:val="nil"/>
              <w:right w:val="nil"/>
            </w:tcBorders>
            <w:vAlign w:val="center"/>
            <w:hideMark/>
          </w:tcPr>
          <w:p w14:paraId="4DE5180E"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63.76</w:t>
            </w:r>
          </w:p>
        </w:tc>
        <w:tc>
          <w:tcPr>
            <w:tcW w:w="1685" w:type="dxa"/>
            <w:tcBorders>
              <w:top w:val="nil"/>
              <w:left w:val="nil"/>
              <w:bottom w:val="nil"/>
              <w:right w:val="nil"/>
            </w:tcBorders>
            <w:vAlign w:val="center"/>
            <w:hideMark/>
          </w:tcPr>
          <w:p w14:paraId="68D8AB4D"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65.77</w:t>
            </w:r>
          </w:p>
        </w:tc>
      </w:tr>
      <w:tr w:rsidR="00DD35B9" w:rsidRPr="00DD35B9" w14:paraId="570A264F" w14:textId="77777777" w:rsidTr="008C0A4F">
        <w:trPr>
          <w:trHeight w:val="26"/>
          <w:jc w:val="center"/>
        </w:trPr>
        <w:tc>
          <w:tcPr>
            <w:tcW w:w="3339" w:type="dxa"/>
            <w:tcBorders>
              <w:top w:val="nil"/>
              <w:left w:val="nil"/>
              <w:bottom w:val="nil"/>
              <w:right w:val="nil"/>
            </w:tcBorders>
            <w:vAlign w:val="center"/>
            <w:hideMark/>
          </w:tcPr>
          <w:p w14:paraId="70C943B4" w14:textId="77777777" w:rsidR="00DD35B9" w:rsidRPr="00DD35B9" w:rsidRDefault="00DD35B9" w:rsidP="00DD35B9">
            <w:pPr>
              <w:spacing w:after="0" w:line="240" w:lineRule="auto"/>
              <w:jc w:val="left"/>
              <w:rPr>
                <w:rFonts w:eastAsia="Times New Roman"/>
                <w:color w:val="000000"/>
                <w:sz w:val="20"/>
                <w:szCs w:val="20"/>
                <w:lang w:val="es-419" w:eastAsia="es-419"/>
              </w:rPr>
            </w:pPr>
            <w:r w:rsidRPr="00DD35B9">
              <w:rPr>
                <w:rFonts w:eastAsia="Times New Roman"/>
                <w:color w:val="000000"/>
                <w:sz w:val="20"/>
                <w:szCs w:val="20"/>
                <w:lang w:val="es-MX" w:eastAsia="es-419"/>
              </w:rPr>
              <w:t>Cozumel</w:t>
            </w:r>
          </w:p>
        </w:tc>
        <w:tc>
          <w:tcPr>
            <w:tcW w:w="1685" w:type="dxa"/>
            <w:tcBorders>
              <w:top w:val="nil"/>
              <w:left w:val="nil"/>
              <w:bottom w:val="nil"/>
              <w:right w:val="nil"/>
            </w:tcBorders>
            <w:vAlign w:val="center"/>
            <w:hideMark/>
          </w:tcPr>
          <w:p w14:paraId="743747AC"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72.04</w:t>
            </w:r>
          </w:p>
        </w:tc>
        <w:tc>
          <w:tcPr>
            <w:tcW w:w="1685" w:type="dxa"/>
            <w:tcBorders>
              <w:top w:val="nil"/>
              <w:left w:val="nil"/>
              <w:bottom w:val="nil"/>
              <w:right w:val="nil"/>
            </w:tcBorders>
            <w:vAlign w:val="center"/>
            <w:hideMark/>
          </w:tcPr>
          <w:p w14:paraId="07C59849"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67.76</w:t>
            </w:r>
          </w:p>
        </w:tc>
        <w:tc>
          <w:tcPr>
            <w:tcW w:w="1685" w:type="dxa"/>
            <w:tcBorders>
              <w:top w:val="nil"/>
              <w:left w:val="nil"/>
              <w:bottom w:val="nil"/>
              <w:right w:val="nil"/>
            </w:tcBorders>
            <w:vAlign w:val="center"/>
            <w:hideMark/>
          </w:tcPr>
          <w:p w14:paraId="426FD34E"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58.24</w:t>
            </w:r>
          </w:p>
        </w:tc>
      </w:tr>
      <w:tr w:rsidR="00DD35B9" w:rsidRPr="00DD35B9" w14:paraId="4592A23B" w14:textId="77777777" w:rsidTr="008C0A4F">
        <w:trPr>
          <w:trHeight w:val="26"/>
          <w:jc w:val="center"/>
        </w:trPr>
        <w:tc>
          <w:tcPr>
            <w:tcW w:w="3339" w:type="dxa"/>
            <w:tcBorders>
              <w:top w:val="nil"/>
              <w:left w:val="nil"/>
              <w:bottom w:val="nil"/>
              <w:right w:val="nil"/>
            </w:tcBorders>
            <w:vAlign w:val="center"/>
            <w:hideMark/>
          </w:tcPr>
          <w:p w14:paraId="3B6C8FC6" w14:textId="77777777" w:rsidR="00DD35B9" w:rsidRPr="00DD35B9" w:rsidRDefault="00DD35B9" w:rsidP="00DD35B9">
            <w:pPr>
              <w:spacing w:after="0" w:line="240" w:lineRule="auto"/>
              <w:jc w:val="left"/>
              <w:rPr>
                <w:rFonts w:eastAsia="Times New Roman"/>
                <w:color w:val="000000"/>
                <w:sz w:val="20"/>
                <w:szCs w:val="20"/>
                <w:lang w:val="es-419" w:eastAsia="es-419"/>
              </w:rPr>
            </w:pPr>
            <w:r w:rsidRPr="00DD35B9">
              <w:rPr>
                <w:rFonts w:eastAsia="Times New Roman"/>
                <w:color w:val="000000"/>
                <w:sz w:val="20"/>
                <w:szCs w:val="20"/>
                <w:lang w:val="es-MX" w:eastAsia="es-419"/>
              </w:rPr>
              <w:t>Felipe Carrillo Puerto</w:t>
            </w:r>
          </w:p>
        </w:tc>
        <w:tc>
          <w:tcPr>
            <w:tcW w:w="1685" w:type="dxa"/>
            <w:tcBorders>
              <w:top w:val="nil"/>
              <w:left w:val="nil"/>
              <w:bottom w:val="nil"/>
              <w:right w:val="nil"/>
            </w:tcBorders>
            <w:vAlign w:val="center"/>
            <w:hideMark/>
          </w:tcPr>
          <w:p w14:paraId="4ED4680F"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63.01</w:t>
            </w:r>
          </w:p>
        </w:tc>
        <w:tc>
          <w:tcPr>
            <w:tcW w:w="1685" w:type="dxa"/>
            <w:tcBorders>
              <w:top w:val="nil"/>
              <w:left w:val="nil"/>
              <w:bottom w:val="nil"/>
              <w:right w:val="nil"/>
            </w:tcBorders>
            <w:vAlign w:val="center"/>
            <w:hideMark/>
          </w:tcPr>
          <w:p w14:paraId="45A8EC14"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60.52</w:t>
            </w:r>
          </w:p>
        </w:tc>
        <w:tc>
          <w:tcPr>
            <w:tcW w:w="1685" w:type="dxa"/>
            <w:tcBorders>
              <w:top w:val="nil"/>
              <w:left w:val="nil"/>
              <w:bottom w:val="nil"/>
              <w:right w:val="nil"/>
            </w:tcBorders>
            <w:vAlign w:val="center"/>
            <w:hideMark/>
          </w:tcPr>
          <w:p w14:paraId="7C7592EE"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53.64</w:t>
            </w:r>
          </w:p>
        </w:tc>
      </w:tr>
      <w:tr w:rsidR="00DD35B9" w:rsidRPr="00DD35B9" w14:paraId="6CC29AEB" w14:textId="77777777" w:rsidTr="008C0A4F">
        <w:trPr>
          <w:trHeight w:val="26"/>
          <w:jc w:val="center"/>
        </w:trPr>
        <w:tc>
          <w:tcPr>
            <w:tcW w:w="3339" w:type="dxa"/>
            <w:tcBorders>
              <w:top w:val="nil"/>
              <w:left w:val="nil"/>
              <w:bottom w:val="nil"/>
              <w:right w:val="nil"/>
            </w:tcBorders>
            <w:vAlign w:val="center"/>
            <w:hideMark/>
          </w:tcPr>
          <w:p w14:paraId="25668F52" w14:textId="77777777" w:rsidR="00DD35B9" w:rsidRPr="00DD35B9" w:rsidRDefault="00DD35B9" w:rsidP="00DD35B9">
            <w:pPr>
              <w:spacing w:after="0" w:line="240" w:lineRule="auto"/>
              <w:jc w:val="left"/>
              <w:rPr>
                <w:rFonts w:eastAsia="Times New Roman"/>
                <w:color w:val="000000"/>
                <w:sz w:val="20"/>
                <w:szCs w:val="20"/>
                <w:lang w:val="es-419" w:eastAsia="es-419"/>
              </w:rPr>
            </w:pPr>
            <w:r w:rsidRPr="00DD35B9">
              <w:rPr>
                <w:rFonts w:eastAsia="Times New Roman"/>
                <w:color w:val="000000"/>
                <w:sz w:val="20"/>
                <w:szCs w:val="20"/>
                <w:lang w:val="es-MX" w:eastAsia="es-419"/>
              </w:rPr>
              <w:t>Isla Mujeres</w:t>
            </w:r>
          </w:p>
        </w:tc>
        <w:tc>
          <w:tcPr>
            <w:tcW w:w="1685" w:type="dxa"/>
            <w:tcBorders>
              <w:top w:val="nil"/>
              <w:left w:val="nil"/>
              <w:bottom w:val="nil"/>
              <w:right w:val="nil"/>
            </w:tcBorders>
            <w:vAlign w:val="center"/>
            <w:hideMark/>
          </w:tcPr>
          <w:p w14:paraId="6A95071E"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55.67</w:t>
            </w:r>
          </w:p>
        </w:tc>
        <w:tc>
          <w:tcPr>
            <w:tcW w:w="1685" w:type="dxa"/>
            <w:tcBorders>
              <w:top w:val="nil"/>
              <w:left w:val="nil"/>
              <w:bottom w:val="nil"/>
              <w:right w:val="nil"/>
            </w:tcBorders>
            <w:vAlign w:val="center"/>
            <w:hideMark/>
          </w:tcPr>
          <w:p w14:paraId="723EEAEE"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61.11</w:t>
            </w:r>
          </w:p>
        </w:tc>
        <w:tc>
          <w:tcPr>
            <w:tcW w:w="1685" w:type="dxa"/>
            <w:tcBorders>
              <w:top w:val="nil"/>
              <w:left w:val="nil"/>
              <w:bottom w:val="nil"/>
              <w:right w:val="nil"/>
            </w:tcBorders>
            <w:vAlign w:val="center"/>
            <w:hideMark/>
          </w:tcPr>
          <w:p w14:paraId="72C78EEA"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61.09</w:t>
            </w:r>
          </w:p>
        </w:tc>
      </w:tr>
      <w:tr w:rsidR="00DD35B9" w:rsidRPr="00DD35B9" w14:paraId="0733F111" w14:textId="77777777" w:rsidTr="008C0A4F">
        <w:trPr>
          <w:trHeight w:val="26"/>
          <w:jc w:val="center"/>
        </w:trPr>
        <w:tc>
          <w:tcPr>
            <w:tcW w:w="3339" w:type="dxa"/>
            <w:tcBorders>
              <w:top w:val="nil"/>
              <w:left w:val="nil"/>
              <w:bottom w:val="nil"/>
              <w:right w:val="nil"/>
            </w:tcBorders>
            <w:vAlign w:val="center"/>
            <w:hideMark/>
          </w:tcPr>
          <w:p w14:paraId="00BE2994" w14:textId="77777777" w:rsidR="00DD35B9" w:rsidRPr="00DD35B9" w:rsidRDefault="00DD35B9" w:rsidP="00DD35B9">
            <w:pPr>
              <w:spacing w:after="0" w:line="240" w:lineRule="auto"/>
              <w:jc w:val="left"/>
              <w:rPr>
                <w:rFonts w:eastAsia="Times New Roman"/>
                <w:color w:val="000000"/>
                <w:sz w:val="20"/>
                <w:szCs w:val="20"/>
                <w:lang w:val="es-419" w:eastAsia="es-419"/>
              </w:rPr>
            </w:pPr>
            <w:r w:rsidRPr="00DD35B9">
              <w:rPr>
                <w:rFonts w:eastAsia="Times New Roman"/>
                <w:color w:val="000000"/>
                <w:sz w:val="20"/>
                <w:szCs w:val="20"/>
                <w:lang w:val="es-MX" w:eastAsia="es-419"/>
              </w:rPr>
              <w:t>José María Morelos</w:t>
            </w:r>
          </w:p>
        </w:tc>
        <w:tc>
          <w:tcPr>
            <w:tcW w:w="1685" w:type="dxa"/>
            <w:tcBorders>
              <w:top w:val="nil"/>
              <w:left w:val="nil"/>
              <w:bottom w:val="nil"/>
              <w:right w:val="nil"/>
            </w:tcBorders>
            <w:vAlign w:val="center"/>
            <w:hideMark/>
          </w:tcPr>
          <w:p w14:paraId="1A4DBE27"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75.81</w:t>
            </w:r>
          </w:p>
        </w:tc>
        <w:tc>
          <w:tcPr>
            <w:tcW w:w="1685" w:type="dxa"/>
            <w:tcBorders>
              <w:top w:val="nil"/>
              <w:left w:val="nil"/>
              <w:bottom w:val="nil"/>
              <w:right w:val="nil"/>
            </w:tcBorders>
            <w:vAlign w:val="center"/>
            <w:hideMark/>
          </w:tcPr>
          <w:p w14:paraId="3384982A"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65.96</w:t>
            </w:r>
          </w:p>
        </w:tc>
        <w:tc>
          <w:tcPr>
            <w:tcW w:w="1685" w:type="dxa"/>
            <w:tcBorders>
              <w:top w:val="nil"/>
              <w:left w:val="nil"/>
              <w:bottom w:val="nil"/>
              <w:right w:val="nil"/>
            </w:tcBorders>
            <w:vAlign w:val="center"/>
            <w:hideMark/>
          </w:tcPr>
          <w:p w14:paraId="00CE58DE"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70.00</w:t>
            </w:r>
          </w:p>
        </w:tc>
      </w:tr>
      <w:tr w:rsidR="00DD35B9" w:rsidRPr="00DD35B9" w14:paraId="340F965D" w14:textId="77777777" w:rsidTr="008C0A4F">
        <w:trPr>
          <w:trHeight w:val="26"/>
          <w:jc w:val="center"/>
        </w:trPr>
        <w:tc>
          <w:tcPr>
            <w:tcW w:w="3339" w:type="dxa"/>
            <w:tcBorders>
              <w:top w:val="nil"/>
              <w:left w:val="nil"/>
              <w:bottom w:val="nil"/>
              <w:right w:val="nil"/>
            </w:tcBorders>
            <w:vAlign w:val="center"/>
            <w:hideMark/>
          </w:tcPr>
          <w:p w14:paraId="6EB3BBAE" w14:textId="77777777" w:rsidR="00DD35B9" w:rsidRPr="00DD35B9" w:rsidRDefault="00DD35B9" w:rsidP="00DD35B9">
            <w:pPr>
              <w:spacing w:after="0" w:line="240" w:lineRule="auto"/>
              <w:jc w:val="left"/>
              <w:rPr>
                <w:rFonts w:eastAsia="Times New Roman"/>
                <w:color w:val="000000"/>
                <w:sz w:val="20"/>
                <w:szCs w:val="20"/>
                <w:lang w:val="es-419" w:eastAsia="es-419"/>
              </w:rPr>
            </w:pPr>
            <w:r w:rsidRPr="00DD35B9">
              <w:rPr>
                <w:rFonts w:eastAsia="Times New Roman"/>
                <w:color w:val="000000"/>
                <w:sz w:val="20"/>
                <w:szCs w:val="20"/>
                <w:lang w:val="es-MX" w:eastAsia="es-419"/>
              </w:rPr>
              <w:t>Lázaro Cárdenas</w:t>
            </w:r>
          </w:p>
        </w:tc>
        <w:tc>
          <w:tcPr>
            <w:tcW w:w="1685" w:type="dxa"/>
            <w:tcBorders>
              <w:top w:val="nil"/>
              <w:left w:val="nil"/>
              <w:bottom w:val="nil"/>
              <w:right w:val="nil"/>
            </w:tcBorders>
            <w:vAlign w:val="center"/>
            <w:hideMark/>
          </w:tcPr>
          <w:p w14:paraId="0033ED23"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56.60</w:t>
            </w:r>
          </w:p>
        </w:tc>
        <w:tc>
          <w:tcPr>
            <w:tcW w:w="1685" w:type="dxa"/>
            <w:tcBorders>
              <w:top w:val="nil"/>
              <w:left w:val="nil"/>
              <w:bottom w:val="nil"/>
              <w:right w:val="nil"/>
            </w:tcBorders>
            <w:vAlign w:val="center"/>
            <w:hideMark/>
          </w:tcPr>
          <w:p w14:paraId="631D12FB"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64.12</w:t>
            </w:r>
          </w:p>
        </w:tc>
        <w:tc>
          <w:tcPr>
            <w:tcW w:w="1685" w:type="dxa"/>
            <w:tcBorders>
              <w:top w:val="nil"/>
              <w:left w:val="nil"/>
              <w:bottom w:val="nil"/>
              <w:right w:val="nil"/>
            </w:tcBorders>
            <w:vAlign w:val="center"/>
            <w:hideMark/>
          </w:tcPr>
          <w:p w14:paraId="6D6E1B06"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58.67</w:t>
            </w:r>
          </w:p>
        </w:tc>
      </w:tr>
      <w:tr w:rsidR="00DD35B9" w:rsidRPr="00DD35B9" w14:paraId="34F77CD6" w14:textId="77777777" w:rsidTr="008C0A4F">
        <w:trPr>
          <w:trHeight w:val="26"/>
          <w:jc w:val="center"/>
        </w:trPr>
        <w:tc>
          <w:tcPr>
            <w:tcW w:w="3339" w:type="dxa"/>
            <w:tcBorders>
              <w:top w:val="nil"/>
              <w:left w:val="nil"/>
              <w:bottom w:val="nil"/>
              <w:right w:val="nil"/>
            </w:tcBorders>
            <w:vAlign w:val="center"/>
            <w:hideMark/>
          </w:tcPr>
          <w:p w14:paraId="550837E3" w14:textId="77777777" w:rsidR="00DD35B9" w:rsidRPr="00DD35B9" w:rsidRDefault="00DD35B9" w:rsidP="00DD35B9">
            <w:pPr>
              <w:spacing w:after="0" w:line="240" w:lineRule="auto"/>
              <w:jc w:val="left"/>
              <w:rPr>
                <w:rFonts w:eastAsia="Times New Roman"/>
                <w:color w:val="000000"/>
                <w:sz w:val="20"/>
                <w:szCs w:val="20"/>
                <w:lang w:val="es-419" w:eastAsia="es-419"/>
              </w:rPr>
            </w:pPr>
            <w:r w:rsidRPr="00DD35B9">
              <w:rPr>
                <w:rFonts w:eastAsia="Times New Roman"/>
                <w:color w:val="000000"/>
                <w:sz w:val="20"/>
                <w:szCs w:val="20"/>
                <w:lang w:val="es-MX" w:eastAsia="es-419"/>
              </w:rPr>
              <w:t>Othón P. Blanco</w:t>
            </w:r>
          </w:p>
        </w:tc>
        <w:tc>
          <w:tcPr>
            <w:tcW w:w="1685" w:type="dxa"/>
            <w:tcBorders>
              <w:top w:val="nil"/>
              <w:left w:val="nil"/>
              <w:bottom w:val="nil"/>
              <w:right w:val="nil"/>
            </w:tcBorders>
            <w:vAlign w:val="center"/>
            <w:hideMark/>
          </w:tcPr>
          <w:p w14:paraId="3754F1F5"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65.41</w:t>
            </w:r>
          </w:p>
        </w:tc>
        <w:tc>
          <w:tcPr>
            <w:tcW w:w="1685" w:type="dxa"/>
            <w:tcBorders>
              <w:top w:val="nil"/>
              <w:left w:val="nil"/>
              <w:bottom w:val="nil"/>
              <w:right w:val="nil"/>
            </w:tcBorders>
            <w:vAlign w:val="center"/>
            <w:hideMark/>
          </w:tcPr>
          <w:p w14:paraId="50D30C75"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64.46</w:t>
            </w:r>
          </w:p>
        </w:tc>
        <w:tc>
          <w:tcPr>
            <w:tcW w:w="1685" w:type="dxa"/>
            <w:tcBorders>
              <w:top w:val="nil"/>
              <w:left w:val="nil"/>
              <w:bottom w:val="nil"/>
              <w:right w:val="nil"/>
            </w:tcBorders>
            <w:vAlign w:val="center"/>
            <w:hideMark/>
          </w:tcPr>
          <w:p w14:paraId="4B91D725"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62.29</w:t>
            </w:r>
          </w:p>
        </w:tc>
      </w:tr>
      <w:tr w:rsidR="00DD35B9" w:rsidRPr="00DD35B9" w14:paraId="1F4851B5" w14:textId="77777777" w:rsidTr="008C0A4F">
        <w:trPr>
          <w:trHeight w:val="26"/>
          <w:jc w:val="center"/>
        </w:trPr>
        <w:tc>
          <w:tcPr>
            <w:tcW w:w="3339" w:type="dxa"/>
            <w:tcBorders>
              <w:top w:val="nil"/>
              <w:left w:val="nil"/>
              <w:bottom w:val="nil"/>
              <w:right w:val="nil"/>
            </w:tcBorders>
            <w:vAlign w:val="center"/>
            <w:hideMark/>
          </w:tcPr>
          <w:p w14:paraId="157CE1C8" w14:textId="595C9657" w:rsidR="00DD35B9" w:rsidRPr="00DD35B9" w:rsidRDefault="00DD35B9" w:rsidP="00DD35B9">
            <w:pPr>
              <w:spacing w:after="0" w:line="240" w:lineRule="auto"/>
              <w:jc w:val="left"/>
              <w:rPr>
                <w:rFonts w:eastAsia="Times New Roman"/>
                <w:color w:val="000000"/>
                <w:sz w:val="20"/>
                <w:szCs w:val="20"/>
                <w:lang w:val="es-419" w:eastAsia="es-419"/>
              </w:rPr>
            </w:pPr>
            <w:r w:rsidRPr="00DD35B9">
              <w:rPr>
                <w:rFonts w:eastAsia="Times New Roman"/>
                <w:color w:val="000000"/>
                <w:sz w:val="20"/>
                <w:szCs w:val="20"/>
                <w:lang w:val="es-MX" w:eastAsia="es-419"/>
              </w:rPr>
              <w:t>Puerto Morelos</w:t>
            </w:r>
          </w:p>
        </w:tc>
        <w:tc>
          <w:tcPr>
            <w:tcW w:w="1685" w:type="dxa"/>
            <w:tcBorders>
              <w:top w:val="nil"/>
              <w:left w:val="nil"/>
              <w:bottom w:val="nil"/>
              <w:right w:val="nil"/>
            </w:tcBorders>
            <w:vAlign w:val="center"/>
            <w:hideMark/>
          </w:tcPr>
          <w:p w14:paraId="72EE666F" w14:textId="6F65C615" w:rsidR="00DD35B9" w:rsidRPr="00DD35B9" w:rsidRDefault="00DD35B9" w:rsidP="00DD35B9">
            <w:pPr>
              <w:spacing w:after="0" w:line="240" w:lineRule="auto"/>
              <w:jc w:val="center"/>
              <w:rPr>
                <w:rFonts w:eastAsia="Times New Roman"/>
                <w:color w:val="000000"/>
                <w:sz w:val="20"/>
                <w:szCs w:val="20"/>
                <w:lang w:val="es-419" w:eastAsia="es-419"/>
              </w:rPr>
            </w:pPr>
          </w:p>
        </w:tc>
        <w:tc>
          <w:tcPr>
            <w:tcW w:w="1685" w:type="dxa"/>
            <w:tcBorders>
              <w:top w:val="nil"/>
              <w:left w:val="nil"/>
              <w:bottom w:val="nil"/>
              <w:right w:val="nil"/>
            </w:tcBorders>
            <w:vAlign w:val="center"/>
            <w:hideMark/>
          </w:tcPr>
          <w:p w14:paraId="3EDC93AE"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66.51</w:t>
            </w:r>
          </w:p>
        </w:tc>
        <w:tc>
          <w:tcPr>
            <w:tcW w:w="1685" w:type="dxa"/>
            <w:tcBorders>
              <w:top w:val="nil"/>
              <w:left w:val="nil"/>
              <w:bottom w:val="nil"/>
              <w:right w:val="nil"/>
            </w:tcBorders>
            <w:vAlign w:val="center"/>
            <w:hideMark/>
          </w:tcPr>
          <w:p w14:paraId="2F1A4EA8"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70.67</w:t>
            </w:r>
          </w:p>
        </w:tc>
      </w:tr>
      <w:tr w:rsidR="00DD35B9" w:rsidRPr="00DD35B9" w14:paraId="129AC266" w14:textId="77777777" w:rsidTr="008C0A4F">
        <w:trPr>
          <w:trHeight w:val="26"/>
          <w:jc w:val="center"/>
        </w:trPr>
        <w:tc>
          <w:tcPr>
            <w:tcW w:w="3339" w:type="dxa"/>
            <w:tcBorders>
              <w:top w:val="nil"/>
              <w:left w:val="nil"/>
              <w:bottom w:val="nil"/>
              <w:right w:val="nil"/>
            </w:tcBorders>
            <w:vAlign w:val="center"/>
            <w:hideMark/>
          </w:tcPr>
          <w:p w14:paraId="34735BF4" w14:textId="77777777" w:rsidR="00DD35B9" w:rsidRPr="00DD35B9" w:rsidRDefault="00DD35B9" w:rsidP="00DD35B9">
            <w:pPr>
              <w:spacing w:after="0" w:line="240" w:lineRule="auto"/>
              <w:jc w:val="left"/>
              <w:rPr>
                <w:rFonts w:eastAsia="Times New Roman"/>
                <w:color w:val="000000"/>
                <w:sz w:val="20"/>
                <w:szCs w:val="20"/>
                <w:lang w:val="es-419" w:eastAsia="es-419"/>
              </w:rPr>
            </w:pPr>
            <w:r w:rsidRPr="00DD35B9">
              <w:rPr>
                <w:rFonts w:eastAsia="Times New Roman"/>
                <w:color w:val="000000"/>
                <w:sz w:val="20"/>
                <w:szCs w:val="20"/>
                <w:lang w:val="es-MX" w:eastAsia="es-419"/>
              </w:rPr>
              <w:t>Playa del Carmen</w:t>
            </w:r>
          </w:p>
        </w:tc>
        <w:tc>
          <w:tcPr>
            <w:tcW w:w="1685" w:type="dxa"/>
            <w:tcBorders>
              <w:top w:val="nil"/>
              <w:left w:val="nil"/>
              <w:bottom w:val="nil"/>
              <w:right w:val="nil"/>
            </w:tcBorders>
            <w:vAlign w:val="center"/>
            <w:hideMark/>
          </w:tcPr>
          <w:p w14:paraId="489B7941"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71.60</w:t>
            </w:r>
          </w:p>
        </w:tc>
        <w:tc>
          <w:tcPr>
            <w:tcW w:w="1685" w:type="dxa"/>
            <w:tcBorders>
              <w:top w:val="nil"/>
              <w:left w:val="nil"/>
              <w:bottom w:val="nil"/>
              <w:right w:val="nil"/>
            </w:tcBorders>
            <w:vAlign w:val="center"/>
            <w:hideMark/>
          </w:tcPr>
          <w:p w14:paraId="0F8795BF"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71.30</w:t>
            </w:r>
          </w:p>
        </w:tc>
        <w:tc>
          <w:tcPr>
            <w:tcW w:w="1685" w:type="dxa"/>
            <w:tcBorders>
              <w:top w:val="nil"/>
              <w:left w:val="nil"/>
              <w:bottom w:val="nil"/>
              <w:right w:val="nil"/>
            </w:tcBorders>
            <w:vAlign w:val="center"/>
            <w:hideMark/>
          </w:tcPr>
          <w:p w14:paraId="5F887FC6"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75.70</w:t>
            </w:r>
          </w:p>
        </w:tc>
      </w:tr>
      <w:tr w:rsidR="00DD35B9" w:rsidRPr="00DD35B9" w14:paraId="1DFE4164" w14:textId="77777777" w:rsidTr="008C0A4F">
        <w:trPr>
          <w:trHeight w:val="26"/>
          <w:jc w:val="center"/>
        </w:trPr>
        <w:tc>
          <w:tcPr>
            <w:tcW w:w="3339" w:type="dxa"/>
            <w:tcBorders>
              <w:top w:val="nil"/>
              <w:left w:val="nil"/>
              <w:bottom w:val="nil"/>
              <w:right w:val="nil"/>
            </w:tcBorders>
            <w:vAlign w:val="center"/>
            <w:hideMark/>
          </w:tcPr>
          <w:p w14:paraId="56207302" w14:textId="77777777" w:rsidR="00DD35B9" w:rsidRPr="00DD35B9" w:rsidRDefault="00DD35B9" w:rsidP="00DD35B9">
            <w:pPr>
              <w:spacing w:after="0" w:line="240" w:lineRule="auto"/>
              <w:jc w:val="left"/>
              <w:rPr>
                <w:rFonts w:eastAsia="Times New Roman"/>
                <w:color w:val="000000"/>
                <w:sz w:val="20"/>
                <w:szCs w:val="20"/>
                <w:lang w:val="es-419" w:eastAsia="es-419"/>
              </w:rPr>
            </w:pPr>
            <w:r w:rsidRPr="00DD35B9">
              <w:rPr>
                <w:rFonts w:eastAsia="Times New Roman"/>
                <w:color w:val="000000"/>
                <w:sz w:val="20"/>
                <w:szCs w:val="20"/>
                <w:lang w:val="es-MX" w:eastAsia="es-419"/>
              </w:rPr>
              <w:t>Tulum</w:t>
            </w:r>
          </w:p>
        </w:tc>
        <w:tc>
          <w:tcPr>
            <w:tcW w:w="1685" w:type="dxa"/>
            <w:tcBorders>
              <w:top w:val="nil"/>
              <w:left w:val="nil"/>
              <w:bottom w:val="nil"/>
              <w:right w:val="nil"/>
            </w:tcBorders>
            <w:vAlign w:val="center"/>
            <w:hideMark/>
          </w:tcPr>
          <w:p w14:paraId="35E8F728"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69.89</w:t>
            </w:r>
          </w:p>
        </w:tc>
        <w:tc>
          <w:tcPr>
            <w:tcW w:w="1685" w:type="dxa"/>
            <w:tcBorders>
              <w:top w:val="nil"/>
              <w:left w:val="nil"/>
              <w:bottom w:val="nil"/>
              <w:right w:val="nil"/>
            </w:tcBorders>
            <w:vAlign w:val="center"/>
            <w:hideMark/>
          </w:tcPr>
          <w:p w14:paraId="455E94CB"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88.24</w:t>
            </w:r>
          </w:p>
        </w:tc>
        <w:tc>
          <w:tcPr>
            <w:tcW w:w="1685" w:type="dxa"/>
            <w:tcBorders>
              <w:top w:val="nil"/>
              <w:left w:val="nil"/>
              <w:bottom w:val="nil"/>
              <w:right w:val="nil"/>
            </w:tcBorders>
            <w:vAlign w:val="center"/>
            <w:hideMark/>
          </w:tcPr>
          <w:p w14:paraId="587F12BA" w14:textId="77777777" w:rsidR="00DD35B9" w:rsidRPr="00DD35B9" w:rsidRDefault="00DD35B9" w:rsidP="00DD35B9">
            <w:pPr>
              <w:spacing w:after="0" w:line="240" w:lineRule="auto"/>
              <w:jc w:val="center"/>
              <w:rPr>
                <w:rFonts w:eastAsia="Times New Roman"/>
                <w:color w:val="000000"/>
                <w:sz w:val="20"/>
                <w:szCs w:val="20"/>
                <w:lang w:val="es-419" w:eastAsia="es-419"/>
              </w:rPr>
            </w:pPr>
            <w:r w:rsidRPr="00DD35B9">
              <w:rPr>
                <w:rFonts w:eastAsia="Times New Roman"/>
                <w:color w:val="000000"/>
                <w:sz w:val="20"/>
                <w:szCs w:val="20"/>
                <w:lang w:val="es-MX" w:eastAsia="es-419"/>
              </w:rPr>
              <w:t>75.02</w:t>
            </w:r>
          </w:p>
        </w:tc>
      </w:tr>
      <w:tr w:rsidR="00DD35B9" w:rsidRPr="00DD35B9" w14:paraId="32D66ABD" w14:textId="77777777" w:rsidTr="008C0A4F">
        <w:trPr>
          <w:trHeight w:val="26"/>
          <w:jc w:val="center"/>
        </w:trPr>
        <w:tc>
          <w:tcPr>
            <w:tcW w:w="3339" w:type="dxa"/>
            <w:tcBorders>
              <w:top w:val="nil"/>
              <w:left w:val="nil"/>
              <w:bottom w:val="single" w:sz="8" w:space="0" w:color="000000"/>
              <w:right w:val="nil"/>
            </w:tcBorders>
            <w:vAlign w:val="center"/>
            <w:hideMark/>
          </w:tcPr>
          <w:p w14:paraId="3E1F484F" w14:textId="77777777" w:rsidR="00DD35B9" w:rsidRPr="00DD35B9" w:rsidRDefault="00DD35B9" w:rsidP="00DD35B9">
            <w:pPr>
              <w:spacing w:after="0" w:line="240" w:lineRule="auto"/>
              <w:jc w:val="left"/>
              <w:rPr>
                <w:rFonts w:eastAsia="Times New Roman"/>
                <w:b/>
                <w:bCs/>
                <w:color w:val="000000"/>
                <w:sz w:val="20"/>
                <w:szCs w:val="20"/>
                <w:lang w:val="es-419" w:eastAsia="es-419"/>
              </w:rPr>
            </w:pPr>
            <w:r w:rsidRPr="00DD35B9">
              <w:rPr>
                <w:rFonts w:eastAsia="Times New Roman"/>
                <w:b/>
                <w:bCs/>
                <w:color w:val="000000"/>
                <w:sz w:val="20"/>
                <w:szCs w:val="20"/>
                <w:lang w:val="es-MX" w:eastAsia="es-419"/>
              </w:rPr>
              <w:t>Quintana Roo</w:t>
            </w:r>
          </w:p>
        </w:tc>
        <w:tc>
          <w:tcPr>
            <w:tcW w:w="1685" w:type="dxa"/>
            <w:tcBorders>
              <w:top w:val="nil"/>
              <w:left w:val="nil"/>
              <w:bottom w:val="single" w:sz="8" w:space="0" w:color="000000"/>
              <w:right w:val="nil"/>
            </w:tcBorders>
            <w:vAlign w:val="center"/>
            <w:hideMark/>
          </w:tcPr>
          <w:p w14:paraId="5125D444" w14:textId="77777777" w:rsidR="00DD35B9" w:rsidRPr="00DD35B9" w:rsidRDefault="00DD35B9" w:rsidP="00DD35B9">
            <w:pPr>
              <w:spacing w:after="0" w:line="240" w:lineRule="auto"/>
              <w:jc w:val="center"/>
              <w:rPr>
                <w:rFonts w:eastAsia="Times New Roman"/>
                <w:b/>
                <w:bCs/>
                <w:color w:val="000000"/>
                <w:sz w:val="20"/>
                <w:szCs w:val="20"/>
                <w:lang w:val="es-419" w:eastAsia="es-419"/>
              </w:rPr>
            </w:pPr>
            <w:r w:rsidRPr="00DD35B9">
              <w:rPr>
                <w:rFonts w:eastAsia="Times New Roman"/>
                <w:b/>
                <w:bCs/>
                <w:color w:val="000000"/>
                <w:sz w:val="20"/>
                <w:szCs w:val="20"/>
                <w:lang w:val="es-MX" w:eastAsia="es-419"/>
              </w:rPr>
              <w:t>65.72</w:t>
            </w:r>
          </w:p>
        </w:tc>
        <w:tc>
          <w:tcPr>
            <w:tcW w:w="1685" w:type="dxa"/>
            <w:tcBorders>
              <w:top w:val="nil"/>
              <w:left w:val="nil"/>
              <w:bottom w:val="single" w:sz="8" w:space="0" w:color="000000"/>
              <w:right w:val="nil"/>
            </w:tcBorders>
            <w:vAlign w:val="center"/>
            <w:hideMark/>
          </w:tcPr>
          <w:p w14:paraId="334D1F2D" w14:textId="77777777" w:rsidR="00DD35B9" w:rsidRPr="00DD35B9" w:rsidRDefault="00DD35B9" w:rsidP="00DD35B9">
            <w:pPr>
              <w:spacing w:after="0" w:line="240" w:lineRule="auto"/>
              <w:jc w:val="center"/>
              <w:rPr>
                <w:rFonts w:eastAsia="Times New Roman"/>
                <w:b/>
                <w:bCs/>
                <w:color w:val="000000"/>
                <w:sz w:val="20"/>
                <w:szCs w:val="20"/>
                <w:lang w:val="es-419" w:eastAsia="es-419"/>
              </w:rPr>
            </w:pPr>
            <w:r w:rsidRPr="00DD35B9">
              <w:rPr>
                <w:rFonts w:eastAsia="Times New Roman"/>
                <w:b/>
                <w:bCs/>
                <w:color w:val="000000"/>
                <w:sz w:val="20"/>
                <w:szCs w:val="20"/>
                <w:lang w:val="es-MX" w:eastAsia="es-419"/>
              </w:rPr>
              <w:t>66.09</w:t>
            </w:r>
          </w:p>
        </w:tc>
        <w:tc>
          <w:tcPr>
            <w:tcW w:w="1685" w:type="dxa"/>
            <w:tcBorders>
              <w:top w:val="nil"/>
              <w:left w:val="nil"/>
              <w:bottom w:val="single" w:sz="8" w:space="0" w:color="000000"/>
              <w:right w:val="nil"/>
            </w:tcBorders>
            <w:vAlign w:val="center"/>
            <w:hideMark/>
          </w:tcPr>
          <w:p w14:paraId="30B1DF75" w14:textId="77777777" w:rsidR="00DD35B9" w:rsidRPr="00DD35B9" w:rsidRDefault="00DD35B9" w:rsidP="00DD35B9">
            <w:pPr>
              <w:spacing w:after="0" w:line="240" w:lineRule="auto"/>
              <w:jc w:val="center"/>
              <w:rPr>
                <w:rFonts w:eastAsia="Times New Roman"/>
                <w:b/>
                <w:bCs/>
                <w:color w:val="000000"/>
                <w:sz w:val="20"/>
                <w:szCs w:val="20"/>
                <w:lang w:val="es-419" w:eastAsia="es-419"/>
              </w:rPr>
            </w:pPr>
            <w:r w:rsidRPr="00DD35B9">
              <w:rPr>
                <w:rFonts w:eastAsia="Times New Roman"/>
                <w:b/>
                <w:bCs/>
                <w:color w:val="000000"/>
                <w:sz w:val="20"/>
                <w:szCs w:val="20"/>
                <w:lang w:val="es-MX" w:eastAsia="es-419"/>
              </w:rPr>
              <w:t>67.01</w:t>
            </w:r>
          </w:p>
        </w:tc>
      </w:tr>
    </w:tbl>
    <w:p w14:paraId="2A22451C" w14:textId="39292176" w:rsidR="00310023" w:rsidRPr="00305D32" w:rsidRDefault="00310023" w:rsidP="00310023">
      <w:pPr>
        <w:spacing w:line="240" w:lineRule="auto"/>
        <w:jc w:val="center"/>
        <w:rPr>
          <w:i/>
          <w:sz w:val="20"/>
          <w:szCs w:val="20"/>
          <w:lang w:val="es-MX"/>
        </w:rPr>
      </w:pPr>
      <w:r w:rsidRPr="00305D32">
        <w:rPr>
          <w:sz w:val="20"/>
          <w:szCs w:val="20"/>
          <w:lang w:val="es-MX"/>
        </w:rPr>
        <w:t xml:space="preserve">Fuente: Elaboración de la Subsecretaría de Análisis Económico y Finanzas Públicas de la Secretaría de Finanzas y Planeación con datos de la </w:t>
      </w:r>
      <w:r w:rsidRPr="00305D32">
        <w:rPr>
          <w:i/>
          <w:sz w:val="20"/>
          <w:szCs w:val="20"/>
          <w:lang w:val="es-MX"/>
        </w:rPr>
        <w:t>Encuesta Nacional de Ocupación y Empleo del</w:t>
      </w:r>
      <w:r w:rsidRPr="00305D32">
        <w:rPr>
          <w:sz w:val="20"/>
          <w:szCs w:val="20"/>
          <w:lang w:val="es-MX"/>
        </w:rPr>
        <w:t xml:space="preserve"> INEGI (2025)</w:t>
      </w:r>
      <w:r w:rsidRPr="00305D32">
        <w:rPr>
          <w:i/>
          <w:sz w:val="20"/>
          <w:szCs w:val="20"/>
          <w:lang w:val="es-MX"/>
        </w:rPr>
        <w:t>.</w:t>
      </w:r>
    </w:p>
    <w:p w14:paraId="5715F014" w14:textId="4A9DBD7E" w:rsidR="00357F84" w:rsidRPr="00357F84" w:rsidRDefault="006B2861" w:rsidP="00357F84">
      <w:pPr>
        <w:rPr>
          <w:lang w:val="es-419"/>
        </w:rPr>
      </w:pPr>
      <w:r>
        <w:rPr>
          <w:lang w:val="es-419"/>
        </w:rPr>
        <w:lastRenderedPageBreak/>
        <w:t xml:space="preserve">En </w:t>
      </w:r>
      <w:r w:rsidR="00AA13AB">
        <w:rPr>
          <w:lang w:val="es-419"/>
        </w:rPr>
        <w:t xml:space="preserve">cuanto al desempleo </w:t>
      </w:r>
      <w:r w:rsidR="00FF3699">
        <w:rPr>
          <w:lang w:val="es-419"/>
        </w:rPr>
        <w:t>durante</w:t>
      </w:r>
      <w:r w:rsidR="00AA13AB">
        <w:rPr>
          <w:lang w:val="es-419"/>
        </w:rPr>
        <w:t xml:space="preserve"> </w:t>
      </w:r>
      <w:r w:rsidR="00931DE4">
        <w:rPr>
          <w:lang w:val="es-419"/>
        </w:rPr>
        <w:t xml:space="preserve">el mismo periodo, </w:t>
      </w:r>
      <w:r w:rsidR="005F27B8">
        <w:rPr>
          <w:lang w:val="es-419"/>
        </w:rPr>
        <w:t xml:space="preserve">en </w:t>
      </w:r>
      <w:r w:rsidR="001A2483">
        <w:rPr>
          <w:lang w:val="es-419"/>
        </w:rPr>
        <w:t xml:space="preserve">la </w:t>
      </w:r>
      <w:r w:rsidR="001A2483">
        <w:rPr>
          <w:lang w:val="es-419"/>
        </w:rPr>
        <w:fldChar w:fldCharType="begin"/>
      </w:r>
      <w:r w:rsidR="001A2483">
        <w:rPr>
          <w:lang w:val="es-419"/>
        </w:rPr>
        <w:instrText xml:space="preserve"> REF _Ref210307756 \h </w:instrText>
      </w:r>
      <w:r w:rsidR="001A2483">
        <w:rPr>
          <w:lang w:val="es-419"/>
        </w:rPr>
      </w:r>
      <w:r w:rsidR="001A2483">
        <w:rPr>
          <w:lang w:val="es-419"/>
        </w:rPr>
        <w:fldChar w:fldCharType="separate"/>
      </w:r>
      <w:r w:rsidR="00ED1F2F">
        <w:t xml:space="preserve">Tabla </w:t>
      </w:r>
      <w:r w:rsidR="00ED1F2F">
        <w:rPr>
          <w:noProof/>
        </w:rPr>
        <w:t>23</w:t>
      </w:r>
      <w:r w:rsidR="001A2483">
        <w:rPr>
          <w:lang w:val="es-419"/>
        </w:rPr>
        <w:fldChar w:fldCharType="end"/>
      </w:r>
      <w:r w:rsidR="001A2483">
        <w:rPr>
          <w:lang w:val="es-419"/>
        </w:rPr>
        <w:t xml:space="preserve"> </w:t>
      </w:r>
      <w:r w:rsidR="0076087B" w:rsidRPr="0076087B">
        <w:rPr>
          <w:lang w:val="es-419"/>
        </w:rPr>
        <w:t>es posible observar la tasa de desocupación por municipio de Quintana Roo. Destacan aquellos municipios con mayor reducción, en específico Bacalar que pasó de 2.53</w:t>
      </w:r>
      <w:r w:rsidR="0019290E">
        <w:rPr>
          <w:lang w:val="es-419"/>
        </w:rPr>
        <w:t xml:space="preserve"> %</w:t>
      </w:r>
      <w:r w:rsidR="0076087B" w:rsidRPr="0076087B">
        <w:rPr>
          <w:lang w:val="es-419"/>
        </w:rPr>
        <w:t xml:space="preserve"> a 0.55</w:t>
      </w:r>
      <w:r w:rsidR="0019290E">
        <w:rPr>
          <w:lang w:val="es-419"/>
        </w:rPr>
        <w:t xml:space="preserve"> %</w:t>
      </w:r>
      <w:r w:rsidR="0076087B" w:rsidRPr="0076087B">
        <w:rPr>
          <w:lang w:val="es-419"/>
        </w:rPr>
        <w:t xml:space="preserve"> y José María Morelos que pasó de 1.96</w:t>
      </w:r>
      <w:r w:rsidR="0019290E">
        <w:rPr>
          <w:lang w:val="es-419"/>
        </w:rPr>
        <w:t xml:space="preserve"> %</w:t>
      </w:r>
      <w:r w:rsidR="0076087B" w:rsidRPr="0076087B">
        <w:rPr>
          <w:lang w:val="es-419"/>
        </w:rPr>
        <w:t xml:space="preserve"> a 0.81</w:t>
      </w:r>
      <w:r w:rsidR="0019290E">
        <w:rPr>
          <w:lang w:val="es-419"/>
        </w:rPr>
        <w:t xml:space="preserve"> %</w:t>
      </w:r>
      <w:r w:rsidR="0076087B" w:rsidRPr="0076087B">
        <w:rPr>
          <w:lang w:val="es-419"/>
        </w:rPr>
        <w:t>. En contraste, Cozumel presenta un incremento considerable, al alcanzar 10.88</w:t>
      </w:r>
      <w:r w:rsidR="0019290E">
        <w:rPr>
          <w:lang w:val="es-419"/>
        </w:rPr>
        <w:t xml:space="preserve"> %</w:t>
      </w:r>
      <w:r w:rsidR="0076087B" w:rsidRPr="0076087B">
        <w:rPr>
          <w:lang w:val="es-419"/>
        </w:rPr>
        <w:t xml:space="preserve"> en 2025, mientras que Benito Juárez también muestra niveles elevados de 3.51</w:t>
      </w:r>
      <w:r w:rsidR="0019290E">
        <w:rPr>
          <w:lang w:val="es-419"/>
        </w:rPr>
        <w:t xml:space="preserve"> %</w:t>
      </w:r>
      <w:r w:rsidR="0076087B" w:rsidRPr="0076087B">
        <w:rPr>
          <w:lang w:val="es-419"/>
        </w:rPr>
        <w:t>. De manera general, se observa un comportamiento desigual de la desocupación en el Estado, con municipios que consolidan mejoras y otros que enfrentan incrementos importantes</w:t>
      </w:r>
      <w:r w:rsidR="00357F84" w:rsidRPr="00357F84">
        <w:rPr>
          <w:lang w:val="es-419"/>
        </w:rPr>
        <w:t>.</w:t>
      </w:r>
    </w:p>
    <w:p w14:paraId="5FDAF9A1" w14:textId="1D517C62" w:rsidR="00F403D3" w:rsidRDefault="001A2483" w:rsidP="001A2483">
      <w:pPr>
        <w:pStyle w:val="Descripcin"/>
        <w:jc w:val="center"/>
        <w:rPr>
          <w:lang w:val="es-MX"/>
        </w:rPr>
      </w:pPr>
      <w:bookmarkStart w:id="141" w:name="_Ref210307756"/>
      <w:r>
        <w:t xml:space="preserve">Tabla </w:t>
      </w:r>
      <w:fldSimple w:instr=" SEQ Tabla \* ARABIC ">
        <w:r w:rsidR="00ED1F2F">
          <w:rPr>
            <w:noProof/>
          </w:rPr>
          <w:t>23</w:t>
        </w:r>
      </w:fldSimple>
      <w:bookmarkEnd w:id="141"/>
      <w:r w:rsidR="00F403D3" w:rsidRPr="00D471C1">
        <w:rPr>
          <w:lang w:val="es-MX"/>
        </w:rPr>
        <w:t xml:space="preserve">. </w:t>
      </w:r>
      <w:r w:rsidR="00F403D3" w:rsidRPr="00305D32">
        <w:rPr>
          <w:lang w:val="es-MX"/>
        </w:rPr>
        <w:t xml:space="preserve">Tasa </w:t>
      </w:r>
      <w:r w:rsidR="00565492">
        <w:rPr>
          <w:lang w:val="es-MX"/>
        </w:rPr>
        <w:t xml:space="preserve">porcentual </w:t>
      </w:r>
      <w:r w:rsidR="00F403D3" w:rsidRPr="00305D32">
        <w:rPr>
          <w:lang w:val="es-MX"/>
        </w:rPr>
        <w:t>de desocupación trimestral</w:t>
      </w:r>
      <w:r w:rsidR="00F403D3">
        <w:rPr>
          <w:lang w:val="es-MX"/>
        </w:rPr>
        <w:t xml:space="preserve"> municipal</w:t>
      </w:r>
      <w:r w:rsidR="00F403D3" w:rsidRPr="00305D32">
        <w:rPr>
          <w:lang w:val="es-MX"/>
        </w:rPr>
        <w:t>, 2023-2025</w:t>
      </w:r>
      <w:r w:rsidR="00A31A5B">
        <w:rPr>
          <w:lang w:val="es-MX"/>
        </w:rPr>
        <w:t>.</w:t>
      </w:r>
    </w:p>
    <w:tbl>
      <w:tblPr>
        <w:tblW w:w="8575" w:type="dxa"/>
        <w:jc w:val="center"/>
        <w:tblCellMar>
          <w:left w:w="70" w:type="dxa"/>
          <w:right w:w="70" w:type="dxa"/>
        </w:tblCellMar>
        <w:tblLook w:val="04A0" w:firstRow="1" w:lastRow="0" w:firstColumn="1" w:lastColumn="0" w:noHBand="0" w:noVBand="1"/>
      </w:tblPr>
      <w:tblGrid>
        <w:gridCol w:w="3584"/>
        <w:gridCol w:w="1663"/>
        <w:gridCol w:w="1664"/>
        <w:gridCol w:w="1664"/>
      </w:tblGrid>
      <w:tr w:rsidR="0057303B" w:rsidRPr="0057303B" w14:paraId="3E3B8B9C" w14:textId="77777777" w:rsidTr="008C0A4F">
        <w:trPr>
          <w:trHeight w:val="26"/>
          <w:tblHeader/>
          <w:jc w:val="center"/>
        </w:trPr>
        <w:tc>
          <w:tcPr>
            <w:tcW w:w="3584" w:type="dxa"/>
            <w:tcBorders>
              <w:top w:val="single" w:sz="8" w:space="0" w:color="000000"/>
              <w:left w:val="nil"/>
              <w:bottom w:val="single" w:sz="8" w:space="0" w:color="000000"/>
              <w:right w:val="nil"/>
            </w:tcBorders>
            <w:vAlign w:val="center"/>
            <w:hideMark/>
          </w:tcPr>
          <w:p w14:paraId="761F8490" w14:textId="76EA2993" w:rsidR="0057303B" w:rsidRPr="0057303B" w:rsidRDefault="001A2483" w:rsidP="0057303B">
            <w:pPr>
              <w:spacing w:after="0" w:line="240" w:lineRule="auto"/>
              <w:jc w:val="center"/>
              <w:rPr>
                <w:rFonts w:eastAsia="Times New Roman"/>
                <w:b/>
                <w:bCs/>
                <w:color w:val="000000"/>
                <w:sz w:val="20"/>
                <w:szCs w:val="20"/>
                <w:lang w:val="es-419" w:eastAsia="es-419"/>
              </w:rPr>
            </w:pPr>
            <w:r>
              <w:rPr>
                <w:rFonts w:eastAsia="Times New Roman"/>
                <w:b/>
                <w:bCs/>
                <w:color w:val="000000"/>
                <w:sz w:val="20"/>
                <w:szCs w:val="20"/>
                <w:lang w:val="es-MX" w:eastAsia="es-419"/>
              </w:rPr>
              <w:t>M</w:t>
            </w:r>
            <w:r w:rsidR="0057303B" w:rsidRPr="0057303B">
              <w:rPr>
                <w:rFonts w:eastAsia="Times New Roman"/>
                <w:b/>
                <w:bCs/>
                <w:color w:val="000000"/>
                <w:sz w:val="20"/>
                <w:szCs w:val="20"/>
                <w:lang w:val="es-MX" w:eastAsia="es-419"/>
              </w:rPr>
              <w:t>unicipio</w:t>
            </w:r>
          </w:p>
        </w:tc>
        <w:tc>
          <w:tcPr>
            <w:tcW w:w="1663" w:type="dxa"/>
            <w:tcBorders>
              <w:top w:val="single" w:sz="8" w:space="0" w:color="000000"/>
              <w:left w:val="nil"/>
              <w:bottom w:val="single" w:sz="8" w:space="0" w:color="000000"/>
              <w:right w:val="nil"/>
            </w:tcBorders>
            <w:vAlign w:val="center"/>
            <w:hideMark/>
          </w:tcPr>
          <w:p w14:paraId="322D86DE" w14:textId="77777777" w:rsidR="0057303B" w:rsidRPr="0057303B" w:rsidRDefault="0057303B" w:rsidP="0057303B">
            <w:pPr>
              <w:spacing w:after="0" w:line="240" w:lineRule="auto"/>
              <w:jc w:val="center"/>
              <w:rPr>
                <w:rFonts w:eastAsia="Times New Roman"/>
                <w:b/>
                <w:bCs/>
                <w:color w:val="000000"/>
                <w:sz w:val="20"/>
                <w:szCs w:val="20"/>
                <w:lang w:val="es-419" w:eastAsia="es-419"/>
              </w:rPr>
            </w:pPr>
            <w:r w:rsidRPr="0057303B">
              <w:rPr>
                <w:rFonts w:eastAsia="Times New Roman"/>
                <w:b/>
                <w:bCs/>
                <w:color w:val="000000"/>
                <w:sz w:val="20"/>
                <w:szCs w:val="20"/>
                <w:lang w:val="es-MX" w:eastAsia="es-419"/>
              </w:rPr>
              <w:t>2023-T4</w:t>
            </w:r>
          </w:p>
        </w:tc>
        <w:tc>
          <w:tcPr>
            <w:tcW w:w="1664" w:type="dxa"/>
            <w:tcBorders>
              <w:top w:val="single" w:sz="8" w:space="0" w:color="000000"/>
              <w:left w:val="nil"/>
              <w:bottom w:val="single" w:sz="8" w:space="0" w:color="000000"/>
              <w:right w:val="nil"/>
            </w:tcBorders>
            <w:vAlign w:val="center"/>
            <w:hideMark/>
          </w:tcPr>
          <w:p w14:paraId="179BC48C" w14:textId="77777777" w:rsidR="0057303B" w:rsidRPr="0057303B" w:rsidRDefault="0057303B" w:rsidP="0057303B">
            <w:pPr>
              <w:spacing w:after="0" w:line="240" w:lineRule="auto"/>
              <w:jc w:val="center"/>
              <w:rPr>
                <w:rFonts w:eastAsia="Times New Roman"/>
                <w:b/>
                <w:bCs/>
                <w:color w:val="000000"/>
                <w:sz w:val="20"/>
                <w:szCs w:val="20"/>
                <w:lang w:val="es-419" w:eastAsia="es-419"/>
              </w:rPr>
            </w:pPr>
            <w:r w:rsidRPr="0057303B">
              <w:rPr>
                <w:rFonts w:eastAsia="Times New Roman"/>
                <w:b/>
                <w:bCs/>
                <w:color w:val="000000"/>
                <w:sz w:val="20"/>
                <w:szCs w:val="20"/>
                <w:lang w:val="es-MX" w:eastAsia="es-419"/>
              </w:rPr>
              <w:t>2024-T4</w:t>
            </w:r>
          </w:p>
        </w:tc>
        <w:tc>
          <w:tcPr>
            <w:tcW w:w="1664" w:type="dxa"/>
            <w:tcBorders>
              <w:top w:val="single" w:sz="8" w:space="0" w:color="000000"/>
              <w:left w:val="nil"/>
              <w:bottom w:val="single" w:sz="8" w:space="0" w:color="000000"/>
              <w:right w:val="nil"/>
            </w:tcBorders>
            <w:vAlign w:val="center"/>
            <w:hideMark/>
          </w:tcPr>
          <w:p w14:paraId="4DCFF6CA" w14:textId="77777777" w:rsidR="0057303B" w:rsidRPr="0057303B" w:rsidRDefault="0057303B" w:rsidP="0057303B">
            <w:pPr>
              <w:spacing w:after="0" w:line="240" w:lineRule="auto"/>
              <w:jc w:val="center"/>
              <w:rPr>
                <w:rFonts w:eastAsia="Times New Roman"/>
                <w:b/>
                <w:bCs/>
                <w:color w:val="000000"/>
                <w:sz w:val="20"/>
                <w:szCs w:val="20"/>
                <w:lang w:val="es-419" w:eastAsia="es-419"/>
              </w:rPr>
            </w:pPr>
            <w:r w:rsidRPr="0057303B">
              <w:rPr>
                <w:rFonts w:eastAsia="Times New Roman"/>
                <w:b/>
                <w:bCs/>
                <w:color w:val="000000"/>
                <w:sz w:val="20"/>
                <w:szCs w:val="20"/>
                <w:lang w:val="es-MX" w:eastAsia="es-419"/>
              </w:rPr>
              <w:t>2025-T2</w:t>
            </w:r>
          </w:p>
        </w:tc>
      </w:tr>
      <w:tr w:rsidR="0057303B" w:rsidRPr="0057303B" w14:paraId="0CD4ECD0" w14:textId="77777777" w:rsidTr="008C0A4F">
        <w:trPr>
          <w:trHeight w:val="26"/>
          <w:jc w:val="center"/>
        </w:trPr>
        <w:tc>
          <w:tcPr>
            <w:tcW w:w="3584" w:type="dxa"/>
            <w:tcBorders>
              <w:top w:val="nil"/>
              <w:left w:val="nil"/>
              <w:bottom w:val="nil"/>
              <w:right w:val="nil"/>
            </w:tcBorders>
            <w:vAlign w:val="center"/>
            <w:hideMark/>
          </w:tcPr>
          <w:p w14:paraId="0D67AC8D" w14:textId="77777777" w:rsidR="0057303B" w:rsidRPr="0057303B" w:rsidRDefault="0057303B" w:rsidP="0057303B">
            <w:pPr>
              <w:spacing w:after="0" w:line="240" w:lineRule="auto"/>
              <w:jc w:val="left"/>
              <w:rPr>
                <w:rFonts w:eastAsia="Times New Roman"/>
                <w:color w:val="000000"/>
                <w:sz w:val="20"/>
                <w:szCs w:val="20"/>
                <w:lang w:val="es-419" w:eastAsia="es-419"/>
              </w:rPr>
            </w:pPr>
            <w:r w:rsidRPr="0057303B">
              <w:rPr>
                <w:rFonts w:eastAsia="Times New Roman"/>
                <w:color w:val="000000"/>
                <w:sz w:val="20"/>
                <w:szCs w:val="20"/>
                <w:lang w:val="es-MX" w:eastAsia="es-419"/>
              </w:rPr>
              <w:t>Bacalar</w:t>
            </w:r>
          </w:p>
        </w:tc>
        <w:tc>
          <w:tcPr>
            <w:tcW w:w="1663" w:type="dxa"/>
            <w:tcBorders>
              <w:top w:val="nil"/>
              <w:left w:val="nil"/>
              <w:bottom w:val="nil"/>
              <w:right w:val="nil"/>
            </w:tcBorders>
            <w:vAlign w:val="center"/>
            <w:hideMark/>
          </w:tcPr>
          <w:p w14:paraId="5D535EA2"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2.53</w:t>
            </w:r>
          </w:p>
        </w:tc>
        <w:tc>
          <w:tcPr>
            <w:tcW w:w="1664" w:type="dxa"/>
            <w:tcBorders>
              <w:top w:val="nil"/>
              <w:left w:val="nil"/>
              <w:bottom w:val="nil"/>
              <w:right w:val="nil"/>
            </w:tcBorders>
            <w:vAlign w:val="center"/>
            <w:hideMark/>
          </w:tcPr>
          <w:p w14:paraId="62625CA5"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0.57</w:t>
            </w:r>
          </w:p>
        </w:tc>
        <w:tc>
          <w:tcPr>
            <w:tcW w:w="1664" w:type="dxa"/>
            <w:tcBorders>
              <w:top w:val="nil"/>
              <w:left w:val="nil"/>
              <w:bottom w:val="nil"/>
              <w:right w:val="nil"/>
            </w:tcBorders>
            <w:vAlign w:val="center"/>
            <w:hideMark/>
          </w:tcPr>
          <w:p w14:paraId="72890014"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0.55</w:t>
            </w:r>
          </w:p>
        </w:tc>
      </w:tr>
      <w:tr w:rsidR="0057303B" w:rsidRPr="0057303B" w14:paraId="67833221" w14:textId="77777777" w:rsidTr="008C0A4F">
        <w:trPr>
          <w:trHeight w:val="26"/>
          <w:jc w:val="center"/>
        </w:trPr>
        <w:tc>
          <w:tcPr>
            <w:tcW w:w="3584" w:type="dxa"/>
            <w:tcBorders>
              <w:top w:val="nil"/>
              <w:left w:val="nil"/>
              <w:bottom w:val="nil"/>
              <w:right w:val="nil"/>
            </w:tcBorders>
            <w:vAlign w:val="center"/>
            <w:hideMark/>
          </w:tcPr>
          <w:p w14:paraId="5F8DB09E" w14:textId="77777777" w:rsidR="0057303B" w:rsidRPr="0057303B" w:rsidRDefault="0057303B" w:rsidP="0057303B">
            <w:pPr>
              <w:spacing w:after="0" w:line="240" w:lineRule="auto"/>
              <w:jc w:val="left"/>
              <w:rPr>
                <w:rFonts w:eastAsia="Times New Roman"/>
                <w:color w:val="000000"/>
                <w:sz w:val="20"/>
                <w:szCs w:val="20"/>
                <w:lang w:val="es-419" w:eastAsia="es-419"/>
              </w:rPr>
            </w:pPr>
            <w:r w:rsidRPr="0057303B">
              <w:rPr>
                <w:rFonts w:eastAsia="Times New Roman"/>
                <w:color w:val="000000"/>
                <w:sz w:val="20"/>
                <w:szCs w:val="20"/>
                <w:lang w:val="es-MX" w:eastAsia="es-419"/>
              </w:rPr>
              <w:t>Benito Juárez</w:t>
            </w:r>
          </w:p>
        </w:tc>
        <w:tc>
          <w:tcPr>
            <w:tcW w:w="1663" w:type="dxa"/>
            <w:tcBorders>
              <w:top w:val="nil"/>
              <w:left w:val="nil"/>
              <w:bottom w:val="nil"/>
              <w:right w:val="nil"/>
            </w:tcBorders>
            <w:vAlign w:val="center"/>
            <w:hideMark/>
          </w:tcPr>
          <w:p w14:paraId="59BD7B0F"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2.81</w:t>
            </w:r>
          </w:p>
        </w:tc>
        <w:tc>
          <w:tcPr>
            <w:tcW w:w="1664" w:type="dxa"/>
            <w:tcBorders>
              <w:top w:val="nil"/>
              <w:left w:val="nil"/>
              <w:bottom w:val="nil"/>
              <w:right w:val="nil"/>
            </w:tcBorders>
            <w:vAlign w:val="center"/>
            <w:hideMark/>
          </w:tcPr>
          <w:p w14:paraId="5526CA3C"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3.89</w:t>
            </w:r>
          </w:p>
        </w:tc>
        <w:tc>
          <w:tcPr>
            <w:tcW w:w="1664" w:type="dxa"/>
            <w:tcBorders>
              <w:top w:val="nil"/>
              <w:left w:val="nil"/>
              <w:bottom w:val="nil"/>
              <w:right w:val="nil"/>
            </w:tcBorders>
            <w:vAlign w:val="center"/>
            <w:hideMark/>
          </w:tcPr>
          <w:p w14:paraId="4C294D31"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3.51</w:t>
            </w:r>
          </w:p>
        </w:tc>
      </w:tr>
      <w:tr w:rsidR="0057303B" w:rsidRPr="0057303B" w14:paraId="6C85018D" w14:textId="77777777" w:rsidTr="008C0A4F">
        <w:trPr>
          <w:trHeight w:val="26"/>
          <w:jc w:val="center"/>
        </w:trPr>
        <w:tc>
          <w:tcPr>
            <w:tcW w:w="3584" w:type="dxa"/>
            <w:tcBorders>
              <w:top w:val="nil"/>
              <w:left w:val="nil"/>
              <w:bottom w:val="nil"/>
              <w:right w:val="nil"/>
            </w:tcBorders>
            <w:vAlign w:val="center"/>
            <w:hideMark/>
          </w:tcPr>
          <w:p w14:paraId="2F271A52" w14:textId="77777777" w:rsidR="0057303B" w:rsidRPr="0057303B" w:rsidRDefault="0057303B" w:rsidP="0057303B">
            <w:pPr>
              <w:spacing w:after="0" w:line="240" w:lineRule="auto"/>
              <w:jc w:val="left"/>
              <w:rPr>
                <w:rFonts w:eastAsia="Times New Roman"/>
                <w:color w:val="000000"/>
                <w:sz w:val="20"/>
                <w:szCs w:val="20"/>
                <w:lang w:val="es-419" w:eastAsia="es-419"/>
              </w:rPr>
            </w:pPr>
            <w:r w:rsidRPr="0057303B">
              <w:rPr>
                <w:rFonts w:eastAsia="Times New Roman"/>
                <w:color w:val="000000"/>
                <w:sz w:val="20"/>
                <w:szCs w:val="20"/>
                <w:lang w:val="es-MX" w:eastAsia="es-419"/>
              </w:rPr>
              <w:t>Cozumel</w:t>
            </w:r>
          </w:p>
        </w:tc>
        <w:tc>
          <w:tcPr>
            <w:tcW w:w="1663" w:type="dxa"/>
            <w:tcBorders>
              <w:top w:val="nil"/>
              <w:left w:val="nil"/>
              <w:bottom w:val="nil"/>
              <w:right w:val="nil"/>
            </w:tcBorders>
            <w:vAlign w:val="center"/>
            <w:hideMark/>
          </w:tcPr>
          <w:p w14:paraId="0A2978B6"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3.02</w:t>
            </w:r>
          </w:p>
        </w:tc>
        <w:tc>
          <w:tcPr>
            <w:tcW w:w="1664" w:type="dxa"/>
            <w:tcBorders>
              <w:top w:val="nil"/>
              <w:left w:val="nil"/>
              <w:bottom w:val="nil"/>
              <w:right w:val="nil"/>
            </w:tcBorders>
            <w:vAlign w:val="center"/>
            <w:hideMark/>
          </w:tcPr>
          <w:p w14:paraId="74088514"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1.99</w:t>
            </w:r>
          </w:p>
        </w:tc>
        <w:tc>
          <w:tcPr>
            <w:tcW w:w="1664" w:type="dxa"/>
            <w:tcBorders>
              <w:top w:val="nil"/>
              <w:left w:val="nil"/>
              <w:bottom w:val="nil"/>
              <w:right w:val="nil"/>
            </w:tcBorders>
            <w:vAlign w:val="center"/>
            <w:hideMark/>
          </w:tcPr>
          <w:p w14:paraId="05E63B7E"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10.88</w:t>
            </w:r>
          </w:p>
        </w:tc>
      </w:tr>
      <w:tr w:rsidR="0057303B" w:rsidRPr="0057303B" w14:paraId="7F571C06" w14:textId="77777777" w:rsidTr="008C0A4F">
        <w:trPr>
          <w:trHeight w:val="26"/>
          <w:jc w:val="center"/>
        </w:trPr>
        <w:tc>
          <w:tcPr>
            <w:tcW w:w="3584" w:type="dxa"/>
            <w:tcBorders>
              <w:top w:val="nil"/>
              <w:left w:val="nil"/>
              <w:bottom w:val="nil"/>
              <w:right w:val="nil"/>
            </w:tcBorders>
            <w:vAlign w:val="center"/>
            <w:hideMark/>
          </w:tcPr>
          <w:p w14:paraId="45996194" w14:textId="77777777" w:rsidR="0057303B" w:rsidRPr="0057303B" w:rsidRDefault="0057303B" w:rsidP="0057303B">
            <w:pPr>
              <w:spacing w:after="0" w:line="240" w:lineRule="auto"/>
              <w:jc w:val="left"/>
              <w:rPr>
                <w:rFonts w:eastAsia="Times New Roman"/>
                <w:color w:val="000000"/>
                <w:sz w:val="20"/>
                <w:szCs w:val="20"/>
                <w:lang w:val="es-419" w:eastAsia="es-419"/>
              </w:rPr>
            </w:pPr>
            <w:r w:rsidRPr="0057303B">
              <w:rPr>
                <w:rFonts w:eastAsia="Times New Roman"/>
                <w:color w:val="000000"/>
                <w:sz w:val="20"/>
                <w:szCs w:val="20"/>
                <w:lang w:val="es-MX" w:eastAsia="es-419"/>
              </w:rPr>
              <w:t>Felipe Carrillo Puerto</w:t>
            </w:r>
          </w:p>
        </w:tc>
        <w:tc>
          <w:tcPr>
            <w:tcW w:w="1663" w:type="dxa"/>
            <w:tcBorders>
              <w:top w:val="nil"/>
              <w:left w:val="nil"/>
              <w:bottom w:val="nil"/>
              <w:right w:val="nil"/>
            </w:tcBorders>
            <w:vAlign w:val="center"/>
            <w:hideMark/>
          </w:tcPr>
          <w:p w14:paraId="28413F36"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0.90</w:t>
            </w:r>
          </w:p>
        </w:tc>
        <w:tc>
          <w:tcPr>
            <w:tcW w:w="1664" w:type="dxa"/>
            <w:tcBorders>
              <w:top w:val="nil"/>
              <w:left w:val="nil"/>
              <w:bottom w:val="nil"/>
              <w:right w:val="nil"/>
            </w:tcBorders>
            <w:vAlign w:val="center"/>
            <w:hideMark/>
          </w:tcPr>
          <w:p w14:paraId="6A22C94A"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2.47</w:t>
            </w:r>
          </w:p>
        </w:tc>
        <w:tc>
          <w:tcPr>
            <w:tcW w:w="1664" w:type="dxa"/>
            <w:tcBorders>
              <w:top w:val="nil"/>
              <w:left w:val="nil"/>
              <w:bottom w:val="nil"/>
              <w:right w:val="nil"/>
            </w:tcBorders>
            <w:vAlign w:val="center"/>
            <w:hideMark/>
          </w:tcPr>
          <w:p w14:paraId="53911172"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2.71</w:t>
            </w:r>
          </w:p>
        </w:tc>
      </w:tr>
      <w:tr w:rsidR="0057303B" w:rsidRPr="0057303B" w14:paraId="190860AB" w14:textId="77777777" w:rsidTr="008C0A4F">
        <w:trPr>
          <w:trHeight w:val="26"/>
          <w:jc w:val="center"/>
        </w:trPr>
        <w:tc>
          <w:tcPr>
            <w:tcW w:w="3584" w:type="dxa"/>
            <w:tcBorders>
              <w:top w:val="nil"/>
              <w:left w:val="nil"/>
              <w:bottom w:val="nil"/>
              <w:right w:val="nil"/>
            </w:tcBorders>
            <w:vAlign w:val="center"/>
            <w:hideMark/>
          </w:tcPr>
          <w:p w14:paraId="4BDB1BAC" w14:textId="77777777" w:rsidR="0057303B" w:rsidRPr="0057303B" w:rsidRDefault="0057303B" w:rsidP="0057303B">
            <w:pPr>
              <w:spacing w:after="0" w:line="240" w:lineRule="auto"/>
              <w:jc w:val="left"/>
              <w:rPr>
                <w:rFonts w:eastAsia="Times New Roman"/>
                <w:color w:val="000000"/>
                <w:sz w:val="20"/>
                <w:szCs w:val="20"/>
                <w:lang w:val="es-419" w:eastAsia="es-419"/>
              </w:rPr>
            </w:pPr>
            <w:r w:rsidRPr="0057303B">
              <w:rPr>
                <w:rFonts w:eastAsia="Times New Roman"/>
                <w:color w:val="000000"/>
                <w:sz w:val="20"/>
                <w:szCs w:val="20"/>
                <w:lang w:val="es-MX" w:eastAsia="es-419"/>
              </w:rPr>
              <w:t>Isla Mujeres</w:t>
            </w:r>
          </w:p>
        </w:tc>
        <w:tc>
          <w:tcPr>
            <w:tcW w:w="1663" w:type="dxa"/>
            <w:tcBorders>
              <w:top w:val="nil"/>
              <w:left w:val="nil"/>
              <w:bottom w:val="nil"/>
              <w:right w:val="nil"/>
            </w:tcBorders>
            <w:vAlign w:val="center"/>
            <w:hideMark/>
          </w:tcPr>
          <w:p w14:paraId="2FC17B50"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3.48</w:t>
            </w:r>
          </w:p>
        </w:tc>
        <w:tc>
          <w:tcPr>
            <w:tcW w:w="1664" w:type="dxa"/>
            <w:tcBorders>
              <w:top w:val="nil"/>
              <w:left w:val="nil"/>
              <w:bottom w:val="nil"/>
              <w:right w:val="nil"/>
            </w:tcBorders>
            <w:vAlign w:val="center"/>
            <w:hideMark/>
          </w:tcPr>
          <w:p w14:paraId="2CA48022"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0.42</w:t>
            </w:r>
          </w:p>
        </w:tc>
        <w:tc>
          <w:tcPr>
            <w:tcW w:w="1664" w:type="dxa"/>
            <w:tcBorders>
              <w:top w:val="nil"/>
              <w:left w:val="nil"/>
              <w:bottom w:val="nil"/>
              <w:right w:val="nil"/>
            </w:tcBorders>
            <w:vAlign w:val="center"/>
            <w:hideMark/>
          </w:tcPr>
          <w:p w14:paraId="3DD46A8C"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2.23</w:t>
            </w:r>
          </w:p>
        </w:tc>
      </w:tr>
      <w:tr w:rsidR="0057303B" w:rsidRPr="0057303B" w14:paraId="04174310" w14:textId="77777777" w:rsidTr="008C0A4F">
        <w:trPr>
          <w:trHeight w:val="26"/>
          <w:jc w:val="center"/>
        </w:trPr>
        <w:tc>
          <w:tcPr>
            <w:tcW w:w="3584" w:type="dxa"/>
            <w:tcBorders>
              <w:top w:val="nil"/>
              <w:left w:val="nil"/>
              <w:bottom w:val="nil"/>
              <w:right w:val="nil"/>
            </w:tcBorders>
            <w:vAlign w:val="center"/>
            <w:hideMark/>
          </w:tcPr>
          <w:p w14:paraId="7171317F" w14:textId="77777777" w:rsidR="0057303B" w:rsidRPr="0057303B" w:rsidRDefault="0057303B" w:rsidP="0057303B">
            <w:pPr>
              <w:spacing w:after="0" w:line="240" w:lineRule="auto"/>
              <w:jc w:val="left"/>
              <w:rPr>
                <w:rFonts w:eastAsia="Times New Roman"/>
                <w:color w:val="000000"/>
                <w:sz w:val="20"/>
                <w:szCs w:val="20"/>
                <w:lang w:val="es-419" w:eastAsia="es-419"/>
              </w:rPr>
            </w:pPr>
            <w:r w:rsidRPr="0057303B">
              <w:rPr>
                <w:rFonts w:eastAsia="Times New Roman"/>
                <w:color w:val="000000"/>
                <w:sz w:val="20"/>
                <w:szCs w:val="20"/>
                <w:lang w:val="es-MX" w:eastAsia="es-419"/>
              </w:rPr>
              <w:t>José María Morelos</w:t>
            </w:r>
          </w:p>
        </w:tc>
        <w:tc>
          <w:tcPr>
            <w:tcW w:w="1663" w:type="dxa"/>
            <w:tcBorders>
              <w:top w:val="nil"/>
              <w:left w:val="nil"/>
              <w:bottom w:val="nil"/>
              <w:right w:val="nil"/>
            </w:tcBorders>
            <w:vAlign w:val="center"/>
            <w:hideMark/>
          </w:tcPr>
          <w:p w14:paraId="1E84C9E1"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1.96</w:t>
            </w:r>
          </w:p>
        </w:tc>
        <w:tc>
          <w:tcPr>
            <w:tcW w:w="1664" w:type="dxa"/>
            <w:tcBorders>
              <w:top w:val="nil"/>
              <w:left w:val="nil"/>
              <w:bottom w:val="nil"/>
              <w:right w:val="nil"/>
            </w:tcBorders>
            <w:vAlign w:val="center"/>
            <w:hideMark/>
          </w:tcPr>
          <w:p w14:paraId="67417036"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0.75</w:t>
            </w:r>
          </w:p>
        </w:tc>
        <w:tc>
          <w:tcPr>
            <w:tcW w:w="1664" w:type="dxa"/>
            <w:tcBorders>
              <w:top w:val="nil"/>
              <w:left w:val="nil"/>
              <w:bottom w:val="nil"/>
              <w:right w:val="nil"/>
            </w:tcBorders>
            <w:vAlign w:val="center"/>
            <w:hideMark/>
          </w:tcPr>
          <w:p w14:paraId="547ABFA7"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0.81</w:t>
            </w:r>
          </w:p>
        </w:tc>
      </w:tr>
      <w:tr w:rsidR="0057303B" w:rsidRPr="0057303B" w14:paraId="6E6F5AEA" w14:textId="77777777" w:rsidTr="008C0A4F">
        <w:trPr>
          <w:trHeight w:val="26"/>
          <w:jc w:val="center"/>
        </w:trPr>
        <w:tc>
          <w:tcPr>
            <w:tcW w:w="3584" w:type="dxa"/>
            <w:tcBorders>
              <w:top w:val="nil"/>
              <w:left w:val="nil"/>
              <w:bottom w:val="nil"/>
              <w:right w:val="nil"/>
            </w:tcBorders>
            <w:vAlign w:val="center"/>
            <w:hideMark/>
          </w:tcPr>
          <w:p w14:paraId="0B7464AE" w14:textId="77777777" w:rsidR="0057303B" w:rsidRPr="0057303B" w:rsidRDefault="0057303B" w:rsidP="0057303B">
            <w:pPr>
              <w:spacing w:after="0" w:line="240" w:lineRule="auto"/>
              <w:jc w:val="left"/>
              <w:rPr>
                <w:rFonts w:eastAsia="Times New Roman"/>
                <w:color w:val="000000"/>
                <w:sz w:val="20"/>
                <w:szCs w:val="20"/>
                <w:lang w:val="es-419" w:eastAsia="es-419"/>
              </w:rPr>
            </w:pPr>
            <w:r w:rsidRPr="0057303B">
              <w:rPr>
                <w:rFonts w:eastAsia="Times New Roman"/>
                <w:color w:val="000000"/>
                <w:sz w:val="20"/>
                <w:szCs w:val="20"/>
                <w:lang w:val="es-MX" w:eastAsia="es-419"/>
              </w:rPr>
              <w:t>Lázaro Cárdenas</w:t>
            </w:r>
          </w:p>
        </w:tc>
        <w:tc>
          <w:tcPr>
            <w:tcW w:w="1663" w:type="dxa"/>
            <w:tcBorders>
              <w:top w:val="nil"/>
              <w:left w:val="nil"/>
              <w:bottom w:val="nil"/>
              <w:right w:val="nil"/>
            </w:tcBorders>
            <w:vAlign w:val="center"/>
            <w:hideMark/>
          </w:tcPr>
          <w:p w14:paraId="0B470C9B"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1.85</w:t>
            </w:r>
          </w:p>
        </w:tc>
        <w:tc>
          <w:tcPr>
            <w:tcW w:w="1664" w:type="dxa"/>
            <w:tcBorders>
              <w:top w:val="nil"/>
              <w:left w:val="nil"/>
              <w:bottom w:val="nil"/>
              <w:right w:val="nil"/>
            </w:tcBorders>
            <w:vAlign w:val="center"/>
            <w:hideMark/>
          </w:tcPr>
          <w:p w14:paraId="3FBB3BEC"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7.66</w:t>
            </w:r>
          </w:p>
        </w:tc>
        <w:tc>
          <w:tcPr>
            <w:tcW w:w="1664" w:type="dxa"/>
            <w:tcBorders>
              <w:top w:val="nil"/>
              <w:left w:val="nil"/>
              <w:bottom w:val="nil"/>
              <w:right w:val="nil"/>
            </w:tcBorders>
            <w:vAlign w:val="center"/>
            <w:hideMark/>
          </w:tcPr>
          <w:p w14:paraId="0CF6AD9F"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1.17</w:t>
            </w:r>
          </w:p>
        </w:tc>
      </w:tr>
      <w:tr w:rsidR="0057303B" w:rsidRPr="0057303B" w14:paraId="3A8A9B53" w14:textId="77777777" w:rsidTr="008C0A4F">
        <w:trPr>
          <w:trHeight w:val="26"/>
          <w:jc w:val="center"/>
        </w:trPr>
        <w:tc>
          <w:tcPr>
            <w:tcW w:w="3584" w:type="dxa"/>
            <w:tcBorders>
              <w:top w:val="nil"/>
              <w:left w:val="nil"/>
              <w:bottom w:val="nil"/>
              <w:right w:val="nil"/>
            </w:tcBorders>
            <w:vAlign w:val="center"/>
            <w:hideMark/>
          </w:tcPr>
          <w:p w14:paraId="40FFBF04" w14:textId="77777777" w:rsidR="0057303B" w:rsidRPr="0057303B" w:rsidRDefault="0057303B" w:rsidP="0057303B">
            <w:pPr>
              <w:spacing w:after="0" w:line="240" w:lineRule="auto"/>
              <w:jc w:val="left"/>
              <w:rPr>
                <w:rFonts w:eastAsia="Times New Roman"/>
                <w:color w:val="000000"/>
                <w:sz w:val="20"/>
                <w:szCs w:val="20"/>
                <w:lang w:val="es-419" w:eastAsia="es-419"/>
              </w:rPr>
            </w:pPr>
            <w:r w:rsidRPr="0057303B">
              <w:rPr>
                <w:rFonts w:eastAsia="Times New Roman"/>
                <w:color w:val="000000"/>
                <w:sz w:val="20"/>
                <w:szCs w:val="20"/>
                <w:lang w:val="es-MX" w:eastAsia="es-419"/>
              </w:rPr>
              <w:t>Othón P. Blanco</w:t>
            </w:r>
          </w:p>
        </w:tc>
        <w:tc>
          <w:tcPr>
            <w:tcW w:w="1663" w:type="dxa"/>
            <w:tcBorders>
              <w:top w:val="nil"/>
              <w:left w:val="nil"/>
              <w:bottom w:val="nil"/>
              <w:right w:val="nil"/>
            </w:tcBorders>
            <w:vAlign w:val="center"/>
            <w:hideMark/>
          </w:tcPr>
          <w:p w14:paraId="2E4FC79C"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2.28</w:t>
            </w:r>
          </w:p>
        </w:tc>
        <w:tc>
          <w:tcPr>
            <w:tcW w:w="1664" w:type="dxa"/>
            <w:tcBorders>
              <w:top w:val="nil"/>
              <w:left w:val="nil"/>
              <w:bottom w:val="nil"/>
              <w:right w:val="nil"/>
            </w:tcBorders>
            <w:vAlign w:val="center"/>
            <w:hideMark/>
          </w:tcPr>
          <w:p w14:paraId="45A96644"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1.49</w:t>
            </w:r>
          </w:p>
        </w:tc>
        <w:tc>
          <w:tcPr>
            <w:tcW w:w="1664" w:type="dxa"/>
            <w:tcBorders>
              <w:top w:val="nil"/>
              <w:left w:val="nil"/>
              <w:bottom w:val="nil"/>
              <w:right w:val="nil"/>
            </w:tcBorders>
            <w:vAlign w:val="center"/>
            <w:hideMark/>
          </w:tcPr>
          <w:p w14:paraId="0EC51A32"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1.44</w:t>
            </w:r>
          </w:p>
        </w:tc>
      </w:tr>
      <w:tr w:rsidR="0057303B" w:rsidRPr="0057303B" w14:paraId="358FB526" w14:textId="77777777" w:rsidTr="008C0A4F">
        <w:trPr>
          <w:trHeight w:val="26"/>
          <w:jc w:val="center"/>
        </w:trPr>
        <w:tc>
          <w:tcPr>
            <w:tcW w:w="3584" w:type="dxa"/>
            <w:tcBorders>
              <w:top w:val="nil"/>
              <w:left w:val="nil"/>
              <w:bottom w:val="nil"/>
              <w:right w:val="nil"/>
            </w:tcBorders>
            <w:vAlign w:val="center"/>
            <w:hideMark/>
          </w:tcPr>
          <w:p w14:paraId="72758A9A" w14:textId="79F57A2A" w:rsidR="0057303B" w:rsidRPr="0057303B" w:rsidRDefault="0057303B" w:rsidP="0057303B">
            <w:pPr>
              <w:spacing w:after="0" w:line="240" w:lineRule="auto"/>
              <w:jc w:val="left"/>
              <w:rPr>
                <w:rFonts w:eastAsia="Times New Roman"/>
                <w:color w:val="000000"/>
                <w:sz w:val="20"/>
                <w:szCs w:val="20"/>
                <w:lang w:val="es-419" w:eastAsia="es-419"/>
              </w:rPr>
            </w:pPr>
            <w:r w:rsidRPr="0057303B">
              <w:rPr>
                <w:rFonts w:eastAsia="Times New Roman"/>
                <w:color w:val="000000"/>
                <w:sz w:val="20"/>
                <w:szCs w:val="20"/>
                <w:lang w:val="es-MX" w:eastAsia="es-419"/>
              </w:rPr>
              <w:t>Puerto Morelos</w:t>
            </w:r>
          </w:p>
        </w:tc>
        <w:tc>
          <w:tcPr>
            <w:tcW w:w="1663" w:type="dxa"/>
            <w:tcBorders>
              <w:top w:val="nil"/>
              <w:left w:val="nil"/>
              <w:bottom w:val="nil"/>
              <w:right w:val="nil"/>
            </w:tcBorders>
            <w:vAlign w:val="center"/>
            <w:hideMark/>
          </w:tcPr>
          <w:p w14:paraId="225332C7" w14:textId="72B716E4" w:rsidR="0057303B" w:rsidRPr="0057303B" w:rsidRDefault="0057303B" w:rsidP="0057303B">
            <w:pPr>
              <w:spacing w:after="0" w:line="240" w:lineRule="auto"/>
              <w:jc w:val="center"/>
              <w:rPr>
                <w:rFonts w:eastAsia="Times New Roman"/>
                <w:color w:val="000000"/>
                <w:sz w:val="20"/>
                <w:szCs w:val="20"/>
                <w:lang w:val="es-419" w:eastAsia="es-419"/>
              </w:rPr>
            </w:pPr>
          </w:p>
        </w:tc>
        <w:tc>
          <w:tcPr>
            <w:tcW w:w="1664" w:type="dxa"/>
            <w:tcBorders>
              <w:top w:val="nil"/>
              <w:left w:val="nil"/>
              <w:bottom w:val="nil"/>
              <w:right w:val="nil"/>
            </w:tcBorders>
            <w:vAlign w:val="center"/>
            <w:hideMark/>
          </w:tcPr>
          <w:p w14:paraId="6CCFC772" w14:textId="05A26F1A" w:rsidR="0057303B" w:rsidRPr="0057303B" w:rsidRDefault="0057303B" w:rsidP="0057303B">
            <w:pPr>
              <w:spacing w:after="0" w:line="240" w:lineRule="auto"/>
              <w:jc w:val="center"/>
              <w:rPr>
                <w:rFonts w:eastAsia="Times New Roman"/>
                <w:color w:val="000000"/>
                <w:sz w:val="20"/>
                <w:szCs w:val="20"/>
                <w:lang w:val="es-419" w:eastAsia="es-419"/>
              </w:rPr>
            </w:pPr>
          </w:p>
        </w:tc>
        <w:tc>
          <w:tcPr>
            <w:tcW w:w="1664" w:type="dxa"/>
            <w:tcBorders>
              <w:top w:val="nil"/>
              <w:left w:val="nil"/>
              <w:bottom w:val="nil"/>
              <w:right w:val="nil"/>
            </w:tcBorders>
            <w:vAlign w:val="center"/>
            <w:hideMark/>
          </w:tcPr>
          <w:p w14:paraId="7A23415E"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2.88</w:t>
            </w:r>
          </w:p>
        </w:tc>
      </w:tr>
      <w:tr w:rsidR="0057303B" w:rsidRPr="0057303B" w14:paraId="0C7E3474" w14:textId="77777777" w:rsidTr="008C0A4F">
        <w:trPr>
          <w:trHeight w:val="26"/>
          <w:jc w:val="center"/>
        </w:trPr>
        <w:tc>
          <w:tcPr>
            <w:tcW w:w="3584" w:type="dxa"/>
            <w:tcBorders>
              <w:top w:val="nil"/>
              <w:left w:val="nil"/>
              <w:bottom w:val="nil"/>
              <w:right w:val="nil"/>
            </w:tcBorders>
            <w:vAlign w:val="center"/>
            <w:hideMark/>
          </w:tcPr>
          <w:p w14:paraId="65255256" w14:textId="77777777" w:rsidR="0057303B" w:rsidRPr="0057303B" w:rsidRDefault="0057303B" w:rsidP="0057303B">
            <w:pPr>
              <w:spacing w:after="0" w:line="240" w:lineRule="auto"/>
              <w:jc w:val="left"/>
              <w:rPr>
                <w:rFonts w:eastAsia="Times New Roman"/>
                <w:color w:val="000000"/>
                <w:sz w:val="20"/>
                <w:szCs w:val="20"/>
                <w:lang w:val="es-419" w:eastAsia="es-419"/>
              </w:rPr>
            </w:pPr>
            <w:r w:rsidRPr="0057303B">
              <w:rPr>
                <w:rFonts w:eastAsia="Times New Roman"/>
                <w:color w:val="000000"/>
                <w:sz w:val="20"/>
                <w:szCs w:val="20"/>
                <w:lang w:val="es-MX" w:eastAsia="es-419"/>
              </w:rPr>
              <w:t>Playa del Carmen</w:t>
            </w:r>
          </w:p>
        </w:tc>
        <w:tc>
          <w:tcPr>
            <w:tcW w:w="1663" w:type="dxa"/>
            <w:tcBorders>
              <w:top w:val="nil"/>
              <w:left w:val="nil"/>
              <w:bottom w:val="nil"/>
              <w:right w:val="nil"/>
            </w:tcBorders>
            <w:vAlign w:val="center"/>
            <w:hideMark/>
          </w:tcPr>
          <w:p w14:paraId="63D49DC8"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2.84</w:t>
            </w:r>
          </w:p>
        </w:tc>
        <w:tc>
          <w:tcPr>
            <w:tcW w:w="1664" w:type="dxa"/>
            <w:tcBorders>
              <w:top w:val="nil"/>
              <w:left w:val="nil"/>
              <w:bottom w:val="nil"/>
              <w:right w:val="nil"/>
            </w:tcBorders>
            <w:vAlign w:val="center"/>
            <w:hideMark/>
          </w:tcPr>
          <w:p w14:paraId="6EB5FB1D"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0.95</w:t>
            </w:r>
          </w:p>
        </w:tc>
        <w:tc>
          <w:tcPr>
            <w:tcW w:w="1664" w:type="dxa"/>
            <w:tcBorders>
              <w:top w:val="nil"/>
              <w:left w:val="nil"/>
              <w:bottom w:val="nil"/>
              <w:right w:val="nil"/>
            </w:tcBorders>
            <w:vAlign w:val="center"/>
            <w:hideMark/>
          </w:tcPr>
          <w:p w14:paraId="566F723B"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2.07</w:t>
            </w:r>
          </w:p>
        </w:tc>
      </w:tr>
      <w:tr w:rsidR="0057303B" w:rsidRPr="0057303B" w14:paraId="5FEE6D5F" w14:textId="77777777" w:rsidTr="008C0A4F">
        <w:trPr>
          <w:trHeight w:val="26"/>
          <w:jc w:val="center"/>
        </w:trPr>
        <w:tc>
          <w:tcPr>
            <w:tcW w:w="3584" w:type="dxa"/>
            <w:tcBorders>
              <w:top w:val="nil"/>
              <w:left w:val="nil"/>
              <w:bottom w:val="nil"/>
              <w:right w:val="nil"/>
            </w:tcBorders>
            <w:vAlign w:val="center"/>
            <w:hideMark/>
          </w:tcPr>
          <w:p w14:paraId="60AEF2A5" w14:textId="77777777" w:rsidR="0057303B" w:rsidRPr="0057303B" w:rsidRDefault="0057303B" w:rsidP="0057303B">
            <w:pPr>
              <w:spacing w:after="0" w:line="240" w:lineRule="auto"/>
              <w:jc w:val="left"/>
              <w:rPr>
                <w:rFonts w:eastAsia="Times New Roman"/>
                <w:color w:val="000000"/>
                <w:sz w:val="20"/>
                <w:szCs w:val="20"/>
                <w:lang w:val="es-419" w:eastAsia="es-419"/>
              </w:rPr>
            </w:pPr>
            <w:r w:rsidRPr="0057303B">
              <w:rPr>
                <w:rFonts w:eastAsia="Times New Roman"/>
                <w:color w:val="000000"/>
                <w:sz w:val="20"/>
                <w:szCs w:val="20"/>
                <w:lang w:val="es-MX" w:eastAsia="es-419"/>
              </w:rPr>
              <w:t>Tulum</w:t>
            </w:r>
          </w:p>
        </w:tc>
        <w:tc>
          <w:tcPr>
            <w:tcW w:w="1663" w:type="dxa"/>
            <w:tcBorders>
              <w:top w:val="nil"/>
              <w:left w:val="nil"/>
              <w:bottom w:val="nil"/>
              <w:right w:val="nil"/>
            </w:tcBorders>
            <w:vAlign w:val="center"/>
            <w:hideMark/>
          </w:tcPr>
          <w:p w14:paraId="329FA019"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5.34</w:t>
            </w:r>
          </w:p>
        </w:tc>
        <w:tc>
          <w:tcPr>
            <w:tcW w:w="1664" w:type="dxa"/>
            <w:tcBorders>
              <w:top w:val="nil"/>
              <w:left w:val="nil"/>
              <w:bottom w:val="nil"/>
              <w:right w:val="nil"/>
            </w:tcBorders>
            <w:vAlign w:val="center"/>
            <w:hideMark/>
          </w:tcPr>
          <w:p w14:paraId="30CDB819"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0.85</w:t>
            </w:r>
          </w:p>
        </w:tc>
        <w:tc>
          <w:tcPr>
            <w:tcW w:w="1664" w:type="dxa"/>
            <w:tcBorders>
              <w:top w:val="nil"/>
              <w:left w:val="nil"/>
              <w:bottom w:val="nil"/>
              <w:right w:val="nil"/>
            </w:tcBorders>
            <w:vAlign w:val="center"/>
            <w:hideMark/>
          </w:tcPr>
          <w:p w14:paraId="5F1C68D4" w14:textId="77777777" w:rsidR="0057303B" w:rsidRPr="0057303B" w:rsidRDefault="0057303B" w:rsidP="0057303B">
            <w:pPr>
              <w:spacing w:after="0" w:line="240" w:lineRule="auto"/>
              <w:jc w:val="center"/>
              <w:rPr>
                <w:rFonts w:eastAsia="Times New Roman"/>
                <w:color w:val="000000"/>
                <w:sz w:val="20"/>
                <w:szCs w:val="20"/>
                <w:lang w:val="es-419" w:eastAsia="es-419"/>
              </w:rPr>
            </w:pPr>
            <w:r w:rsidRPr="0057303B">
              <w:rPr>
                <w:rFonts w:eastAsia="Times New Roman"/>
                <w:color w:val="000000"/>
                <w:sz w:val="20"/>
                <w:szCs w:val="20"/>
                <w:lang w:val="es-MX" w:eastAsia="es-419"/>
              </w:rPr>
              <w:t>0.00</w:t>
            </w:r>
          </w:p>
        </w:tc>
      </w:tr>
      <w:tr w:rsidR="0057303B" w:rsidRPr="0057303B" w14:paraId="5F34BE9C" w14:textId="77777777" w:rsidTr="008C0A4F">
        <w:trPr>
          <w:trHeight w:val="26"/>
          <w:jc w:val="center"/>
        </w:trPr>
        <w:tc>
          <w:tcPr>
            <w:tcW w:w="3584" w:type="dxa"/>
            <w:tcBorders>
              <w:top w:val="nil"/>
              <w:left w:val="nil"/>
              <w:bottom w:val="single" w:sz="8" w:space="0" w:color="000000"/>
              <w:right w:val="nil"/>
            </w:tcBorders>
            <w:vAlign w:val="center"/>
            <w:hideMark/>
          </w:tcPr>
          <w:p w14:paraId="58E6C5FA" w14:textId="77777777" w:rsidR="0057303B" w:rsidRPr="0057303B" w:rsidRDefault="0057303B" w:rsidP="0057303B">
            <w:pPr>
              <w:spacing w:after="0" w:line="240" w:lineRule="auto"/>
              <w:jc w:val="left"/>
              <w:rPr>
                <w:rFonts w:eastAsia="Times New Roman"/>
                <w:b/>
                <w:bCs/>
                <w:color w:val="000000"/>
                <w:sz w:val="20"/>
                <w:szCs w:val="20"/>
                <w:lang w:val="es-419" w:eastAsia="es-419"/>
              </w:rPr>
            </w:pPr>
            <w:r w:rsidRPr="0057303B">
              <w:rPr>
                <w:rFonts w:eastAsia="Times New Roman"/>
                <w:b/>
                <w:bCs/>
                <w:color w:val="000000"/>
                <w:sz w:val="20"/>
                <w:szCs w:val="20"/>
                <w:lang w:val="es-MX" w:eastAsia="es-419"/>
              </w:rPr>
              <w:t>Quintana Roo</w:t>
            </w:r>
          </w:p>
        </w:tc>
        <w:tc>
          <w:tcPr>
            <w:tcW w:w="1663" w:type="dxa"/>
            <w:tcBorders>
              <w:top w:val="nil"/>
              <w:left w:val="nil"/>
              <w:bottom w:val="single" w:sz="8" w:space="0" w:color="000000"/>
              <w:right w:val="nil"/>
            </w:tcBorders>
            <w:vAlign w:val="center"/>
            <w:hideMark/>
          </w:tcPr>
          <w:p w14:paraId="2845FA50" w14:textId="77777777" w:rsidR="0057303B" w:rsidRPr="0057303B" w:rsidRDefault="0057303B" w:rsidP="0057303B">
            <w:pPr>
              <w:spacing w:after="0" w:line="240" w:lineRule="auto"/>
              <w:jc w:val="center"/>
              <w:rPr>
                <w:rFonts w:eastAsia="Times New Roman"/>
                <w:b/>
                <w:bCs/>
                <w:color w:val="000000"/>
                <w:sz w:val="20"/>
                <w:szCs w:val="20"/>
                <w:lang w:val="es-419" w:eastAsia="es-419"/>
              </w:rPr>
            </w:pPr>
            <w:r w:rsidRPr="0057303B">
              <w:rPr>
                <w:rFonts w:eastAsia="Times New Roman"/>
                <w:b/>
                <w:bCs/>
                <w:color w:val="000000"/>
                <w:sz w:val="20"/>
                <w:szCs w:val="20"/>
                <w:lang w:val="es-MX" w:eastAsia="es-419"/>
              </w:rPr>
              <w:t>2.61</w:t>
            </w:r>
          </w:p>
        </w:tc>
        <w:tc>
          <w:tcPr>
            <w:tcW w:w="1664" w:type="dxa"/>
            <w:tcBorders>
              <w:top w:val="nil"/>
              <w:left w:val="nil"/>
              <w:bottom w:val="single" w:sz="8" w:space="0" w:color="000000"/>
              <w:right w:val="nil"/>
            </w:tcBorders>
            <w:vAlign w:val="center"/>
            <w:hideMark/>
          </w:tcPr>
          <w:p w14:paraId="1FA09785" w14:textId="77777777" w:rsidR="0057303B" w:rsidRPr="0057303B" w:rsidRDefault="0057303B" w:rsidP="0057303B">
            <w:pPr>
              <w:spacing w:after="0" w:line="240" w:lineRule="auto"/>
              <w:jc w:val="center"/>
              <w:rPr>
                <w:rFonts w:eastAsia="Times New Roman"/>
                <w:b/>
                <w:bCs/>
                <w:color w:val="000000"/>
                <w:sz w:val="20"/>
                <w:szCs w:val="20"/>
                <w:lang w:val="es-419" w:eastAsia="es-419"/>
              </w:rPr>
            </w:pPr>
            <w:r w:rsidRPr="0057303B">
              <w:rPr>
                <w:rFonts w:eastAsia="Times New Roman"/>
                <w:b/>
                <w:bCs/>
                <w:color w:val="000000"/>
                <w:sz w:val="20"/>
                <w:szCs w:val="20"/>
                <w:lang w:val="es-MX" w:eastAsia="es-419"/>
              </w:rPr>
              <w:t>2.67</w:t>
            </w:r>
          </w:p>
        </w:tc>
        <w:tc>
          <w:tcPr>
            <w:tcW w:w="1664" w:type="dxa"/>
            <w:tcBorders>
              <w:top w:val="nil"/>
              <w:left w:val="nil"/>
              <w:bottom w:val="single" w:sz="8" w:space="0" w:color="000000"/>
              <w:right w:val="nil"/>
            </w:tcBorders>
            <w:vAlign w:val="center"/>
            <w:hideMark/>
          </w:tcPr>
          <w:p w14:paraId="6EE19597" w14:textId="77777777" w:rsidR="0057303B" w:rsidRPr="0057303B" w:rsidRDefault="0057303B" w:rsidP="0057303B">
            <w:pPr>
              <w:spacing w:after="0" w:line="240" w:lineRule="auto"/>
              <w:jc w:val="center"/>
              <w:rPr>
                <w:rFonts w:eastAsia="Times New Roman"/>
                <w:b/>
                <w:bCs/>
                <w:color w:val="000000"/>
                <w:sz w:val="20"/>
                <w:szCs w:val="20"/>
                <w:lang w:val="es-419" w:eastAsia="es-419"/>
              </w:rPr>
            </w:pPr>
            <w:r w:rsidRPr="0057303B">
              <w:rPr>
                <w:rFonts w:eastAsia="Times New Roman"/>
                <w:b/>
                <w:bCs/>
                <w:color w:val="000000"/>
                <w:sz w:val="20"/>
                <w:szCs w:val="20"/>
                <w:lang w:val="es-MX" w:eastAsia="es-419"/>
              </w:rPr>
              <w:t>2.79</w:t>
            </w:r>
          </w:p>
        </w:tc>
      </w:tr>
    </w:tbl>
    <w:p w14:paraId="7FDBFD5F" w14:textId="0C44742A" w:rsidR="0057303B" w:rsidRPr="00305D32" w:rsidRDefault="0057303B" w:rsidP="0057303B">
      <w:pPr>
        <w:spacing w:line="240" w:lineRule="auto"/>
        <w:jc w:val="center"/>
        <w:rPr>
          <w:i/>
          <w:sz w:val="20"/>
          <w:szCs w:val="20"/>
          <w:lang w:val="es-MX"/>
        </w:rPr>
      </w:pPr>
      <w:r w:rsidRPr="00305D32">
        <w:rPr>
          <w:sz w:val="20"/>
          <w:szCs w:val="20"/>
          <w:lang w:val="es-MX"/>
        </w:rPr>
        <w:t xml:space="preserve">Fuente: Elaboración de la Subsecretaría de Análisis Económico y Finanzas Públicas de la Secretaría de Finanzas y Planeación con datos de la </w:t>
      </w:r>
      <w:r w:rsidRPr="00305D32">
        <w:rPr>
          <w:i/>
          <w:sz w:val="20"/>
          <w:szCs w:val="20"/>
          <w:lang w:val="es-MX"/>
        </w:rPr>
        <w:t>Encuesta Nacional de Ocupación y Empleo del</w:t>
      </w:r>
      <w:r w:rsidRPr="00305D32">
        <w:rPr>
          <w:sz w:val="20"/>
          <w:szCs w:val="20"/>
          <w:lang w:val="es-MX"/>
        </w:rPr>
        <w:t xml:space="preserve"> INEGI (2025)</w:t>
      </w:r>
      <w:r w:rsidRPr="00305D32">
        <w:rPr>
          <w:i/>
          <w:sz w:val="20"/>
          <w:szCs w:val="20"/>
          <w:lang w:val="es-MX"/>
        </w:rPr>
        <w:t>.</w:t>
      </w:r>
    </w:p>
    <w:p w14:paraId="53E532DD" w14:textId="6AF218B0" w:rsidR="00871BDB" w:rsidRPr="00F403D3" w:rsidRDefault="009D5513" w:rsidP="00871BDB">
      <w:pPr>
        <w:rPr>
          <w:lang w:val="es-MX"/>
        </w:rPr>
      </w:pPr>
      <w:r w:rsidRPr="009D5513">
        <w:rPr>
          <w:lang w:val="es-MX"/>
        </w:rPr>
        <w:t xml:space="preserve">En la </w:t>
      </w:r>
      <w:r w:rsidR="001A2483">
        <w:rPr>
          <w:lang w:val="es-MX"/>
        </w:rPr>
        <w:fldChar w:fldCharType="begin"/>
      </w:r>
      <w:r w:rsidR="001A2483">
        <w:rPr>
          <w:lang w:val="es-MX"/>
        </w:rPr>
        <w:instrText xml:space="preserve"> REF _Ref210307798 \h </w:instrText>
      </w:r>
      <w:r w:rsidR="001A2483">
        <w:rPr>
          <w:lang w:val="es-MX"/>
        </w:rPr>
      </w:r>
      <w:r w:rsidR="001A2483">
        <w:rPr>
          <w:lang w:val="es-MX"/>
        </w:rPr>
        <w:fldChar w:fldCharType="separate"/>
      </w:r>
      <w:r w:rsidR="00ED1F2F">
        <w:t xml:space="preserve">Tabla </w:t>
      </w:r>
      <w:r w:rsidR="00ED1F2F">
        <w:rPr>
          <w:noProof/>
        </w:rPr>
        <w:t>24</w:t>
      </w:r>
      <w:r w:rsidR="001A2483">
        <w:rPr>
          <w:lang w:val="es-MX"/>
        </w:rPr>
        <w:fldChar w:fldCharType="end"/>
      </w:r>
      <w:r w:rsidR="001A2483">
        <w:rPr>
          <w:lang w:val="es-MX"/>
        </w:rPr>
        <w:t xml:space="preserve"> </w:t>
      </w:r>
      <w:r w:rsidR="0033687C" w:rsidRPr="0033687C">
        <w:rPr>
          <w:lang w:val="es-MX"/>
        </w:rPr>
        <w:t xml:space="preserve">se presenta el desglose municipal de la población ocupada por sector económico. Benito Juárez y Playa del Carmen destacan por su alta dependencia del sector terciario, con más de 400 mil y 170 mil personas, respectivamente, en 2025. En contraste Felipe Carrillo Puerto y José María Morelos mantienen una participación importante en el sector primario, aunque con tendencia a la baja. Asimismo, Cozumel e Isla Mujeres registran una disminución significativa en las actividades primarias, lo que evidencia una transición más marcada hacia los servicios. Estos resultados reflejan la consolidación del terciario como motor del empleo en Quintana Roo, </w:t>
      </w:r>
      <w:r w:rsidR="0033687C" w:rsidRPr="0033687C">
        <w:rPr>
          <w:lang w:val="es-MX"/>
        </w:rPr>
        <w:lastRenderedPageBreak/>
        <w:t>acompañada de una reducción progresiva del sector primario y un comportamiento variable del secundario, derivado de las actividades de infraestructura impulsadas por el Gobierno Federal</w:t>
      </w:r>
      <w:r w:rsidR="00871BDB" w:rsidRPr="009D5513">
        <w:rPr>
          <w:lang w:val="es-MX"/>
        </w:rPr>
        <w:t>.</w:t>
      </w:r>
    </w:p>
    <w:p w14:paraId="73C9D778" w14:textId="1237B9F7" w:rsidR="003766FA" w:rsidRDefault="001A2483" w:rsidP="001A2483">
      <w:pPr>
        <w:pStyle w:val="Descripcin"/>
        <w:jc w:val="center"/>
        <w:rPr>
          <w:lang w:val="es-MX"/>
        </w:rPr>
      </w:pPr>
      <w:bookmarkStart w:id="142" w:name="_Ref210307798"/>
      <w:r>
        <w:t xml:space="preserve">Tabla </w:t>
      </w:r>
      <w:fldSimple w:instr=" SEQ Tabla \* ARABIC ">
        <w:r w:rsidR="00ED1F2F">
          <w:rPr>
            <w:noProof/>
          </w:rPr>
          <w:t>24</w:t>
        </w:r>
      </w:fldSimple>
      <w:bookmarkEnd w:id="142"/>
      <w:r w:rsidR="003766FA" w:rsidRPr="00D471C1">
        <w:rPr>
          <w:lang w:val="es-MX"/>
        </w:rPr>
        <w:t xml:space="preserve">. </w:t>
      </w:r>
      <w:r w:rsidR="00B17431">
        <w:rPr>
          <w:lang w:val="es-MX"/>
        </w:rPr>
        <w:t xml:space="preserve">Población ocupada por gran sector </w:t>
      </w:r>
      <w:r w:rsidR="00242874" w:rsidRPr="00305D32">
        <w:rPr>
          <w:color w:val="000000"/>
          <w:lang w:val="es-MX"/>
        </w:rPr>
        <w:t xml:space="preserve">de la actividad económica </w:t>
      </w:r>
      <w:r w:rsidR="00303C7C">
        <w:rPr>
          <w:color w:val="000000"/>
          <w:lang w:val="es-MX"/>
        </w:rPr>
        <w:t>municipal</w:t>
      </w:r>
      <w:r w:rsidR="003766FA" w:rsidRPr="00305D32">
        <w:rPr>
          <w:lang w:val="es-MX"/>
        </w:rPr>
        <w:t>, 2023-2025</w:t>
      </w:r>
      <w:r w:rsidR="00A31A5B">
        <w:rPr>
          <w:lang w:val="es-MX"/>
        </w:rPr>
        <w:t>.</w:t>
      </w:r>
    </w:p>
    <w:tbl>
      <w:tblPr>
        <w:tblW w:w="0" w:type="auto"/>
        <w:tblCellMar>
          <w:left w:w="70" w:type="dxa"/>
          <w:right w:w="70" w:type="dxa"/>
        </w:tblCellMar>
        <w:tblLook w:val="04A0" w:firstRow="1" w:lastRow="0" w:firstColumn="1" w:lastColumn="0" w:noHBand="0" w:noVBand="1"/>
      </w:tblPr>
      <w:tblGrid>
        <w:gridCol w:w="1407"/>
        <w:gridCol w:w="790"/>
        <w:gridCol w:w="1012"/>
        <w:gridCol w:w="816"/>
        <w:gridCol w:w="790"/>
        <w:gridCol w:w="1012"/>
        <w:gridCol w:w="816"/>
        <w:gridCol w:w="790"/>
        <w:gridCol w:w="1012"/>
        <w:gridCol w:w="816"/>
      </w:tblGrid>
      <w:tr w:rsidR="003766FA" w:rsidRPr="003766FA" w14:paraId="24919CCA" w14:textId="77777777" w:rsidTr="000C1927">
        <w:trPr>
          <w:trHeight w:val="1035"/>
          <w:tblHeader/>
        </w:trPr>
        <w:tc>
          <w:tcPr>
            <w:tcW w:w="0" w:type="auto"/>
            <w:vMerge w:val="restart"/>
            <w:tcBorders>
              <w:top w:val="single" w:sz="8" w:space="0" w:color="000000"/>
              <w:left w:val="nil"/>
              <w:bottom w:val="single" w:sz="8" w:space="0" w:color="000000"/>
              <w:right w:val="single" w:sz="8" w:space="0" w:color="auto"/>
            </w:tcBorders>
            <w:vAlign w:val="center"/>
            <w:hideMark/>
          </w:tcPr>
          <w:p w14:paraId="1A120AAC" w14:textId="77777777" w:rsidR="003766FA" w:rsidRPr="003766FA" w:rsidRDefault="003766FA" w:rsidP="003766FA">
            <w:pPr>
              <w:spacing w:after="0" w:line="240" w:lineRule="auto"/>
              <w:jc w:val="center"/>
              <w:rPr>
                <w:rFonts w:eastAsia="Times New Roman"/>
                <w:b/>
                <w:bCs/>
                <w:color w:val="000000"/>
                <w:sz w:val="16"/>
                <w:szCs w:val="16"/>
                <w:lang w:val="es-419" w:eastAsia="es-419"/>
              </w:rPr>
            </w:pPr>
            <w:r w:rsidRPr="003766FA">
              <w:rPr>
                <w:rFonts w:eastAsia="Times New Roman"/>
                <w:b/>
                <w:bCs/>
                <w:color w:val="000000"/>
                <w:sz w:val="16"/>
                <w:szCs w:val="16"/>
                <w:lang w:val="es-MX" w:eastAsia="es-419"/>
              </w:rPr>
              <w:t>Población por Actividad Económica</w:t>
            </w:r>
          </w:p>
        </w:tc>
        <w:tc>
          <w:tcPr>
            <w:tcW w:w="0" w:type="auto"/>
            <w:gridSpan w:val="3"/>
            <w:tcBorders>
              <w:top w:val="single" w:sz="8" w:space="0" w:color="auto"/>
              <w:left w:val="nil"/>
              <w:bottom w:val="single" w:sz="8" w:space="0" w:color="auto"/>
              <w:right w:val="single" w:sz="8" w:space="0" w:color="000000"/>
            </w:tcBorders>
            <w:vAlign w:val="center"/>
            <w:hideMark/>
          </w:tcPr>
          <w:p w14:paraId="413029BF" w14:textId="77777777" w:rsidR="003766FA" w:rsidRPr="003766FA" w:rsidRDefault="003766FA" w:rsidP="003766FA">
            <w:pPr>
              <w:spacing w:after="0" w:line="240" w:lineRule="auto"/>
              <w:jc w:val="center"/>
              <w:rPr>
                <w:rFonts w:eastAsia="Times New Roman"/>
                <w:b/>
                <w:bCs/>
                <w:color w:val="000000"/>
                <w:sz w:val="16"/>
                <w:szCs w:val="16"/>
                <w:lang w:val="es-419" w:eastAsia="es-419"/>
              </w:rPr>
            </w:pPr>
            <w:r w:rsidRPr="003766FA">
              <w:rPr>
                <w:rFonts w:eastAsia="Times New Roman"/>
                <w:b/>
                <w:bCs/>
                <w:color w:val="000000"/>
                <w:sz w:val="16"/>
                <w:szCs w:val="16"/>
                <w:lang w:val="es-MX" w:eastAsia="es-419"/>
              </w:rPr>
              <w:t>2023-T4</w:t>
            </w:r>
          </w:p>
        </w:tc>
        <w:tc>
          <w:tcPr>
            <w:tcW w:w="0" w:type="auto"/>
            <w:gridSpan w:val="3"/>
            <w:tcBorders>
              <w:top w:val="single" w:sz="8" w:space="0" w:color="auto"/>
              <w:left w:val="nil"/>
              <w:bottom w:val="single" w:sz="8" w:space="0" w:color="auto"/>
              <w:right w:val="single" w:sz="8" w:space="0" w:color="000000"/>
            </w:tcBorders>
            <w:vAlign w:val="center"/>
            <w:hideMark/>
          </w:tcPr>
          <w:p w14:paraId="6FBE663E" w14:textId="77777777" w:rsidR="003766FA" w:rsidRPr="003766FA" w:rsidRDefault="003766FA" w:rsidP="003766FA">
            <w:pPr>
              <w:spacing w:after="0" w:line="240" w:lineRule="auto"/>
              <w:jc w:val="center"/>
              <w:rPr>
                <w:rFonts w:eastAsia="Times New Roman"/>
                <w:b/>
                <w:bCs/>
                <w:color w:val="000000"/>
                <w:sz w:val="16"/>
                <w:szCs w:val="16"/>
                <w:lang w:val="es-419" w:eastAsia="es-419"/>
              </w:rPr>
            </w:pPr>
            <w:r w:rsidRPr="003766FA">
              <w:rPr>
                <w:rFonts w:eastAsia="Times New Roman"/>
                <w:b/>
                <w:bCs/>
                <w:color w:val="000000"/>
                <w:sz w:val="16"/>
                <w:szCs w:val="16"/>
                <w:lang w:val="es-MX" w:eastAsia="es-419"/>
              </w:rPr>
              <w:t>2024-T4</w:t>
            </w:r>
          </w:p>
        </w:tc>
        <w:tc>
          <w:tcPr>
            <w:tcW w:w="0" w:type="auto"/>
            <w:gridSpan w:val="3"/>
            <w:tcBorders>
              <w:top w:val="single" w:sz="8" w:space="0" w:color="auto"/>
              <w:left w:val="nil"/>
              <w:bottom w:val="single" w:sz="8" w:space="0" w:color="auto"/>
              <w:right w:val="nil"/>
            </w:tcBorders>
            <w:vAlign w:val="center"/>
            <w:hideMark/>
          </w:tcPr>
          <w:p w14:paraId="76653AE7" w14:textId="77777777" w:rsidR="003766FA" w:rsidRPr="003766FA" w:rsidRDefault="003766FA" w:rsidP="003766FA">
            <w:pPr>
              <w:spacing w:after="0" w:line="240" w:lineRule="auto"/>
              <w:jc w:val="center"/>
              <w:rPr>
                <w:rFonts w:eastAsia="Times New Roman"/>
                <w:b/>
                <w:bCs/>
                <w:color w:val="000000"/>
                <w:sz w:val="16"/>
                <w:szCs w:val="16"/>
                <w:lang w:val="es-419" w:eastAsia="es-419"/>
              </w:rPr>
            </w:pPr>
            <w:r w:rsidRPr="003766FA">
              <w:rPr>
                <w:rFonts w:eastAsia="Times New Roman"/>
                <w:b/>
                <w:bCs/>
                <w:color w:val="000000"/>
                <w:sz w:val="16"/>
                <w:szCs w:val="16"/>
                <w:lang w:val="es-MX" w:eastAsia="es-419"/>
              </w:rPr>
              <w:t>2025-T2</w:t>
            </w:r>
          </w:p>
        </w:tc>
      </w:tr>
      <w:tr w:rsidR="003766FA" w:rsidRPr="003766FA" w14:paraId="4F8C3D10" w14:textId="77777777" w:rsidTr="000C1927">
        <w:trPr>
          <w:trHeight w:val="315"/>
          <w:tblHeader/>
        </w:trPr>
        <w:tc>
          <w:tcPr>
            <w:tcW w:w="0" w:type="auto"/>
            <w:vMerge/>
            <w:tcBorders>
              <w:top w:val="single" w:sz="8" w:space="0" w:color="000000"/>
              <w:left w:val="nil"/>
              <w:bottom w:val="single" w:sz="8" w:space="0" w:color="000000"/>
              <w:right w:val="single" w:sz="8" w:space="0" w:color="auto"/>
            </w:tcBorders>
            <w:vAlign w:val="center"/>
            <w:hideMark/>
          </w:tcPr>
          <w:p w14:paraId="0138C861" w14:textId="77777777" w:rsidR="003766FA" w:rsidRPr="003766FA" w:rsidRDefault="003766FA" w:rsidP="003766FA">
            <w:pPr>
              <w:spacing w:after="0" w:line="240" w:lineRule="auto"/>
              <w:jc w:val="left"/>
              <w:rPr>
                <w:rFonts w:eastAsia="Times New Roman"/>
                <w:b/>
                <w:bCs/>
                <w:color w:val="000000"/>
                <w:sz w:val="16"/>
                <w:szCs w:val="16"/>
                <w:lang w:val="es-419" w:eastAsia="es-419"/>
              </w:rPr>
            </w:pPr>
          </w:p>
        </w:tc>
        <w:tc>
          <w:tcPr>
            <w:tcW w:w="0" w:type="auto"/>
            <w:tcBorders>
              <w:top w:val="nil"/>
              <w:left w:val="nil"/>
              <w:bottom w:val="single" w:sz="8" w:space="0" w:color="auto"/>
              <w:right w:val="nil"/>
            </w:tcBorders>
            <w:noWrap/>
            <w:vAlign w:val="center"/>
            <w:hideMark/>
          </w:tcPr>
          <w:p w14:paraId="7A6BE04A" w14:textId="77777777" w:rsidR="003766FA" w:rsidRPr="003766FA" w:rsidRDefault="003766FA" w:rsidP="003766FA">
            <w:pPr>
              <w:spacing w:after="0" w:line="240" w:lineRule="auto"/>
              <w:jc w:val="center"/>
              <w:rPr>
                <w:rFonts w:eastAsia="Times New Roman"/>
                <w:b/>
                <w:bCs/>
                <w:color w:val="000000"/>
                <w:sz w:val="16"/>
                <w:szCs w:val="16"/>
                <w:lang w:val="es-419" w:eastAsia="es-419"/>
              </w:rPr>
            </w:pPr>
            <w:r w:rsidRPr="003766FA">
              <w:rPr>
                <w:rFonts w:eastAsia="Times New Roman"/>
                <w:b/>
                <w:bCs/>
                <w:color w:val="000000"/>
                <w:sz w:val="16"/>
                <w:szCs w:val="16"/>
                <w:lang w:val="es-419" w:eastAsia="es-419"/>
              </w:rPr>
              <w:t>Primario</w:t>
            </w:r>
          </w:p>
        </w:tc>
        <w:tc>
          <w:tcPr>
            <w:tcW w:w="0" w:type="auto"/>
            <w:tcBorders>
              <w:top w:val="nil"/>
              <w:left w:val="nil"/>
              <w:bottom w:val="single" w:sz="8" w:space="0" w:color="auto"/>
              <w:right w:val="nil"/>
            </w:tcBorders>
            <w:noWrap/>
            <w:vAlign w:val="center"/>
            <w:hideMark/>
          </w:tcPr>
          <w:p w14:paraId="178879C9" w14:textId="77777777" w:rsidR="003766FA" w:rsidRPr="003766FA" w:rsidRDefault="003766FA" w:rsidP="003766FA">
            <w:pPr>
              <w:spacing w:after="0" w:line="240" w:lineRule="auto"/>
              <w:jc w:val="center"/>
              <w:rPr>
                <w:rFonts w:eastAsia="Times New Roman"/>
                <w:b/>
                <w:bCs/>
                <w:color w:val="000000"/>
                <w:sz w:val="16"/>
                <w:szCs w:val="16"/>
                <w:lang w:val="es-419" w:eastAsia="es-419"/>
              </w:rPr>
            </w:pPr>
            <w:r w:rsidRPr="003766FA">
              <w:rPr>
                <w:rFonts w:eastAsia="Times New Roman"/>
                <w:b/>
                <w:bCs/>
                <w:color w:val="000000"/>
                <w:sz w:val="16"/>
                <w:szCs w:val="16"/>
                <w:lang w:val="es-419" w:eastAsia="es-419"/>
              </w:rPr>
              <w:t>Secundario</w:t>
            </w:r>
          </w:p>
        </w:tc>
        <w:tc>
          <w:tcPr>
            <w:tcW w:w="0" w:type="auto"/>
            <w:tcBorders>
              <w:top w:val="nil"/>
              <w:left w:val="nil"/>
              <w:bottom w:val="single" w:sz="8" w:space="0" w:color="auto"/>
              <w:right w:val="single" w:sz="8" w:space="0" w:color="auto"/>
            </w:tcBorders>
            <w:noWrap/>
            <w:vAlign w:val="center"/>
            <w:hideMark/>
          </w:tcPr>
          <w:p w14:paraId="69B4DF9F" w14:textId="77777777" w:rsidR="003766FA" w:rsidRPr="003766FA" w:rsidRDefault="003766FA" w:rsidP="003766FA">
            <w:pPr>
              <w:spacing w:after="0" w:line="240" w:lineRule="auto"/>
              <w:jc w:val="center"/>
              <w:rPr>
                <w:rFonts w:eastAsia="Times New Roman"/>
                <w:b/>
                <w:bCs/>
                <w:color w:val="000000"/>
                <w:sz w:val="16"/>
                <w:szCs w:val="16"/>
                <w:lang w:val="es-419" w:eastAsia="es-419"/>
              </w:rPr>
            </w:pPr>
            <w:r w:rsidRPr="003766FA">
              <w:rPr>
                <w:rFonts w:eastAsia="Times New Roman"/>
                <w:b/>
                <w:bCs/>
                <w:color w:val="000000"/>
                <w:sz w:val="16"/>
                <w:szCs w:val="16"/>
                <w:lang w:val="es-419" w:eastAsia="es-419"/>
              </w:rPr>
              <w:t>Terciario</w:t>
            </w:r>
          </w:p>
        </w:tc>
        <w:tc>
          <w:tcPr>
            <w:tcW w:w="0" w:type="auto"/>
            <w:tcBorders>
              <w:top w:val="nil"/>
              <w:left w:val="nil"/>
              <w:bottom w:val="single" w:sz="8" w:space="0" w:color="auto"/>
              <w:right w:val="nil"/>
            </w:tcBorders>
            <w:noWrap/>
            <w:vAlign w:val="center"/>
            <w:hideMark/>
          </w:tcPr>
          <w:p w14:paraId="5AF3BB2A" w14:textId="77777777" w:rsidR="003766FA" w:rsidRPr="003766FA" w:rsidRDefault="003766FA" w:rsidP="003766FA">
            <w:pPr>
              <w:spacing w:after="0" w:line="240" w:lineRule="auto"/>
              <w:jc w:val="center"/>
              <w:rPr>
                <w:rFonts w:eastAsia="Times New Roman"/>
                <w:b/>
                <w:bCs/>
                <w:color w:val="000000"/>
                <w:sz w:val="16"/>
                <w:szCs w:val="16"/>
                <w:lang w:val="es-419" w:eastAsia="es-419"/>
              </w:rPr>
            </w:pPr>
            <w:r w:rsidRPr="003766FA">
              <w:rPr>
                <w:rFonts w:eastAsia="Times New Roman"/>
                <w:b/>
                <w:bCs/>
                <w:color w:val="000000"/>
                <w:sz w:val="16"/>
                <w:szCs w:val="16"/>
                <w:lang w:val="es-419" w:eastAsia="es-419"/>
              </w:rPr>
              <w:t>Primario</w:t>
            </w:r>
          </w:p>
        </w:tc>
        <w:tc>
          <w:tcPr>
            <w:tcW w:w="0" w:type="auto"/>
            <w:tcBorders>
              <w:top w:val="nil"/>
              <w:left w:val="nil"/>
              <w:bottom w:val="single" w:sz="8" w:space="0" w:color="auto"/>
              <w:right w:val="nil"/>
            </w:tcBorders>
            <w:noWrap/>
            <w:vAlign w:val="center"/>
            <w:hideMark/>
          </w:tcPr>
          <w:p w14:paraId="53602362" w14:textId="77777777" w:rsidR="003766FA" w:rsidRPr="003766FA" w:rsidRDefault="003766FA" w:rsidP="003766FA">
            <w:pPr>
              <w:spacing w:after="0" w:line="240" w:lineRule="auto"/>
              <w:jc w:val="center"/>
              <w:rPr>
                <w:rFonts w:eastAsia="Times New Roman"/>
                <w:b/>
                <w:bCs/>
                <w:color w:val="000000"/>
                <w:sz w:val="16"/>
                <w:szCs w:val="16"/>
                <w:lang w:val="es-419" w:eastAsia="es-419"/>
              </w:rPr>
            </w:pPr>
            <w:r w:rsidRPr="003766FA">
              <w:rPr>
                <w:rFonts w:eastAsia="Times New Roman"/>
                <w:b/>
                <w:bCs/>
                <w:color w:val="000000"/>
                <w:sz w:val="16"/>
                <w:szCs w:val="16"/>
                <w:lang w:val="es-419" w:eastAsia="es-419"/>
              </w:rPr>
              <w:t>Secundario</w:t>
            </w:r>
          </w:p>
        </w:tc>
        <w:tc>
          <w:tcPr>
            <w:tcW w:w="0" w:type="auto"/>
            <w:tcBorders>
              <w:top w:val="nil"/>
              <w:left w:val="nil"/>
              <w:bottom w:val="single" w:sz="8" w:space="0" w:color="auto"/>
              <w:right w:val="single" w:sz="8" w:space="0" w:color="auto"/>
            </w:tcBorders>
            <w:noWrap/>
            <w:vAlign w:val="center"/>
            <w:hideMark/>
          </w:tcPr>
          <w:p w14:paraId="2A3A3A60" w14:textId="77777777" w:rsidR="003766FA" w:rsidRPr="003766FA" w:rsidRDefault="003766FA" w:rsidP="003766FA">
            <w:pPr>
              <w:spacing w:after="0" w:line="240" w:lineRule="auto"/>
              <w:jc w:val="center"/>
              <w:rPr>
                <w:rFonts w:eastAsia="Times New Roman"/>
                <w:b/>
                <w:bCs/>
                <w:color w:val="000000"/>
                <w:sz w:val="16"/>
                <w:szCs w:val="16"/>
                <w:lang w:val="es-419" w:eastAsia="es-419"/>
              </w:rPr>
            </w:pPr>
            <w:r w:rsidRPr="003766FA">
              <w:rPr>
                <w:rFonts w:eastAsia="Times New Roman"/>
                <w:b/>
                <w:bCs/>
                <w:color w:val="000000"/>
                <w:sz w:val="16"/>
                <w:szCs w:val="16"/>
                <w:lang w:val="es-419" w:eastAsia="es-419"/>
              </w:rPr>
              <w:t>Terciario</w:t>
            </w:r>
          </w:p>
        </w:tc>
        <w:tc>
          <w:tcPr>
            <w:tcW w:w="0" w:type="auto"/>
            <w:tcBorders>
              <w:top w:val="nil"/>
              <w:left w:val="nil"/>
              <w:bottom w:val="single" w:sz="8" w:space="0" w:color="auto"/>
              <w:right w:val="nil"/>
            </w:tcBorders>
            <w:noWrap/>
            <w:vAlign w:val="center"/>
            <w:hideMark/>
          </w:tcPr>
          <w:p w14:paraId="16DE2B33" w14:textId="77777777" w:rsidR="003766FA" w:rsidRPr="003766FA" w:rsidRDefault="003766FA" w:rsidP="003766FA">
            <w:pPr>
              <w:spacing w:after="0" w:line="240" w:lineRule="auto"/>
              <w:jc w:val="center"/>
              <w:rPr>
                <w:rFonts w:eastAsia="Times New Roman"/>
                <w:b/>
                <w:bCs/>
                <w:color w:val="000000"/>
                <w:sz w:val="16"/>
                <w:szCs w:val="16"/>
                <w:lang w:val="es-419" w:eastAsia="es-419"/>
              </w:rPr>
            </w:pPr>
            <w:r w:rsidRPr="003766FA">
              <w:rPr>
                <w:rFonts w:eastAsia="Times New Roman"/>
                <w:b/>
                <w:bCs/>
                <w:color w:val="000000"/>
                <w:sz w:val="16"/>
                <w:szCs w:val="16"/>
                <w:lang w:val="es-419" w:eastAsia="es-419"/>
              </w:rPr>
              <w:t>Primario</w:t>
            </w:r>
          </w:p>
        </w:tc>
        <w:tc>
          <w:tcPr>
            <w:tcW w:w="0" w:type="auto"/>
            <w:tcBorders>
              <w:top w:val="nil"/>
              <w:left w:val="nil"/>
              <w:bottom w:val="single" w:sz="8" w:space="0" w:color="auto"/>
              <w:right w:val="nil"/>
            </w:tcBorders>
            <w:noWrap/>
            <w:vAlign w:val="center"/>
            <w:hideMark/>
          </w:tcPr>
          <w:p w14:paraId="642C1173" w14:textId="77777777" w:rsidR="003766FA" w:rsidRPr="003766FA" w:rsidRDefault="003766FA" w:rsidP="003766FA">
            <w:pPr>
              <w:spacing w:after="0" w:line="240" w:lineRule="auto"/>
              <w:jc w:val="center"/>
              <w:rPr>
                <w:rFonts w:eastAsia="Times New Roman"/>
                <w:b/>
                <w:bCs/>
                <w:color w:val="000000"/>
                <w:sz w:val="16"/>
                <w:szCs w:val="16"/>
                <w:lang w:val="es-419" w:eastAsia="es-419"/>
              </w:rPr>
            </w:pPr>
            <w:r w:rsidRPr="003766FA">
              <w:rPr>
                <w:rFonts w:eastAsia="Times New Roman"/>
                <w:b/>
                <w:bCs/>
                <w:color w:val="000000"/>
                <w:sz w:val="16"/>
                <w:szCs w:val="16"/>
                <w:lang w:val="es-419" w:eastAsia="es-419"/>
              </w:rPr>
              <w:t>Secundario</w:t>
            </w:r>
          </w:p>
        </w:tc>
        <w:tc>
          <w:tcPr>
            <w:tcW w:w="0" w:type="auto"/>
            <w:tcBorders>
              <w:top w:val="nil"/>
              <w:left w:val="nil"/>
              <w:bottom w:val="single" w:sz="8" w:space="0" w:color="auto"/>
              <w:right w:val="nil"/>
            </w:tcBorders>
            <w:noWrap/>
            <w:vAlign w:val="center"/>
            <w:hideMark/>
          </w:tcPr>
          <w:p w14:paraId="09A66563" w14:textId="77777777" w:rsidR="003766FA" w:rsidRPr="003766FA" w:rsidRDefault="003766FA" w:rsidP="003766FA">
            <w:pPr>
              <w:spacing w:after="0" w:line="240" w:lineRule="auto"/>
              <w:jc w:val="center"/>
              <w:rPr>
                <w:rFonts w:eastAsia="Times New Roman"/>
                <w:b/>
                <w:bCs/>
                <w:color w:val="000000"/>
                <w:sz w:val="16"/>
                <w:szCs w:val="16"/>
                <w:lang w:val="es-419" w:eastAsia="es-419"/>
              </w:rPr>
            </w:pPr>
            <w:r w:rsidRPr="003766FA">
              <w:rPr>
                <w:rFonts w:eastAsia="Times New Roman"/>
                <w:b/>
                <w:bCs/>
                <w:color w:val="000000"/>
                <w:sz w:val="16"/>
                <w:szCs w:val="16"/>
                <w:lang w:val="es-419" w:eastAsia="es-419"/>
              </w:rPr>
              <w:t>Terciario</w:t>
            </w:r>
          </w:p>
        </w:tc>
      </w:tr>
      <w:tr w:rsidR="003766FA" w:rsidRPr="003766FA" w14:paraId="7E4B76C9" w14:textId="77777777" w:rsidTr="003766FA">
        <w:trPr>
          <w:trHeight w:val="285"/>
        </w:trPr>
        <w:tc>
          <w:tcPr>
            <w:tcW w:w="0" w:type="auto"/>
            <w:tcBorders>
              <w:top w:val="nil"/>
              <w:left w:val="nil"/>
              <w:bottom w:val="nil"/>
              <w:right w:val="single" w:sz="8" w:space="0" w:color="auto"/>
            </w:tcBorders>
            <w:vAlign w:val="center"/>
            <w:hideMark/>
          </w:tcPr>
          <w:p w14:paraId="520F6E32" w14:textId="77777777" w:rsidR="003766FA" w:rsidRPr="003766FA" w:rsidRDefault="003766FA" w:rsidP="003766FA">
            <w:pPr>
              <w:spacing w:after="0" w:line="240" w:lineRule="auto"/>
              <w:jc w:val="left"/>
              <w:rPr>
                <w:rFonts w:eastAsia="Times New Roman"/>
                <w:color w:val="000000"/>
                <w:sz w:val="16"/>
                <w:szCs w:val="16"/>
                <w:lang w:val="es-419" w:eastAsia="es-419"/>
              </w:rPr>
            </w:pPr>
            <w:r w:rsidRPr="003766FA">
              <w:rPr>
                <w:rFonts w:eastAsia="Times New Roman"/>
                <w:color w:val="000000"/>
                <w:sz w:val="16"/>
                <w:szCs w:val="16"/>
                <w:lang w:val="es-MX" w:eastAsia="es-419"/>
              </w:rPr>
              <w:t>Bacalar</w:t>
            </w:r>
          </w:p>
        </w:tc>
        <w:tc>
          <w:tcPr>
            <w:tcW w:w="0" w:type="auto"/>
            <w:tcBorders>
              <w:top w:val="nil"/>
              <w:left w:val="nil"/>
              <w:bottom w:val="nil"/>
              <w:right w:val="nil"/>
            </w:tcBorders>
            <w:vAlign w:val="center"/>
            <w:hideMark/>
          </w:tcPr>
          <w:p w14:paraId="350356C5" w14:textId="54F9FDB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7</w:t>
            </w:r>
            <w:r w:rsidR="002206F6">
              <w:rPr>
                <w:rFonts w:eastAsia="Times New Roman"/>
                <w:color w:val="000000"/>
                <w:sz w:val="16"/>
                <w:szCs w:val="16"/>
                <w:lang w:val="es-MX" w:eastAsia="es-419"/>
              </w:rPr>
              <w:t>,</w:t>
            </w:r>
            <w:r w:rsidRPr="003766FA">
              <w:rPr>
                <w:rFonts w:eastAsia="Times New Roman"/>
                <w:color w:val="000000"/>
                <w:sz w:val="16"/>
                <w:szCs w:val="16"/>
                <w:lang w:val="es-MX" w:eastAsia="es-419"/>
              </w:rPr>
              <w:t>887</w:t>
            </w:r>
          </w:p>
        </w:tc>
        <w:tc>
          <w:tcPr>
            <w:tcW w:w="0" w:type="auto"/>
            <w:tcBorders>
              <w:top w:val="nil"/>
              <w:left w:val="nil"/>
              <w:bottom w:val="nil"/>
              <w:right w:val="nil"/>
            </w:tcBorders>
            <w:vAlign w:val="center"/>
            <w:hideMark/>
          </w:tcPr>
          <w:p w14:paraId="5C249EE7" w14:textId="158732EB"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3</w:t>
            </w:r>
            <w:r w:rsidR="002206F6">
              <w:rPr>
                <w:rFonts w:eastAsia="Times New Roman"/>
                <w:color w:val="000000"/>
                <w:sz w:val="16"/>
                <w:szCs w:val="16"/>
                <w:lang w:val="es-MX" w:eastAsia="es-419"/>
              </w:rPr>
              <w:t>,</w:t>
            </w:r>
            <w:r w:rsidRPr="003766FA">
              <w:rPr>
                <w:rFonts w:eastAsia="Times New Roman"/>
                <w:color w:val="000000"/>
                <w:sz w:val="16"/>
                <w:szCs w:val="16"/>
                <w:lang w:val="es-MX" w:eastAsia="es-419"/>
              </w:rPr>
              <w:t>797</w:t>
            </w:r>
          </w:p>
        </w:tc>
        <w:tc>
          <w:tcPr>
            <w:tcW w:w="0" w:type="auto"/>
            <w:tcBorders>
              <w:top w:val="nil"/>
              <w:left w:val="nil"/>
              <w:bottom w:val="nil"/>
              <w:right w:val="single" w:sz="8" w:space="0" w:color="auto"/>
            </w:tcBorders>
            <w:vAlign w:val="center"/>
            <w:hideMark/>
          </w:tcPr>
          <w:p w14:paraId="03F0EDDF" w14:textId="7EB92840"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13</w:t>
            </w:r>
            <w:r w:rsidR="002206F6">
              <w:rPr>
                <w:rFonts w:eastAsia="Times New Roman"/>
                <w:color w:val="000000"/>
                <w:sz w:val="16"/>
                <w:szCs w:val="16"/>
                <w:lang w:val="es-MX" w:eastAsia="es-419"/>
              </w:rPr>
              <w:t>,</w:t>
            </w:r>
            <w:r w:rsidRPr="003766FA">
              <w:rPr>
                <w:rFonts w:eastAsia="Times New Roman"/>
                <w:color w:val="000000"/>
                <w:sz w:val="16"/>
                <w:szCs w:val="16"/>
                <w:lang w:val="es-MX" w:eastAsia="es-419"/>
              </w:rPr>
              <w:t>320</w:t>
            </w:r>
          </w:p>
        </w:tc>
        <w:tc>
          <w:tcPr>
            <w:tcW w:w="0" w:type="auto"/>
            <w:tcBorders>
              <w:top w:val="nil"/>
              <w:left w:val="nil"/>
              <w:bottom w:val="nil"/>
              <w:right w:val="nil"/>
            </w:tcBorders>
            <w:vAlign w:val="center"/>
            <w:hideMark/>
          </w:tcPr>
          <w:p w14:paraId="4CE23158" w14:textId="17A42C6D"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3</w:t>
            </w:r>
            <w:r w:rsidR="002206F6">
              <w:rPr>
                <w:rFonts w:eastAsia="Times New Roman"/>
                <w:color w:val="000000"/>
                <w:sz w:val="16"/>
                <w:szCs w:val="16"/>
                <w:lang w:val="es-MX" w:eastAsia="es-419"/>
              </w:rPr>
              <w:t>,</w:t>
            </w:r>
            <w:r w:rsidRPr="003766FA">
              <w:rPr>
                <w:rFonts w:eastAsia="Times New Roman"/>
                <w:color w:val="000000"/>
                <w:sz w:val="16"/>
                <w:szCs w:val="16"/>
                <w:lang w:val="es-MX" w:eastAsia="es-419"/>
              </w:rPr>
              <w:t>591</w:t>
            </w:r>
          </w:p>
        </w:tc>
        <w:tc>
          <w:tcPr>
            <w:tcW w:w="0" w:type="auto"/>
            <w:tcBorders>
              <w:top w:val="nil"/>
              <w:left w:val="nil"/>
              <w:bottom w:val="nil"/>
              <w:right w:val="nil"/>
            </w:tcBorders>
            <w:vAlign w:val="center"/>
            <w:hideMark/>
          </w:tcPr>
          <w:p w14:paraId="1C8BD2B0" w14:textId="104916D6"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2</w:t>
            </w:r>
            <w:r w:rsidR="002206F6">
              <w:rPr>
                <w:rFonts w:eastAsia="Times New Roman"/>
                <w:color w:val="000000"/>
                <w:sz w:val="16"/>
                <w:szCs w:val="16"/>
                <w:lang w:val="es-MX" w:eastAsia="es-419"/>
              </w:rPr>
              <w:t>,</w:t>
            </w:r>
            <w:r w:rsidRPr="003766FA">
              <w:rPr>
                <w:rFonts w:eastAsia="Times New Roman"/>
                <w:color w:val="000000"/>
                <w:sz w:val="16"/>
                <w:szCs w:val="16"/>
                <w:lang w:val="es-MX" w:eastAsia="es-419"/>
              </w:rPr>
              <w:t>142</w:t>
            </w:r>
          </w:p>
        </w:tc>
        <w:tc>
          <w:tcPr>
            <w:tcW w:w="0" w:type="auto"/>
            <w:tcBorders>
              <w:top w:val="nil"/>
              <w:left w:val="nil"/>
              <w:bottom w:val="nil"/>
              <w:right w:val="single" w:sz="8" w:space="0" w:color="auto"/>
            </w:tcBorders>
            <w:vAlign w:val="center"/>
            <w:hideMark/>
          </w:tcPr>
          <w:p w14:paraId="3B1E7BFC" w14:textId="5EFDBCEC"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7</w:t>
            </w:r>
            <w:r w:rsidR="002206F6">
              <w:rPr>
                <w:rFonts w:eastAsia="Times New Roman"/>
                <w:color w:val="000000"/>
                <w:sz w:val="16"/>
                <w:szCs w:val="16"/>
                <w:lang w:val="es-MX" w:eastAsia="es-419"/>
              </w:rPr>
              <w:t>,</w:t>
            </w:r>
            <w:r w:rsidRPr="003766FA">
              <w:rPr>
                <w:rFonts w:eastAsia="Times New Roman"/>
                <w:color w:val="000000"/>
                <w:sz w:val="16"/>
                <w:szCs w:val="16"/>
                <w:lang w:val="es-MX" w:eastAsia="es-419"/>
              </w:rPr>
              <w:t>182</w:t>
            </w:r>
          </w:p>
        </w:tc>
        <w:tc>
          <w:tcPr>
            <w:tcW w:w="0" w:type="auto"/>
            <w:tcBorders>
              <w:top w:val="nil"/>
              <w:left w:val="nil"/>
              <w:bottom w:val="nil"/>
              <w:right w:val="nil"/>
            </w:tcBorders>
            <w:vAlign w:val="center"/>
            <w:hideMark/>
          </w:tcPr>
          <w:p w14:paraId="1B87486B" w14:textId="2A0C25FE"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4</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895</w:t>
            </w:r>
          </w:p>
        </w:tc>
        <w:tc>
          <w:tcPr>
            <w:tcW w:w="0" w:type="auto"/>
            <w:tcBorders>
              <w:top w:val="nil"/>
              <w:left w:val="nil"/>
              <w:bottom w:val="nil"/>
              <w:right w:val="nil"/>
            </w:tcBorders>
            <w:vAlign w:val="center"/>
            <w:hideMark/>
          </w:tcPr>
          <w:p w14:paraId="2FF1EA7E" w14:textId="2F1A514C"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946</w:t>
            </w:r>
          </w:p>
        </w:tc>
        <w:tc>
          <w:tcPr>
            <w:tcW w:w="0" w:type="auto"/>
            <w:tcBorders>
              <w:top w:val="nil"/>
              <w:left w:val="nil"/>
              <w:bottom w:val="nil"/>
              <w:right w:val="nil"/>
            </w:tcBorders>
            <w:vAlign w:val="center"/>
            <w:hideMark/>
          </w:tcPr>
          <w:p w14:paraId="6EBDB166" w14:textId="1FADAA2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9</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371</w:t>
            </w:r>
          </w:p>
        </w:tc>
      </w:tr>
      <w:tr w:rsidR="003766FA" w:rsidRPr="003766FA" w14:paraId="628834B0" w14:textId="77777777" w:rsidTr="003766FA">
        <w:trPr>
          <w:trHeight w:val="285"/>
        </w:trPr>
        <w:tc>
          <w:tcPr>
            <w:tcW w:w="0" w:type="auto"/>
            <w:tcBorders>
              <w:top w:val="nil"/>
              <w:left w:val="nil"/>
              <w:bottom w:val="nil"/>
              <w:right w:val="single" w:sz="8" w:space="0" w:color="auto"/>
            </w:tcBorders>
            <w:vAlign w:val="center"/>
            <w:hideMark/>
          </w:tcPr>
          <w:p w14:paraId="3018EA0B" w14:textId="77777777" w:rsidR="003766FA" w:rsidRPr="003766FA" w:rsidRDefault="003766FA" w:rsidP="003766FA">
            <w:pPr>
              <w:spacing w:after="0" w:line="240" w:lineRule="auto"/>
              <w:jc w:val="left"/>
              <w:rPr>
                <w:rFonts w:eastAsia="Times New Roman"/>
                <w:color w:val="000000"/>
                <w:sz w:val="16"/>
                <w:szCs w:val="16"/>
                <w:lang w:val="es-419" w:eastAsia="es-419"/>
              </w:rPr>
            </w:pPr>
            <w:r w:rsidRPr="003766FA">
              <w:rPr>
                <w:rFonts w:eastAsia="Times New Roman"/>
                <w:color w:val="000000"/>
                <w:sz w:val="16"/>
                <w:szCs w:val="16"/>
                <w:lang w:val="es-MX" w:eastAsia="es-419"/>
              </w:rPr>
              <w:t>Benito Juárez</w:t>
            </w:r>
          </w:p>
        </w:tc>
        <w:tc>
          <w:tcPr>
            <w:tcW w:w="0" w:type="auto"/>
            <w:tcBorders>
              <w:top w:val="nil"/>
              <w:left w:val="nil"/>
              <w:bottom w:val="nil"/>
              <w:right w:val="nil"/>
            </w:tcBorders>
            <w:vAlign w:val="center"/>
            <w:hideMark/>
          </w:tcPr>
          <w:p w14:paraId="46D76690" w14:textId="7777777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296</w:t>
            </w:r>
          </w:p>
        </w:tc>
        <w:tc>
          <w:tcPr>
            <w:tcW w:w="0" w:type="auto"/>
            <w:tcBorders>
              <w:top w:val="nil"/>
              <w:left w:val="nil"/>
              <w:bottom w:val="nil"/>
              <w:right w:val="nil"/>
            </w:tcBorders>
            <w:vAlign w:val="center"/>
            <w:hideMark/>
          </w:tcPr>
          <w:p w14:paraId="50866F7D" w14:textId="204A1903"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68</w:t>
            </w:r>
            <w:r w:rsidR="002206F6">
              <w:rPr>
                <w:rFonts w:eastAsia="Times New Roman"/>
                <w:color w:val="000000"/>
                <w:sz w:val="16"/>
                <w:szCs w:val="16"/>
                <w:lang w:val="es-MX" w:eastAsia="es-419"/>
              </w:rPr>
              <w:t>,</w:t>
            </w:r>
            <w:r w:rsidRPr="003766FA">
              <w:rPr>
                <w:rFonts w:eastAsia="Times New Roman"/>
                <w:color w:val="000000"/>
                <w:sz w:val="16"/>
                <w:szCs w:val="16"/>
                <w:lang w:val="es-MX" w:eastAsia="es-419"/>
              </w:rPr>
              <w:t>487</w:t>
            </w:r>
          </w:p>
        </w:tc>
        <w:tc>
          <w:tcPr>
            <w:tcW w:w="0" w:type="auto"/>
            <w:tcBorders>
              <w:top w:val="nil"/>
              <w:left w:val="nil"/>
              <w:bottom w:val="nil"/>
              <w:right w:val="single" w:sz="8" w:space="0" w:color="auto"/>
            </w:tcBorders>
            <w:vAlign w:val="center"/>
            <w:hideMark/>
          </w:tcPr>
          <w:p w14:paraId="506FEBB2" w14:textId="0F71F152"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385</w:t>
            </w:r>
            <w:r w:rsidR="002206F6">
              <w:rPr>
                <w:rFonts w:eastAsia="Times New Roman"/>
                <w:color w:val="000000"/>
                <w:sz w:val="16"/>
                <w:szCs w:val="16"/>
                <w:lang w:val="es-MX" w:eastAsia="es-419"/>
              </w:rPr>
              <w:t>,</w:t>
            </w:r>
            <w:r w:rsidRPr="003766FA">
              <w:rPr>
                <w:rFonts w:eastAsia="Times New Roman"/>
                <w:color w:val="000000"/>
                <w:sz w:val="16"/>
                <w:szCs w:val="16"/>
                <w:lang w:val="es-MX" w:eastAsia="es-419"/>
              </w:rPr>
              <w:t>839</w:t>
            </w:r>
          </w:p>
        </w:tc>
        <w:tc>
          <w:tcPr>
            <w:tcW w:w="0" w:type="auto"/>
            <w:tcBorders>
              <w:top w:val="nil"/>
              <w:left w:val="nil"/>
              <w:bottom w:val="nil"/>
              <w:right w:val="nil"/>
            </w:tcBorders>
            <w:vAlign w:val="center"/>
            <w:hideMark/>
          </w:tcPr>
          <w:p w14:paraId="70B1EAF8" w14:textId="7777777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360</w:t>
            </w:r>
          </w:p>
        </w:tc>
        <w:tc>
          <w:tcPr>
            <w:tcW w:w="0" w:type="auto"/>
            <w:tcBorders>
              <w:top w:val="nil"/>
              <w:left w:val="nil"/>
              <w:bottom w:val="nil"/>
              <w:right w:val="nil"/>
            </w:tcBorders>
            <w:vAlign w:val="center"/>
            <w:hideMark/>
          </w:tcPr>
          <w:p w14:paraId="74902E17" w14:textId="1314ED16"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66</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425</w:t>
            </w:r>
          </w:p>
        </w:tc>
        <w:tc>
          <w:tcPr>
            <w:tcW w:w="0" w:type="auto"/>
            <w:tcBorders>
              <w:top w:val="nil"/>
              <w:left w:val="nil"/>
              <w:bottom w:val="nil"/>
              <w:right w:val="single" w:sz="8" w:space="0" w:color="auto"/>
            </w:tcBorders>
            <w:vAlign w:val="center"/>
            <w:hideMark/>
          </w:tcPr>
          <w:p w14:paraId="5A452E40" w14:textId="69C058A0"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388</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651</w:t>
            </w:r>
          </w:p>
        </w:tc>
        <w:tc>
          <w:tcPr>
            <w:tcW w:w="0" w:type="auto"/>
            <w:tcBorders>
              <w:top w:val="nil"/>
              <w:left w:val="nil"/>
              <w:bottom w:val="nil"/>
              <w:right w:val="nil"/>
            </w:tcBorders>
            <w:vAlign w:val="center"/>
            <w:hideMark/>
          </w:tcPr>
          <w:p w14:paraId="2B0C3DDE" w14:textId="64654FF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177</w:t>
            </w:r>
          </w:p>
        </w:tc>
        <w:tc>
          <w:tcPr>
            <w:tcW w:w="0" w:type="auto"/>
            <w:tcBorders>
              <w:top w:val="nil"/>
              <w:left w:val="nil"/>
              <w:bottom w:val="nil"/>
              <w:right w:val="nil"/>
            </w:tcBorders>
            <w:vAlign w:val="center"/>
            <w:hideMark/>
          </w:tcPr>
          <w:p w14:paraId="0FAE47B7" w14:textId="1DB9A09B"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69</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591</w:t>
            </w:r>
          </w:p>
        </w:tc>
        <w:tc>
          <w:tcPr>
            <w:tcW w:w="0" w:type="auto"/>
            <w:tcBorders>
              <w:top w:val="nil"/>
              <w:left w:val="nil"/>
              <w:bottom w:val="nil"/>
              <w:right w:val="nil"/>
            </w:tcBorders>
            <w:vAlign w:val="center"/>
            <w:hideMark/>
          </w:tcPr>
          <w:p w14:paraId="2C01F7B2" w14:textId="75532708"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403</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362</w:t>
            </w:r>
          </w:p>
        </w:tc>
      </w:tr>
      <w:tr w:rsidR="003766FA" w:rsidRPr="003766FA" w14:paraId="0808FFBA" w14:textId="77777777" w:rsidTr="003766FA">
        <w:trPr>
          <w:trHeight w:val="510"/>
        </w:trPr>
        <w:tc>
          <w:tcPr>
            <w:tcW w:w="0" w:type="auto"/>
            <w:tcBorders>
              <w:top w:val="nil"/>
              <w:left w:val="nil"/>
              <w:bottom w:val="nil"/>
              <w:right w:val="single" w:sz="8" w:space="0" w:color="auto"/>
            </w:tcBorders>
            <w:vAlign w:val="center"/>
            <w:hideMark/>
          </w:tcPr>
          <w:p w14:paraId="1E5A39A7" w14:textId="77777777" w:rsidR="003766FA" w:rsidRPr="003766FA" w:rsidRDefault="003766FA" w:rsidP="003766FA">
            <w:pPr>
              <w:spacing w:after="0" w:line="240" w:lineRule="auto"/>
              <w:jc w:val="left"/>
              <w:rPr>
                <w:rFonts w:eastAsia="Times New Roman"/>
                <w:color w:val="000000"/>
                <w:sz w:val="16"/>
                <w:szCs w:val="16"/>
                <w:lang w:val="es-419" w:eastAsia="es-419"/>
              </w:rPr>
            </w:pPr>
            <w:r w:rsidRPr="003766FA">
              <w:rPr>
                <w:rFonts w:eastAsia="Times New Roman"/>
                <w:color w:val="000000"/>
                <w:sz w:val="16"/>
                <w:szCs w:val="16"/>
                <w:lang w:val="es-MX" w:eastAsia="es-419"/>
              </w:rPr>
              <w:t>Cozumel</w:t>
            </w:r>
          </w:p>
        </w:tc>
        <w:tc>
          <w:tcPr>
            <w:tcW w:w="0" w:type="auto"/>
            <w:tcBorders>
              <w:top w:val="nil"/>
              <w:left w:val="nil"/>
              <w:bottom w:val="nil"/>
              <w:right w:val="nil"/>
            </w:tcBorders>
            <w:vAlign w:val="center"/>
            <w:hideMark/>
          </w:tcPr>
          <w:p w14:paraId="06627CDC" w14:textId="7777777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472</w:t>
            </w:r>
          </w:p>
        </w:tc>
        <w:tc>
          <w:tcPr>
            <w:tcW w:w="0" w:type="auto"/>
            <w:tcBorders>
              <w:top w:val="nil"/>
              <w:left w:val="nil"/>
              <w:bottom w:val="nil"/>
              <w:right w:val="nil"/>
            </w:tcBorders>
            <w:vAlign w:val="center"/>
            <w:hideMark/>
          </w:tcPr>
          <w:p w14:paraId="0B5CB873" w14:textId="3A32A0D0"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5</w:t>
            </w:r>
            <w:r w:rsidR="002206F6">
              <w:rPr>
                <w:rFonts w:eastAsia="Times New Roman"/>
                <w:color w:val="000000"/>
                <w:sz w:val="16"/>
                <w:szCs w:val="16"/>
                <w:lang w:val="es-MX" w:eastAsia="es-419"/>
              </w:rPr>
              <w:t>,</w:t>
            </w:r>
            <w:r w:rsidRPr="003766FA">
              <w:rPr>
                <w:rFonts w:eastAsia="Times New Roman"/>
                <w:color w:val="000000"/>
                <w:sz w:val="16"/>
                <w:szCs w:val="16"/>
                <w:lang w:val="es-MX" w:eastAsia="es-419"/>
              </w:rPr>
              <w:t>849</w:t>
            </w:r>
          </w:p>
        </w:tc>
        <w:tc>
          <w:tcPr>
            <w:tcW w:w="0" w:type="auto"/>
            <w:tcBorders>
              <w:top w:val="nil"/>
              <w:left w:val="nil"/>
              <w:bottom w:val="nil"/>
              <w:right w:val="single" w:sz="8" w:space="0" w:color="auto"/>
            </w:tcBorders>
            <w:vAlign w:val="center"/>
            <w:hideMark/>
          </w:tcPr>
          <w:p w14:paraId="7F1CD3EA" w14:textId="21439EDF"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52</w:t>
            </w:r>
            <w:r w:rsidR="002206F6">
              <w:rPr>
                <w:rFonts w:eastAsia="Times New Roman"/>
                <w:color w:val="000000"/>
                <w:sz w:val="16"/>
                <w:szCs w:val="16"/>
                <w:lang w:val="es-MX" w:eastAsia="es-419"/>
              </w:rPr>
              <w:t>,</w:t>
            </w:r>
            <w:r w:rsidRPr="003766FA">
              <w:rPr>
                <w:rFonts w:eastAsia="Times New Roman"/>
                <w:color w:val="000000"/>
                <w:sz w:val="16"/>
                <w:szCs w:val="16"/>
                <w:lang w:val="es-MX" w:eastAsia="es-419"/>
              </w:rPr>
              <w:t>989</w:t>
            </w:r>
          </w:p>
        </w:tc>
        <w:tc>
          <w:tcPr>
            <w:tcW w:w="0" w:type="auto"/>
            <w:tcBorders>
              <w:top w:val="nil"/>
              <w:left w:val="nil"/>
              <w:bottom w:val="nil"/>
              <w:right w:val="nil"/>
            </w:tcBorders>
            <w:vAlign w:val="center"/>
            <w:hideMark/>
          </w:tcPr>
          <w:p w14:paraId="0FFAA46F" w14:textId="7777777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418</w:t>
            </w:r>
          </w:p>
        </w:tc>
        <w:tc>
          <w:tcPr>
            <w:tcW w:w="0" w:type="auto"/>
            <w:tcBorders>
              <w:top w:val="nil"/>
              <w:left w:val="nil"/>
              <w:bottom w:val="nil"/>
              <w:right w:val="nil"/>
            </w:tcBorders>
            <w:vAlign w:val="center"/>
            <w:hideMark/>
          </w:tcPr>
          <w:p w14:paraId="1D82E382" w14:textId="24D81B3E"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593</w:t>
            </w:r>
          </w:p>
        </w:tc>
        <w:tc>
          <w:tcPr>
            <w:tcW w:w="0" w:type="auto"/>
            <w:tcBorders>
              <w:top w:val="nil"/>
              <w:left w:val="nil"/>
              <w:bottom w:val="nil"/>
              <w:right w:val="single" w:sz="8" w:space="0" w:color="auto"/>
            </w:tcBorders>
            <w:vAlign w:val="center"/>
            <w:hideMark/>
          </w:tcPr>
          <w:p w14:paraId="415EBA02" w14:textId="6C007CCB"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24</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907</w:t>
            </w:r>
          </w:p>
        </w:tc>
        <w:tc>
          <w:tcPr>
            <w:tcW w:w="0" w:type="auto"/>
            <w:tcBorders>
              <w:top w:val="nil"/>
              <w:left w:val="nil"/>
              <w:bottom w:val="nil"/>
              <w:right w:val="nil"/>
            </w:tcBorders>
            <w:vAlign w:val="center"/>
            <w:hideMark/>
          </w:tcPr>
          <w:p w14:paraId="6A12B903" w14:textId="7777777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0</w:t>
            </w:r>
          </w:p>
        </w:tc>
        <w:tc>
          <w:tcPr>
            <w:tcW w:w="0" w:type="auto"/>
            <w:tcBorders>
              <w:top w:val="nil"/>
              <w:left w:val="nil"/>
              <w:bottom w:val="nil"/>
              <w:right w:val="nil"/>
            </w:tcBorders>
            <w:vAlign w:val="center"/>
            <w:hideMark/>
          </w:tcPr>
          <w:p w14:paraId="6B50A392" w14:textId="25E029EC"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5</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126</w:t>
            </w:r>
          </w:p>
        </w:tc>
        <w:tc>
          <w:tcPr>
            <w:tcW w:w="0" w:type="auto"/>
            <w:tcBorders>
              <w:top w:val="nil"/>
              <w:left w:val="nil"/>
              <w:bottom w:val="nil"/>
              <w:right w:val="nil"/>
            </w:tcBorders>
            <w:vAlign w:val="center"/>
            <w:hideMark/>
          </w:tcPr>
          <w:p w14:paraId="0F9FFF12" w14:textId="120D5E1D"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22</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336</w:t>
            </w:r>
          </w:p>
        </w:tc>
      </w:tr>
      <w:tr w:rsidR="003766FA" w:rsidRPr="003766FA" w14:paraId="255F8955" w14:textId="77777777" w:rsidTr="003766FA">
        <w:trPr>
          <w:trHeight w:val="510"/>
        </w:trPr>
        <w:tc>
          <w:tcPr>
            <w:tcW w:w="0" w:type="auto"/>
            <w:tcBorders>
              <w:top w:val="nil"/>
              <w:left w:val="nil"/>
              <w:bottom w:val="nil"/>
              <w:right w:val="single" w:sz="8" w:space="0" w:color="auto"/>
            </w:tcBorders>
            <w:vAlign w:val="center"/>
            <w:hideMark/>
          </w:tcPr>
          <w:p w14:paraId="5C474029" w14:textId="77777777" w:rsidR="003766FA" w:rsidRPr="003766FA" w:rsidRDefault="003766FA" w:rsidP="003766FA">
            <w:pPr>
              <w:spacing w:after="0" w:line="240" w:lineRule="auto"/>
              <w:jc w:val="left"/>
              <w:rPr>
                <w:rFonts w:eastAsia="Times New Roman"/>
                <w:color w:val="000000"/>
                <w:sz w:val="16"/>
                <w:szCs w:val="16"/>
                <w:lang w:val="es-419" w:eastAsia="es-419"/>
              </w:rPr>
            </w:pPr>
            <w:r w:rsidRPr="003766FA">
              <w:rPr>
                <w:rFonts w:eastAsia="Times New Roman"/>
                <w:color w:val="000000"/>
                <w:sz w:val="16"/>
                <w:szCs w:val="16"/>
                <w:lang w:val="es-MX" w:eastAsia="es-419"/>
              </w:rPr>
              <w:t>Felipe Carrillo Puerto</w:t>
            </w:r>
          </w:p>
        </w:tc>
        <w:tc>
          <w:tcPr>
            <w:tcW w:w="0" w:type="auto"/>
            <w:tcBorders>
              <w:top w:val="nil"/>
              <w:left w:val="nil"/>
              <w:bottom w:val="nil"/>
              <w:right w:val="nil"/>
            </w:tcBorders>
            <w:vAlign w:val="center"/>
            <w:hideMark/>
          </w:tcPr>
          <w:p w14:paraId="34754A93" w14:textId="43501032"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14</w:t>
            </w:r>
            <w:r w:rsidR="002206F6">
              <w:rPr>
                <w:rFonts w:eastAsia="Times New Roman"/>
                <w:color w:val="000000"/>
                <w:sz w:val="16"/>
                <w:szCs w:val="16"/>
                <w:lang w:val="es-MX" w:eastAsia="es-419"/>
              </w:rPr>
              <w:t>,</w:t>
            </w:r>
            <w:r w:rsidRPr="003766FA">
              <w:rPr>
                <w:rFonts w:eastAsia="Times New Roman"/>
                <w:color w:val="000000"/>
                <w:sz w:val="16"/>
                <w:szCs w:val="16"/>
                <w:lang w:val="es-MX" w:eastAsia="es-419"/>
              </w:rPr>
              <w:t>300</w:t>
            </w:r>
          </w:p>
        </w:tc>
        <w:tc>
          <w:tcPr>
            <w:tcW w:w="0" w:type="auto"/>
            <w:tcBorders>
              <w:top w:val="nil"/>
              <w:left w:val="nil"/>
              <w:bottom w:val="nil"/>
              <w:right w:val="nil"/>
            </w:tcBorders>
            <w:vAlign w:val="center"/>
            <w:hideMark/>
          </w:tcPr>
          <w:p w14:paraId="12BAAF8A" w14:textId="718A36B0"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9</w:t>
            </w:r>
            <w:r w:rsidR="002206F6">
              <w:rPr>
                <w:rFonts w:eastAsia="Times New Roman"/>
                <w:color w:val="000000"/>
                <w:sz w:val="16"/>
                <w:szCs w:val="16"/>
                <w:lang w:val="es-MX" w:eastAsia="es-419"/>
              </w:rPr>
              <w:t>,</w:t>
            </w:r>
            <w:r w:rsidRPr="003766FA">
              <w:rPr>
                <w:rFonts w:eastAsia="Times New Roman"/>
                <w:color w:val="000000"/>
                <w:sz w:val="16"/>
                <w:szCs w:val="16"/>
                <w:lang w:val="es-MX" w:eastAsia="es-419"/>
              </w:rPr>
              <w:t>683</w:t>
            </w:r>
          </w:p>
        </w:tc>
        <w:tc>
          <w:tcPr>
            <w:tcW w:w="0" w:type="auto"/>
            <w:tcBorders>
              <w:top w:val="nil"/>
              <w:left w:val="nil"/>
              <w:bottom w:val="nil"/>
              <w:right w:val="single" w:sz="8" w:space="0" w:color="auto"/>
            </w:tcBorders>
            <w:vAlign w:val="center"/>
            <w:hideMark/>
          </w:tcPr>
          <w:p w14:paraId="1EECF536" w14:textId="5E60E6B0"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37</w:t>
            </w:r>
            <w:r w:rsidR="002206F6">
              <w:rPr>
                <w:rFonts w:eastAsia="Times New Roman"/>
                <w:color w:val="000000"/>
                <w:sz w:val="16"/>
                <w:szCs w:val="16"/>
                <w:lang w:val="es-MX" w:eastAsia="es-419"/>
              </w:rPr>
              <w:t>,</w:t>
            </w:r>
            <w:r w:rsidRPr="003766FA">
              <w:rPr>
                <w:rFonts w:eastAsia="Times New Roman"/>
                <w:color w:val="000000"/>
                <w:sz w:val="16"/>
                <w:szCs w:val="16"/>
                <w:lang w:val="es-MX" w:eastAsia="es-419"/>
              </w:rPr>
              <w:t>838</w:t>
            </w:r>
          </w:p>
        </w:tc>
        <w:tc>
          <w:tcPr>
            <w:tcW w:w="0" w:type="auto"/>
            <w:tcBorders>
              <w:top w:val="nil"/>
              <w:left w:val="nil"/>
              <w:bottom w:val="nil"/>
              <w:right w:val="nil"/>
            </w:tcBorders>
            <w:vAlign w:val="center"/>
            <w:hideMark/>
          </w:tcPr>
          <w:p w14:paraId="0387D550" w14:textId="26D7B152"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9</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939</w:t>
            </w:r>
          </w:p>
        </w:tc>
        <w:tc>
          <w:tcPr>
            <w:tcW w:w="0" w:type="auto"/>
            <w:tcBorders>
              <w:top w:val="nil"/>
              <w:left w:val="nil"/>
              <w:bottom w:val="nil"/>
              <w:right w:val="nil"/>
            </w:tcBorders>
            <w:vAlign w:val="center"/>
            <w:hideMark/>
          </w:tcPr>
          <w:p w14:paraId="0D0F167D" w14:textId="26730D73"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9</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185</w:t>
            </w:r>
          </w:p>
        </w:tc>
        <w:tc>
          <w:tcPr>
            <w:tcW w:w="0" w:type="auto"/>
            <w:tcBorders>
              <w:top w:val="nil"/>
              <w:left w:val="nil"/>
              <w:bottom w:val="nil"/>
              <w:right w:val="single" w:sz="8" w:space="0" w:color="auto"/>
            </w:tcBorders>
            <w:vAlign w:val="center"/>
            <w:hideMark/>
          </w:tcPr>
          <w:p w14:paraId="16DE6446" w14:textId="038DA506"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25</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403</w:t>
            </w:r>
          </w:p>
        </w:tc>
        <w:tc>
          <w:tcPr>
            <w:tcW w:w="0" w:type="auto"/>
            <w:tcBorders>
              <w:top w:val="nil"/>
              <w:left w:val="nil"/>
              <w:bottom w:val="nil"/>
              <w:right w:val="nil"/>
            </w:tcBorders>
            <w:vAlign w:val="center"/>
            <w:hideMark/>
          </w:tcPr>
          <w:p w14:paraId="6CB98102" w14:textId="23B4FCBB"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5</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203</w:t>
            </w:r>
          </w:p>
        </w:tc>
        <w:tc>
          <w:tcPr>
            <w:tcW w:w="0" w:type="auto"/>
            <w:tcBorders>
              <w:top w:val="nil"/>
              <w:left w:val="nil"/>
              <w:bottom w:val="nil"/>
              <w:right w:val="nil"/>
            </w:tcBorders>
            <w:vAlign w:val="center"/>
            <w:hideMark/>
          </w:tcPr>
          <w:p w14:paraId="239710AE" w14:textId="71505C09"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912</w:t>
            </w:r>
          </w:p>
        </w:tc>
        <w:tc>
          <w:tcPr>
            <w:tcW w:w="0" w:type="auto"/>
            <w:tcBorders>
              <w:top w:val="nil"/>
              <w:left w:val="nil"/>
              <w:bottom w:val="nil"/>
              <w:right w:val="nil"/>
            </w:tcBorders>
            <w:vAlign w:val="center"/>
            <w:hideMark/>
          </w:tcPr>
          <w:p w14:paraId="7567ACDD" w14:textId="32E7B7C3"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3</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769</w:t>
            </w:r>
          </w:p>
        </w:tc>
      </w:tr>
      <w:tr w:rsidR="003766FA" w:rsidRPr="003766FA" w14:paraId="44C77CDA" w14:textId="77777777" w:rsidTr="003766FA">
        <w:trPr>
          <w:trHeight w:val="510"/>
        </w:trPr>
        <w:tc>
          <w:tcPr>
            <w:tcW w:w="0" w:type="auto"/>
            <w:tcBorders>
              <w:top w:val="nil"/>
              <w:left w:val="nil"/>
              <w:bottom w:val="nil"/>
              <w:right w:val="single" w:sz="8" w:space="0" w:color="auto"/>
            </w:tcBorders>
            <w:vAlign w:val="center"/>
            <w:hideMark/>
          </w:tcPr>
          <w:p w14:paraId="5D243CD9" w14:textId="77777777" w:rsidR="003766FA" w:rsidRPr="003766FA" w:rsidRDefault="003766FA" w:rsidP="003766FA">
            <w:pPr>
              <w:spacing w:after="0" w:line="240" w:lineRule="auto"/>
              <w:jc w:val="left"/>
              <w:rPr>
                <w:rFonts w:eastAsia="Times New Roman"/>
                <w:color w:val="000000"/>
                <w:sz w:val="16"/>
                <w:szCs w:val="16"/>
                <w:lang w:val="es-419" w:eastAsia="es-419"/>
              </w:rPr>
            </w:pPr>
            <w:r w:rsidRPr="003766FA">
              <w:rPr>
                <w:rFonts w:eastAsia="Times New Roman"/>
                <w:color w:val="000000"/>
                <w:sz w:val="16"/>
                <w:szCs w:val="16"/>
                <w:lang w:val="es-MX" w:eastAsia="es-419"/>
              </w:rPr>
              <w:t>Isla Mujeres</w:t>
            </w:r>
          </w:p>
        </w:tc>
        <w:tc>
          <w:tcPr>
            <w:tcW w:w="0" w:type="auto"/>
            <w:tcBorders>
              <w:top w:val="nil"/>
              <w:left w:val="nil"/>
              <w:bottom w:val="nil"/>
              <w:right w:val="nil"/>
            </w:tcBorders>
            <w:vAlign w:val="center"/>
            <w:hideMark/>
          </w:tcPr>
          <w:p w14:paraId="523F28CC" w14:textId="7777777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231</w:t>
            </w:r>
          </w:p>
        </w:tc>
        <w:tc>
          <w:tcPr>
            <w:tcW w:w="0" w:type="auto"/>
            <w:tcBorders>
              <w:top w:val="nil"/>
              <w:left w:val="nil"/>
              <w:bottom w:val="nil"/>
              <w:right w:val="nil"/>
            </w:tcBorders>
            <w:vAlign w:val="center"/>
            <w:hideMark/>
          </w:tcPr>
          <w:p w14:paraId="5C0CFD63" w14:textId="467EC561"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2</w:t>
            </w:r>
            <w:r w:rsidR="002206F6">
              <w:rPr>
                <w:rFonts w:eastAsia="Times New Roman"/>
                <w:color w:val="000000"/>
                <w:sz w:val="16"/>
                <w:szCs w:val="16"/>
                <w:lang w:val="es-MX" w:eastAsia="es-419"/>
              </w:rPr>
              <w:t>,</w:t>
            </w:r>
            <w:r w:rsidRPr="003766FA">
              <w:rPr>
                <w:rFonts w:eastAsia="Times New Roman"/>
                <w:color w:val="000000"/>
                <w:sz w:val="16"/>
                <w:szCs w:val="16"/>
                <w:lang w:val="es-MX" w:eastAsia="es-419"/>
              </w:rPr>
              <w:t>740</w:t>
            </w:r>
          </w:p>
        </w:tc>
        <w:tc>
          <w:tcPr>
            <w:tcW w:w="0" w:type="auto"/>
            <w:tcBorders>
              <w:top w:val="nil"/>
              <w:left w:val="nil"/>
              <w:bottom w:val="nil"/>
              <w:right w:val="single" w:sz="8" w:space="0" w:color="auto"/>
            </w:tcBorders>
            <w:vAlign w:val="center"/>
            <w:hideMark/>
          </w:tcPr>
          <w:p w14:paraId="7961B2A7" w14:textId="563593FF"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6</w:t>
            </w:r>
            <w:r w:rsidR="002206F6">
              <w:rPr>
                <w:rFonts w:eastAsia="Times New Roman"/>
                <w:color w:val="000000"/>
                <w:sz w:val="16"/>
                <w:szCs w:val="16"/>
                <w:lang w:val="es-MX" w:eastAsia="es-419"/>
              </w:rPr>
              <w:t>,</w:t>
            </w:r>
            <w:r w:rsidRPr="003766FA">
              <w:rPr>
                <w:rFonts w:eastAsia="Times New Roman"/>
                <w:color w:val="000000"/>
                <w:sz w:val="16"/>
                <w:szCs w:val="16"/>
                <w:lang w:val="es-MX" w:eastAsia="es-419"/>
              </w:rPr>
              <w:t>751</w:t>
            </w:r>
          </w:p>
        </w:tc>
        <w:tc>
          <w:tcPr>
            <w:tcW w:w="0" w:type="auto"/>
            <w:tcBorders>
              <w:top w:val="nil"/>
              <w:left w:val="nil"/>
              <w:bottom w:val="nil"/>
              <w:right w:val="nil"/>
            </w:tcBorders>
            <w:vAlign w:val="center"/>
            <w:hideMark/>
          </w:tcPr>
          <w:p w14:paraId="340F9BE4" w14:textId="7777777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172</w:t>
            </w:r>
          </w:p>
        </w:tc>
        <w:tc>
          <w:tcPr>
            <w:tcW w:w="0" w:type="auto"/>
            <w:tcBorders>
              <w:top w:val="nil"/>
              <w:left w:val="nil"/>
              <w:bottom w:val="nil"/>
              <w:right w:val="nil"/>
            </w:tcBorders>
            <w:vAlign w:val="center"/>
            <w:hideMark/>
          </w:tcPr>
          <w:p w14:paraId="55DC50F8" w14:textId="5C7B356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4</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277</w:t>
            </w:r>
          </w:p>
        </w:tc>
        <w:tc>
          <w:tcPr>
            <w:tcW w:w="0" w:type="auto"/>
            <w:tcBorders>
              <w:top w:val="nil"/>
              <w:left w:val="nil"/>
              <w:bottom w:val="nil"/>
              <w:right w:val="single" w:sz="8" w:space="0" w:color="auto"/>
            </w:tcBorders>
            <w:vAlign w:val="center"/>
            <w:hideMark/>
          </w:tcPr>
          <w:p w14:paraId="001B1D74" w14:textId="7A284A01"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11</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773</w:t>
            </w:r>
          </w:p>
        </w:tc>
        <w:tc>
          <w:tcPr>
            <w:tcW w:w="0" w:type="auto"/>
            <w:tcBorders>
              <w:top w:val="nil"/>
              <w:left w:val="nil"/>
              <w:bottom w:val="nil"/>
              <w:right w:val="nil"/>
            </w:tcBorders>
            <w:vAlign w:val="center"/>
            <w:hideMark/>
          </w:tcPr>
          <w:p w14:paraId="2B459913" w14:textId="7777777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0</w:t>
            </w:r>
          </w:p>
        </w:tc>
        <w:tc>
          <w:tcPr>
            <w:tcW w:w="0" w:type="auto"/>
            <w:tcBorders>
              <w:top w:val="nil"/>
              <w:left w:val="nil"/>
              <w:bottom w:val="nil"/>
              <w:right w:val="nil"/>
            </w:tcBorders>
            <w:vAlign w:val="center"/>
            <w:hideMark/>
          </w:tcPr>
          <w:p w14:paraId="280E2EA5" w14:textId="488A3BE3"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972</w:t>
            </w:r>
          </w:p>
        </w:tc>
        <w:tc>
          <w:tcPr>
            <w:tcW w:w="0" w:type="auto"/>
            <w:tcBorders>
              <w:top w:val="nil"/>
              <w:left w:val="nil"/>
              <w:bottom w:val="nil"/>
              <w:right w:val="nil"/>
            </w:tcBorders>
            <w:vAlign w:val="center"/>
            <w:hideMark/>
          </w:tcPr>
          <w:p w14:paraId="43202F68" w14:textId="7E817C4B"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8</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952</w:t>
            </w:r>
          </w:p>
        </w:tc>
      </w:tr>
      <w:tr w:rsidR="003766FA" w:rsidRPr="003766FA" w14:paraId="04C1DBE8" w14:textId="77777777" w:rsidTr="003766FA">
        <w:trPr>
          <w:trHeight w:val="510"/>
        </w:trPr>
        <w:tc>
          <w:tcPr>
            <w:tcW w:w="0" w:type="auto"/>
            <w:tcBorders>
              <w:top w:val="nil"/>
              <w:left w:val="nil"/>
              <w:bottom w:val="nil"/>
              <w:right w:val="single" w:sz="8" w:space="0" w:color="auto"/>
            </w:tcBorders>
            <w:vAlign w:val="center"/>
            <w:hideMark/>
          </w:tcPr>
          <w:p w14:paraId="340D8965" w14:textId="77777777" w:rsidR="003766FA" w:rsidRPr="003766FA" w:rsidRDefault="003766FA" w:rsidP="003766FA">
            <w:pPr>
              <w:spacing w:after="0" w:line="240" w:lineRule="auto"/>
              <w:jc w:val="left"/>
              <w:rPr>
                <w:rFonts w:eastAsia="Times New Roman"/>
                <w:color w:val="000000"/>
                <w:sz w:val="16"/>
                <w:szCs w:val="16"/>
                <w:lang w:val="es-419" w:eastAsia="es-419"/>
              </w:rPr>
            </w:pPr>
            <w:r w:rsidRPr="003766FA">
              <w:rPr>
                <w:rFonts w:eastAsia="Times New Roman"/>
                <w:color w:val="000000"/>
                <w:sz w:val="16"/>
                <w:szCs w:val="16"/>
                <w:lang w:val="es-MX" w:eastAsia="es-419"/>
              </w:rPr>
              <w:t>José María Morelos</w:t>
            </w:r>
          </w:p>
        </w:tc>
        <w:tc>
          <w:tcPr>
            <w:tcW w:w="0" w:type="auto"/>
            <w:tcBorders>
              <w:top w:val="nil"/>
              <w:left w:val="nil"/>
              <w:bottom w:val="nil"/>
              <w:right w:val="nil"/>
            </w:tcBorders>
            <w:vAlign w:val="center"/>
            <w:hideMark/>
          </w:tcPr>
          <w:p w14:paraId="065CA523" w14:textId="607B8D5A"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13</w:t>
            </w:r>
            <w:r w:rsidR="002206F6">
              <w:rPr>
                <w:rFonts w:eastAsia="Times New Roman"/>
                <w:color w:val="000000"/>
                <w:sz w:val="16"/>
                <w:szCs w:val="16"/>
                <w:lang w:val="es-MX" w:eastAsia="es-419"/>
              </w:rPr>
              <w:t>,</w:t>
            </w:r>
            <w:r w:rsidRPr="003766FA">
              <w:rPr>
                <w:rFonts w:eastAsia="Times New Roman"/>
                <w:color w:val="000000"/>
                <w:sz w:val="16"/>
                <w:szCs w:val="16"/>
                <w:lang w:val="es-MX" w:eastAsia="es-419"/>
              </w:rPr>
              <w:t>547</w:t>
            </w:r>
          </w:p>
        </w:tc>
        <w:tc>
          <w:tcPr>
            <w:tcW w:w="0" w:type="auto"/>
            <w:tcBorders>
              <w:top w:val="nil"/>
              <w:left w:val="nil"/>
              <w:bottom w:val="nil"/>
              <w:right w:val="nil"/>
            </w:tcBorders>
            <w:vAlign w:val="center"/>
            <w:hideMark/>
          </w:tcPr>
          <w:p w14:paraId="2B37E118" w14:textId="7EEAAF3A"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6</w:t>
            </w:r>
            <w:r w:rsidR="002206F6">
              <w:rPr>
                <w:rFonts w:eastAsia="Times New Roman"/>
                <w:color w:val="000000"/>
                <w:sz w:val="16"/>
                <w:szCs w:val="16"/>
                <w:lang w:val="es-MX" w:eastAsia="es-419"/>
              </w:rPr>
              <w:t>,</w:t>
            </w:r>
            <w:r w:rsidRPr="003766FA">
              <w:rPr>
                <w:rFonts w:eastAsia="Times New Roman"/>
                <w:color w:val="000000"/>
                <w:sz w:val="16"/>
                <w:szCs w:val="16"/>
                <w:lang w:val="es-MX" w:eastAsia="es-419"/>
              </w:rPr>
              <w:t>843</w:t>
            </w:r>
          </w:p>
        </w:tc>
        <w:tc>
          <w:tcPr>
            <w:tcW w:w="0" w:type="auto"/>
            <w:tcBorders>
              <w:top w:val="nil"/>
              <w:left w:val="nil"/>
              <w:bottom w:val="nil"/>
              <w:right w:val="single" w:sz="8" w:space="0" w:color="auto"/>
            </w:tcBorders>
            <w:vAlign w:val="center"/>
            <w:hideMark/>
          </w:tcPr>
          <w:p w14:paraId="19C32419" w14:textId="0C5135BD"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13</w:t>
            </w:r>
            <w:r w:rsidR="002206F6">
              <w:rPr>
                <w:rFonts w:eastAsia="Times New Roman"/>
                <w:color w:val="000000"/>
                <w:sz w:val="16"/>
                <w:szCs w:val="16"/>
                <w:lang w:val="es-MX" w:eastAsia="es-419"/>
              </w:rPr>
              <w:t>,</w:t>
            </w:r>
            <w:r w:rsidRPr="003766FA">
              <w:rPr>
                <w:rFonts w:eastAsia="Times New Roman"/>
                <w:color w:val="000000"/>
                <w:sz w:val="16"/>
                <w:szCs w:val="16"/>
                <w:lang w:val="es-MX" w:eastAsia="es-419"/>
              </w:rPr>
              <w:t>811</w:t>
            </w:r>
          </w:p>
        </w:tc>
        <w:tc>
          <w:tcPr>
            <w:tcW w:w="0" w:type="auto"/>
            <w:tcBorders>
              <w:top w:val="nil"/>
              <w:left w:val="nil"/>
              <w:bottom w:val="nil"/>
              <w:right w:val="nil"/>
            </w:tcBorders>
            <w:vAlign w:val="center"/>
            <w:hideMark/>
          </w:tcPr>
          <w:p w14:paraId="6E4C8668" w14:textId="698D3804"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15</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307</w:t>
            </w:r>
          </w:p>
        </w:tc>
        <w:tc>
          <w:tcPr>
            <w:tcW w:w="0" w:type="auto"/>
            <w:tcBorders>
              <w:top w:val="nil"/>
              <w:left w:val="nil"/>
              <w:bottom w:val="nil"/>
              <w:right w:val="nil"/>
            </w:tcBorders>
            <w:vAlign w:val="center"/>
            <w:hideMark/>
          </w:tcPr>
          <w:p w14:paraId="08CD2DE2" w14:textId="69AAEECE"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8</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456</w:t>
            </w:r>
          </w:p>
        </w:tc>
        <w:tc>
          <w:tcPr>
            <w:tcW w:w="0" w:type="auto"/>
            <w:tcBorders>
              <w:top w:val="nil"/>
              <w:left w:val="nil"/>
              <w:bottom w:val="nil"/>
              <w:right w:val="single" w:sz="8" w:space="0" w:color="auto"/>
            </w:tcBorders>
            <w:vAlign w:val="center"/>
            <w:hideMark/>
          </w:tcPr>
          <w:p w14:paraId="4265F25F" w14:textId="5D98509E"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12</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362</w:t>
            </w:r>
          </w:p>
        </w:tc>
        <w:tc>
          <w:tcPr>
            <w:tcW w:w="0" w:type="auto"/>
            <w:tcBorders>
              <w:top w:val="nil"/>
              <w:left w:val="nil"/>
              <w:bottom w:val="nil"/>
              <w:right w:val="nil"/>
            </w:tcBorders>
            <w:vAlign w:val="center"/>
            <w:hideMark/>
          </w:tcPr>
          <w:p w14:paraId="5C0FF3FC" w14:textId="0A4BCB1D"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9</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532</w:t>
            </w:r>
          </w:p>
        </w:tc>
        <w:tc>
          <w:tcPr>
            <w:tcW w:w="0" w:type="auto"/>
            <w:tcBorders>
              <w:top w:val="nil"/>
              <w:left w:val="nil"/>
              <w:bottom w:val="nil"/>
              <w:right w:val="nil"/>
            </w:tcBorders>
            <w:vAlign w:val="center"/>
            <w:hideMark/>
          </w:tcPr>
          <w:p w14:paraId="6B1003B4" w14:textId="18BBD66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2</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606</w:t>
            </w:r>
          </w:p>
        </w:tc>
        <w:tc>
          <w:tcPr>
            <w:tcW w:w="0" w:type="auto"/>
            <w:tcBorders>
              <w:top w:val="nil"/>
              <w:left w:val="nil"/>
              <w:bottom w:val="nil"/>
              <w:right w:val="nil"/>
            </w:tcBorders>
            <w:vAlign w:val="center"/>
            <w:hideMark/>
          </w:tcPr>
          <w:p w14:paraId="606B0594" w14:textId="791CF01A"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6</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296</w:t>
            </w:r>
          </w:p>
        </w:tc>
      </w:tr>
      <w:tr w:rsidR="003766FA" w:rsidRPr="003766FA" w14:paraId="48E3ECB6" w14:textId="77777777" w:rsidTr="003766FA">
        <w:trPr>
          <w:trHeight w:val="510"/>
        </w:trPr>
        <w:tc>
          <w:tcPr>
            <w:tcW w:w="0" w:type="auto"/>
            <w:tcBorders>
              <w:top w:val="nil"/>
              <w:left w:val="nil"/>
              <w:bottom w:val="nil"/>
              <w:right w:val="single" w:sz="8" w:space="0" w:color="auto"/>
            </w:tcBorders>
            <w:vAlign w:val="center"/>
            <w:hideMark/>
          </w:tcPr>
          <w:p w14:paraId="1C1DFE4B" w14:textId="77777777" w:rsidR="003766FA" w:rsidRPr="003766FA" w:rsidRDefault="003766FA" w:rsidP="003766FA">
            <w:pPr>
              <w:spacing w:after="0" w:line="240" w:lineRule="auto"/>
              <w:jc w:val="left"/>
              <w:rPr>
                <w:rFonts w:eastAsia="Times New Roman"/>
                <w:color w:val="000000"/>
                <w:sz w:val="16"/>
                <w:szCs w:val="16"/>
                <w:lang w:val="es-419" w:eastAsia="es-419"/>
              </w:rPr>
            </w:pPr>
            <w:r w:rsidRPr="003766FA">
              <w:rPr>
                <w:rFonts w:eastAsia="Times New Roman"/>
                <w:color w:val="000000"/>
                <w:sz w:val="16"/>
                <w:szCs w:val="16"/>
                <w:lang w:val="es-MX" w:eastAsia="es-419"/>
              </w:rPr>
              <w:t>Lázaro Cárdenas</w:t>
            </w:r>
          </w:p>
        </w:tc>
        <w:tc>
          <w:tcPr>
            <w:tcW w:w="0" w:type="auto"/>
            <w:tcBorders>
              <w:top w:val="nil"/>
              <w:left w:val="nil"/>
              <w:bottom w:val="nil"/>
              <w:right w:val="nil"/>
            </w:tcBorders>
            <w:vAlign w:val="center"/>
            <w:hideMark/>
          </w:tcPr>
          <w:p w14:paraId="45B140C3" w14:textId="22875C45"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5</w:t>
            </w:r>
            <w:r w:rsidR="002206F6">
              <w:rPr>
                <w:rFonts w:eastAsia="Times New Roman"/>
                <w:color w:val="000000"/>
                <w:sz w:val="16"/>
                <w:szCs w:val="16"/>
                <w:lang w:val="es-MX" w:eastAsia="es-419"/>
              </w:rPr>
              <w:t>,</w:t>
            </w:r>
            <w:r w:rsidRPr="003766FA">
              <w:rPr>
                <w:rFonts w:eastAsia="Times New Roman"/>
                <w:color w:val="000000"/>
                <w:sz w:val="16"/>
                <w:szCs w:val="16"/>
                <w:lang w:val="es-MX" w:eastAsia="es-419"/>
              </w:rPr>
              <w:t>267</w:t>
            </w:r>
          </w:p>
        </w:tc>
        <w:tc>
          <w:tcPr>
            <w:tcW w:w="0" w:type="auto"/>
            <w:tcBorders>
              <w:top w:val="nil"/>
              <w:left w:val="nil"/>
              <w:bottom w:val="nil"/>
              <w:right w:val="nil"/>
            </w:tcBorders>
            <w:vAlign w:val="center"/>
            <w:hideMark/>
          </w:tcPr>
          <w:p w14:paraId="3C0E578D" w14:textId="3DEB76EB"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w:t>
            </w:r>
            <w:r w:rsidR="002206F6">
              <w:rPr>
                <w:rFonts w:eastAsia="Times New Roman"/>
                <w:color w:val="000000"/>
                <w:sz w:val="16"/>
                <w:szCs w:val="16"/>
                <w:lang w:val="es-MX" w:eastAsia="es-419"/>
              </w:rPr>
              <w:t>,</w:t>
            </w:r>
            <w:r w:rsidRPr="003766FA">
              <w:rPr>
                <w:rFonts w:eastAsia="Times New Roman"/>
                <w:color w:val="000000"/>
                <w:sz w:val="16"/>
                <w:szCs w:val="16"/>
                <w:lang w:val="es-MX" w:eastAsia="es-419"/>
              </w:rPr>
              <w:t>902</w:t>
            </w:r>
          </w:p>
        </w:tc>
        <w:tc>
          <w:tcPr>
            <w:tcW w:w="0" w:type="auto"/>
            <w:tcBorders>
              <w:top w:val="nil"/>
              <w:left w:val="nil"/>
              <w:bottom w:val="nil"/>
              <w:right w:val="single" w:sz="8" w:space="0" w:color="auto"/>
            </w:tcBorders>
            <w:vAlign w:val="center"/>
            <w:hideMark/>
          </w:tcPr>
          <w:p w14:paraId="0D41867B" w14:textId="0D3DE386"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7</w:t>
            </w:r>
            <w:r w:rsidR="002206F6">
              <w:rPr>
                <w:rFonts w:eastAsia="Times New Roman"/>
                <w:color w:val="000000"/>
                <w:sz w:val="16"/>
                <w:szCs w:val="16"/>
                <w:lang w:val="es-MX" w:eastAsia="es-419"/>
              </w:rPr>
              <w:t>,</w:t>
            </w:r>
            <w:r w:rsidRPr="003766FA">
              <w:rPr>
                <w:rFonts w:eastAsia="Times New Roman"/>
                <w:color w:val="000000"/>
                <w:sz w:val="16"/>
                <w:szCs w:val="16"/>
                <w:lang w:val="es-MX" w:eastAsia="es-419"/>
              </w:rPr>
              <w:t>012</w:t>
            </w:r>
          </w:p>
        </w:tc>
        <w:tc>
          <w:tcPr>
            <w:tcW w:w="0" w:type="auto"/>
            <w:tcBorders>
              <w:top w:val="nil"/>
              <w:left w:val="nil"/>
              <w:bottom w:val="nil"/>
              <w:right w:val="nil"/>
            </w:tcBorders>
            <w:vAlign w:val="center"/>
            <w:hideMark/>
          </w:tcPr>
          <w:p w14:paraId="25D0D063" w14:textId="375999F0"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4</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836</w:t>
            </w:r>
          </w:p>
        </w:tc>
        <w:tc>
          <w:tcPr>
            <w:tcW w:w="0" w:type="auto"/>
            <w:tcBorders>
              <w:top w:val="nil"/>
              <w:left w:val="nil"/>
              <w:bottom w:val="nil"/>
              <w:right w:val="nil"/>
            </w:tcBorders>
            <w:vAlign w:val="center"/>
            <w:hideMark/>
          </w:tcPr>
          <w:p w14:paraId="56D7262D" w14:textId="03734C2E"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5</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952</w:t>
            </w:r>
          </w:p>
        </w:tc>
        <w:tc>
          <w:tcPr>
            <w:tcW w:w="0" w:type="auto"/>
            <w:tcBorders>
              <w:top w:val="nil"/>
              <w:left w:val="nil"/>
              <w:bottom w:val="nil"/>
              <w:right w:val="single" w:sz="8" w:space="0" w:color="auto"/>
            </w:tcBorders>
            <w:vAlign w:val="center"/>
            <w:hideMark/>
          </w:tcPr>
          <w:p w14:paraId="16E07FBD" w14:textId="793E38D4"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10</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580</w:t>
            </w:r>
          </w:p>
        </w:tc>
        <w:tc>
          <w:tcPr>
            <w:tcW w:w="0" w:type="auto"/>
            <w:tcBorders>
              <w:top w:val="nil"/>
              <w:left w:val="nil"/>
              <w:bottom w:val="nil"/>
              <w:right w:val="nil"/>
            </w:tcBorders>
            <w:vAlign w:val="center"/>
            <w:hideMark/>
          </w:tcPr>
          <w:p w14:paraId="3D914502" w14:textId="6634089C"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5</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163</w:t>
            </w:r>
          </w:p>
        </w:tc>
        <w:tc>
          <w:tcPr>
            <w:tcW w:w="0" w:type="auto"/>
            <w:tcBorders>
              <w:top w:val="nil"/>
              <w:left w:val="nil"/>
              <w:bottom w:val="nil"/>
              <w:right w:val="nil"/>
            </w:tcBorders>
            <w:vAlign w:val="center"/>
            <w:hideMark/>
          </w:tcPr>
          <w:p w14:paraId="09114548" w14:textId="753B298D"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4</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390</w:t>
            </w:r>
          </w:p>
        </w:tc>
        <w:tc>
          <w:tcPr>
            <w:tcW w:w="0" w:type="auto"/>
            <w:tcBorders>
              <w:top w:val="nil"/>
              <w:left w:val="nil"/>
              <w:bottom w:val="nil"/>
              <w:right w:val="nil"/>
            </w:tcBorders>
            <w:vAlign w:val="center"/>
            <w:hideMark/>
          </w:tcPr>
          <w:p w14:paraId="769B8FAE" w14:textId="79B6011A"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10</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892</w:t>
            </w:r>
          </w:p>
        </w:tc>
      </w:tr>
      <w:tr w:rsidR="003766FA" w:rsidRPr="003766FA" w14:paraId="7C6680EB" w14:textId="77777777" w:rsidTr="003766FA">
        <w:trPr>
          <w:trHeight w:val="510"/>
        </w:trPr>
        <w:tc>
          <w:tcPr>
            <w:tcW w:w="0" w:type="auto"/>
            <w:tcBorders>
              <w:top w:val="nil"/>
              <w:left w:val="nil"/>
              <w:bottom w:val="nil"/>
              <w:right w:val="single" w:sz="8" w:space="0" w:color="auto"/>
            </w:tcBorders>
            <w:vAlign w:val="center"/>
            <w:hideMark/>
          </w:tcPr>
          <w:p w14:paraId="6AFCEE89" w14:textId="77777777" w:rsidR="003766FA" w:rsidRPr="003766FA" w:rsidRDefault="003766FA" w:rsidP="003766FA">
            <w:pPr>
              <w:spacing w:after="0" w:line="240" w:lineRule="auto"/>
              <w:jc w:val="left"/>
              <w:rPr>
                <w:rFonts w:eastAsia="Times New Roman"/>
                <w:color w:val="000000"/>
                <w:sz w:val="16"/>
                <w:szCs w:val="16"/>
                <w:lang w:val="es-419" w:eastAsia="es-419"/>
              </w:rPr>
            </w:pPr>
            <w:r w:rsidRPr="003766FA">
              <w:rPr>
                <w:rFonts w:eastAsia="Times New Roman"/>
                <w:color w:val="000000"/>
                <w:sz w:val="16"/>
                <w:szCs w:val="16"/>
                <w:lang w:val="es-MX" w:eastAsia="es-419"/>
              </w:rPr>
              <w:t>Othón P. Blanco</w:t>
            </w:r>
          </w:p>
        </w:tc>
        <w:tc>
          <w:tcPr>
            <w:tcW w:w="0" w:type="auto"/>
            <w:tcBorders>
              <w:top w:val="nil"/>
              <w:left w:val="nil"/>
              <w:bottom w:val="nil"/>
              <w:right w:val="nil"/>
            </w:tcBorders>
            <w:vAlign w:val="center"/>
            <w:hideMark/>
          </w:tcPr>
          <w:p w14:paraId="0457F79B" w14:textId="1A4E507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4</w:t>
            </w:r>
            <w:r w:rsidR="002206F6">
              <w:rPr>
                <w:rFonts w:eastAsia="Times New Roman"/>
                <w:color w:val="000000"/>
                <w:sz w:val="16"/>
                <w:szCs w:val="16"/>
                <w:lang w:val="es-MX" w:eastAsia="es-419"/>
              </w:rPr>
              <w:t>,</w:t>
            </w:r>
            <w:r w:rsidRPr="003766FA">
              <w:rPr>
                <w:rFonts w:eastAsia="Times New Roman"/>
                <w:color w:val="000000"/>
                <w:sz w:val="16"/>
                <w:szCs w:val="16"/>
                <w:lang w:val="es-MX" w:eastAsia="es-419"/>
              </w:rPr>
              <w:t>843</w:t>
            </w:r>
          </w:p>
        </w:tc>
        <w:tc>
          <w:tcPr>
            <w:tcW w:w="0" w:type="auto"/>
            <w:tcBorders>
              <w:top w:val="nil"/>
              <w:left w:val="nil"/>
              <w:bottom w:val="nil"/>
              <w:right w:val="nil"/>
            </w:tcBorders>
            <w:vAlign w:val="center"/>
            <w:hideMark/>
          </w:tcPr>
          <w:p w14:paraId="3DC2B646" w14:textId="62E01638"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21</w:t>
            </w:r>
            <w:r w:rsidR="002206F6">
              <w:rPr>
                <w:rFonts w:eastAsia="Times New Roman"/>
                <w:color w:val="000000"/>
                <w:sz w:val="16"/>
                <w:szCs w:val="16"/>
                <w:lang w:val="es-MX" w:eastAsia="es-419"/>
              </w:rPr>
              <w:t>,</w:t>
            </w:r>
            <w:r w:rsidRPr="003766FA">
              <w:rPr>
                <w:rFonts w:eastAsia="Times New Roman"/>
                <w:color w:val="000000"/>
                <w:sz w:val="16"/>
                <w:szCs w:val="16"/>
                <w:lang w:val="es-MX" w:eastAsia="es-419"/>
              </w:rPr>
              <w:t>155</w:t>
            </w:r>
          </w:p>
        </w:tc>
        <w:tc>
          <w:tcPr>
            <w:tcW w:w="0" w:type="auto"/>
            <w:tcBorders>
              <w:top w:val="nil"/>
              <w:left w:val="nil"/>
              <w:bottom w:val="nil"/>
              <w:right w:val="single" w:sz="8" w:space="0" w:color="auto"/>
            </w:tcBorders>
            <w:vAlign w:val="center"/>
            <w:hideMark/>
          </w:tcPr>
          <w:p w14:paraId="71D76169" w14:textId="49C14C9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119</w:t>
            </w:r>
            <w:r w:rsidR="002206F6">
              <w:rPr>
                <w:rFonts w:eastAsia="Times New Roman"/>
                <w:color w:val="000000"/>
                <w:sz w:val="16"/>
                <w:szCs w:val="16"/>
                <w:lang w:val="es-MX" w:eastAsia="es-419"/>
              </w:rPr>
              <w:t>,</w:t>
            </w:r>
            <w:r w:rsidRPr="003766FA">
              <w:rPr>
                <w:rFonts w:eastAsia="Times New Roman"/>
                <w:color w:val="000000"/>
                <w:sz w:val="16"/>
                <w:szCs w:val="16"/>
                <w:lang w:val="es-MX" w:eastAsia="es-419"/>
              </w:rPr>
              <w:t>591</w:t>
            </w:r>
          </w:p>
        </w:tc>
        <w:tc>
          <w:tcPr>
            <w:tcW w:w="0" w:type="auto"/>
            <w:tcBorders>
              <w:top w:val="nil"/>
              <w:left w:val="nil"/>
              <w:bottom w:val="nil"/>
              <w:right w:val="nil"/>
            </w:tcBorders>
            <w:vAlign w:val="center"/>
            <w:hideMark/>
          </w:tcPr>
          <w:p w14:paraId="6EC0EC02" w14:textId="63171F1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6</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818</w:t>
            </w:r>
          </w:p>
        </w:tc>
        <w:tc>
          <w:tcPr>
            <w:tcW w:w="0" w:type="auto"/>
            <w:tcBorders>
              <w:top w:val="nil"/>
              <w:left w:val="nil"/>
              <w:bottom w:val="nil"/>
              <w:right w:val="nil"/>
            </w:tcBorders>
            <w:vAlign w:val="center"/>
            <w:hideMark/>
          </w:tcPr>
          <w:p w14:paraId="7A2AF418" w14:textId="09109BC9"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26</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041</w:t>
            </w:r>
          </w:p>
        </w:tc>
        <w:tc>
          <w:tcPr>
            <w:tcW w:w="0" w:type="auto"/>
            <w:tcBorders>
              <w:top w:val="nil"/>
              <w:left w:val="nil"/>
              <w:bottom w:val="nil"/>
              <w:right w:val="single" w:sz="8" w:space="0" w:color="auto"/>
            </w:tcBorders>
            <w:vAlign w:val="center"/>
            <w:hideMark/>
          </w:tcPr>
          <w:p w14:paraId="5CE34829" w14:textId="5D352D1C"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119</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791</w:t>
            </w:r>
          </w:p>
        </w:tc>
        <w:tc>
          <w:tcPr>
            <w:tcW w:w="0" w:type="auto"/>
            <w:tcBorders>
              <w:top w:val="nil"/>
              <w:left w:val="nil"/>
              <w:bottom w:val="nil"/>
              <w:right w:val="nil"/>
            </w:tcBorders>
            <w:vAlign w:val="center"/>
            <w:hideMark/>
          </w:tcPr>
          <w:p w14:paraId="16542816" w14:textId="56553E73"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9</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150</w:t>
            </w:r>
          </w:p>
        </w:tc>
        <w:tc>
          <w:tcPr>
            <w:tcW w:w="0" w:type="auto"/>
            <w:tcBorders>
              <w:top w:val="nil"/>
              <w:left w:val="nil"/>
              <w:bottom w:val="nil"/>
              <w:right w:val="nil"/>
            </w:tcBorders>
            <w:vAlign w:val="center"/>
            <w:hideMark/>
          </w:tcPr>
          <w:p w14:paraId="359289A4" w14:textId="1F49B34C"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26</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026</w:t>
            </w:r>
          </w:p>
        </w:tc>
        <w:tc>
          <w:tcPr>
            <w:tcW w:w="0" w:type="auto"/>
            <w:tcBorders>
              <w:top w:val="nil"/>
              <w:left w:val="nil"/>
              <w:bottom w:val="nil"/>
              <w:right w:val="nil"/>
            </w:tcBorders>
            <w:vAlign w:val="center"/>
            <w:hideMark/>
          </w:tcPr>
          <w:p w14:paraId="51B73484" w14:textId="69702533"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108</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954</w:t>
            </w:r>
          </w:p>
        </w:tc>
      </w:tr>
      <w:tr w:rsidR="003766FA" w:rsidRPr="003766FA" w14:paraId="2D3E48EA" w14:textId="77777777" w:rsidTr="003766FA">
        <w:trPr>
          <w:trHeight w:val="510"/>
        </w:trPr>
        <w:tc>
          <w:tcPr>
            <w:tcW w:w="0" w:type="auto"/>
            <w:tcBorders>
              <w:top w:val="nil"/>
              <w:left w:val="nil"/>
              <w:bottom w:val="nil"/>
              <w:right w:val="single" w:sz="8" w:space="0" w:color="auto"/>
            </w:tcBorders>
            <w:vAlign w:val="center"/>
            <w:hideMark/>
          </w:tcPr>
          <w:p w14:paraId="036CB6D4" w14:textId="77777777" w:rsidR="003766FA" w:rsidRPr="003766FA" w:rsidRDefault="003766FA" w:rsidP="003766FA">
            <w:pPr>
              <w:spacing w:after="0" w:line="240" w:lineRule="auto"/>
              <w:jc w:val="left"/>
              <w:rPr>
                <w:rFonts w:eastAsia="Times New Roman"/>
                <w:color w:val="000000"/>
                <w:sz w:val="16"/>
                <w:szCs w:val="16"/>
                <w:lang w:val="es-419" w:eastAsia="es-419"/>
              </w:rPr>
            </w:pPr>
            <w:r w:rsidRPr="003766FA">
              <w:rPr>
                <w:rFonts w:eastAsia="Times New Roman"/>
                <w:color w:val="000000"/>
                <w:sz w:val="16"/>
                <w:szCs w:val="16"/>
                <w:lang w:val="es-MX" w:eastAsia="es-419"/>
              </w:rPr>
              <w:t xml:space="preserve">Puerto Morelos </w:t>
            </w:r>
          </w:p>
        </w:tc>
        <w:tc>
          <w:tcPr>
            <w:tcW w:w="0" w:type="auto"/>
            <w:tcBorders>
              <w:top w:val="nil"/>
              <w:left w:val="nil"/>
              <w:bottom w:val="nil"/>
              <w:right w:val="nil"/>
            </w:tcBorders>
            <w:vAlign w:val="center"/>
            <w:hideMark/>
          </w:tcPr>
          <w:p w14:paraId="7CAE9570" w14:textId="2E6D11A9" w:rsidR="003766FA" w:rsidRPr="003766FA" w:rsidRDefault="003766FA" w:rsidP="003766FA">
            <w:pPr>
              <w:spacing w:after="0" w:line="240" w:lineRule="auto"/>
              <w:jc w:val="center"/>
              <w:rPr>
                <w:rFonts w:eastAsia="Times New Roman"/>
                <w:color w:val="000000"/>
                <w:sz w:val="16"/>
                <w:szCs w:val="16"/>
                <w:lang w:val="es-419" w:eastAsia="es-419"/>
              </w:rPr>
            </w:pPr>
          </w:p>
        </w:tc>
        <w:tc>
          <w:tcPr>
            <w:tcW w:w="0" w:type="auto"/>
            <w:tcBorders>
              <w:top w:val="nil"/>
              <w:left w:val="nil"/>
              <w:bottom w:val="nil"/>
              <w:right w:val="nil"/>
            </w:tcBorders>
            <w:vAlign w:val="center"/>
            <w:hideMark/>
          </w:tcPr>
          <w:p w14:paraId="50A7F341" w14:textId="294B47F4" w:rsidR="003766FA" w:rsidRPr="003766FA" w:rsidRDefault="003766FA" w:rsidP="003766FA">
            <w:pPr>
              <w:spacing w:after="0" w:line="240" w:lineRule="auto"/>
              <w:jc w:val="center"/>
              <w:rPr>
                <w:rFonts w:eastAsia="Times New Roman"/>
                <w:color w:val="000000"/>
                <w:sz w:val="16"/>
                <w:szCs w:val="16"/>
                <w:lang w:val="es-419" w:eastAsia="es-419"/>
              </w:rPr>
            </w:pPr>
          </w:p>
        </w:tc>
        <w:tc>
          <w:tcPr>
            <w:tcW w:w="0" w:type="auto"/>
            <w:tcBorders>
              <w:top w:val="nil"/>
              <w:left w:val="nil"/>
              <w:bottom w:val="nil"/>
              <w:right w:val="single" w:sz="8" w:space="0" w:color="auto"/>
            </w:tcBorders>
            <w:vAlign w:val="center"/>
            <w:hideMark/>
          </w:tcPr>
          <w:p w14:paraId="562BF155" w14:textId="48142106" w:rsidR="003766FA" w:rsidRPr="003766FA" w:rsidRDefault="003766FA" w:rsidP="003766FA">
            <w:pPr>
              <w:spacing w:after="0" w:line="240" w:lineRule="auto"/>
              <w:jc w:val="center"/>
              <w:rPr>
                <w:rFonts w:eastAsia="Times New Roman"/>
                <w:color w:val="000000"/>
                <w:sz w:val="16"/>
                <w:szCs w:val="16"/>
                <w:lang w:val="es-419" w:eastAsia="es-419"/>
              </w:rPr>
            </w:pPr>
          </w:p>
        </w:tc>
        <w:tc>
          <w:tcPr>
            <w:tcW w:w="0" w:type="auto"/>
            <w:tcBorders>
              <w:top w:val="nil"/>
              <w:left w:val="nil"/>
              <w:bottom w:val="nil"/>
              <w:right w:val="nil"/>
            </w:tcBorders>
            <w:vAlign w:val="center"/>
            <w:hideMark/>
          </w:tcPr>
          <w:p w14:paraId="6ED63938" w14:textId="4743C4A9" w:rsidR="003766FA" w:rsidRPr="003766FA" w:rsidRDefault="003766FA" w:rsidP="003766FA">
            <w:pPr>
              <w:spacing w:after="0" w:line="240" w:lineRule="auto"/>
              <w:jc w:val="center"/>
              <w:rPr>
                <w:rFonts w:eastAsia="Times New Roman"/>
                <w:color w:val="000000"/>
                <w:sz w:val="16"/>
                <w:szCs w:val="16"/>
                <w:lang w:val="es-419" w:eastAsia="es-419"/>
              </w:rPr>
            </w:pPr>
          </w:p>
        </w:tc>
        <w:tc>
          <w:tcPr>
            <w:tcW w:w="0" w:type="auto"/>
            <w:tcBorders>
              <w:top w:val="nil"/>
              <w:left w:val="nil"/>
              <w:bottom w:val="nil"/>
              <w:right w:val="nil"/>
            </w:tcBorders>
            <w:vAlign w:val="center"/>
            <w:hideMark/>
          </w:tcPr>
          <w:p w14:paraId="2B5E1667" w14:textId="7777777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66</w:t>
            </w:r>
          </w:p>
        </w:tc>
        <w:tc>
          <w:tcPr>
            <w:tcW w:w="0" w:type="auto"/>
            <w:tcBorders>
              <w:top w:val="nil"/>
              <w:left w:val="nil"/>
              <w:bottom w:val="nil"/>
              <w:right w:val="single" w:sz="8" w:space="0" w:color="auto"/>
            </w:tcBorders>
            <w:vAlign w:val="center"/>
            <w:hideMark/>
          </w:tcPr>
          <w:p w14:paraId="538E2709" w14:textId="7777777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627</w:t>
            </w:r>
          </w:p>
        </w:tc>
        <w:tc>
          <w:tcPr>
            <w:tcW w:w="0" w:type="auto"/>
            <w:tcBorders>
              <w:top w:val="nil"/>
              <w:left w:val="nil"/>
              <w:bottom w:val="nil"/>
              <w:right w:val="nil"/>
            </w:tcBorders>
            <w:vAlign w:val="center"/>
            <w:hideMark/>
          </w:tcPr>
          <w:p w14:paraId="0F7C7843" w14:textId="7777777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90</w:t>
            </w:r>
          </w:p>
        </w:tc>
        <w:tc>
          <w:tcPr>
            <w:tcW w:w="0" w:type="auto"/>
            <w:tcBorders>
              <w:top w:val="nil"/>
              <w:left w:val="nil"/>
              <w:bottom w:val="nil"/>
              <w:right w:val="nil"/>
            </w:tcBorders>
            <w:vAlign w:val="center"/>
            <w:hideMark/>
          </w:tcPr>
          <w:p w14:paraId="351E5CB6" w14:textId="7777777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813</w:t>
            </w:r>
          </w:p>
        </w:tc>
        <w:tc>
          <w:tcPr>
            <w:tcW w:w="0" w:type="auto"/>
            <w:tcBorders>
              <w:top w:val="nil"/>
              <w:left w:val="nil"/>
              <w:bottom w:val="nil"/>
              <w:right w:val="nil"/>
            </w:tcBorders>
            <w:vAlign w:val="center"/>
            <w:hideMark/>
          </w:tcPr>
          <w:p w14:paraId="68D778B3" w14:textId="0E501762"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6</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783</w:t>
            </w:r>
          </w:p>
        </w:tc>
      </w:tr>
      <w:tr w:rsidR="003766FA" w:rsidRPr="003766FA" w14:paraId="3802DFF0" w14:textId="77777777" w:rsidTr="003766FA">
        <w:trPr>
          <w:trHeight w:val="510"/>
        </w:trPr>
        <w:tc>
          <w:tcPr>
            <w:tcW w:w="0" w:type="auto"/>
            <w:tcBorders>
              <w:top w:val="nil"/>
              <w:left w:val="nil"/>
              <w:bottom w:val="nil"/>
              <w:right w:val="single" w:sz="8" w:space="0" w:color="auto"/>
            </w:tcBorders>
            <w:vAlign w:val="center"/>
            <w:hideMark/>
          </w:tcPr>
          <w:p w14:paraId="49800356" w14:textId="77777777" w:rsidR="003766FA" w:rsidRPr="003766FA" w:rsidRDefault="003766FA" w:rsidP="003766FA">
            <w:pPr>
              <w:spacing w:after="0" w:line="240" w:lineRule="auto"/>
              <w:jc w:val="left"/>
              <w:rPr>
                <w:rFonts w:eastAsia="Times New Roman"/>
                <w:color w:val="000000"/>
                <w:sz w:val="16"/>
                <w:szCs w:val="16"/>
                <w:lang w:val="es-419" w:eastAsia="es-419"/>
              </w:rPr>
            </w:pPr>
            <w:r w:rsidRPr="003766FA">
              <w:rPr>
                <w:rFonts w:eastAsia="Times New Roman"/>
                <w:color w:val="000000"/>
                <w:sz w:val="16"/>
                <w:szCs w:val="16"/>
                <w:lang w:val="es-MX" w:eastAsia="es-419"/>
              </w:rPr>
              <w:t>Playa del Carmen</w:t>
            </w:r>
          </w:p>
        </w:tc>
        <w:tc>
          <w:tcPr>
            <w:tcW w:w="0" w:type="auto"/>
            <w:tcBorders>
              <w:top w:val="nil"/>
              <w:left w:val="nil"/>
              <w:bottom w:val="nil"/>
              <w:right w:val="nil"/>
            </w:tcBorders>
            <w:vAlign w:val="center"/>
            <w:hideMark/>
          </w:tcPr>
          <w:p w14:paraId="4F0CDB46" w14:textId="7777777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135</w:t>
            </w:r>
          </w:p>
        </w:tc>
        <w:tc>
          <w:tcPr>
            <w:tcW w:w="0" w:type="auto"/>
            <w:tcBorders>
              <w:top w:val="nil"/>
              <w:left w:val="nil"/>
              <w:bottom w:val="nil"/>
              <w:right w:val="nil"/>
            </w:tcBorders>
            <w:vAlign w:val="center"/>
            <w:hideMark/>
          </w:tcPr>
          <w:p w14:paraId="3B44EEE3" w14:textId="1DC215A3"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25</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722</w:t>
            </w:r>
          </w:p>
        </w:tc>
        <w:tc>
          <w:tcPr>
            <w:tcW w:w="0" w:type="auto"/>
            <w:tcBorders>
              <w:top w:val="nil"/>
              <w:left w:val="nil"/>
              <w:bottom w:val="nil"/>
              <w:right w:val="single" w:sz="8" w:space="0" w:color="auto"/>
            </w:tcBorders>
            <w:vAlign w:val="center"/>
            <w:hideMark/>
          </w:tcPr>
          <w:p w14:paraId="5E8D47DD" w14:textId="39C4E236"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12</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967</w:t>
            </w:r>
          </w:p>
        </w:tc>
        <w:tc>
          <w:tcPr>
            <w:tcW w:w="0" w:type="auto"/>
            <w:tcBorders>
              <w:top w:val="nil"/>
              <w:left w:val="nil"/>
              <w:bottom w:val="nil"/>
              <w:right w:val="nil"/>
            </w:tcBorders>
            <w:vAlign w:val="center"/>
            <w:hideMark/>
          </w:tcPr>
          <w:p w14:paraId="6D0ADB79" w14:textId="7777777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429</w:t>
            </w:r>
          </w:p>
        </w:tc>
        <w:tc>
          <w:tcPr>
            <w:tcW w:w="0" w:type="auto"/>
            <w:tcBorders>
              <w:top w:val="nil"/>
              <w:left w:val="nil"/>
              <w:bottom w:val="nil"/>
              <w:right w:val="nil"/>
            </w:tcBorders>
            <w:vAlign w:val="center"/>
            <w:hideMark/>
          </w:tcPr>
          <w:p w14:paraId="5492AA44" w14:textId="5C1062C3"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33</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722</w:t>
            </w:r>
          </w:p>
        </w:tc>
        <w:tc>
          <w:tcPr>
            <w:tcW w:w="0" w:type="auto"/>
            <w:tcBorders>
              <w:top w:val="nil"/>
              <w:left w:val="nil"/>
              <w:bottom w:val="nil"/>
              <w:right w:val="single" w:sz="8" w:space="0" w:color="auto"/>
            </w:tcBorders>
            <w:vAlign w:val="center"/>
            <w:hideMark/>
          </w:tcPr>
          <w:p w14:paraId="199ACF8B" w14:textId="7BA9B9A3"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146</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317</w:t>
            </w:r>
          </w:p>
        </w:tc>
        <w:tc>
          <w:tcPr>
            <w:tcW w:w="0" w:type="auto"/>
            <w:tcBorders>
              <w:top w:val="nil"/>
              <w:left w:val="nil"/>
              <w:bottom w:val="nil"/>
              <w:right w:val="nil"/>
            </w:tcBorders>
            <w:vAlign w:val="center"/>
            <w:hideMark/>
          </w:tcPr>
          <w:p w14:paraId="6318BCFE" w14:textId="2467A4B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292</w:t>
            </w:r>
          </w:p>
        </w:tc>
        <w:tc>
          <w:tcPr>
            <w:tcW w:w="0" w:type="auto"/>
            <w:tcBorders>
              <w:top w:val="nil"/>
              <w:left w:val="nil"/>
              <w:bottom w:val="nil"/>
              <w:right w:val="nil"/>
            </w:tcBorders>
            <w:vAlign w:val="center"/>
            <w:hideMark/>
          </w:tcPr>
          <w:p w14:paraId="471750A3" w14:textId="0A52C54C"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27</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781</w:t>
            </w:r>
          </w:p>
        </w:tc>
        <w:tc>
          <w:tcPr>
            <w:tcW w:w="0" w:type="auto"/>
            <w:tcBorders>
              <w:top w:val="nil"/>
              <w:left w:val="nil"/>
              <w:bottom w:val="nil"/>
              <w:right w:val="nil"/>
            </w:tcBorders>
            <w:vAlign w:val="center"/>
            <w:hideMark/>
          </w:tcPr>
          <w:p w14:paraId="647D5A6C" w14:textId="319DB5C3"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172</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829</w:t>
            </w:r>
          </w:p>
        </w:tc>
      </w:tr>
      <w:tr w:rsidR="003766FA" w:rsidRPr="003766FA" w14:paraId="3A2F1E59" w14:textId="77777777" w:rsidTr="003766FA">
        <w:trPr>
          <w:trHeight w:val="525"/>
        </w:trPr>
        <w:tc>
          <w:tcPr>
            <w:tcW w:w="0" w:type="auto"/>
            <w:tcBorders>
              <w:top w:val="nil"/>
              <w:left w:val="nil"/>
              <w:bottom w:val="nil"/>
              <w:right w:val="single" w:sz="8" w:space="0" w:color="auto"/>
            </w:tcBorders>
            <w:vAlign w:val="center"/>
            <w:hideMark/>
          </w:tcPr>
          <w:p w14:paraId="6155D9F2" w14:textId="77777777" w:rsidR="003766FA" w:rsidRPr="003766FA" w:rsidRDefault="003766FA" w:rsidP="003766FA">
            <w:pPr>
              <w:spacing w:after="0" w:line="240" w:lineRule="auto"/>
              <w:jc w:val="left"/>
              <w:rPr>
                <w:rFonts w:eastAsia="Times New Roman"/>
                <w:color w:val="000000"/>
                <w:sz w:val="16"/>
                <w:szCs w:val="16"/>
                <w:lang w:val="es-419" w:eastAsia="es-419"/>
              </w:rPr>
            </w:pPr>
            <w:r w:rsidRPr="003766FA">
              <w:rPr>
                <w:rFonts w:eastAsia="Times New Roman"/>
                <w:color w:val="000000"/>
                <w:sz w:val="16"/>
                <w:szCs w:val="16"/>
                <w:lang w:val="es-MX" w:eastAsia="es-419"/>
              </w:rPr>
              <w:t>Tulum</w:t>
            </w:r>
          </w:p>
        </w:tc>
        <w:tc>
          <w:tcPr>
            <w:tcW w:w="0" w:type="auto"/>
            <w:tcBorders>
              <w:top w:val="nil"/>
              <w:left w:val="nil"/>
              <w:bottom w:val="nil"/>
              <w:right w:val="nil"/>
            </w:tcBorders>
            <w:vAlign w:val="center"/>
            <w:hideMark/>
          </w:tcPr>
          <w:p w14:paraId="3596F800" w14:textId="7777777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438</w:t>
            </w:r>
          </w:p>
        </w:tc>
        <w:tc>
          <w:tcPr>
            <w:tcW w:w="0" w:type="auto"/>
            <w:tcBorders>
              <w:top w:val="nil"/>
              <w:left w:val="nil"/>
              <w:bottom w:val="nil"/>
              <w:right w:val="nil"/>
            </w:tcBorders>
            <w:vAlign w:val="center"/>
            <w:hideMark/>
          </w:tcPr>
          <w:p w14:paraId="7BB4DEBB" w14:textId="61780E81"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3</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265</w:t>
            </w:r>
          </w:p>
        </w:tc>
        <w:tc>
          <w:tcPr>
            <w:tcW w:w="0" w:type="auto"/>
            <w:tcBorders>
              <w:top w:val="nil"/>
              <w:left w:val="nil"/>
              <w:bottom w:val="nil"/>
              <w:right w:val="single" w:sz="8" w:space="0" w:color="auto"/>
            </w:tcBorders>
            <w:vAlign w:val="center"/>
            <w:hideMark/>
          </w:tcPr>
          <w:p w14:paraId="64D197C1" w14:textId="51270859"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7</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570</w:t>
            </w:r>
          </w:p>
        </w:tc>
        <w:tc>
          <w:tcPr>
            <w:tcW w:w="0" w:type="auto"/>
            <w:tcBorders>
              <w:top w:val="nil"/>
              <w:left w:val="nil"/>
              <w:bottom w:val="nil"/>
              <w:right w:val="nil"/>
            </w:tcBorders>
            <w:vAlign w:val="center"/>
            <w:hideMark/>
          </w:tcPr>
          <w:p w14:paraId="57B7AFA3" w14:textId="77777777"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930</w:t>
            </w:r>
          </w:p>
        </w:tc>
        <w:tc>
          <w:tcPr>
            <w:tcW w:w="0" w:type="auto"/>
            <w:tcBorders>
              <w:top w:val="nil"/>
              <w:left w:val="nil"/>
              <w:bottom w:val="nil"/>
              <w:right w:val="nil"/>
            </w:tcBorders>
            <w:vAlign w:val="center"/>
            <w:hideMark/>
          </w:tcPr>
          <w:p w14:paraId="3CD9E8F7" w14:textId="3943AA83"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5</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382</w:t>
            </w:r>
          </w:p>
        </w:tc>
        <w:tc>
          <w:tcPr>
            <w:tcW w:w="0" w:type="auto"/>
            <w:tcBorders>
              <w:top w:val="nil"/>
              <w:left w:val="nil"/>
              <w:bottom w:val="nil"/>
              <w:right w:val="single" w:sz="8" w:space="0" w:color="auto"/>
            </w:tcBorders>
            <w:vAlign w:val="center"/>
            <w:hideMark/>
          </w:tcPr>
          <w:p w14:paraId="0ECB2306" w14:textId="73F126A6"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21</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482</w:t>
            </w:r>
          </w:p>
        </w:tc>
        <w:tc>
          <w:tcPr>
            <w:tcW w:w="0" w:type="auto"/>
            <w:tcBorders>
              <w:top w:val="nil"/>
              <w:left w:val="nil"/>
              <w:bottom w:val="nil"/>
              <w:right w:val="nil"/>
            </w:tcBorders>
            <w:vAlign w:val="center"/>
            <w:hideMark/>
          </w:tcPr>
          <w:p w14:paraId="220B681C" w14:textId="66592711"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2</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432</w:t>
            </w:r>
          </w:p>
        </w:tc>
        <w:tc>
          <w:tcPr>
            <w:tcW w:w="0" w:type="auto"/>
            <w:tcBorders>
              <w:top w:val="nil"/>
              <w:left w:val="nil"/>
              <w:bottom w:val="nil"/>
              <w:right w:val="nil"/>
            </w:tcBorders>
            <w:vAlign w:val="center"/>
            <w:hideMark/>
          </w:tcPr>
          <w:p w14:paraId="2AA5C63A" w14:textId="3726CB7C"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19</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538</w:t>
            </w:r>
          </w:p>
        </w:tc>
        <w:tc>
          <w:tcPr>
            <w:tcW w:w="0" w:type="auto"/>
            <w:tcBorders>
              <w:top w:val="nil"/>
              <w:left w:val="nil"/>
              <w:bottom w:val="nil"/>
              <w:right w:val="nil"/>
            </w:tcBorders>
            <w:vAlign w:val="center"/>
            <w:hideMark/>
          </w:tcPr>
          <w:p w14:paraId="34B2608F" w14:textId="053C9AE9" w:rsidR="003766FA" w:rsidRPr="003766FA" w:rsidRDefault="003766FA" w:rsidP="003766FA">
            <w:pPr>
              <w:spacing w:after="0" w:line="240" w:lineRule="auto"/>
              <w:jc w:val="center"/>
              <w:rPr>
                <w:rFonts w:eastAsia="Times New Roman"/>
                <w:color w:val="000000"/>
                <w:sz w:val="16"/>
                <w:szCs w:val="16"/>
                <w:lang w:val="es-419" w:eastAsia="es-419"/>
              </w:rPr>
            </w:pPr>
            <w:r w:rsidRPr="003766FA">
              <w:rPr>
                <w:rFonts w:eastAsia="Times New Roman"/>
                <w:color w:val="000000"/>
                <w:sz w:val="16"/>
                <w:szCs w:val="16"/>
                <w:lang w:val="es-MX" w:eastAsia="es-419"/>
              </w:rPr>
              <w:t>30</w:t>
            </w:r>
            <w:r w:rsidR="00CF4CBD">
              <w:rPr>
                <w:rFonts w:eastAsia="Times New Roman"/>
                <w:color w:val="000000"/>
                <w:sz w:val="16"/>
                <w:szCs w:val="16"/>
                <w:lang w:val="es-MX" w:eastAsia="es-419"/>
              </w:rPr>
              <w:t>,</w:t>
            </w:r>
            <w:r w:rsidRPr="003766FA">
              <w:rPr>
                <w:rFonts w:eastAsia="Times New Roman"/>
                <w:color w:val="000000"/>
                <w:sz w:val="16"/>
                <w:szCs w:val="16"/>
                <w:lang w:val="es-MX" w:eastAsia="es-419"/>
              </w:rPr>
              <w:t>578</w:t>
            </w:r>
          </w:p>
        </w:tc>
      </w:tr>
      <w:tr w:rsidR="003766FA" w:rsidRPr="003766FA" w14:paraId="623E2BB9" w14:textId="77777777" w:rsidTr="003766FA">
        <w:trPr>
          <w:trHeight w:val="525"/>
        </w:trPr>
        <w:tc>
          <w:tcPr>
            <w:tcW w:w="0" w:type="auto"/>
            <w:tcBorders>
              <w:top w:val="nil"/>
              <w:left w:val="nil"/>
              <w:bottom w:val="single" w:sz="8" w:space="0" w:color="000000"/>
              <w:right w:val="single" w:sz="8" w:space="0" w:color="auto"/>
            </w:tcBorders>
            <w:vAlign w:val="center"/>
            <w:hideMark/>
          </w:tcPr>
          <w:p w14:paraId="3CAC125A" w14:textId="77777777" w:rsidR="003766FA" w:rsidRPr="003766FA" w:rsidRDefault="003766FA" w:rsidP="003766FA">
            <w:pPr>
              <w:spacing w:after="0" w:line="240" w:lineRule="auto"/>
              <w:jc w:val="left"/>
              <w:rPr>
                <w:rFonts w:eastAsia="Times New Roman"/>
                <w:b/>
                <w:bCs/>
                <w:color w:val="000000"/>
                <w:sz w:val="16"/>
                <w:szCs w:val="16"/>
                <w:lang w:val="es-419" w:eastAsia="es-419"/>
              </w:rPr>
            </w:pPr>
            <w:r w:rsidRPr="003766FA">
              <w:rPr>
                <w:rFonts w:eastAsia="Times New Roman"/>
                <w:b/>
                <w:bCs/>
                <w:color w:val="000000"/>
                <w:sz w:val="16"/>
                <w:szCs w:val="16"/>
                <w:lang w:val="es-MX" w:eastAsia="es-419"/>
              </w:rPr>
              <w:t>Quintana Roo</w:t>
            </w:r>
          </w:p>
        </w:tc>
        <w:tc>
          <w:tcPr>
            <w:tcW w:w="0" w:type="auto"/>
            <w:tcBorders>
              <w:top w:val="nil"/>
              <w:left w:val="nil"/>
              <w:bottom w:val="single" w:sz="8" w:space="0" w:color="000000"/>
              <w:right w:val="nil"/>
            </w:tcBorders>
            <w:vAlign w:val="center"/>
            <w:hideMark/>
          </w:tcPr>
          <w:p w14:paraId="3048CE41" w14:textId="55D15257" w:rsidR="003766FA" w:rsidRPr="003766FA" w:rsidRDefault="003766FA" w:rsidP="003766FA">
            <w:pPr>
              <w:spacing w:after="0" w:line="240" w:lineRule="auto"/>
              <w:jc w:val="center"/>
              <w:rPr>
                <w:rFonts w:eastAsia="Times New Roman"/>
                <w:b/>
                <w:bCs/>
                <w:color w:val="000000"/>
                <w:sz w:val="16"/>
                <w:szCs w:val="16"/>
                <w:lang w:val="es-419" w:eastAsia="es-419"/>
              </w:rPr>
            </w:pPr>
            <w:r w:rsidRPr="003766FA">
              <w:rPr>
                <w:rFonts w:eastAsia="Times New Roman"/>
                <w:b/>
                <w:bCs/>
                <w:color w:val="000000"/>
                <w:sz w:val="16"/>
                <w:szCs w:val="16"/>
                <w:lang w:val="es-MX" w:eastAsia="es-419"/>
              </w:rPr>
              <w:t>47</w:t>
            </w:r>
            <w:r w:rsidR="00CF4CBD">
              <w:rPr>
                <w:rFonts w:eastAsia="Times New Roman"/>
                <w:b/>
                <w:bCs/>
                <w:color w:val="000000"/>
                <w:sz w:val="16"/>
                <w:szCs w:val="16"/>
                <w:lang w:val="es-MX" w:eastAsia="es-419"/>
              </w:rPr>
              <w:t>,</w:t>
            </w:r>
            <w:r w:rsidRPr="003766FA">
              <w:rPr>
                <w:rFonts w:eastAsia="Times New Roman"/>
                <w:b/>
                <w:bCs/>
                <w:color w:val="000000"/>
                <w:sz w:val="16"/>
                <w:szCs w:val="16"/>
                <w:lang w:val="es-MX" w:eastAsia="es-419"/>
              </w:rPr>
              <w:t>416</w:t>
            </w:r>
          </w:p>
        </w:tc>
        <w:tc>
          <w:tcPr>
            <w:tcW w:w="0" w:type="auto"/>
            <w:tcBorders>
              <w:top w:val="nil"/>
              <w:left w:val="nil"/>
              <w:bottom w:val="single" w:sz="8" w:space="0" w:color="000000"/>
              <w:right w:val="nil"/>
            </w:tcBorders>
            <w:vAlign w:val="center"/>
            <w:hideMark/>
          </w:tcPr>
          <w:p w14:paraId="741D58FE" w14:textId="5A50A786" w:rsidR="003766FA" w:rsidRPr="003766FA" w:rsidRDefault="003766FA" w:rsidP="003766FA">
            <w:pPr>
              <w:spacing w:after="0" w:line="240" w:lineRule="auto"/>
              <w:jc w:val="center"/>
              <w:rPr>
                <w:rFonts w:eastAsia="Times New Roman"/>
                <w:b/>
                <w:bCs/>
                <w:color w:val="000000"/>
                <w:sz w:val="16"/>
                <w:szCs w:val="16"/>
                <w:lang w:val="es-419" w:eastAsia="es-419"/>
              </w:rPr>
            </w:pPr>
            <w:r w:rsidRPr="003766FA">
              <w:rPr>
                <w:rFonts w:eastAsia="Times New Roman"/>
                <w:b/>
                <w:bCs/>
                <w:color w:val="000000"/>
                <w:sz w:val="16"/>
                <w:szCs w:val="16"/>
                <w:lang w:val="es-MX" w:eastAsia="es-419"/>
              </w:rPr>
              <w:t>149</w:t>
            </w:r>
            <w:r w:rsidR="00CF4CBD">
              <w:rPr>
                <w:rFonts w:eastAsia="Times New Roman"/>
                <w:b/>
                <w:bCs/>
                <w:color w:val="000000"/>
                <w:sz w:val="16"/>
                <w:szCs w:val="16"/>
                <w:lang w:val="es-MX" w:eastAsia="es-419"/>
              </w:rPr>
              <w:t>,</w:t>
            </w:r>
            <w:r w:rsidRPr="003766FA">
              <w:rPr>
                <w:rFonts w:eastAsia="Times New Roman"/>
                <w:b/>
                <w:bCs/>
                <w:color w:val="000000"/>
                <w:sz w:val="16"/>
                <w:szCs w:val="16"/>
                <w:lang w:val="es-MX" w:eastAsia="es-419"/>
              </w:rPr>
              <w:t>443</w:t>
            </w:r>
          </w:p>
        </w:tc>
        <w:tc>
          <w:tcPr>
            <w:tcW w:w="0" w:type="auto"/>
            <w:tcBorders>
              <w:top w:val="nil"/>
              <w:left w:val="nil"/>
              <w:bottom w:val="single" w:sz="8" w:space="0" w:color="000000"/>
              <w:right w:val="single" w:sz="8" w:space="0" w:color="auto"/>
            </w:tcBorders>
            <w:vAlign w:val="center"/>
            <w:hideMark/>
          </w:tcPr>
          <w:p w14:paraId="24EC101F" w14:textId="6337AA4D" w:rsidR="003766FA" w:rsidRPr="003766FA" w:rsidRDefault="003766FA" w:rsidP="003766FA">
            <w:pPr>
              <w:spacing w:after="0" w:line="240" w:lineRule="auto"/>
              <w:jc w:val="center"/>
              <w:rPr>
                <w:rFonts w:eastAsia="Times New Roman"/>
                <w:b/>
                <w:bCs/>
                <w:color w:val="000000"/>
                <w:sz w:val="16"/>
                <w:szCs w:val="16"/>
                <w:lang w:val="es-419" w:eastAsia="es-419"/>
              </w:rPr>
            </w:pPr>
            <w:r w:rsidRPr="003766FA">
              <w:rPr>
                <w:rFonts w:eastAsia="Times New Roman"/>
                <w:b/>
                <w:bCs/>
                <w:color w:val="000000"/>
                <w:sz w:val="16"/>
                <w:szCs w:val="16"/>
                <w:lang w:val="es-MX" w:eastAsia="es-419"/>
              </w:rPr>
              <w:t>770</w:t>
            </w:r>
            <w:r w:rsidR="00CF4CBD">
              <w:rPr>
                <w:rFonts w:eastAsia="Times New Roman"/>
                <w:b/>
                <w:bCs/>
                <w:color w:val="000000"/>
                <w:sz w:val="16"/>
                <w:szCs w:val="16"/>
                <w:lang w:val="es-MX" w:eastAsia="es-419"/>
              </w:rPr>
              <w:t>,</w:t>
            </w:r>
            <w:r w:rsidRPr="003766FA">
              <w:rPr>
                <w:rFonts w:eastAsia="Times New Roman"/>
                <w:b/>
                <w:bCs/>
                <w:color w:val="000000"/>
                <w:sz w:val="16"/>
                <w:szCs w:val="16"/>
                <w:lang w:val="es-MX" w:eastAsia="es-419"/>
              </w:rPr>
              <w:t>688</w:t>
            </w:r>
          </w:p>
        </w:tc>
        <w:tc>
          <w:tcPr>
            <w:tcW w:w="0" w:type="auto"/>
            <w:tcBorders>
              <w:top w:val="nil"/>
              <w:left w:val="nil"/>
              <w:bottom w:val="single" w:sz="8" w:space="0" w:color="000000"/>
              <w:right w:val="nil"/>
            </w:tcBorders>
            <w:vAlign w:val="center"/>
            <w:hideMark/>
          </w:tcPr>
          <w:p w14:paraId="0F3334E1" w14:textId="05649DF4" w:rsidR="003766FA" w:rsidRPr="003766FA" w:rsidRDefault="003766FA" w:rsidP="003766FA">
            <w:pPr>
              <w:spacing w:after="0" w:line="240" w:lineRule="auto"/>
              <w:jc w:val="center"/>
              <w:rPr>
                <w:rFonts w:eastAsia="Times New Roman"/>
                <w:b/>
                <w:bCs/>
                <w:color w:val="000000"/>
                <w:sz w:val="16"/>
                <w:szCs w:val="16"/>
                <w:lang w:val="es-419" w:eastAsia="es-419"/>
              </w:rPr>
            </w:pPr>
            <w:r w:rsidRPr="003766FA">
              <w:rPr>
                <w:rFonts w:eastAsia="Times New Roman"/>
                <w:b/>
                <w:bCs/>
                <w:color w:val="000000"/>
                <w:sz w:val="16"/>
                <w:szCs w:val="16"/>
                <w:lang w:val="es-MX" w:eastAsia="es-419"/>
              </w:rPr>
              <w:t>42</w:t>
            </w:r>
            <w:r w:rsidR="00CF4CBD">
              <w:rPr>
                <w:rFonts w:eastAsia="Times New Roman"/>
                <w:b/>
                <w:bCs/>
                <w:color w:val="000000"/>
                <w:sz w:val="16"/>
                <w:szCs w:val="16"/>
                <w:lang w:val="es-MX" w:eastAsia="es-419"/>
              </w:rPr>
              <w:t>,</w:t>
            </w:r>
            <w:r w:rsidRPr="003766FA">
              <w:rPr>
                <w:rFonts w:eastAsia="Times New Roman"/>
                <w:b/>
                <w:bCs/>
                <w:color w:val="000000"/>
                <w:sz w:val="16"/>
                <w:szCs w:val="16"/>
                <w:lang w:val="es-MX" w:eastAsia="es-419"/>
              </w:rPr>
              <w:t>800</w:t>
            </w:r>
          </w:p>
        </w:tc>
        <w:tc>
          <w:tcPr>
            <w:tcW w:w="0" w:type="auto"/>
            <w:tcBorders>
              <w:top w:val="nil"/>
              <w:left w:val="nil"/>
              <w:bottom w:val="single" w:sz="8" w:space="0" w:color="000000"/>
              <w:right w:val="nil"/>
            </w:tcBorders>
            <w:vAlign w:val="center"/>
            <w:hideMark/>
          </w:tcPr>
          <w:p w14:paraId="3A805762" w14:textId="000C3FA2" w:rsidR="003766FA" w:rsidRPr="003766FA" w:rsidRDefault="003766FA" w:rsidP="003766FA">
            <w:pPr>
              <w:spacing w:after="0" w:line="240" w:lineRule="auto"/>
              <w:jc w:val="center"/>
              <w:rPr>
                <w:rFonts w:eastAsia="Times New Roman"/>
                <w:b/>
                <w:bCs/>
                <w:color w:val="000000"/>
                <w:sz w:val="16"/>
                <w:szCs w:val="16"/>
                <w:lang w:val="es-419" w:eastAsia="es-419"/>
              </w:rPr>
            </w:pPr>
            <w:r w:rsidRPr="003766FA">
              <w:rPr>
                <w:rFonts w:eastAsia="Times New Roman"/>
                <w:b/>
                <w:bCs/>
                <w:color w:val="000000"/>
                <w:sz w:val="16"/>
                <w:szCs w:val="16"/>
                <w:lang w:val="es-MX" w:eastAsia="es-419"/>
              </w:rPr>
              <w:t>163</w:t>
            </w:r>
            <w:r w:rsidR="00CF4CBD">
              <w:rPr>
                <w:rFonts w:eastAsia="Times New Roman"/>
                <w:b/>
                <w:bCs/>
                <w:color w:val="000000"/>
                <w:sz w:val="16"/>
                <w:szCs w:val="16"/>
                <w:lang w:val="es-MX" w:eastAsia="es-419"/>
              </w:rPr>
              <w:t>,</w:t>
            </w:r>
            <w:r w:rsidRPr="003766FA">
              <w:rPr>
                <w:rFonts w:eastAsia="Times New Roman"/>
                <w:b/>
                <w:bCs/>
                <w:color w:val="000000"/>
                <w:sz w:val="16"/>
                <w:szCs w:val="16"/>
                <w:lang w:val="es-MX" w:eastAsia="es-419"/>
              </w:rPr>
              <w:t>241</w:t>
            </w:r>
          </w:p>
        </w:tc>
        <w:tc>
          <w:tcPr>
            <w:tcW w:w="0" w:type="auto"/>
            <w:tcBorders>
              <w:top w:val="nil"/>
              <w:left w:val="nil"/>
              <w:bottom w:val="single" w:sz="8" w:space="0" w:color="000000"/>
              <w:right w:val="single" w:sz="8" w:space="0" w:color="auto"/>
            </w:tcBorders>
            <w:vAlign w:val="center"/>
            <w:hideMark/>
          </w:tcPr>
          <w:p w14:paraId="68A5148E" w14:textId="70F1E0D9" w:rsidR="003766FA" w:rsidRPr="003766FA" w:rsidRDefault="003766FA" w:rsidP="003766FA">
            <w:pPr>
              <w:spacing w:after="0" w:line="240" w:lineRule="auto"/>
              <w:jc w:val="center"/>
              <w:rPr>
                <w:rFonts w:eastAsia="Times New Roman"/>
                <w:b/>
                <w:bCs/>
                <w:color w:val="000000"/>
                <w:sz w:val="16"/>
                <w:szCs w:val="16"/>
                <w:lang w:val="es-419" w:eastAsia="es-419"/>
              </w:rPr>
            </w:pPr>
            <w:r w:rsidRPr="003766FA">
              <w:rPr>
                <w:rFonts w:eastAsia="Times New Roman"/>
                <w:b/>
                <w:bCs/>
                <w:color w:val="000000"/>
                <w:sz w:val="16"/>
                <w:szCs w:val="16"/>
                <w:lang w:val="es-MX" w:eastAsia="es-419"/>
              </w:rPr>
              <w:t>769</w:t>
            </w:r>
            <w:r w:rsidR="00CF4CBD">
              <w:rPr>
                <w:rFonts w:eastAsia="Times New Roman"/>
                <w:b/>
                <w:bCs/>
                <w:color w:val="000000"/>
                <w:sz w:val="16"/>
                <w:szCs w:val="16"/>
                <w:lang w:val="es-MX" w:eastAsia="es-419"/>
              </w:rPr>
              <w:t>,</w:t>
            </w:r>
            <w:r w:rsidRPr="003766FA">
              <w:rPr>
                <w:rFonts w:eastAsia="Times New Roman"/>
                <w:b/>
                <w:bCs/>
                <w:color w:val="000000"/>
                <w:sz w:val="16"/>
                <w:szCs w:val="16"/>
                <w:lang w:val="es-MX" w:eastAsia="es-419"/>
              </w:rPr>
              <w:t>075</w:t>
            </w:r>
          </w:p>
        </w:tc>
        <w:tc>
          <w:tcPr>
            <w:tcW w:w="0" w:type="auto"/>
            <w:tcBorders>
              <w:top w:val="nil"/>
              <w:left w:val="nil"/>
              <w:bottom w:val="single" w:sz="8" w:space="0" w:color="000000"/>
              <w:right w:val="nil"/>
            </w:tcBorders>
            <w:vAlign w:val="center"/>
            <w:hideMark/>
          </w:tcPr>
          <w:p w14:paraId="20127024" w14:textId="2B4C8B72" w:rsidR="003766FA" w:rsidRPr="003766FA" w:rsidRDefault="003766FA" w:rsidP="003766FA">
            <w:pPr>
              <w:spacing w:after="0" w:line="240" w:lineRule="auto"/>
              <w:jc w:val="center"/>
              <w:rPr>
                <w:rFonts w:eastAsia="Times New Roman"/>
                <w:b/>
                <w:bCs/>
                <w:color w:val="000000"/>
                <w:sz w:val="16"/>
                <w:szCs w:val="16"/>
                <w:lang w:val="es-419" w:eastAsia="es-419"/>
              </w:rPr>
            </w:pPr>
            <w:r w:rsidRPr="003766FA">
              <w:rPr>
                <w:rFonts w:eastAsia="Times New Roman"/>
                <w:b/>
                <w:bCs/>
                <w:color w:val="000000"/>
                <w:sz w:val="16"/>
                <w:szCs w:val="16"/>
                <w:lang w:val="es-MX" w:eastAsia="es-419"/>
              </w:rPr>
              <w:t>38</w:t>
            </w:r>
            <w:r w:rsidR="00CF4CBD">
              <w:rPr>
                <w:rFonts w:eastAsia="Times New Roman"/>
                <w:b/>
                <w:bCs/>
                <w:color w:val="000000"/>
                <w:sz w:val="16"/>
                <w:szCs w:val="16"/>
                <w:lang w:val="es-MX" w:eastAsia="es-419"/>
              </w:rPr>
              <w:t>,</w:t>
            </w:r>
            <w:r w:rsidRPr="003766FA">
              <w:rPr>
                <w:rFonts w:eastAsia="Times New Roman"/>
                <w:b/>
                <w:bCs/>
                <w:color w:val="000000"/>
                <w:sz w:val="16"/>
                <w:szCs w:val="16"/>
                <w:lang w:val="es-MX" w:eastAsia="es-419"/>
              </w:rPr>
              <w:t>934</w:t>
            </w:r>
          </w:p>
        </w:tc>
        <w:tc>
          <w:tcPr>
            <w:tcW w:w="0" w:type="auto"/>
            <w:tcBorders>
              <w:top w:val="nil"/>
              <w:left w:val="nil"/>
              <w:bottom w:val="single" w:sz="8" w:space="0" w:color="000000"/>
              <w:right w:val="nil"/>
            </w:tcBorders>
            <w:vAlign w:val="center"/>
            <w:hideMark/>
          </w:tcPr>
          <w:p w14:paraId="7E64E5C6" w14:textId="4BBCF695" w:rsidR="003766FA" w:rsidRPr="003766FA" w:rsidRDefault="003766FA" w:rsidP="003766FA">
            <w:pPr>
              <w:spacing w:after="0" w:line="240" w:lineRule="auto"/>
              <w:jc w:val="center"/>
              <w:rPr>
                <w:rFonts w:eastAsia="Times New Roman"/>
                <w:b/>
                <w:bCs/>
                <w:color w:val="000000"/>
                <w:sz w:val="16"/>
                <w:szCs w:val="16"/>
                <w:lang w:val="es-419" w:eastAsia="es-419"/>
              </w:rPr>
            </w:pPr>
            <w:r w:rsidRPr="003766FA">
              <w:rPr>
                <w:rFonts w:eastAsia="Times New Roman"/>
                <w:b/>
                <w:bCs/>
                <w:color w:val="000000"/>
                <w:sz w:val="16"/>
                <w:szCs w:val="16"/>
                <w:lang w:val="es-MX" w:eastAsia="es-419"/>
              </w:rPr>
              <w:t>161</w:t>
            </w:r>
            <w:r w:rsidR="00CF4CBD">
              <w:rPr>
                <w:rFonts w:eastAsia="Times New Roman"/>
                <w:b/>
                <w:bCs/>
                <w:color w:val="000000"/>
                <w:sz w:val="16"/>
                <w:szCs w:val="16"/>
                <w:lang w:val="es-MX" w:eastAsia="es-419"/>
              </w:rPr>
              <w:t>,</w:t>
            </w:r>
            <w:r w:rsidRPr="003766FA">
              <w:rPr>
                <w:rFonts w:eastAsia="Times New Roman"/>
                <w:b/>
                <w:bCs/>
                <w:color w:val="000000"/>
                <w:sz w:val="16"/>
                <w:szCs w:val="16"/>
                <w:lang w:val="es-MX" w:eastAsia="es-419"/>
              </w:rPr>
              <w:t>701</w:t>
            </w:r>
          </w:p>
        </w:tc>
        <w:tc>
          <w:tcPr>
            <w:tcW w:w="0" w:type="auto"/>
            <w:tcBorders>
              <w:top w:val="nil"/>
              <w:left w:val="nil"/>
              <w:bottom w:val="single" w:sz="8" w:space="0" w:color="000000"/>
              <w:right w:val="nil"/>
            </w:tcBorders>
            <w:vAlign w:val="center"/>
            <w:hideMark/>
          </w:tcPr>
          <w:p w14:paraId="7FCFCED1" w14:textId="010F870F" w:rsidR="003766FA" w:rsidRPr="003766FA" w:rsidRDefault="003766FA" w:rsidP="003766FA">
            <w:pPr>
              <w:spacing w:after="0" w:line="240" w:lineRule="auto"/>
              <w:jc w:val="center"/>
              <w:rPr>
                <w:rFonts w:eastAsia="Times New Roman"/>
                <w:b/>
                <w:bCs/>
                <w:color w:val="000000"/>
                <w:sz w:val="16"/>
                <w:szCs w:val="16"/>
                <w:lang w:val="es-419" w:eastAsia="es-419"/>
              </w:rPr>
            </w:pPr>
            <w:r w:rsidRPr="003766FA">
              <w:rPr>
                <w:rFonts w:eastAsia="Times New Roman"/>
                <w:b/>
                <w:bCs/>
                <w:color w:val="000000"/>
                <w:sz w:val="16"/>
                <w:szCs w:val="16"/>
                <w:lang w:val="es-MX" w:eastAsia="es-419"/>
              </w:rPr>
              <w:t>784</w:t>
            </w:r>
            <w:r w:rsidR="00CF4CBD">
              <w:rPr>
                <w:rFonts w:eastAsia="Times New Roman"/>
                <w:b/>
                <w:bCs/>
                <w:color w:val="000000"/>
                <w:sz w:val="16"/>
                <w:szCs w:val="16"/>
                <w:lang w:val="es-MX" w:eastAsia="es-419"/>
              </w:rPr>
              <w:t>,</w:t>
            </w:r>
            <w:r w:rsidRPr="003766FA">
              <w:rPr>
                <w:rFonts w:eastAsia="Times New Roman"/>
                <w:b/>
                <w:bCs/>
                <w:color w:val="000000"/>
                <w:sz w:val="16"/>
                <w:szCs w:val="16"/>
                <w:lang w:val="es-MX" w:eastAsia="es-419"/>
              </w:rPr>
              <w:t>122</w:t>
            </w:r>
          </w:p>
        </w:tc>
      </w:tr>
    </w:tbl>
    <w:p w14:paraId="64AE18AC" w14:textId="77777777" w:rsidR="00E10933" w:rsidRPr="00305D32" w:rsidRDefault="00E10933" w:rsidP="00E10933">
      <w:pPr>
        <w:spacing w:line="240" w:lineRule="auto"/>
        <w:jc w:val="center"/>
        <w:rPr>
          <w:i/>
          <w:sz w:val="20"/>
          <w:szCs w:val="20"/>
          <w:lang w:val="es-MX"/>
        </w:rPr>
      </w:pPr>
      <w:r w:rsidRPr="00305D32">
        <w:rPr>
          <w:sz w:val="20"/>
          <w:szCs w:val="20"/>
          <w:lang w:val="es-MX"/>
        </w:rPr>
        <w:t xml:space="preserve">Fuente: Elaboración de la Subsecretaría de Análisis Económico y Finanzas Públicas de la Secretaría de Finanzas y Planeación con datos de la </w:t>
      </w:r>
      <w:r w:rsidRPr="00305D32">
        <w:rPr>
          <w:i/>
          <w:sz w:val="20"/>
          <w:szCs w:val="20"/>
          <w:lang w:val="es-MX"/>
        </w:rPr>
        <w:t>Encuesta Nacional de Ocupación y Empleo del</w:t>
      </w:r>
      <w:r w:rsidRPr="00305D32">
        <w:rPr>
          <w:sz w:val="20"/>
          <w:szCs w:val="20"/>
          <w:lang w:val="es-MX"/>
        </w:rPr>
        <w:t xml:space="preserve"> INEGI (2025)</w:t>
      </w:r>
      <w:r w:rsidRPr="00305D32">
        <w:rPr>
          <w:i/>
          <w:sz w:val="20"/>
          <w:szCs w:val="20"/>
          <w:lang w:val="es-MX"/>
        </w:rPr>
        <w:t>.</w:t>
      </w:r>
    </w:p>
    <w:p w14:paraId="6D5E4D1D" w14:textId="1ADD33F6" w:rsidR="00871BDB" w:rsidRDefault="00871BDB" w:rsidP="009D5513">
      <w:pPr>
        <w:rPr>
          <w:lang w:val="es-MX"/>
        </w:rPr>
      </w:pPr>
    </w:p>
    <w:p w14:paraId="4D08383D" w14:textId="37E5A328" w:rsidR="00AE57F0" w:rsidRPr="00305D32" w:rsidRDefault="00414F7C">
      <w:pPr>
        <w:pStyle w:val="Ttulo1"/>
        <w:numPr>
          <w:ilvl w:val="0"/>
          <w:numId w:val="5"/>
        </w:numPr>
        <w:rPr>
          <w:lang w:val="es-MX"/>
        </w:rPr>
      </w:pPr>
      <w:r w:rsidRPr="00305D32">
        <w:rPr>
          <w:lang w:val="es-MX"/>
        </w:rPr>
        <w:lastRenderedPageBreak/>
        <w:t>Supuestos económicos considerados en el paquete fiscal 202</w:t>
      </w:r>
      <w:r w:rsidR="006962DF" w:rsidRPr="00305D32">
        <w:rPr>
          <w:lang w:val="es-MX"/>
        </w:rPr>
        <w:t>6</w:t>
      </w:r>
    </w:p>
    <w:p w14:paraId="4D08383E" w14:textId="253C2A2A" w:rsidR="00AE57F0" w:rsidRPr="00305D32" w:rsidRDefault="007E57B4">
      <w:pPr>
        <w:rPr>
          <w:lang w:val="es-MX"/>
        </w:rPr>
      </w:pPr>
      <w:bookmarkStart w:id="143" w:name="_heading=h.11si5id" w:colFirst="0" w:colLast="0"/>
      <w:bookmarkEnd w:id="143"/>
      <w:r w:rsidRPr="00305D32">
        <w:rPr>
          <w:lang w:val="es-MX"/>
        </w:rPr>
        <w:t xml:space="preserve">De acuerdo con el </w:t>
      </w:r>
      <w:r w:rsidR="00A13A1A">
        <w:rPr>
          <w:lang w:val="es-MX"/>
        </w:rPr>
        <w:t>A</w:t>
      </w:r>
      <w:r w:rsidRPr="00305D32">
        <w:rPr>
          <w:lang w:val="es-MX"/>
        </w:rPr>
        <w:t xml:space="preserve">rtículo 29 de la Ley de Presupuesto y Gasto Público del Estado de Quintana Roo, </w:t>
      </w:r>
      <w:r w:rsidR="00DB5E8D" w:rsidRPr="00DB5E8D">
        <w:rPr>
          <w:lang w:val="es-MX"/>
        </w:rPr>
        <w:t xml:space="preserve">las proyecciones y estimaciones financieras que forman parte del paquete fiscal estatal deben fundamentarse en los indicadores y parámetros establecidos en el documento “Criterios Generales de Política Económica para la Iniciativa de Ley de Ingresos y el Proyecto de Presupuesto de Egresos de la Federación correspondiente al ejercicio fiscal 2026”, emitido por la SHCP. A partir de la reciente publicación de dichos Criterios, los supuestos e indicadores ahí contenidos son los que se utilizan en </w:t>
      </w:r>
      <w:r w:rsidR="00F556EE" w:rsidRPr="00DB5E8D">
        <w:rPr>
          <w:lang w:val="es-MX"/>
        </w:rPr>
        <w:t xml:space="preserve">este </w:t>
      </w:r>
      <w:r w:rsidR="00F556EE">
        <w:rPr>
          <w:lang w:val="es-MX"/>
        </w:rPr>
        <w:t>entorno</w:t>
      </w:r>
      <w:r w:rsidR="00320162">
        <w:rPr>
          <w:lang w:val="es-MX"/>
        </w:rPr>
        <w:t xml:space="preserve"> económico</w:t>
      </w:r>
      <w:r w:rsidR="00DB5E8D" w:rsidRPr="00DB5E8D">
        <w:rPr>
          <w:lang w:val="es-MX"/>
        </w:rPr>
        <w:t xml:space="preserve"> y se presentan</w:t>
      </w:r>
      <w:r w:rsidRPr="00305D32">
        <w:rPr>
          <w:lang w:val="es-MX"/>
        </w:rPr>
        <w:t xml:space="preserve"> en la</w:t>
      </w:r>
      <w:r w:rsidR="002B66EF">
        <w:rPr>
          <w:lang w:val="es-MX"/>
        </w:rPr>
        <w:t xml:space="preserve"> </w:t>
      </w:r>
      <w:r w:rsidR="002B66EF">
        <w:rPr>
          <w:lang w:val="es-MX"/>
        </w:rPr>
        <w:fldChar w:fldCharType="begin"/>
      </w:r>
      <w:r w:rsidR="002B66EF">
        <w:rPr>
          <w:lang w:val="es-MX"/>
        </w:rPr>
        <w:instrText xml:space="preserve"> REF _Ref210297860 \h </w:instrText>
      </w:r>
      <w:r w:rsidR="002B66EF">
        <w:rPr>
          <w:lang w:val="es-MX"/>
        </w:rPr>
      </w:r>
      <w:r w:rsidR="002B66EF">
        <w:rPr>
          <w:lang w:val="es-MX"/>
        </w:rPr>
        <w:fldChar w:fldCharType="separate"/>
      </w:r>
      <w:r w:rsidR="00ED1F2F" w:rsidRPr="00D471C1">
        <w:t xml:space="preserve">Tabla </w:t>
      </w:r>
      <w:r w:rsidR="00ED1F2F">
        <w:rPr>
          <w:noProof/>
        </w:rPr>
        <w:t>25</w:t>
      </w:r>
      <w:r w:rsidR="002B66EF">
        <w:rPr>
          <w:lang w:val="es-MX"/>
        </w:rPr>
        <w:fldChar w:fldCharType="end"/>
      </w:r>
      <w:r w:rsidRPr="00305D32">
        <w:rPr>
          <w:lang w:val="es-MX"/>
        </w:rPr>
        <w:t>.</w:t>
      </w:r>
    </w:p>
    <w:p w14:paraId="4D08383F" w14:textId="7ED652EF" w:rsidR="00AE57F0" w:rsidRPr="00305D32" w:rsidRDefault="00414F7C" w:rsidP="00D471C1">
      <w:pPr>
        <w:pStyle w:val="Descripcin"/>
        <w:jc w:val="center"/>
        <w:rPr>
          <w:color w:val="000000"/>
          <w:lang w:val="es-MX"/>
        </w:rPr>
      </w:pPr>
      <w:bookmarkStart w:id="144" w:name="_Ref210297860"/>
      <w:r w:rsidRPr="00D471C1">
        <w:t xml:space="preserve">Tabla </w:t>
      </w:r>
      <w:fldSimple w:instr=" SEQ Tabla \* ARABIC ">
        <w:r w:rsidR="00ED1F2F">
          <w:rPr>
            <w:noProof/>
          </w:rPr>
          <w:t>25</w:t>
        </w:r>
      </w:fldSimple>
      <w:bookmarkEnd w:id="144"/>
      <w:r w:rsidRPr="00D471C1">
        <w:rPr>
          <w:color w:val="000000"/>
          <w:lang w:val="es-MX"/>
        </w:rPr>
        <w:t>. Principales variables del marco Macroeconómico del Paquete Fiscal Federal, 202</w:t>
      </w:r>
      <w:r w:rsidR="00054961" w:rsidRPr="002A4000">
        <w:rPr>
          <w:bCs w:val="0"/>
          <w:color w:val="000000"/>
          <w:lang w:val="es-MX"/>
        </w:rPr>
        <w:t>5</w:t>
      </w:r>
      <w:r w:rsidRPr="002A4000">
        <w:rPr>
          <w:bCs w:val="0"/>
          <w:color w:val="000000"/>
          <w:lang w:val="es-MX"/>
        </w:rPr>
        <w:t>-202</w:t>
      </w:r>
      <w:r w:rsidR="00054961" w:rsidRPr="002A4000">
        <w:rPr>
          <w:bCs w:val="0"/>
          <w:color w:val="000000"/>
          <w:lang w:val="es-MX"/>
        </w:rPr>
        <w:t>6</w:t>
      </w:r>
      <w:r w:rsidR="00A31A5B">
        <w:rPr>
          <w:bCs w:val="0"/>
          <w:color w:val="000000"/>
          <w:lang w:val="es-MX"/>
        </w:rPr>
        <w:t>.</w:t>
      </w:r>
    </w:p>
    <w:tbl>
      <w:tblPr>
        <w:tblStyle w:val="af3"/>
        <w:tblW w:w="9121"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5103"/>
        <w:gridCol w:w="1979"/>
        <w:gridCol w:w="2039"/>
      </w:tblGrid>
      <w:tr w:rsidR="00AE57F0" w:rsidRPr="00D13EE7" w14:paraId="4D083845" w14:textId="77777777" w:rsidTr="00EC450C">
        <w:trPr>
          <w:jc w:val="center"/>
        </w:trPr>
        <w:tc>
          <w:tcPr>
            <w:tcW w:w="5103" w:type="dxa"/>
            <w:tcBorders>
              <w:top w:val="single" w:sz="12" w:space="0" w:color="000000"/>
              <w:bottom w:val="single" w:sz="12" w:space="0" w:color="000000"/>
            </w:tcBorders>
            <w:vAlign w:val="center"/>
          </w:tcPr>
          <w:p w14:paraId="4D083840" w14:textId="77777777" w:rsidR="00AE57F0" w:rsidRPr="00D13EE7" w:rsidRDefault="00414F7C" w:rsidP="00EC450C">
            <w:pPr>
              <w:spacing w:after="0" w:line="276" w:lineRule="auto"/>
              <w:jc w:val="center"/>
              <w:rPr>
                <w:color w:val="auto"/>
                <w:sz w:val="20"/>
                <w:szCs w:val="20"/>
                <w:lang w:val="es-MX"/>
              </w:rPr>
            </w:pPr>
            <w:r w:rsidRPr="00D13EE7">
              <w:rPr>
                <w:color w:val="auto"/>
                <w:sz w:val="20"/>
                <w:szCs w:val="20"/>
                <w:lang w:val="es-MX"/>
              </w:rPr>
              <w:t>Concepto</w:t>
            </w:r>
          </w:p>
        </w:tc>
        <w:tc>
          <w:tcPr>
            <w:tcW w:w="1979" w:type="dxa"/>
            <w:tcBorders>
              <w:top w:val="single" w:sz="12" w:space="0" w:color="000000"/>
              <w:bottom w:val="single" w:sz="12" w:space="0" w:color="000000"/>
            </w:tcBorders>
          </w:tcPr>
          <w:p w14:paraId="4D083841" w14:textId="0337B89A" w:rsidR="00AE57F0" w:rsidRPr="00D13EE7" w:rsidRDefault="00414F7C">
            <w:pPr>
              <w:spacing w:after="0" w:line="276" w:lineRule="auto"/>
              <w:jc w:val="center"/>
              <w:rPr>
                <w:color w:val="auto"/>
                <w:sz w:val="20"/>
                <w:szCs w:val="20"/>
                <w:lang w:val="es-MX"/>
              </w:rPr>
            </w:pPr>
            <w:r w:rsidRPr="00D13EE7">
              <w:rPr>
                <w:color w:val="auto"/>
                <w:sz w:val="20"/>
                <w:szCs w:val="20"/>
                <w:lang w:val="es-MX"/>
              </w:rPr>
              <w:t>202</w:t>
            </w:r>
            <w:r w:rsidR="006962DF" w:rsidRPr="00D13EE7">
              <w:rPr>
                <w:color w:val="auto"/>
                <w:sz w:val="20"/>
                <w:szCs w:val="20"/>
                <w:lang w:val="es-MX"/>
              </w:rPr>
              <w:t>5</w:t>
            </w:r>
            <w:r w:rsidRPr="00D13EE7">
              <w:rPr>
                <w:color w:val="auto"/>
                <w:sz w:val="20"/>
                <w:szCs w:val="20"/>
                <w:lang w:val="es-MX"/>
              </w:rPr>
              <w:t xml:space="preserve"> </w:t>
            </w:r>
          </w:p>
          <w:p w14:paraId="4D083842" w14:textId="77777777" w:rsidR="00AE57F0" w:rsidRPr="00D13EE7" w:rsidRDefault="00414F7C">
            <w:pPr>
              <w:spacing w:after="0" w:line="276" w:lineRule="auto"/>
              <w:jc w:val="center"/>
              <w:rPr>
                <w:color w:val="auto"/>
                <w:sz w:val="20"/>
                <w:szCs w:val="20"/>
                <w:lang w:val="es-MX"/>
              </w:rPr>
            </w:pPr>
            <w:r w:rsidRPr="00D13EE7">
              <w:rPr>
                <w:color w:val="auto"/>
                <w:sz w:val="20"/>
                <w:szCs w:val="20"/>
                <w:lang w:val="es-MX"/>
              </w:rPr>
              <w:t>(estimado)</w:t>
            </w:r>
          </w:p>
        </w:tc>
        <w:tc>
          <w:tcPr>
            <w:tcW w:w="2039" w:type="dxa"/>
            <w:tcBorders>
              <w:top w:val="single" w:sz="12" w:space="0" w:color="000000"/>
              <w:bottom w:val="single" w:sz="12" w:space="0" w:color="000000"/>
            </w:tcBorders>
          </w:tcPr>
          <w:p w14:paraId="4D083843" w14:textId="6409A1CD" w:rsidR="00AE57F0" w:rsidRPr="00D13EE7" w:rsidRDefault="00414F7C">
            <w:pPr>
              <w:spacing w:after="0" w:line="276" w:lineRule="auto"/>
              <w:jc w:val="center"/>
              <w:rPr>
                <w:color w:val="auto"/>
                <w:sz w:val="20"/>
                <w:szCs w:val="20"/>
                <w:lang w:val="es-MX"/>
              </w:rPr>
            </w:pPr>
            <w:r w:rsidRPr="00D13EE7">
              <w:rPr>
                <w:color w:val="auto"/>
                <w:sz w:val="20"/>
                <w:szCs w:val="20"/>
                <w:lang w:val="es-MX"/>
              </w:rPr>
              <w:t>202</w:t>
            </w:r>
            <w:r w:rsidR="006962DF" w:rsidRPr="00D13EE7">
              <w:rPr>
                <w:color w:val="auto"/>
                <w:sz w:val="20"/>
                <w:szCs w:val="20"/>
                <w:lang w:val="es-MX"/>
              </w:rPr>
              <w:t>6</w:t>
            </w:r>
          </w:p>
          <w:p w14:paraId="4D083844" w14:textId="77777777" w:rsidR="00AE57F0" w:rsidRPr="00D13EE7" w:rsidRDefault="00414F7C">
            <w:pPr>
              <w:spacing w:after="0" w:line="276" w:lineRule="auto"/>
              <w:jc w:val="center"/>
              <w:rPr>
                <w:color w:val="auto"/>
                <w:sz w:val="20"/>
                <w:szCs w:val="20"/>
                <w:lang w:val="es-MX"/>
              </w:rPr>
            </w:pPr>
            <w:r w:rsidRPr="00D13EE7">
              <w:rPr>
                <w:color w:val="auto"/>
                <w:sz w:val="20"/>
                <w:szCs w:val="20"/>
                <w:lang w:val="es-MX"/>
              </w:rPr>
              <w:t>(estimado)</w:t>
            </w:r>
          </w:p>
        </w:tc>
      </w:tr>
      <w:tr w:rsidR="00AE57F0" w:rsidRPr="00D13EE7" w14:paraId="4D083849" w14:textId="77777777" w:rsidTr="00EC2005">
        <w:trPr>
          <w:jc w:val="center"/>
        </w:trPr>
        <w:tc>
          <w:tcPr>
            <w:tcW w:w="5103" w:type="dxa"/>
            <w:tcBorders>
              <w:top w:val="single" w:sz="12" w:space="0" w:color="000000"/>
            </w:tcBorders>
          </w:tcPr>
          <w:p w14:paraId="4D083846" w14:textId="77777777" w:rsidR="00AE57F0" w:rsidRPr="00D13EE7" w:rsidRDefault="00414F7C">
            <w:pPr>
              <w:spacing w:after="0" w:line="276" w:lineRule="auto"/>
              <w:rPr>
                <w:color w:val="auto"/>
                <w:sz w:val="20"/>
                <w:szCs w:val="20"/>
                <w:lang w:val="es-MX"/>
              </w:rPr>
            </w:pPr>
            <w:r w:rsidRPr="00D13EE7">
              <w:rPr>
                <w:color w:val="auto"/>
                <w:sz w:val="20"/>
                <w:szCs w:val="20"/>
                <w:lang w:val="es-MX"/>
              </w:rPr>
              <w:t xml:space="preserve">Crecimiento real del PIB </w:t>
            </w:r>
          </w:p>
        </w:tc>
        <w:tc>
          <w:tcPr>
            <w:tcW w:w="1979" w:type="dxa"/>
            <w:tcBorders>
              <w:top w:val="single" w:sz="12" w:space="0" w:color="000000"/>
            </w:tcBorders>
            <w:vAlign w:val="center"/>
          </w:tcPr>
          <w:p w14:paraId="4D083847" w14:textId="6D240147" w:rsidR="00AE57F0" w:rsidRPr="00D13EE7" w:rsidRDefault="00414F7C">
            <w:pPr>
              <w:spacing w:after="0" w:line="276" w:lineRule="auto"/>
              <w:jc w:val="center"/>
              <w:rPr>
                <w:color w:val="auto"/>
                <w:sz w:val="20"/>
                <w:szCs w:val="20"/>
                <w:lang w:val="es-MX"/>
              </w:rPr>
            </w:pPr>
            <w:r w:rsidRPr="00D13EE7">
              <w:rPr>
                <w:color w:val="auto"/>
                <w:sz w:val="20"/>
                <w:szCs w:val="20"/>
                <w:lang w:val="es-MX"/>
              </w:rPr>
              <w:t>[</w:t>
            </w:r>
            <w:r w:rsidR="0095577E" w:rsidRPr="00D13EE7">
              <w:rPr>
                <w:color w:val="auto"/>
                <w:sz w:val="20"/>
                <w:szCs w:val="20"/>
                <w:lang w:val="es-MX"/>
              </w:rPr>
              <w:t>0</w:t>
            </w:r>
            <w:r w:rsidRPr="00D13EE7">
              <w:rPr>
                <w:color w:val="auto"/>
                <w:sz w:val="20"/>
                <w:szCs w:val="20"/>
                <w:lang w:val="es-MX"/>
              </w:rPr>
              <w:t>.5</w:t>
            </w:r>
            <w:r w:rsidR="0019290E" w:rsidRPr="00D13EE7">
              <w:rPr>
                <w:color w:val="auto"/>
                <w:sz w:val="20"/>
                <w:szCs w:val="20"/>
                <w:lang w:val="es-MX"/>
              </w:rPr>
              <w:t xml:space="preserve"> %</w:t>
            </w:r>
            <w:r w:rsidRPr="00D13EE7">
              <w:rPr>
                <w:color w:val="auto"/>
                <w:sz w:val="20"/>
                <w:szCs w:val="20"/>
                <w:lang w:val="es-MX"/>
              </w:rPr>
              <w:t xml:space="preserve">, </w:t>
            </w:r>
            <w:r w:rsidR="0095577E" w:rsidRPr="00D13EE7">
              <w:rPr>
                <w:color w:val="auto"/>
                <w:sz w:val="20"/>
                <w:szCs w:val="20"/>
                <w:lang w:val="es-MX"/>
              </w:rPr>
              <w:t>1</w:t>
            </w:r>
            <w:r w:rsidRPr="00D13EE7">
              <w:rPr>
                <w:color w:val="auto"/>
                <w:sz w:val="20"/>
                <w:szCs w:val="20"/>
                <w:lang w:val="es-MX"/>
              </w:rPr>
              <w:t>.5</w:t>
            </w:r>
            <w:r w:rsidR="0019290E" w:rsidRPr="00D13EE7">
              <w:rPr>
                <w:color w:val="auto"/>
                <w:sz w:val="20"/>
                <w:szCs w:val="20"/>
                <w:lang w:val="es-MX"/>
              </w:rPr>
              <w:t xml:space="preserve"> %</w:t>
            </w:r>
            <w:r w:rsidRPr="00D13EE7">
              <w:rPr>
                <w:color w:val="auto"/>
                <w:sz w:val="20"/>
                <w:szCs w:val="20"/>
                <w:lang w:val="es-MX"/>
              </w:rPr>
              <w:t>]</w:t>
            </w:r>
          </w:p>
        </w:tc>
        <w:tc>
          <w:tcPr>
            <w:tcW w:w="2039" w:type="dxa"/>
            <w:tcBorders>
              <w:top w:val="single" w:sz="12" w:space="0" w:color="000000"/>
            </w:tcBorders>
            <w:vAlign w:val="center"/>
          </w:tcPr>
          <w:p w14:paraId="4D083848" w14:textId="7685E0CF" w:rsidR="00AE57F0" w:rsidRPr="00D13EE7" w:rsidRDefault="00414F7C">
            <w:pPr>
              <w:spacing w:after="0" w:line="276" w:lineRule="auto"/>
              <w:jc w:val="center"/>
              <w:rPr>
                <w:color w:val="auto"/>
                <w:sz w:val="20"/>
                <w:szCs w:val="20"/>
                <w:lang w:val="es-MX"/>
              </w:rPr>
            </w:pPr>
            <w:r w:rsidRPr="00D13EE7">
              <w:rPr>
                <w:color w:val="auto"/>
                <w:sz w:val="20"/>
                <w:szCs w:val="20"/>
                <w:lang w:val="es-MX"/>
              </w:rPr>
              <w:t>[</w:t>
            </w:r>
            <w:r w:rsidR="00CF12FC" w:rsidRPr="00D13EE7">
              <w:rPr>
                <w:color w:val="auto"/>
                <w:sz w:val="20"/>
                <w:szCs w:val="20"/>
                <w:lang w:val="es-MX"/>
              </w:rPr>
              <w:t>1.8</w:t>
            </w:r>
            <w:r w:rsidR="0019290E" w:rsidRPr="00D13EE7">
              <w:rPr>
                <w:color w:val="auto"/>
                <w:sz w:val="20"/>
                <w:szCs w:val="20"/>
                <w:lang w:val="es-MX"/>
              </w:rPr>
              <w:t xml:space="preserve"> %</w:t>
            </w:r>
            <w:r w:rsidRPr="00D13EE7">
              <w:rPr>
                <w:color w:val="auto"/>
                <w:sz w:val="20"/>
                <w:szCs w:val="20"/>
                <w:lang w:val="es-MX"/>
              </w:rPr>
              <w:t xml:space="preserve">, </w:t>
            </w:r>
            <w:r w:rsidR="00CF12FC" w:rsidRPr="00D13EE7">
              <w:rPr>
                <w:color w:val="auto"/>
                <w:sz w:val="20"/>
                <w:szCs w:val="20"/>
                <w:lang w:val="es-MX"/>
              </w:rPr>
              <w:t>2.8</w:t>
            </w:r>
            <w:r w:rsidR="0019290E" w:rsidRPr="00D13EE7">
              <w:rPr>
                <w:color w:val="auto"/>
                <w:sz w:val="20"/>
                <w:szCs w:val="20"/>
                <w:lang w:val="es-MX"/>
              </w:rPr>
              <w:t xml:space="preserve"> %</w:t>
            </w:r>
            <w:r w:rsidRPr="00D13EE7">
              <w:rPr>
                <w:color w:val="auto"/>
                <w:sz w:val="20"/>
                <w:szCs w:val="20"/>
                <w:lang w:val="es-MX"/>
              </w:rPr>
              <w:t>]</w:t>
            </w:r>
          </w:p>
        </w:tc>
      </w:tr>
      <w:tr w:rsidR="00AE57F0" w:rsidRPr="00D13EE7" w14:paraId="4D08384D" w14:textId="77777777" w:rsidTr="00EC2005">
        <w:trPr>
          <w:jc w:val="center"/>
        </w:trPr>
        <w:tc>
          <w:tcPr>
            <w:tcW w:w="5103" w:type="dxa"/>
          </w:tcPr>
          <w:p w14:paraId="4D08384A" w14:textId="23CAD8C5" w:rsidR="00AE57F0" w:rsidRPr="00D13EE7" w:rsidRDefault="00414F7C">
            <w:pPr>
              <w:spacing w:after="0" w:line="276" w:lineRule="auto"/>
              <w:rPr>
                <w:color w:val="auto"/>
                <w:sz w:val="20"/>
                <w:szCs w:val="20"/>
                <w:lang w:val="es-MX"/>
              </w:rPr>
            </w:pPr>
            <w:r w:rsidRPr="00D13EE7">
              <w:rPr>
                <w:color w:val="auto"/>
                <w:sz w:val="20"/>
                <w:szCs w:val="20"/>
                <w:lang w:val="es-MX"/>
              </w:rPr>
              <w:t>Inflación</w:t>
            </w:r>
            <w:r w:rsidR="008026CE" w:rsidRPr="00D13EE7">
              <w:rPr>
                <w:color w:val="auto"/>
                <w:sz w:val="20"/>
                <w:szCs w:val="20"/>
                <w:lang w:val="es-MX"/>
              </w:rPr>
              <w:t xml:space="preserve"> (promedio)</w:t>
            </w:r>
          </w:p>
        </w:tc>
        <w:tc>
          <w:tcPr>
            <w:tcW w:w="1979" w:type="dxa"/>
            <w:vAlign w:val="center"/>
          </w:tcPr>
          <w:p w14:paraId="4D08384B" w14:textId="07A879EE" w:rsidR="00AE57F0" w:rsidRPr="00D13EE7" w:rsidRDefault="008026CE">
            <w:pPr>
              <w:spacing w:after="0" w:line="276" w:lineRule="auto"/>
              <w:jc w:val="center"/>
              <w:rPr>
                <w:color w:val="auto"/>
                <w:sz w:val="20"/>
                <w:szCs w:val="20"/>
                <w:lang w:val="es-MX"/>
              </w:rPr>
            </w:pPr>
            <w:r w:rsidRPr="00D13EE7">
              <w:rPr>
                <w:color w:val="auto"/>
                <w:sz w:val="20"/>
                <w:szCs w:val="20"/>
                <w:lang w:val="es-MX"/>
              </w:rPr>
              <w:t>4.2</w:t>
            </w:r>
            <w:r w:rsidR="0019290E" w:rsidRPr="00D13EE7">
              <w:rPr>
                <w:color w:val="auto"/>
                <w:sz w:val="20"/>
                <w:szCs w:val="20"/>
                <w:lang w:val="es-MX"/>
              </w:rPr>
              <w:t xml:space="preserve"> %</w:t>
            </w:r>
          </w:p>
        </w:tc>
        <w:tc>
          <w:tcPr>
            <w:tcW w:w="2039" w:type="dxa"/>
            <w:vAlign w:val="center"/>
          </w:tcPr>
          <w:p w14:paraId="4D08384C" w14:textId="52F64C56" w:rsidR="00AE57F0" w:rsidRPr="00D13EE7" w:rsidRDefault="00414F7C">
            <w:pPr>
              <w:spacing w:after="0" w:line="276" w:lineRule="auto"/>
              <w:jc w:val="center"/>
              <w:rPr>
                <w:color w:val="auto"/>
                <w:sz w:val="20"/>
                <w:szCs w:val="20"/>
                <w:lang w:val="es-MX"/>
              </w:rPr>
            </w:pPr>
            <w:r w:rsidRPr="00D13EE7">
              <w:rPr>
                <w:color w:val="auto"/>
                <w:sz w:val="20"/>
                <w:szCs w:val="20"/>
                <w:lang w:val="es-MX"/>
              </w:rPr>
              <w:t>3.</w:t>
            </w:r>
            <w:r w:rsidR="008026CE" w:rsidRPr="00D13EE7">
              <w:rPr>
                <w:color w:val="auto"/>
                <w:sz w:val="20"/>
                <w:szCs w:val="20"/>
                <w:lang w:val="es-MX"/>
              </w:rPr>
              <w:t>5</w:t>
            </w:r>
            <w:r w:rsidR="0019290E" w:rsidRPr="00D13EE7">
              <w:rPr>
                <w:color w:val="auto"/>
                <w:sz w:val="20"/>
                <w:szCs w:val="20"/>
                <w:lang w:val="es-MX"/>
              </w:rPr>
              <w:t xml:space="preserve"> %</w:t>
            </w:r>
          </w:p>
        </w:tc>
      </w:tr>
      <w:tr w:rsidR="00AE57F0" w:rsidRPr="00D13EE7" w14:paraId="4D083851" w14:textId="77777777" w:rsidTr="00EC2005">
        <w:trPr>
          <w:jc w:val="center"/>
        </w:trPr>
        <w:tc>
          <w:tcPr>
            <w:tcW w:w="5103" w:type="dxa"/>
          </w:tcPr>
          <w:p w14:paraId="4D08384E" w14:textId="77777777" w:rsidR="00AE57F0" w:rsidRPr="00D13EE7" w:rsidRDefault="00414F7C">
            <w:pPr>
              <w:spacing w:after="0" w:line="276" w:lineRule="auto"/>
              <w:rPr>
                <w:color w:val="auto"/>
                <w:sz w:val="20"/>
                <w:szCs w:val="20"/>
                <w:lang w:val="es-MX"/>
              </w:rPr>
            </w:pPr>
            <w:r w:rsidRPr="00D13EE7">
              <w:rPr>
                <w:color w:val="auto"/>
                <w:sz w:val="20"/>
                <w:szCs w:val="20"/>
                <w:lang w:val="es-MX"/>
              </w:rPr>
              <w:t>Tipo de Cambio Nominal (promedio, pesos por dólar)</w:t>
            </w:r>
          </w:p>
        </w:tc>
        <w:tc>
          <w:tcPr>
            <w:tcW w:w="1979" w:type="dxa"/>
            <w:vAlign w:val="center"/>
          </w:tcPr>
          <w:p w14:paraId="4D08384F" w14:textId="6B32EF86" w:rsidR="00AE57F0" w:rsidRPr="00D13EE7" w:rsidRDefault="00414F7C">
            <w:pPr>
              <w:spacing w:after="0" w:line="276" w:lineRule="auto"/>
              <w:jc w:val="center"/>
              <w:rPr>
                <w:color w:val="auto"/>
                <w:sz w:val="20"/>
                <w:szCs w:val="20"/>
                <w:lang w:val="es-MX"/>
              </w:rPr>
            </w:pPr>
            <w:r w:rsidRPr="00D13EE7">
              <w:rPr>
                <w:color w:val="auto"/>
                <w:sz w:val="20"/>
                <w:szCs w:val="20"/>
                <w:lang w:val="es-MX"/>
              </w:rPr>
              <w:t>1</w:t>
            </w:r>
            <w:r w:rsidR="00935BB6" w:rsidRPr="00D13EE7">
              <w:rPr>
                <w:color w:val="auto"/>
                <w:sz w:val="20"/>
                <w:szCs w:val="20"/>
                <w:lang w:val="es-MX"/>
              </w:rPr>
              <w:t>9.6</w:t>
            </w:r>
          </w:p>
        </w:tc>
        <w:tc>
          <w:tcPr>
            <w:tcW w:w="2039" w:type="dxa"/>
            <w:vAlign w:val="center"/>
          </w:tcPr>
          <w:p w14:paraId="4D083850" w14:textId="6582731E" w:rsidR="00AE57F0" w:rsidRPr="00D13EE7" w:rsidRDefault="00414F7C">
            <w:pPr>
              <w:spacing w:after="0" w:line="276" w:lineRule="auto"/>
              <w:jc w:val="center"/>
              <w:rPr>
                <w:color w:val="auto"/>
                <w:sz w:val="20"/>
                <w:szCs w:val="20"/>
                <w:lang w:val="es-MX"/>
              </w:rPr>
            </w:pPr>
            <w:r w:rsidRPr="00D13EE7">
              <w:rPr>
                <w:color w:val="auto"/>
                <w:sz w:val="20"/>
                <w:szCs w:val="20"/>
                <w:lang w:val="es-MX"/>
              </w:rPr>
              <w:t>1</w:t>
            </w:r>
            <w:r w:rsidR="00935BB6" w:rsidRPr="00D13EE7">
              <w:rPr>
                <w:color w:val="auto"/>
                <w:sz w:val="20"/>
                <w:szCs w:val="20"/>
                <w:lang w:val="es-MX"/>
              </w:rPr>
              <w:t>9.3</w:t>
            </w:r>
          </w:p>
        </w:tc>
      </w:tr>
      <w:tr w:rsidR="00AE57F0" w:rsidRPr="00D13EE7" w14:paraId="4D083855" w14:textId="77777777" w:rsidTr="00EC2005">
        <w:trPr>
          <w:jc w:val="center"/>
        </w:trPr>
        <w:tc>
          <w:tcPr>
            <w:tcW w:w="5103" w:type="dxa"/>
          </w:tcPr>
          <w:p w14:paraId="4D083852" w14:textId="73D2A257" w:rsidR="00AE57F0" w:rsidRPr="00D13EE7" w:rsidRDefault="00414F7C">
            <w:pPr>
              <w:spacing w:after="0" w:line="276" w:lineRule="auto"/>
              <w:rPr>
                <w:color w:val="auto"/>
                <w:sz w:val="20"/>
                <w:szCs w:val="20"/>
                <w:lang w:val="es-MX"/>
              </w:rPr>
            </w:pPr>
            <w:r w:rsidRPr="00D13EE7">
              <w:rPr>
                <w:color w:val="auto"/>
                <w:sz w:val="20"/>
                <w:szCs w:val="20"/>
                <w:lang w:val="es-MX"/>
              </w:rPr>
              <w:t>CETES 28 días (</w:t>
            </w:r>
            <w:r w:rsidR="0019290E" w:rsidRPr="00D13EE7">
              <w:rPr>
                <w:color w:val="auto"/>
                <w:sz w:val="20"/>
                <w:szCs w:val="20"/>
                <w:lang w:val="es-MX"/>
              </w:rPr>
              <w:t xml:space="preserve"> %</w:t>
            </w:r>
            <w:r w:rsidRPr="00D13EE7">
              <w:rPr>
                <w:color w:val="auto"/>
                <w:sz w:val="20"/>
                <w:szCs w:val="20"/>
                <w:lang w:val="es-MX"/>
              </w:rPr>
              <w:t>, nominal fin de periodo)</w:t>
            </w:r>
          </w:p>
        </w:tc>
        <w:tc>
          <w:tcPr>
            <w:tcW w:w="1979" w:type="dxa"/>
            <w:vAlign w:val="center"/>
          </w:tcPr>
          <w:p w14:paraId="4D083853" w14:textId="1F5180C7" w:rsidR="00AE57F0" w:rsidRPr="00D13EE7" w:rsidRDefault="00787366">
            <w:pPr>
              <w:spacing w:after="0" w:line="276" w:lineRule="auto"/>
              <w:jc w:val="center"/>
              <w:rPr>
                <w:color w:val="auto"/>
                <w:sz w:val="20"/>
                <w:szCs w:val="20"/>
                <w:lang w:val="es-MX"/>
              </w:rPr>
            </w:pPr>
            <w:r w:rsidRPr="00D13EE7">
              <w:rPr>
                <w:color w:val="auto"/>
                <w:sz w:val="20"/>
                <w:szCs w:val="20"/>
                <w:lang w:val="es-MX"/>
              </w:rPr>
              <w:t>7.3</w:t>
            </w:r>
            <w:r w:rsidR="0019290E" w:rsidRPr="00D13EE7">
              <w:rPr>
                <w:color w:val="auto"/>
                <w:sz w:val="20"/>
                <w:szCs w:val="20"/>
                <w:lang w:val="es-MX"/>
              </w:rPr>
              <w:t xml:space="preserve"> %</w:t>
            </w:r>
          </w:p>
        </w:tc>
        <w:tc>
          <w:tcPr>
            <w:tcW w:w="2039" w:type="dxa"/>
            <w:vAlign w:val="center"/>
          </w:tcPr>
          <w:p w14:paraId="4D083854" w14:textId="0B70ACE6" w:rsidR="00AE57F0" w:rsidRPr="00D13EE7" w:rsidRDefault="00787366">
            <w:pPr>
              <w:spacing w:after="0" w:line="276" w:lineRule="auto"/>
              <w:jc w:val="center"/>
              <w:rPr>
                <w:color w:val="auto"/>
                <w:sz w:val="20"/>
                <w:szCs w:val="20"/>
                <w:lang w:val="es-MX"/>
              </w:rPr>
            </w:pPr>
            <w:r w:rsidRPr="00D13EE7">
              <w:rPr>
                <w:color w:val="auto"/>
                <w:sz w:val="20"/>
                <w:szCs w:val="20"/>
                <w:lang w:val="es-MX"/>
              </w:rPr>
              <w:t>6</w:t>
            </w:r>
            <w:r w:rsidR="00E40428" w:rsidRPr="00D13EE7">
              <w:rPr>
                <w:color w:val="auto"/>
                <w:sz w:val="20"/>
                <w:szCs w:val="20"/>
                <w:lang w:val="es-MX"/>
              </w:rPr>
              <w:t>.0</w:t>
            </w:r>
            <w:r w:rsidR="0019290E" w:rsidRPr="00D13EE7">
              <w:rPr>
                <w:color w:val="auto"/>
                <w:sz w:val="20"/>
                <w:szCs w:val="20"/>
                <w:lang w:val="es-MX"/>
              </w:rPr>
              <w:t xml:space="preserve"> %</w:t>
            </w:r>
          </w:p>
        </w:tc>
      </w:tr>
      <w:tr w:rsidR="00AE57F0" w:rsidRPr="00D13EE7" w14:paraId="4D083859" w14:textId="77777777" w:rsidTr="00EC2005">
        <w:trPr>
          <w:jc w:val="center"/>
        </w:trPr>
        <w:tc>
          <w:tcPr>
            <w:tcW w:w="5103" w:type="dxa"/>
          </w:tcPr>
          <w:p w14:paraId="4D083856" w14:textId="7930F925" w:rsidR="00AE57F0" w:rsidRPr="00D13EE7" w:rsidRDefault="00414F7C">
            <w:pPr>
              <w:spacing w:after="0" w:line="276" w:lineRule="auto"/>
              <w:rPr>
                <w:color w:val="auto"/>
                <w:sz w:val="20"/>
                <w:szCs w:val="20"/>
                <w:lang w:val="es-MX"/>
              </w:rPr>
            </w:pPr>
            <w:r w:rsidRPr="00D13EE7">
              <w:rPr>
                <w:color w:val="auto"/>
                <w:sz w:val="20"/>
                <w:szCs w:val="20"/>
                <w:lang w:val="es-MX"/>
              </w:rPr>
              <w:t>CETES 28 días (</w:t>
            </w:r>
            <w:r w:rsidR="0019290E" w:rsidRPr="00D13EE7">
              <w:rPr>
                <w:color w:val="auto"/>
                <w:sz w:val="20"/>
                <w:szCs w:val="20"/>
                <w:lang w:val="es-MX"/>
              </w:rPr>
              <w:t xml:space="preserve"> %</w:t>
            </w:r>
            <w:r w:rsidRPr="00D13EE7">
              <w:rPr>
                <w:color w:val="auto"/>
                <w:sz w:val="20"/>
                <w:szCs w:val="20"/>
                <w:lang w:val="es-MX"/>
              </w:rPr>
              <w:t>, nominal promedio)</w:t>
            </w:r>
          </w:p>
        </w:tc>
        <w:tc>
          <w:tcPr>
            <w:tcW w:w="1979" w:type="dxa"/>
            <w:vAlign w:val="center"/>
          </w:tcPr>
          <w:p w14:paraId="4D083857" w14:textId="47708FD4" w:rsidR="00AE57F0" w:rsidRPr="00D13EE7" w:rsidRDefault="00787366">
            <w:pPr>
              <w:spacing w:after="0" w:line="276" w:lineRule="auto"/>
              <w:jc w:val="center"/>
              <w:rPr>
                <w:color w:val="auto"/>
                <w:sz w:val="20"/>
                <w:szCs w:val="20"/>
                <w:lang w:val="es-MX"/>
              </w:rPr>
            </w:pPr>
            <w:r w:rsidRPr="00D13EE7">
              <w:rPr>
                <w:color w:val="auto"/>
                <w:sz w:val="20"/>
                <w:szCs w:val="20"/>
                <w:lang w:val="es-MX"/>
              </w:rPr>
              <w:t>8.4</w:t>
            </w:r>
            <w:r w:rsidR="0019290E" w:rsidRPr="00D13EE7">
              <w:rPr>
                <w:color w:val="auto"/>
                <w:sz w:val="20"/>
                <w:szCs w:val="20"/>
                <w:lang w:val="es-MX"/>
              </w:rPr>
              <w:t xml:space="preserve"> %</w:t>
            </w:r>
          </w:p>
        </w:tc>
        <w:tc>
          <w:tcPr>
            <w:tcW w:w="2039" w:type="dxa"/>
            <w:vAlign w:val="center"/>
          </w:tcPr>
          <w:p w14:paraId="4D083858" w14:textId="79888A39" w:rsidR="00AE57F0" w:rsidRPr="00D13EE7" w:rsidRDefault="00787366">
            <w:pPr>
              <w:spacing w:after="0" w:line="276" w:lineRule="auto"/>
              <w:jc w:val="center"/>
              <w:rPr>
                <w:color w:val="auto"/>
                <w:sz w:val="20"/>
                <w:szCs w:val="20"/>
                <w:lang w:val="es-MX"/>
              </w:rPr>
            </w:pPr>
            <w:r w:rsidRPr="00D13EE7">
              <w:rPr>
                <w:color w:val="auto"/>
                <w:sz w:val="20"/>
                <w:szCs w:val="20"/>
                <w:lang w:val="es-MX"/>
              </w:rPr>
              <w:t>6.6</w:t>
            </w:r>
            <w:r w:rsidR="0019290E" w:rsidRPr="00D13EE7">
              <w:rPr>
                <w:color w:val="auto"/>
                <w:sz w:val="20"/>
                <w:szCs w:val="20"/>
                <w:lang w:val="es-MX"/>
              </w:rPr>
              <w:t xml:space="preserve"> %</w:t>
            </w:r>
          </w:p>
        </w:tc>
      </w:tr>
      <w:tr w:rsidR="00AE57F0" w:rsidRPr="00D13EE7" w14:paraId="4D08385D" w14:textId="77777777" w:rsidTr="00EC2005">
        <w:trPr>
          <w:jc w:val="center"/>
        </w:trPr>
        <w:tc>
          <w:tcPr>
            <w:tcW w:w="5103" w:type="dxa"/>
          </w:tcPr>
          <w:p w14:paraId="4D08385A" w14:textId="77777777" w:rsidR="00AE57F0" w:rsidRPr="00D13EE7" w:rsidRDefault="00414F7C">
            <w:pPr>
              <w:spacing w:after="0" w:line="276" w:lineRule="auto"/>
              <w:rPr>
                <w:color w:val="auto"/>
                <w:sz w:val="20"/>
                <w:szCs w:val="20"/>
                <w:lang w:val="es-MX"/>
              </w:rPr>
            </w:pPr>
            <w:r w:rsidRPr="00D13EE7">
              <w:rPr>
                <w:color w:val="auto"/>
                <w:sz w:val="20"/>
                <w:szCs w:val="20"/>
                <w:lang w:val="es-MX"/>
              </w:rPr>
              <w:t>Saldo de la Cuenta Corriente (millones de dólares)</w:t>
            </w:r>
          </w:p>
        </w:tc>
        <w:tc>
          <w:tcPr>
            <w:tcW w:w="1979" w:type="dxa"/>
            <w:vAlign w:val="center"/>
          </w:tcPr>
          <w:p w14:paraId="4D08385B" w14:textId="628214C9" w:rsidR="00AE57F0" w:rsidRPr="00D13EE7" w:rsidRDefault="00414F7C">
            <w:pPr>
              <w:spacing w:after="0" w:line="276" w:lineRule="auto"/>
              <w:jc w:val="center"/>
              <w:rPr>
                <w:color w:val="auto"/>
                <w:sz w:val="20"/>
                <w:szCs w:val="20"/>
                <w:lang w:val="es-MX"/>
              </w:rPr>
            </w:pPr>
            <w:r w:rsidRPr="00D13EE7">
              <w:rPr>
                <w:color w:val="auto"/>
                <w:sz w:val="20"/>
                <w:szCs w:val="20"/>
                <w:lang w:val="es-MX"/>
              </w:rPr>
              <w:t>-</w:t>
            </w:r>
            <w:r w:rsidR="007057AB" w:rsidRPr="00D13EE7">
              <w:rPr>
                <w:color w:val="auto"/>
                <w:sz w:val="20"/>
                <w:szCs w:val="20"/>
                <w:lang w:val="es-MX"/>
              </w:rPr>
              <w:t>5,530</w:t>
            </w:r>
            <w:r w:rsidRPr="00D13EE7">
              <w:rPr>
                <w:color w:val="auto"/>
                <w:sz w:val="20"/>
                <w:szCs w:val="20"/>
                <w:lang w:val="es-MX"/>
              </w:rPr>
              <w:t>.</w:t>
            </w:r>
            <w:r w:rsidR="007057AB" w:rsidRPr="00D13EE7">
              <w:rPr>
                <w:color w:val="auto"/>
                <w:sz w:val="20"/>
                <w:szCs w:val="20"/>
                <w:lang w:val="es-MX"/>
              </w:rPr>
              <w:t>9</w:t>
            </w:r>
          </w:p>
        </w:tc>
        <w:tc>
          <w:tcPr>
            <w:tcW w:w="2039" w:type="dxa"/>
            <w:vAlign w:val="center"/>
          </w:tcPr>
          <w:p w14:paraId="4D08385C" w14:textId="13AB2164" w:rsidR="00AE57F0" w:rsidRPr="00D13EE7" w:rsidRDefault="00414F7C">
            <w:pPr>
              <w:spacing w:after="0" w:line="276" w:lineRule="auto"/>
              <w:jc w:val="center"/>
              <w:rPr>
                <w:color w:val="auto"/>
                <w:sz w:val="20"/>
                <w:szCs w:val="20"/>
                <w:lang w:val="es-MX"/>
              </w:rPr>
            </w:pPr>
            <w:r w:rsidRPr="00D13EE7">
              <w:rPr>
                <w:color w:val="auto"/>
                <w:sz w:val="20"/>
                <w:szCs w:val="20"/>
                <w:lang w:val="es-MX"/>
              </w:rPr>
              <w:t>-</w:t>
            </w:r>
            <w:r w:rsidR="00E90D5D" w:rsidRPr="00D13EE7">
              <w:rPr>
                <w:color w:val="auto"/>
                <w:sz w:val="20"/>
                <w:szCs w:val="20"/>
                <w:lang w:val="es-MX"/>
              </w:rPr>
              <w:t>12,018.5</w:t>
            </w:r>
          </w:p>
        </w:tc>
      </w:tr>
      <w:tr w:rsidR="00AE57F0" w:rsidRPr="00D13EE7" w14:paraId="4D083861" w14:textId="77777777" w:rsidTr="00EC2005">
        <w:trPr>
          <w:jc w:val="center"/>
        </w:trPr>
        <w:tc>
          <w:tcPr>
            <w:tcW w:w="5103" w:type="dxa"/>
          </w:tcPr>
          <w:p w14:paraId="4D08385E" w14:textId="77777777" w:rsidR="00AE57F0" w:rsidRPr="00D13EE7" w:rsidRDefault="00414F7C">
            <w:pPr>
              <w:spacing w:after="0" w:line="276" w:lineRule="auto"/>
              <w:rPr>
                <w:color w:val="auto"/>
                <w:sz w:val="20"/>
                <w:szCs w:val="20"/>
                <w:lang w:val="es-MX"/>
              </w:rPr>
            </w:pPr>
            <w:r w:rsidRPr="00D13EE7">
              <w:rPr>
                <w:color w:val="auto"/>
                <w:sz w:val="20"/>
                <w:szCs w:val="20"/>
                <w:lang w:val="es-MX"/>
              </w:rPr>
              <w:t>Mezcla Mexicana del Petróleo (precio promedio, dólares por barril)</w:t>
            </w:r>
          </w:p>
        </w:tc>
        <w:tc>
          <w:tcPr>
            <w:tcW w:w="1979" w:type="dxa"/>
            <w:vAlign w:val="center"/>
          </w:tcPr>
          <w:p w14:paraId="4D08385F" w14:textId="4535FFDB" w:rsidR="00AE57F0" w:rsidRPr="00D13EE7" w:rsidRDefault="00E40428">
            <w:pPr>
              <w:spacing w:after="0" w:line="276" w:lineRule="auto"/>
              <w:jc w:val="center"/>
              <w:rPr>
                <w:color w:val="auto"/>
                <w:sz w:val="20"/>
                <w:szCs w:val="20"/>
                <w:lang w:val="es-MX"/>
              </w:rPr>
            </w:pPr>
            <w:r w:rsidRPr="00D13EE7">
              <w:rPr>
                <w:color w:val="auto"/>
                <w:sz w:val="20"/>
                <w:szCs w:val="20"/>
                <w:lang w:val="es-MX"/>
              </w:rPr>
              <w:t>62.0</w:t>
            </w:r>
          </w:p>
        </w:tc>
        <w:tc>
          <w:tcPr>
            <w:tcW w:w="2039" w:type="dxa"/>
            <w:vAlign w:val="center"/>
          </w:tcPr>
          <w:p w14:paraId="4D083860" w14:textId="78FA5E63" w:rsidR="00AE57F0" w:rsidRPr="00D13EE7" w:rsidRDefault="00414F7C">
            <w:pPr>
              <w:spacing w:after="0" w:line="276" w:lineRule="auto"/>
              <w:ind w:left="720" w:hanging="720"/>
              <w:jc w:val="center"/>
              <w:rPr>
                <w:color w:val="auto"/>
                <w:sz w:val="20"/>
                <w:szCs w:val="20"/>
                <w:lang w:val="es-MX"/>
              </w:rPr>
            </w:pPr>
            <w:r w:rsidRPr="00D13EE7">
              <w:rPr>
                <w:color w:val="auto"/>
                <w:sz w:val="20"/>
                <w:szCs w:val="20"/>
                <w:lang w:val="es-MX"/>
              </w:rPr>
              <w:t>5</w:t>
            </w:r>
            <w:r w:rsidR="00E40428" w:rsidRPr="00D13EE7">
              <w:rPr>
                <w:color w:val="auto"/>
                <w:sz w:val="20"/>
                <w:szCs w:val="20"/>
                <w:lang w:val="es-MX"/>
              </w:rPr>
              <w:t>4.9</w:t>
            </w:r>
          </w:p>
        </w:tc>
      </w:tr>
      <w:tr w:rsidR="00AE57F0" w:rsidRPr="00D13EE7" w14:paraId="4D083865" w14:textId="77777777" w:rsidTr="00EC2005">
        <w:trPr>
          <w:jc w:val="center"/>
        </w:trPr>
        <w:tc>
          <w:tcPr>
            <w:tcW w:w="5103" w:type="dxa"/>
          </w:tcPr>
          <w:p w14:paraId="4D083862" w14:textId="77777777" w:rsidR="00AE57F0" w:rsidRPr="00D13EE7" w:rsidRDefault="00414F7C">
            <w:pPr>
              <w:spacing w:after="0" w:line="276" w:lineRule="auto"/>
              <w:ind w:left="720" w:hanging="720"/>
              <w:rPr>
                <w:color w:val="auto"/>
                <w:sz w:val="20"/>
                <w:szCs w:val="20"/>
                <w:lang w:val="es-MX"/>
              </w:rPr>
            </w:pPr>
            <w:r w:rsidRPr="00D13EE7">
              <w:rPr>
                <w:color w:val="auto"/>
                <w:sz w:val="20"/>
                <w:szCs w:val="20"/>
                <w:lang w:val="es-MX"/>
              </w:rPr>
              <w:t>Tasa de crecimiento de Estados Unidos</w:t>
            </w:r>
          </w:p>
        </w:tc>
        <w:tc>
          <w:tcPr>
            <w:tcW w:w="1979" w:type="dxa"/>
            <w:vAlign w:val="center"/>
          </w:tcPr>
          <w:p w14:paraId="4D083863" w14:textId="522B341F" w:rsidR="00AE57F0" w:rsidRPr="00D13EE7" w:rsidRDefault="005116D9">
            <w:pPr>
              <w:spacing w:after="0" w:line="276" w:lineRule="auto"/>
              <w:jc w:val="center"/>
              <w:rPr>
                <w:color w:val="auto"/>
                <w:sz w:val="20"/>
                <w:szCs w:val="20"/>
                <w:lang w:val="es-MX"/>
              </w:rPr>
            </w:pPr>
            <w:r w:rsidRPr="00D13EE7">
              <w:rPr>
                <w:color w:val="auto"/>
                <w:sz w:val="20"/>
                <w:szCs w:val="20"/>
                <w:lang w:val="es-MX"/>
              </w:rPr>
              <w:t>1.6</w:t>
            </w:r>
            <w:r w:rsidR="0019290E" w:rsidRPr="00D13EE7">
              <w:rPr>
                <w:color w:val="auto"/>
                <w:sz w:val="20"/>
                <w:szCs w:val="20"/>
                <w:lang w:val="es-MX"/>
              </w:rPr>
              <w:t xml:space="preserve"> %</w:t>
            </w:r>
          </w:p>
        </w:tc>
        <w:tc>
          <w:tcPr>
            <w:tcW w:w="2039" w:type="dxa"/>
            <w:vAlign w:val="center"/>
          </w:tcPr>
          <w:p w14:paraId="4D083864" w14:textId="3F11488E" w:rsidR="00AE57F0" w:rsidRPr="00D13EE7" w:rsidRDefault="005116D9">
            <w:pPr>
              <w:spacing w:after="0" w:line="276" w:lineRule="auto"/>
              <w:ind w:left="720" w:hanging="720"/>
              <w:jc w:val="center"/>
              <w:rPr>
                <w:color w:val="auto"/>
                <w:sz w:val="20"/>
                <w:szCs w:val="20"/>
                <w:lang w:val="es-MX"/>
              </w:rPr>
            </w:pPr>
            <w:r w:rsidRPr="00D13EE7">
              <w:rPr>
                <w:color w:val="auto"/>
                <w:sz w:val="20"/>
                <w:szCs w:val="20"/>
                <w:lang w:val="es-MX"/>
              </w:rPr>
              <w:t>1.9</w:t>
            </w:r>
            <w:r w:rsidR="0019290E" w:rsidRPr="00D13EE7">
              <w:rPr>
                <w:color w:val="auto"/>
                <w:sz w:val="20"/>
                <w:szCs w:val="20"/>
                <w:lang w:val="es-MX"/>
              </w:rPr>
              <w:t xml:space="preserve"> %</w:t>
            </w:r>
          </w:p>
        </w:tc>
      </w:tr>
      <w:tr w:rsidR="00AE57F0" w:rsidRPr="00D13EE7" w14:paraId="4D083869" w14:textId="77777777" w:rsidTr="00EC2005">
        <w:trPr>
          <w:jc w:val="center"/>
        </w:trPr>
        <w:tc>
          <w:tcPr>
            <w:tcW w:w="5103" w:type="dxa"/>
            <w:tcBorders>
              <w:bottom w:val="single" w:sz="12" w:space="0" w:color="000000"/>
            </w:tcBorders>
          </w:tcPr>
          <w:p w14:paraId="4D083866" w14:textId="0DA9AB7F" w:rsidR="00AE57F0" w:rsidRPr="00D13EE7" w:rsidRDefault="00414F7C">
            <w:pPr>
              <w:tabs>
                <w:tab w:val="left" w:pos="3930"/>
              </w:tabs>
              <w:spacing w:after="0" w:line="276" w:lineRule="auto"/>
              <w:rPr>
                <w:color w:val="auto"/>
                <w:sz w:val="20"/>
                <w:szCs w:val="20"/>
                <w:lang w:val="es-MX"/>
              </w:rPr>
            </w:pPr>
            <w:r w:rsidRPr="00D13EE7">
              <w:rPr>
                <w:color w:val="auto"/>
                <w:sz w:val="20"/>
                <w:szCs w:val="20"/>
                <w:lang w:val="es-MX"/>
              </w:rPr>
              <w:t>Inflación de Estados Unidos</w:t>
            </w:r>
            <w:r w:rsidR="005116D9" w:rsidRPr="00D13EE7">
              <w:rPr>
                <w:color w:val="auto"/>
                <w:sz w:val="20"/>
                <w:szCs w:val="20"/>
                <w:lang w:val="es-MX"/>
              </w:rPr>
              <w:t xml:space="preserve"> (promedio)</w:t>
            </w:r>
          </w:p>
        </w:tc>
        <w:tc>
          <w:tcPr>
            <w:tcW w:w="1979" w:type="dxa"/>
            <w:tcBorders>
              <w:bottom w:val="single" w:sz="12" w:space="0" w:color="000000"/>
            </w:tcBorders>
            <w:vAlign w:val="center"/>
          </w:tcPr>
          <w:p w14:paraId="4D083867" w14:textId="0841F3D5" w:rsidR="00AE57F0" w:rsidRPr="00D13EE7" w:rsidRDefault="005116D9">
            <w:pPr>
              <w:spacing w:after="0" w:line="276" w:lineRule="auto"/>
              <w:jc w:val="center"/>
              <w:rPr>
                <w:color w:val="auto"/>
                <w:sz w:val="20"/>
                <w:szCs w:val="20"/>
                <w:lang w:val="es-MX"/>
              </w:rPr>
            </w:pPr>
            <w:r w:rsidRPr="00D13EE7">
              <w:rPr>
                <w:color w:val="auto"/>
                <w:sz w:val="20"/>
                <w:szCs w:val="20"/>
                <w:lang w:val="es-MX"/>
              </w:rPr>
              <w:t>3.0</w:t>
            </w:r>
            <w:r w:rsidR="0019290E" w:rsidRPr="00D13EE7">
              <w:rPr>
                <w:color w:val="auto"/>
                <w:sz w:val="20"/>
                <w:szCs w:val="20"/>
                <w:lang w:val="es-MX"/>
              </w:rPr>
              <w:t xml:space="preserve"> %</w:t>
            </w:r>
          </w:p>
        </w:tc>
        <w:tc>
          <w:tcPr>
            <w:tcW w:w="2039" w:type="dxa"/>
            <w:tcBorders>
              <w:bottom w:val="single" w:sz="12" w:space="0" w:color="000000"/>
            </w:tcBorders>
            <w:vAlign w:val="center"/>
          </w:tcPr>
          <w:p w14:paraId="4D083868" w14:textId="1137090E" w:rsidR="00AE57F0" w:rsidRPr="00D13EE7" w:rsidRDefault="00414F7C">
            <w:pPr>
              <w:spacing w:after="0" w:line="276" w:lineRule="auto"/>
              <w:jc w:val="center"/>
              <w:rPr>
                <w:color w:val="auto"/>
                <w:sz w:val="20"/>
                <w:szCs w:val="20"/>
                <w:lang w:val="es-MX"/>
              </w:rPr>
            </w:pPr>
            <w:r w:rsidRPr="00D13EE7">
              <w:rPr>
                <w:color w:val="auto"/>
                <w:sz w:val="20"/>
                <w:szCs w:val="20"/>
                <w:lang w:val="es-MX"/>
              </w:rPr>
              <w:t>2.</w:t>
            </w:r>
            <w:r w:rsidR="005116D9" w:rsidRPr="00D13EE7">
              <w:rPr>
                <w:color w:val="auto"/>
                <w:sz w:val="20"/>
                <w:szCs w:val="20"/>
                <w:lang w:val="es-MX"/>
              </w:rPr>
              <w:t>7</w:t>
            </w:r>
            <w:r w:rsidR="0019290E" w:rsidRPr="00D13EE7">
              <w:rPr>
                <w:color w:val="auto"/>
                <w:sz w:val="20"/>
                <w:szCs w:val="20"/>
                <w:lang w:val="es-MX"/>
              </w:rPr>
              <w:t xml:space="preserve"> %</w:t>
            </w:r>
          </w:p>
        </w:tc>
      </w:tr>
    </w:tbl>
    <w:p w14:paraId="4D08386C" w14:textId="75F0E194" w:rsidR="00AE57F0" w:rsidRPr="00305D32" w:rsidRDefault="00414F7C" w:rsidP="000A18BE">
      <w:pPr>
        <w:spacing w:line="240" w:lineRule="auto"/>
        <w:jc w:val="center"/>
        <w:rPr>
          <w:i/>
          <w:sz w:val="20"/>
          <w:szCs w:val="20"/>
          <w:lang w:val="es-MX"/>
        </w:rPr>
      </w:pPr>
      <w:r w:rsidRPr="00305D32">
        <w:rPr>
          <w:sz w:val="20"/>
          <w:szCs w:val="20"/>
          <w:lang w:val="es-MX"/>
        </w:rPr>
        <w:t>Fuente: Elaboración de la Subsecretaría de Análisis Económico y Finanzas Públicas de la Secretaría de Finanzas y Planeación con datos de la SHCP (202</w:t>
      </w:r>
      <w:r w:rsidR="006962DF" w:rsidRPr="00305D32">
        <w:rPr>
          <w:sz w:val="20"/>
          <w:szCs w:val="20"/>
          <w:lang w:val="es-MX"/>
        </w:rPr>
        <w:t>5</w:t>
      </w:r>
      <w:r w:rsidRPr="00305D32">
        <w:rPr>
          <w:sz w:val="20"/>
          <w:szCs w:val="20"/>
          <w:lang w:val="es-MX"/>
        </w:rPr>
        <w:t xml:space="preserve">), </w:t>
      </w:r>
      <w:r w:rsidRPr="00305D32">
        <w:rPr>
          <w:i/>
          <w:sz w:val="20"/>
          <w:szCs w:val="20"/>
          <w:lang w:val="es-MX"/>
        </w:rPr>
        <w:t>Documento relativo al cumplimiento de las disposiciones contenidas en el artículo 42, fracción I, de la Ley Federal de Presupuesto y Responsabilidad Hacendaria “</w:t>
      </w:r>
      <w:r w:rsidR="009A7CA5" w:rsidRPr="00305D32">
        <w:rPr>
          <w:i/>
          <w:sz w:val="20"/>
          <w:szCs w:val="20"/>
          <w:lang w:val="es-MX"/>
        </w:rPr>
        <w:t>Criterios Generales de Política Económica 2026</w:t>
      </w:r>
      <w:r w:rsidRPr="00305D32">
        <w:rPr>
          <w:i/>
          <w:sz w:val="20"/>
          <w:szCs w:val="20"/>
          <w:lang w:val="es-MX"/>
        </w:rPr>
        <w:t>”.</w:t>
      </w:r>
    </w:p>
    <w:p w14:paraId="4D08386D" w14:textId="53C44582" w:rsidR="00AE57F0" w:rsidRPr="00305D32" w:rsidRDefault="00414F7C">
      <w:pPr>
        <w:rPr>
          <w:lang w:val="es-MX"/>
        </w:rPr>
      </w:pPr>
      <w:r w:rsidRPr="00305D32">
        <w:rPr>
          <w:lang w:val="es-MX"/>
        </w:rPr>
        <w:t xml:space="preserve">Para el Estado de Quintana Roo, </w:t>
      </w:r>
      <w:r w:rsidR="002004BA" w:rsidRPr="00305D32">
        <w:rPr>
          <w:lang w:val="es-MX"/>
        </w:rPr>
        <w:t xml:space="preserve">en la </w:t>
      </w:r>
      <w:r w:rsidR="002B66EF">
        <w:rPr>
          <w:lang w:val="es-MX"/>
        </w:rPr>
        <w:fldChar w:fldCharType="begin"/>
      </w:r>
      <w:r w:rsidR="002B66EF">
        <w:rPr>
          <w:lang w:val="es-MX"/>
        </w:rPr>
        <w:instrText xml:space="preserve"> REF _Ref210297895 \h </w:instrText>
      </w:r>
      <w:r w:rsidR="002B66EF">
        <w:rPr>
          <w:lang w:val="es-MX"/>
        </w:rPr>
      </w:r>
      <w:r w:rsidR="002B66EF">
        <w:rPr>
          <w:lang w:val="es-MX"/>
        </w:rPr>
        <w:fldChar w:fldCharType="separate"/>
      </w:r>
      <w:r w:rsidR="00ED1F2F" w:rsidRPr="005B104F">
        <w:t xml:space="preserve">Tabla </w:t>
      </w:r>
      <w:r w:rsidR="00ED1F2F">
        <w:rPr>
          <w:noProof/>
        </w:rPr>
        <w:t>26</w:t>
      </w:r>
      <w:r w:rsidR="002B66EF">
        <w:rPr>
          <w:lang w:val="es-MX"/>
        </w:rPr>
        <w:fldChar w:fldCharType="end"/>
      </w:r>
      <w:r w:rsidR="002B66EF">
        <w:rPr>
          <w:lang w:val="es-MX"/>
        </w:rPr>
        <w:t xml:space="preserve"> </w:t>
      </w:r>
      <w:r w:rsidR="002004BA" w:rsidRPr="00305D32">
        <w:rPr>
          <w:lang w:val="es-MX"/>
        </w:rPr>
        <w:t xml:space="preserve">se </w:t>
      </w:r>
      <w:r w:rsidR="00B66142" w:rsidRPr="00305D32">
        <w:rPr>
          <w:lang w:val="es-MX"/>
        </w:rPr>
        <w:t xml:space="preserve">presenta </w:t>
      </w:r>
      <w:r w:rsidRPr="00305D32">
        <w:rPr>
          <w:lang w:val="es-MX"/>
        </w:rPr>
        <w:t>la evolución de los indicadores estatales del crecimiento económico del PIB y de la inflación</w:t>
      </w:r>
      <w:r w:rsidR="00EF1273" w:rsidRPr="00305D32">
        <w:rPr>
          <w:lang w:val="es-MX"/>
        </w:rPr>
        <w:t xml:space="preserve">, </w:t>
      </w:r>
      <w:r w:rsidR="00DE7418" w:rsidRPr="00305D32">
        <w:rPr>
          <w:lang w:val="es-MX"/>
        </w:rPr>
        <w:t>como principales variable</w:t>
      </w:r>
      <w:r w:rsidR="00E36134" w:rsidRPr="00305D32">
        <w:rPr>
          <w:lang w:val="es-MX"/>
        </w:rPr>
        <w:t>s</w:t>
      </w:r>
      <w:r w:rsidR="00DE7418" w:rsidRPr="00305D32">
        <w:rPr>
          <w:lang w:val="es-MX"/>
        </w:rPr>
        <w:t xml:space="preserve"> macroeconómicas de la </w:t>
      </w:r>
      <w:r w:rsidR="00AB2668">
        <w:rPr>
          <w:lang w:val="es-MX"/>
        </w:rPr>
        <w:t>E</w:t>
      </w:r>
      <w:r w:rsidR="00DE7418" w:rsidRPr="00305D32">
        <w:rPr>
          <w:lang w:val="es-MX"/>
        </w:rPr>
        <w:t>ntidad.</w:t>
      </w:r>
    </w:p>
    <w:p w14:paraId="4D08386E" w14:textId="6DEB4D34" w:rsidR="00AE57F0" w:rsidRPr="00305D32" w:rsidRDefault="00414F7C" w:rsidP="005B104F">
      <w:pPr>
        <w:pStyle w:val="Descripcin"/>
        <w:jc w:val="center"/>
        <w:rPr>
          <w:color w:val="000000"/>
          <w:lang w:val="es-MX"/>
        </w:rPr>
      </w:pPr>
      <w:bookmarkStart w:id="145" w:name="_heading=h.3ls5o66" w:colFirst="0" w:colLast="0"/>
      <w:bookmarkStart w:id="146" w:name="_Ref210297895"/>
      <w:bookmarkEnd w:id="145"/>
      <w:r w:rsidRPr="005B104F">
        <w:lastRenderedPageBreak/>
        <w:t xml:space="preserve">Tabla </w:t>
      </w:r>
      <w:fldSimple w:instr=" SEQ Tabla \* ARABIC ">
        <w:r w:rsidR="00ED1F2F">
          <w:rPr>
            <w:noProof/>
          </w:rPr>
          <w:t>26</w:t>
        </w:r>
      </w:fldSimple>
      <w:bookmarkEnd w:id="146"/>
      <w:r w:rsidRPr="005B104F">
        <w:rPr>
          <w:color w:val="000000"/>
          <w:lang w:val="es-MX"/>
        </w:rPr>
        <w:t>. Principales variables del marco Macroeconómico del Paquete Fiscal de Quintana Roo, 202</w:t>
      </w:r>
      <w:r w:rsidR="000A18BE" w:rsidRPr="005B104F">
        <w:rPr>
          <w:color w:val="000000"/>
          <w:lang w:val="es-MX"/>
        </w:rPr>
        <w:t>5</w:t>
      </w:r>
      <w:r w:rsidRPr="005B104F">
        <w:rPr>
          <w:color w:val="000000"/>
          <w:lang w:val="es-MX"/>
        </w:rPr>
        <w:t>-202</w:t>
      </w:r>
      <w:r w:rsidR="000A18BE" w:rsidRPr="005B104F">
        <w:rPr>
          <w:color w:val="000000"/>
          <w:lang w:val="es-MX"/>
        </w:rPr>
        <w:t>6</w:t>
      </w:r>
      <w:r w:rsidR="00A31A5B">
        <w:rPr>
          <w:color w:val="000000"/>
          <w:lang w:val="es-MX"/>
        </w:rPr>
        <w:t>.</w:t>
      </w:r>
    </w:p>
    <w:tbl>
      <w:tblPr>
        <w:tblStyle w:val="af4"/>
        <w:tblW w:w="709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264"/>
        <w:gridCol w:w="1888"/>
        <w:gridCol w:w="1944"/>
      </w:tblGrid>
      <w:tr w:rsidR="00AE57F0" w:rsidRPr="00D13EE7" w14:paraId="4D083874" w14:textId="77777777" w:rsidTr="00EC450C">
        <w:trPr>
          <w:jc w:val="center"/>
        </w:trPr>
        <w:tc>
          <w:tcPr>
            <w:tcW w:w="3264" w:type="dxa"/>
            <w:tcBorders>
              <w:top w:val="single" w:sz="12" w:space="0" w:color="000000"/>
              <w:bottom w:val="single" w:sz="12" w:space="0" w:color="000000"/>
            </w:tcBorders>
            <w:vAlign w:val="center"/>
          </w:tcPr>
          <w:p w14:paraId="4D08386F" w14:textId="77777777" w:rsidR="00AE57F0" w:rsidRPr="00D13EE7" w:rsidRDefault="00414F7C" w:rsidP="00EC450C">
            <w:pPr>
              <w:spacing w:after="0" w:line="276" w:lineRule="auto"/>
              <w:jc w:val="center"/>
              <w:rPr>
                <w:color w:val="auto"/>
                <w:sz w:val="20"/>
                <w:szCs w:val="20"/>
                <w:lang w:val="es-MX"/>
              </w:rPr>
            </w:pPr>
            <w:r w:rsidRPr="00D13EE7">
              <w:rPr>
                <w:color w:val="auto"/>
                <w:sz w:val="20"/>
                <w:szCs w:val="20"/>
                <w:lang w:val="es-MX"/>
              </w:rPr>
              <w:t>Concepto</w:t>
            </w:r>
          </w:p>
        </w:tc>
        <w:tc>
          <w:tcPr>
            <w:tcW w:w="1888" w:type="dxa"/>
            <w:tcBorders>
              <w:top w:val="single" w:sz="12" w:space="0" w:color="000000"/>
              <w:bottom w:val="single" w:sz="12" w:space="0" w:color="000000"/>
            </w:tcBorders>
          </w:tcPr>
          <w:p w14:paraId="4D083870" w14:textId="2F7E9803" w:rsidR="00AE57F0" w:rsidRPr="00D13EE7" w:rsidRDefault="00414F7C">
            <w:pPr>
              <w:spacing w:after="0" w:line="276" w:lineRule="auto"/>
              <w:jc w:val="center"/>
              <w:rPr>
                <w:color w:val="auto"/>
                <w:sz w:val="20"/>
                <w:szCs w:val="20"/>
                <w:lang w:val="es-MX"/>
              </w:rPr>
            </w:pPr>
            <w:r w:rsidRPr="00D13EE7">
              <w:rPr>
                <w:color w:val="auto"/>
                <w:sz w:val="20"/>
                <w:szCs w:val="20"/>
                <w:lang w:val="es-MX"/>
              </w:rPr>
              <w:t>202</w:t>
            </w:r>
            <w:r w:rsidR="00BD7377" w:rsidRPr="00D13EE7">
              <w:rPr>
                <w:color w:val="auto"/>
                <w:sz w:val="20"/>
                <w:szCs w:val="20"/>
                <w:lang w:val="es-MX"/>
              </w:rPr>
              <w:t>5</w:t>
            </w:r>
          </w:p>
          <w:p w14:paraId="4D083871" w14:textId="77777777" w:rsidR="00AE57F0" w:rsidRPr="00D13EE7" w:rsidRDefault="00414F7C">
            <w:pPr>
              <w:spacing w:after="0" w:line="276" w:lineRule="auto"/>
              <w:jc w:val="center"/>
              <w:rPr>
                <w:color w:val="auto"/>
                <w:sz w:val="20"/>
                <w:szCs w:val="20"/>
                <w:lang w:val="es-MX"/>
              </w:rPr>
            </w:pPr>
            <w:r w:rsidRPr="00D13EE7">
              <w:rPr>
                <w:color w:val="auto"/>
                <w:sz w:val="20"/>
                <w:szCs w:val="20"/>
                <w:lang w:val="es-MX"/>
              </w:rPr>
              <w:t>(estimado)</w:t>
            </w:r>
          </w:p>
        </w:tc>
        <w:tc>
          <w:tcPr>
            <w:tcW w:w="1944" w:type="dxa"/>
            <w:tcBorders>
              <w:top w:val="single" w:sz="12" w:space="0" w:color="000000"/>
              <w:bottom w:val="single" w:sz="12" w:space="0" w:color="000000"/>
            </w:tcBorders>
          </w:tcPr>
          <w:p w14:paraId="4D083872" w14:textId="4A94A783" w:rsidR="00AE57F0" w:rsidRPr="00D13EE7" w:rsidRDefault="00414F7C">
            <w:pPr>
              <w:spacing w:after="0" w:line="276" w:lineRule="auto"/>
              <w:jc w:val="center"/>
              <w:rPr>
                <w:color w:val="auto"/>
                <w:sz w:val="20"/>
                <w:szCs w:val="20"/>
                <w:lang w:val="es-MX"/>
              </w:rPr>
            </w:pPr>
            <w:r w:rsidRPr="00D13EE7">
              <w:rPr>
                <w:color w:val="auto"/>
                <w:sz w:val="20"/>
                <w:szCs w:val="20"/>
                <w:lang w:val="es-MX"/>
              </w:rPr>
              <w:t>202</w:t>
            </w:r>
            <w:r w:rsidR="00BD7377" w:rsidRPr="00D13EE7">
              <w:rPr>
                <w:color w:val="auto"/>
                <w:sz w:val="20"/>
                <w:szCs w:val="20"/>
                <w:lang w:val="es-MX"/>
              </w:rPr>
              <w:t>6</w:t>
            </w:r>
          </w:p>
          <w:p w14:paraId="4D083873" w14:textId="77777777" w:rsidR="00AE57F0" w:rsidRPr="00D13EE7" w:rsidRDefault="00414F7C">
            <w:pPr>
              <w:spacing w:after="0" w:line="276" w:lineRule="auto"/>
              <w:jc w:val="center"/>
              <w:rPr>
                <w:color w:val="auto"/>
                <w:sz w:val="20"/>
                <w:szCs w:val="20"/>
                <w:lang w:val="es-MX"/>
              </w:rPr>
            </w:pPr>
            <w:r w:rsidRPr="00D13EE7">
              <w:rPr>
                <w:color w:val="auto"/>
                <w:sz w:val="20"/>
                <w:szCs w:val="20"/>
                <w:lang w:val="es-MX"/>
              </w:rPr>
              <w:t>(estimado)</w:t>
            </w:r>
          </w:p>
        </w:tc>
      </w:tr>
      <w:tr w:rsidR="00AE57F0" w:rsidRPr="00D13EE7" w14:paraId="4D083878" w14:textId="77777777" w:rsidTr="00EC450C">
        <w:trPr>
          <w:jc w:val="center"/>
        </w:trPr>
        <w:tc>
          <w:tcPr>
            <w:tcW w:w="3264" w:type="dxa"/>
            <w:tcBorders>
              <w:top w:val="single" w:sz="12" w:space="0" w:color="000000"/>
            </w:tcBorders>
          </w:tcPr>
          <w:p w14:paraId="4D083875" w14:textId="77777777" w:rsidR="00AE57F0" w:rsidRPr="00D13EE7" w:rsidRDefault="00414F7C">
            <w:pPr>
              <w:spacing w:after="0" w:line="276" w:lineRule="auto"/>
              <w:rPr>
                <w:color w:val="auto"/>
                <w:sz w:val="20"/>
                <w:szCs w:val="20"/>
                <w:lang w:val="es-MX"/>
              </w:rPr>
            </w:pPr>
            <w:r w:rsidRPr="00D13EE7">
              <w:rPr>
                <w:color w:val="auto"/>
                <w:sz w:val="20"/>
                <w:szCs w:val="20"/>
                <w:lang w:val="es-MX"/>
              </w:rPr>
              <w:t xml:space="preserve">Crecimiento puntual del PIB </w:t>
            </w:r>
          </w:p>
        </w:tc>
        <w:tc>
          <w:tcPr>
            <w:tcW w:w="1888" w:type="dxa"/>
            <w:tcBorders>
              <w:top w:val="single" w:sz="12" w:space="0" w:color="000000"/>
            </w:tcBorders>
          </w:tcPr>
          <w:p w14:paraId="4D083876" w14:textId="0046603C" w:rsidR="00AE57F0" w:rsidRPr="00D13EE7" w:rsidRDefault="002842D4">
            <w:pPr>
              <w:spacing w:after="0" w:line="276" w:lineRule="auto"/>
              <w:jc w:val="center"/>
              <w:rPr>
                <w:color w:val="auto"/>
                <w:sz w:val="20"/>
                <w:szCs w:val="20"/>
                <w:lang w:val="es-MX"/>
              </w:rPr>
            </w:pPr>
            <w:r w:rsidRPr="00D13EE7">
              <w:rPr>
                <w:color w:val="auto"/>
                <w:sz w:val="20"/>
                <w:szCs w:val="20"/>
                <w:lang w:val="es-MX"/>
              </w:rPr>
              <w:t>-9.19</w:t>
            </w:r>
            <w:r w:rsidR="0019290E" w:rsidRPr="00D13EE7">
              <w:rPr>
                <w:color w:val="auto"/>
                <w:sz w:val="20"/>
                <w:szCs w:val="20"/>
                <w:lang w:val="es-MX"/>
              </w:rPr>
              <w:t xml:space="preserve"> %</w:t>
            </w:r>
          </w:p>
        </w:tc>
        <w:tc>
          <w:tcPr>
            <w:tcW w:w="1944" w:type="dxa"/>
            <w:tcBorders>
              <w:top w:val="single" w:sz="12" w:space="0" w:color="000000"/>
            </w:tcBorders>
          </w:tcPr>
          <w:p w14:paraId="4D083877" w14:textId="78BE80D0" w:rsidR="00AE57F0" w:rsidRPr="00D13EE7" w:rsidRDefault="00B87D30">
            <w:pPr>
              <w:spacing w:after="0" w:line="276" w:lineRule="auto"/>
              <w:jc w:val="center"/>
              <w:rPr>
                <w:color w:val="auto"/>
                <w:sz w:val="20"/>
                <w:szCs w:val="20"/>
                <w:lang w:val="es-MX"/>
              </w:rPr>
            </w:pPr>
            <w:r w:rsidRPr="00D13EE7">
              <w:rPr>
                <w:color w:val="auto"/>
                <w:sz w:val="20"/>
                <w:szCs w:val="20"/>
                <w:lang w:val="es-MX"/>
              </w:rPr>
              <w:t>6.76</w:t>
            </w:r>
            <w:r w:rsidR="0019290E" w:rsidRPr="00D13EE7">
              <w:rPr>
                <w:color w:val="auto"/>
                <w:sz w:val="20"/>
                <w:szCs w:val="20"/>
                <w:lang w:val="es-MX"/>
              </w:rPr>
              <w:t xml:space="preserve"> %</w:t>
            </w:r>
          </w:p>
        </w:tc>
      </w:tr>
      <w:tr w:rsidR="00AE57F0" w:rsidRPr="00D13EE7" w14:paraId="4D08387C" w14:textId="77777777" w:rsidTr="00D13EE7">
        <w:trPr>
          <w:jc w:val="center"/>
        </w:trPr>
        <w:tc>
          <w:tcPr>
            <w:tcW w:w="3264" w:type="dxa"/>
            <w:tcBorders>
              <w:bottom w:val="single" w:sz="2" w:space="0" w:color="auto"/>
            </w:tcBorders>
          </w:tcPr>
          <w:p w14:paraId="4D083879" w14:textId="77777777" w:rsidR="00AE57F0" w:rsidRPr="00D13EE7" w:rsidRDefault="00414F7C">
            <w:pPr>
              <w:spacing w:after="0" w:line="276" w:lineRule="auto"/>
              <w:rPr>
                <w:color w:val="auto"/>
                <w:sz w:val="20"/>
                <w:szCs w:val="20"/>
                <w:lang w:val="es-MX"/>
              </w:rPr>
            </w:pPr>
            <w:r w:rsidRPr="00D13EE7">
              <w:rPr>
                <w:color w:val="auto"/>
                <w:sz w:val="20"/>
                <w:szCs w:val="20"/>
                <w:lang w:val="es-MX"/>
              </w:rPr>
              <w:t>Inflación (fin de periodo)</w:t>
            </w:r>
          </w:p>
        </w:tc>
        <w:tc>
          <w:tcPr>
            <w:tcW w:w="1888" w:type="dxa"/>
            <w:tcBorders>
              <w:bottom w:val="single" w:sz="2" w:space="0" w:color="auto"/>
            </w:tcBorders>
          </w:tcPr>
          <w:p w14:paraId="4D08387A" w14:textId="78ECC3EB" w:rsidR="00AE57F0" w:rsidRPr="00D13EE7" w:rsidRDefault="00414F7C">
            <w:pPr>
              <w:spacing w:after="0" w:line="276" w:lineRule="auto"/>
              <w:jc w:val="center"/>
              <w:rPr>
                <w:color w:val="auto"/>
                <w:sz w:val="20"/>
                <w:szCs w:val="20"/>
                <w:lang w:val="es-MX"/>
              </w:rPr>
            </w:pPr>
            <w:r w:rsidRPr="00D13EE7">
              <w:rPr>
                <w:color w:val="auto"/>
                <w:sz w:val="20"/>
                <w:szCs w:val="20"/>
                <w:lang w:val="es-MX"/>
              </w:rPr>
              <w:t>4.</w:t>
            </w:r>
            <w:r w:rsidR="00671936" w:rsidRPr="00D13EE7">
              <w:rPr>
                <w:color w:val="auto"/>
                <w:sz w:val="20"/>
                <w:szCs w:val="20"/>
                <w:lang w:val="es-MX"/>
              </w:rPr>
              <w:t>33</w:t>
            </w:r>
            <w:r w:rsidR="0019290E" w:rsidRPr="00D13EE7">
              <w:rPr>
                <w:color w:val="auto"/>
                <w:sz w:val="20"/>
                <w:szCs w:val="20"/>
                <w:lang w:val="es-MX"/>
              </w:rPr>
              <w:t xml:space="preserve"> %</w:t>
            </w:r>
          </w:p>
        </w:tc>
        <w:tc>
          <w:tcPr>
            <w:tcW w:w="1944" w:type="dxa"/>
            <w:tcBorders>
              <w:bottom w:val="single" w:sz="2" w:space="0" w:color="auto"/>
            </w:tcBorders>
          </w:tcPr>
          <w:p w14:paraId="4D08387B" w14:textId="5C992726" w:rsidR="00AE57F0" w:rsidRPr="00D13EE7" w:rsidRDefault="00046E07">
            <w:pPr>
              <w:spacing w:after="0" w:line="276" w:lineRule="auto"/>
              <w:jc w:val="center"/>
              <w:rPr>
                <w:color w:val="auto"/>
                <w:sz w:val="20"/>
                <w:szCs w:val="20"/>
                <w:lang w:val="es-MX"/>
              </w:rPr>
            </w:pPr>
            <w:r w:rsidRPr="00D13EE7">
              <w:rPr>
                <w:color w:val="auto"/>
                <w:sz w:val="20"/>
                <w:szCs w:val="20"/>
                <w:lang w:val="es-MX"/>
              </w:rPr>
              <w:t>4.03</w:t>
            </w:r>
            <w:r w:rsidR="0019290E" w:rsidRPr="00D13EE7">
              <w:rPr>
                <w:color w:val="auto"/>
                <w:sz w:val="20"/>
                <w:szCs w:val="20"/>
                <w:lang w:val="es-MX"/>
              </w:rPr>
              <w:t xml:space="preserve"> %</w:t>
            </w:r>
          </w:p>
        </w:tc>
      </w:tr>
    </w:tbl>
    <w:p w14:paraId="4D083882" w14:textId="30FDFDA5" w:rsidR="00AE57F0" w:rsidRPr="00305D32" w:rsidRDefault="00414F7C" w:rsidP="00825D82">
      <w:pPr>
        <w:spacing w:line="240" w:lineRule="auto"/>
        <w:jc w:val="center"/>
        <w:rPr>
          <w:sz w:val="20"/>
          <w:szCs w:val="20"/>
          <w:lang w:val="es-MX"/>
        </w:rPr>
      </w:pPr>
      <w:r w:rsidRPr="00305D32">
        <w:rPr>
          <w:sz w:val="20"/>
          <w:szCs w:val="20"/>
          <w:lang w:val="es-MX"/>
        </w:rPr>
        <w:t>Fuente: Elaboración de la Subsecretaría de Análisis Económico y Finanzas Públicas de la Secretaría de Finanzas y Planeación con proyecciones propias (202</w:t>
      </w:r>
      <w:r w:rsidR="000A18BE" w:rsidRPr="00305D32">
        <w:rPr>
          <w:sz w:val="20"/>
          <w:szCs w:val="20"/>
          <w:lang w:val="es-MX"/>
        </w:rPr>
        <w:t>5</w:t>
      </w:r>
      <w:r w:rsidRPr="00305D32">
        <w:rPr>
          <w:sz w:val="20"/>
          <w:szCs w:val="20"/>
          <w:lang w:val="es-MX"/>
        </w:rPr>
        <w:t>).</w:t>
      </w:r>
    </w:p>
    <w:p w14:paraId="61D48AE5" w14:textId="54E5676C" w:rsidR="007C421C" w:rsidRPr="00305D32" w:rsidRDefault="00796CCE" w:rsidP="007C421C">
      <w:pPr>
        <w:rPr>
          <w:lang w:val="es-MX"/>
        </w:rPr>
      </w:pPr>
      <w:r w:rsidRPr="00305D32">
        <w:rPr>
          <w:lang w:val="es-MX"/>
        </w:rPr>
        <w:t xml:space="preserve">En la </w:t>
      </w:r>
      <w:r w:rsidR="00B37DCB">
        <w:rPr>
          <w:lang w:val="es-MX"/>
        </w:rPr>
        <w:fldChar w:fldCharType="begin"/>
      </w:r>
      <w:r w:rsidR="00B37DCB">
        <w:rPr>
          <w:lang w:val="es-MX"/>
        </w:rPr>
        <w:instrText xml:space="preserve"> REF _Ref210297997 \h </w:instrText>
      </w:r>
      <w:r w:rsidR="00B37DCB">
        <w:rPr>
          <w:lang w:val="es-MX"/>
        </w:rPr>
      </w:r>
      <w:r w:rsidR="00B37DCB">
        <w:rPr>
          <w:lang w:val="es-MX"/>
        </w:rPr>
        <w:fldChar w:fldCharType="separate"/>
      </w:r>
      <w:r w:rsidR="00ED1F2F" w:rsidRPr="005B104F">
        <w:t xml:space="preserve">Figura </w:t>
      </w:r>
      <w:r w:rsidR="00ED1F2F">
        <w:rPr>
          <w:noProof/>
        </w:rPr>
        <w:t>47</w:t>
      </w:r>
      <w:r w:rsidR="00B37DCB">
        <w:rPr>
          <w:lang w:val="es-MX"/>
        </w:rPr>
        <w:fldChar w:fldCharType="end"/>
      </w:r>
      <w:r w:rsidRPr="00305D32">
        <w:rPr>
          <w:lang w:val="es-MX"/>
        </w:rPr>
        <w:t xml:space="preserve"> </w:t>
      </w:r>
      <w:r w:rsidR="00116D78" w:rsidRPr="00305D32">
        <w:rPr>
          <w:lang w:val="es-MX"/>
        </w:rPr>
        <w:t xml:space="preserve">es posible observar las proyecciones de la Tasa Objetivo y de la </w:t>
      </w:r>
      <w:r w:rsidR="00DC66A1">
        <w:rPr>
          <w:lang w:val="es-MX"/>
        </w:rPr>
        <w:t>TIEE</w:t>
      </w:r>
      <w:r w:rsidRPr="00305D32">
        <w:rPr>
          <w:lang w:val="es-MX"/>
        </w:rPr>
        <w:t xml:space="preserve"> </w:t>
      </w:r>
      <w:r w:rsidR="00C339AF" w:rsidRPr="00305D32">
        <w:rPr>
          <w:lang w:val="es-MX"/>
        </w:rPr>
        <w:t>en el periodo 2025-20</w:t>
      </w:r>
      <w:r w:rsidR="00DE7418" w:rsidRPr="00305D32">
        <w:rPr>
          <w:lang w:val="es-MX"/>
        </w:rPr>
        <w:t>2</w:t>
      </w:r>
      <w:r w:rsidR="00C339AF" w:rsidRPr="00305D32">
        <w:rPr>
          <w:lang w:val="es-MX"/>
        </w:rPr>
        <w:t>6</w:t>
      </w:r>
      <w:r w:rsidR="00AF3916">
        <w:rPr>
          <w:lang w:val="es-MX"/>
        </w:rPr>
        <w:t>. A</w:t>
      </w:r>
      <w:r w:rsidR="00C339AF" w:rsidRPr="00305D32">
        <w:rPr>
          <w:lang w:val="es-MX"/>
        </w:rPr>
        <w:t>mbas series</w:t>
      </w:r>
      <w:r w:rsidRPr="00305D32">
        <w:rPr>
          <w:lang w:val="es-MX"/>
        </w:rPr>
        <w:t xml:space="preserve"> presentan una tendencia descendente sostenida, reflejando la expectativa de una política monetaria más flexible en México.</w:t>
      </w:r>
      <w:r w:rsidR="00C339AF" w:rsidRPr="00305D32">
        <w:rPr>
          <w:lang w:val="es-MX"/>
        </w:rPr>
        <w:t xml:space="preserve"> </w:t>
      </w:r>
    </w:p>
    <w:p w14:paraId="05833D1F" w14:textId="26633AC2" w:rsidR="007C421C" w:rsidRDefault="005B104F" w:rsidP="005B104F">
      <w:pPr>
        <w:pStyle w:val="Descripcin"/>
        <w:jc w:val="center"/>
        <w:rPr>
          <w:color w:val="000000"/>
          <w:lang w:val="es-MX"/>
        </w:rPr>
      </w:pPr>
      <w:bookmarkStart w:id="147" w:name="_Ref210297997"/>
      <w:r w:rsidRPr="005B104F">
        <w:rPr>
          <w:noProof/>
          <w:lang w:val="es-MX" w:eastAsia="es-MX"/>
        </w:rPr>
        <w:drawing>
          <wp:anchor distT="0" distB="0" distL="114300" distR="114300" simplePos="0" relativeHeight="251658240" behindDoc="0" locked="0" layoutInCell="1" allowOverlap="1" wp14:anchorId="0779E82B" wp14:editId="6F35EBB7">
            <wp:simplePos x="0" y="0"/>
            <wp:positionH relativeFrom="margin">
              <wp:posOffset>38735</wp:posOffset>
            </wp:positionH>
            <wp:positionV relativeFrom="paragraph">
              <wp:posOffset>706120</wp:posOffset>
            </wp:positionV>
            <wp:extent cx="5740400" cy="3029585"/>
            <wp:effectExtent l="0" t="0" r="12700" b="18415"/>
            <wp:wrapSquare wrapText="bothSides"/>
            <wp:docPr id="353700440" name="Gráfico 1">
              <a:extLst xmlns:a="http://schemas.openxmlformats.org/drawingml/2006/main">
                <a:ext uri="{FF2B5EF4-FFF2-40B4-BE49-F238E27FC236}">
                  <a16:creationId xmlns:a16="http://schemas.microsoft.com/office/drawing/2014/main" id="{BA3157F8-2C6D-36E7-6E32-7F17502B6C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00DF4A7D" w:rsidRPr="005B104F">
        <w:t xml:space="preserve">Figura </w:t>
      </w:r>
      <w:fldSimple w:instr=" SEQ Figura \* ARABIC ">
        <w:r w:rsidR="00ED1F2F">
          <w:rPr>
            <w:noProof/>
          </w:rPr>
          <w:t>47</w:t>
        </w:r>
      </w:fldSimple>
      <w:bookmarkEnd w:id="147"/>
      <w:r w:rsidR="007B3308" w:rsidRPr="005B104F">
        <w:rPr>
          <w:color w:val="000000"/>
          <w:lang w:val="es-MX"/>
        </w:rPr>
        <w:t xml:space="preserve">. </w:t>
      </w:r>
      <w:r w:rsidR="003E3079" w:rsidRPr="005B104F">
        <w:rPr>
          <w:color w:val="000000"/>
          <w:lang w:val="es-MX"/>
        </w:rPr>
        <w:t>Proyecci</w:t>
      </w:r>
      <w:r w:rsidR="00C425B8" w:rsidRPr="005B104F">
        <w:rPr>
          <w:color w:val="000000"/>
          <w:lang w:val="es-MX"/>
        </w:rPr>
        <w:t>ones</w:t>
      </w:r>
      <w:r w:rsidR="003E3079" w:rsidRPr="005B104F">
        <w:rPr>
          <w:color w:val="000000"/>
          <w:lang w:val="es-MX"/>
        </w:rPr>
        <w:t xml:space="preserve"> de la Tasa Objetivo y de la Tasa de </w:t>
      </w:r>
      <w:r w:rsidR="00A31A5B" w:rsidRPr="005B104F">
        <w:rPr>
          <w:color w:val="000000"/>
          <w:lang w:val="es-MX"/>
        </w:rPr>
        <w:t>Interés. Interbancaria</w:t>
      </w:r>
      <w:r w:rsidR="003E3079" w:rsidRPr="005B104F">
        <w:rPr>
          <w:color w:val="000000"/>
          <w:lang w:val="es-MX"/>
        </w:rPr>
        <w:t xml:space="preserve"> de Equilibrio</w:t>
      </w:r>
      <w:r w:rsidR="00C52223" w:rsidRPr="005B104F">
        <w:rPr>
          <w:color w:val="000000"/>
          <w:lang w:val="es-MX"/>
        </w:rPr>
        <w:t xml:space="preserve"> (a 28 días)</w:t>
      </w:r>
      <w:r w:rsidR="007B3308" w:rsidRPr="005B104F">
        <w:rPr>
          <w:color w:val="000000"/>
          <w:lang w:val="es-MX"/>
        </w:rPr>
        <w:t>, 2025-2026</w:t>
      </w:r>
      <w:r w:rsidR="00A31A5B">
        <w:rPr>
          <w:color w:val="000000"/>
          <w:lang w:val="es-MX"/>
        </w:rPr>
        <w:t>.</w:t>
      </w:r>
    </w:p>
    <w:p w14:paraId="601B1043" w14:textId="77777777" w:rsidR="00DC09A7" w:rsidRPr="00DC09A7" w:rsidRDefault="00DC09A7" w:rsidP="00DC09A7">
      <w:pPr>
        <w:spacing w:before="240" w:after="0" w:line="240" w:lineRule="auto"/>
        <w:jc w:val="center"/>
        <w:rPr>
          <w:sz w:val="6"/>
          <w:szCs w:val="6"/>
          <w:lang w:val="es-MX"/>
        </w:rPr>
      </w:pPr>
    </w:p>
    <w:p w14:paraId="46530F0C" w14:textId="2FFB8B48" w:rsidR="00AE57F0" w:rsidRDefault="007B3308" w:rsidP="00DC09A7">
      <w:pPr>
        <w:spacing w:before="240" w:line="240" w:lineRule="auto"/>
        <w:jc w:val="center"/>
        <w:rPr>
          <w:sz w:val="20"/>
          <w:szCs w:val="20"/>
          <w:lang w:val="es-MX"/>
        </w:rPr>
      </w:pPr>
      <w:r w:rsidRPr="00305D32">
        <w:rPr>
          <w:sz w:val="20"/>
          <w:szCs w:val="20"/>
          <w:lang w:val="es-MX"/>
        </w:rPr>
        <w:t xml:space="preserve">Fuente: Elaboración de la Subsecretaría de Análisis Económico y Finanzas Públicas de la Secretaría de Finanzas y Planeación con datos de </w:t>
      </w:r>
      <w:r w:rsidR="00D55C24" w:rsidRPr="00305D32">
        <w:rPr>
          <w:sz w:val="20"/>
          <w:szCs w:val="20"/>
          <w:lang w:val="es-MX"/>
        </w:rPr>
        <w:t>Citibanamex</w:t>
      </w:r>
      <w:r w:rsidRPr="00305D32">
        <w:rPr>
          <w:sz w:val="20"/>
          <w:szCs w:val="20"/>
          <w:lang w:val="es-MX"/>
        </w:rPr>
        <w:t xml:space="preserve"> (2025), </w:t>
      </w:r>
      <w:r w:rsidR="003214A0" w:rsidRPr="00305D32">
        <w:rPr>
          <w:i/>
          <w:sz w:val="20"/>
          <w:szCs w:val="20"/>
          <w:lang w:val="es-MX"/>
        </w:rPr>
        <w:t>Perspectiva Semanal No. 1674.</w:t>
      </w:r>
      <w:r w:rsidR="00B1081A" w:rsidRPr="00305D32">
        <w:rPr>
          <w:i/>
          <w:sz w:val="20"/>
          <w:szCs w:val="20"/>
          <w:lang w:val="es-MX"/>
        </w:rPr>
        <w:t xml:space="preserve"> </w:t>
      </w:r>
      <w:r w:rsidR="00B1081A" w:rsidRPr="00305D32">
        <w:rPr>
          <w:sz w:val="20"/>
          <w:szCs w:val="20"/>
          <w:lang w:val="es-MX"/>
        </w:rPr>
        <w:t xml:space="preserve">Notas: *Los datos </w:t>
      </w:r>
      <w:r w:rsidR="00065C65" w:rsidRPr="00305D32">
        <w:rPr>
          <w:sz w:val="20"/>
          <w:szCs w:val="20"/>
          <w:lang w:val="es-MX"/>
        </w:rPr>
        <w:t xml:space="preserve">a partir de septiembre </w:t>
      </w:r>
      <w:r w:rsidR="00B1081A" w:rsidRPr="00305D32">
        <w:rPr>
          <w:sz w:val="20"/>
          <w:szCs w:val="20"/>
          <w:lang w:val="es-MX"/>
        </w:rPr>
        <w:t xml:space="preserve">de 2025 son </w:t>
      </w:r>
      <w:r w:rsidR="00065C65" w:rsidRPr="00305D32">
        <w:rPr>
          <w:sz w:val="20"/>
          <w:szCs w:val="20"/>
          <w:lang w:val="es-MX"/>
        </w:rPr>
        <w:t>estimaciones</w:t>
      </w:r>
      <w:r w:rsidR="00B1081A" w:rsidRPr="00305D32">
        <w:rPr>
          <w:sz w:val="20"/>
          <w:szCs w:val="20"/>
          <w:lang w:val="es-MX"/>
        </w:rPr>
        <w:t>.</w:t>
      </w:r>
    </w:p>
    <w:p w14:paraId="2EA4F841" w14:textId="26B16948" w:rsidR="00B37DCB" w:rsidRPr="007C421C" w:rsidRDefault="00B37DCB" w:rsidP="00B37DCB">
      <w:pPr>
        <w:rPr>
          <w:lang w:val="es-MX"/>
        </w:rPr>
      </w:pPr>
      <w:r w:rsidRPr="00305D32">
        <w:rPr>
          <w:lang w:val="es-MX"/>
        </w:rPr>
        <w:lastRenderedPageBreak/>
        <w:t>Durante 2025, la Tasa Objetivo parte de 10.0</w:t>
      </w:r>
      <w:r w:rsidR="0019290E">
        <w:rPr>
          <w:lang w:val="es-MX"/>
        </w:rPr>
        <w:t xml:space="preserve"> %</w:t>
      </w:r>
      <w:r w:rsidRPr="00305D32">
        <w:rPr>
          <w:lang w:val="es-MX"/>
        </w:rPr>
        <w:t xml:space="preserve"> en enero y desciende gradualmente hasta 7.0</w:t>
      </w:r>
      <w:r w:rsidR="0019290E">
        <w:rPr>
          <w:lang w:val="es-MX"/>
        </w:rPr>
        <w:t xml:space="preserve"> %</w:t>
      </w:r>
      <w:r w:rsidRPr="00305D32">
        <w:rPr>
          <w:lang w:val="es-MX"/>
        </w:rPr>
        <w:t xml:space="preserve"> en diciembre, mientras que la TIIE pasa de 9.9</w:t>
      </w:r>
      <w:r w:rsidR="0019290E">
        <w:rPr>
          <w:lang w:val="es-MX"/>
        </w:rPr>
        <w:t xml:space="preserve"> %</w:t>
      </w:r>
      <w:r w:rsidRPr="00305D32">
        <w:rPr>
          <w:lang w:val="es-MX"/>
        </w:rPr>
        <w:t xml:space="preserve"> a 7.0</w:t>
      </w:r>
      <w:r w:rsidR="0019290E">
        <w:rPr>
          <w:lang w:val="es-MX"/>
        </w:rPr>
        <w:t xml:space="preserve"> %</w:t>
      </w:r>
      <w:r w:rsidRPr="00305D32">
        <w:rPr>
          <w:lang w:val="es-MX"/>
        </w:rPr>
        <w:t xml:space="preserve"> en el mismo lapso. Para 2026, se proyecta que ambas tasas permanezcan relativamente estables, con ligeros ajustes: la Tasa Objetivo se estabiliza en torno a 6.5</w:t>
      </w:r>
      <w:r w:rsidR="0019290E">
        <w:rPr>
          <w:lang w:val="es-MX"/>
        </w:rPr>
        <w:t xml:space="preserve"> %</w:t>
      </w:r>
      <w:r w:rsidRPr="00305D32">
        <w:rPr>
          <w:lang w:val="es-MX"/>
        </w:rPr>
        <w:t xml:space="preserve"> desde junio, y la TIIE se mantiene ligeramente por debajo, alrededor de 6.4</w:t>
      </w:r>
      <w:r w:rsidR="0019290E">
        <w:rPr>
          <w:lang w:val="es-MX"/>
        </w:rPr>
        <w:t xml:space="preserve"> %</w:t>
      </w:r>
      <w:r w:rsidRPr="00305D32">
        <w:rPr>
          <w:lang w:val="es-MX"/>
        </w:rPr>
        <w:t xml:space="preserve"> hacia finales de año. En consecuencia, se espera que</w:t>
      </w:r>
      <w:r w:rsidR="003A0373" w:rsidRPr="00305D32">
        <w:rPr>
          <w:lang w:val="es-MX"/>
        </w:rPr>
        <w:t>,</w:t>
      </w:r>
      <w:r w:rsidRPr="00305D32">
        <w:rPr>
          <w:lang w:val="es-MX"/>
        </w:rPr>
        <w:t xml:space="preserve"> hasta diciembre de 2026, la tasa objetivo de </w:t>
      </w:r>
      <w:r w:rsidR="00FB072F">
        <w:rPr>
          <w:lang w:val="es-MX"/>
        </w:rPr>
        <w:t>Banxico</w:t>
      </w:r>
      <w:r w:rsidRPr="00305D32">
        <w:rPr>
          <w:lang w:val="es-MX"/>
        </w:rPr>
        <w:t xml:space="preserve"> presente un máximo de </w:t>
      </w:r>
      <w:r w:rsidR="005A5820">
        <w:rPr>
          <w:lang w:val="es-MX"/>
        </w:rPr>
        <w:t>cuatro</w:t>
      </w:r>
      <w:r w:rsidRPr="00305D32">
        <w:rPr>
          <w:lang w:val="es-MX"/>
        </w:rPr>
        <w:t xml:space="preserve"> ajustes de 25 puntos base respecto al valor actual (7.5</w:t>
      </w:r>
      <w:r w:rsidR="0019290E">
        <w:rPr>
          <w:lang w:val="es-MX"/>
        </w:rPr>
        <w:t xml:space="preserve"> %</w:t>
      </w:r>
      <w:r w:rsidRPr="00305D32">
        <w:rPr>
          <w:lang w:val="es-MX"/>
        </w:rPr>
        <w:t>).</w:t>
      </w:r>
    </w:p>
    <w:p w14:paraId="27D84392" w14:textId="77777777" w:rsidR="00AE57F0" w:rsidRPr="00305D32" w:rsidRDefault="00AE57F0" w:rsidP="00362F80">
      <w:pPr>
        <w:spacing w:line="240" w:lineRule="auto"/>
        <w:jc w:val="center"/>
        <w:rPr>
          <w:sz w:val="20"/>
          <w:szCs w:val="20"/>
          <w:lang w:val="es-MX"/>
        </w:rPr>
      </w:pPr>
    </w:p>
    <w:sectPr w:rsidR="00AE57F0" w:rsidRPr="00305D32">
      <w:headerReference w:type="even" r:id="rId56"/>
      <w:headerReference w:type="default" r:id="rId57"/>
      <w:footerReference w:type="even" r:id="rId58"/>
      <w:footerReference w:type="default" r:id="rId59"/>
      <w:headerReference w:type="first" r:id="rId60"/>
      <w:footerReference w:type="first" r:id="rId61"/>
      <w:pgSz w:w="12240" w:h="15840"/>
      <w:pgMar w:top="2381" w:right="1418" w:bottom="1701" w:left="1701" w:header="28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E59C0" w14:textId="77777777" w:rsidR="00FF459D" w:rsidRDefault="00FF459D">
      <w:pPr>
        <w:spacing w:after="0" w:line="240" w:lineRule="auto"/>
      </w:pPr>
      <w:r>
        <w:separator/>
      </w:r>
    </w:p>
  </w:endnote>
  <w:endnote w:type="continuationSeparator" w:id="0">
    <w:p w14:paraId="0BCD9F83" w14:textId="77777777" w:rsidR="00FF459D" w:rsidRDefault="00FF4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EF63DD6-F031-4F78-BC71-962271B7F17C}"/>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DF630886-8B52-4278-B224-FD22A0419D1F}"/>
    <w:embedItalic r:id="rId3" w:fontKey="{AE5DA4C3-1991-41FB-B40D-23F9B332AD6A}"/>
  </w:font>
  <w:font w:name="Tahoma">
    <w:panose1 w:val="020B0604030504040204"/>
    <w:charset w:val="00"/>
    <w:family w:val="swiss"/>
    <w:pitch w:val="variable"/>
    <w:sig w:usb0="E1002EFF" w:usb1="C000605B" w:usb2="00000029" w:usb3="00000000" w:csb0="000101FF" w:csb1="00000000"/>
    <w:embedRegular r:id="rId4" w:fontKey="{A478D880-731F-45E8-9993-526FCDCACD22}"/>
  </w:font>
  <w:font w:name="Futura Lt B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58EAD0CB-D9F8-4544-B1AE-F3A2AC08A64F}"/>
    <w:embedItalic r:id="rId6" w:fontKey="{02E6E852-0090-4C7E-ABCC-66949B4C5695}"/>
  </w:font>
  <w:font w:name="Arial MT">
    <w:altName w:val="Arial"/>
    <w:charset w:val="01"/>
    <w:family w:val="swiss"/>
    <w:pitch w:val="variable"/>
  </w:font>
  <w:font w:name="Poppins">
    <w:charset w:val="00"/>
    <w:family w:val="auto"/>
    <w:pitch w:val="variable"/>
    <w:sig w:usb0="00008007" w:usb1="00000000" w:usb2="00000000" w:usb3="00000000" w:csb0="00000093" w:csb1="00000000"/>
    <w:embedRegular r:id="rId7" w:fontKey="{2FED94BF-79C9-4768-84C4-7E6791A089E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878D3" w14:textId="799753CB" w:rsidR="00744005" w:rsidRDefault="0074400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838DE" w14:textId="691CCA7B" w:rsidR="00744005" w:rsidRDefault="00744005">
    <w:pPr>
      <w:jc w:val="right"/>
    </w:pPr>
    <w:r>
      <w:rPr>
        <w:sz w:val="20"/>
        <w:szCs w:val="20"/>
      </w:rPr>
      <w:t xml:space="preserve">Página </w:t>
    </w:r>
    <w:r>
      <w:rPr>
        <w:sz w:val="20"/>
        <w:szCs w:val="20"/>
      </w:rPr>
      <w:fldChar w:fldCharType="begin"/>
    </w:r>
    <w:r>
      <w:rPr>
        <w:sz w:val="20"/>
        <w:szCs w:val="20"/>
      </w:rPr>
      <w:instrText>PAGE</w:instrText>
    </w:r>
    <w:r>
      <w:rPr>
        <w:sz w:val="20"/>
        <w:szCs w:val="20"/>
      </w:rPr>
      <w:fldChar w:fldCharType="separate"/>
    </w:r>
    <w:r w:rsidR="004025B0">
      <w:rPr>
        <w:noProof/>
        <w:sz w:val="20"/>
        <w:szCs w:val="20"/>
      </w:rPr>
      <w:t>101</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0C891" w14:textId="06556408" w:rsidR="00744005" w:rsidRDefault="007440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7AFE0" w14:textId="77777777" w:rsidR="00FF459D" w:rsidRDefault="00FF459D">
      <w:pPr>
        <w:spacing w:after="0" w:line="240" w:lineRule="auto"/>
      </w:pPr>
      <w:r>
        <w:separator/>
      </w:r>
    </w:p>
  </w:footnote>
  <w:footnote w:type="continuationSeparator" w:id="0">
    <w:p w14:paraId="36106337" w14:textId="77777777" w:rsidR="00FF459D" w:rsidRDefault="00FF45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A9D7C" w14:textId="77777777" w:rsidR="00744005" w:rsidRDefault="0074400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838DD" w14:textId="77777777" w:rsidR="00744005" w:rsidRDefault="00744005">
    <w:pPr>
      <w:rPr>
        <w:rFonts w:ascii="Poppins" w:eastAsia="Poppins" w:hAnsi="Poppins" w:cs="Poppins"/>
        <w:color w:val="000000"/>
      </w:rPr>
    </w:pPr>
    <w:r>
      <w:rPr>
        <w:noProof/>
        <w:lang w:val="es-MX" w:eastAsia="es-MX"/>
      </w:rPr>
      <w:drawing>
        <wp:anchor distT="0" distB="0" distL="114300" distR="114300" simplePos="0" relativeHeight="251658240" behindDoc="0" locked="0" layoutInCell="1" hidden="0" allowOverlap="1" wp14:anchorId="4D0838DF" wp14:editId="4D0838E0">
          <wp:simplePos x="0" y="0"/>
          <wp:positionH relativeFrom="column">
            <wp:posOffset>-3808</wp:posOffset>
          </wp:positionH>
          <wp:positionV relativeFrom="paragraph">
            <wp:posOffset>173355</wp:posOffset>
          </wp:positionV>
          <wp:extent cx="1323975" cy="1033145"/>
          <wp:effectExtent l="0" t="0" r="0" b="0"/>
          <wp:wrapSquare wrapText="bothSides" distT="0" distB="0" distL="114300" distR="114300"/>
          <wp:docPr id="2114954634" name="image1.png" descr="ESCUDO AGUILA VERDE"/>
          <wp:cNvGraphicFramePr/>
          <a:graphic xmlns:a="http://schemas.openxmlformats.org/drawingml/2006/main">
            <a:graphicData uri="http://schemas.openxmlformats.org/drawingml/2006/picture">
              <pic:pic xmlns:pic="http://schemas.openxmlformats.org/drawingml/2006/picture">
                <pic:nvPicPr>
                  <pic:cNvPr id="0" name="image1.png" descr="ESCUDO AGUILA VERDE"/>
                  <pic:cNvPicPr preferRelativeResize="0"/>
                </pic:nvPicPr>
                <pic:blipFill>
                  <a:blip r:embed="rId1"/>
                  <a:srcRect/>
                  <a:stretch>
                    <a:fillRect/>
                  </a:stretch>
                </pic:blipFill>
                <pic:spPr>
                  <a:xfrm>
                    <a:off x="0" y="0"/>
                    <a:ext cx="1323975" cy="103314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4D127" w14:textId="3D768191" w:rsidR="00744005" w:rsidRDefault="0074400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52D36"/>
    <w:multiLevelType w:val="multilevel"/>
    <w:tmpl w:val="37C84F0A"/>
    <w:lvl w:ilvl="0">
      <w:start w:val="1"/>
      <w:numFmt w:val="decimal"/>
      <w:lvlText w:val="%1."/>
      <w:lvlJc w:val="left"/>
      <w:pPr>
        <w:ind w:left="573"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8397CF9"/>
    <w:multiLevelType w:val="hybridMultilevel"/>
    <w:tmpl w:val="20FA72EC"/>
    <w:lvl w:ilvl="0" w:tplc="B4A0E3E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ACF75D7"/>
    <w:multiLevelType w:val="multilevel"/>
    <w:tmpl w:val="0234D5C6"/>
    <w:lvl w:ilvl="0">
      <w:start w:val="1"/>
      <w:numFmt w:val="bullet"/>
      <w:pStyle w:val="Ttulo"/>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E3507AD"/>
    <w:multiLevelType w:val="multilevel"/>
    <w:tmpl w:val="4AF04D0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4D06D0A"/>
    <w:multiLevelType w:val="multilevel"/>
    <w:tmpl w:val="CC30C86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5A4307ED"/>
    <w:multiLevelType w:val="multilevel"/>
    <w:tmpl w:val="9D7065D0"/>
    <w:lvl w:ilvl="0">
      <w:start w:val="1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8875D60"/>
    <w:multiLevelType w:val="multilevel"/>
    <w:tmpl w:val="0BC4B376"/>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7" w15:restartNumberingAfterBreak="0">
    <w:nsid w:val="6FA71D84"/>
    <w:multiLevelType w:val="hybridMultilevel"/>
    <w:tmpl w:val="030C344C"/>
    <w:lvl w:ilvl="0" w:tplc="CA7ED734">
      <w:numFmt w:val="bullet"/>
      <w:lvlText w:val="●"/>
      <w:lvlJc w:val="left"/>
      <w:pPr>
        <w:ind w:left="982" w:hanging="360"/>
      </w:pPr>
      <w:rPr>
        <w:rFonts w:ascii="Calibri" w:eastAsia="Calibri" w:hAnsi="Calibri" w:cs="Calibri" w:hint="default"/>
        <w:b w:val="0"/>
        <w:bCs w:val="0"/>
        <w:i w:val="0"/>
        <w:iCs w:val="0"/>
        <w:spacing w:val="0"/>
        <w:w w:val="100"/>
        <w:sz w:val="24"/>
        <w:szCs w:val="24"/>
        <w:lang w:val="es-ES" w:eastAsia="en-US" w:bidi="ar-SA"/>
      </w:rPr>
    </w:lvl>
    <w:lvl w:ilvl="1" w:tplc="A06CD844">
      <w:numFmt w:val="bullet"/>
      <w:lvlText w:val="•"/>
      <w:lvlJc w:val="left"/>
      <w:pPr>
        <w:ind w:left="1890" w:hanging="360"/>
      </w:pPr>
      <w:rPr>
        <w:rFonts w:hint="default"/>
        <w:lang w:val="es-ES" w:eastAsia="en-US" w:bidi="ar-SA"/>
      </w:rPr>
    </w:lvl>
    <w:lvl w:ilvl="2" w:tplc="2D8835AC">
      <w:numFmt w:val="bullet"/>
      <w:lvlText w:val="•"/>
      <w:lvlJc w:val="left"/>
      <w:pPr>
        <w:ind w:left="2800" w:hanging="360"/>
      </w:pPr>
      <w:rPr>
        <w:rFonts w:hint="default"/>
        <w:lang w:val="es-ES" w:eastAsia="en-US" w:bidi="ar-SA"/>
      </w:rPr>
    </w:lvl>
    <w:lvl w:ilvl="3" w:tplc="56BA91DE">
      <w:numFmt w:val="bullet"/>
      <w:lvlText w:val="•"/>
      <w:lvlJc w:val="left"/>
      <w:pPr>
        <w:ind w:left="3710" w:hanging="360"/>
      </w:pPr>
      <w:rPr>
        <w:rFonts w:hint="default"/>
        <w:lang w:val="es-ES" w:eastAsia="en-US" w:bidi="ar-SA"/>
      </w:rPr>
    </w:lvl>
    <w:lvl w:ilvl="4" w:tplc="54B04FFC">
      <w:numFmt w:val="bullet"/>
      <w:lvlText w:val="•"/>
      <w:lvlJc w:val="left"/>
      <w:pPr>
        <w:ind w:left="4620" w:hanging="360"/>
      </w:pPr>
      <w:rPr>
        <w:rFonts w:hint="default"/>
        <w:lang w:val="es-ES" w:eastAsia="en-US" w:bidi="ar-SA"/>
      </w:rPr>
    </w:lvl>
    <w:lvl w:ilvl="5" w:tplc="EDCA130C">
      <w:numFmt w:val="bullet"/>
      <w:lvlText w:val="•"/>
      <w:lvlJc w:val="left"/>
      <w:pPr>
        <w:ind w:left="5530" w:hanging="360"/>
      </w:pPr>
      <w:rPr>
        <w:rFonts w:hint="default"/>
        <w:lang w:val="es-ES" w:eastAsia="en-US" w:bidi="ar-SA"/>
      </w:rPr>
    </w:lvl>
    <w:lvl w:ilvl="6" w:tplc="130640F6">
      <w:numFmt w:val="bullet"/>
      <w:lvlText w:val="•"/>
      <w:lvlJc w:val="left"/>
      <w:pPr>
        <w:ind w:left="6440" w:hanging="360"/>
      </w:pPr>
      <w:rPr>
        <w:rFonts w:hint="default"/>
        <w:lang w:val="es-ES" w:eastAsia="en-US" w:bidi="ar-SA"/>
      </w:rPr>
    </w:lvl>
    <w:lvl w:ilvl="7" w:tplc="87A67454">
      <w:numFmt w:val="bullet"/>
      <w:lvlText w:val="•"/>
      <w:lvlJc w:val="left"/>
      <w:pPr>
        <w:ind w:left="7350" w:hanging="360"/>
      </w:pPr>
      <w:rPr>
        <w:rFonts w:hint="default"/>
        <w:lang w:val="es-ES" w:eastAsia="en-US" w:bidi="ar-SA"/>
      </w:rPr>
    </w:lvl>
    <w:lvl w:ilvl="8" w:tplc="563EF730">
      <w:numFmt w:val="bullet"/>
      <w:lvlText w:val="•"/>
      <w:lvlJc w:val="left"/>
      <w:pPr>
        <w:ind w:left="8260" w:hanging="360"/>
      </w:pPr>
      <w:rPr>
        <w:rFonts w:hint="default"/>
        <w:lang w:val="es-ES" w:eastAsia="en-US" w:bidi="ar-SA"/>
      </w:rPr>
    </w:lvl>
  </w:abstractNum>
  <w:abstractNum w:abstractNumId="8" w15:restartNumberingAfterBreak="0">
    <w:nsid w:val="782B5B0D"/>
    <w:multiLevelType w:val="multilevel"/>
    <w:tmpl w:val="824E6EC0"/>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79241B31"/>
    <w:multiLevelType w:val="multilevel"/>
    <w:tmpl w:val="B57AAA70"/>
    <w:lvl w:ilvl="0">
      <w:start w:val="3"/>
      <w:numFmt w:val="decimal"/>
      <w:lvlText w:val="%1"/>
      <w:lvlJc w:val="left"/>
      <w:pPr>
        <w:ind w:left="360" w:hanging="360"/>
      </w:pPr>
      <w:rPr>
        <w:i w:val="0"/>
      </w:rPr>
    </w:lvl>
    <w:lvl w:ilvl="1">
      <w:start w:val="1"/>
      <w:numFmt w:val="decimal"/>
      <w:lvlText w:val="%1.%2"/>
      <w:lvlJc w:val="left"/>
      <w:pPr>
        <w:ind w:left="720" w:hanging="720"/>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800" w:hanging="1800"/>
      </w:pPr>
      <w:rPr>
        <w:i w:val="0"/>
      </w:rPr>
    </w:lvl>
    <w:lvl w:ilvl="7">
      <w:start w:val="1"/>
      <w:numFmt w:val="decimal"/>
      <w:lvlText w:val="%1.%2.%3.%4.%5.%6.%7.%8"/>
      <w:lvlJc w:val="left"/>
      <w:pPr>
        <w:ind w:left="1800" w:hanging="1800"/>
      </w:pPr>
      <w:rPr>
        <w:i w:val="0"/>
      </w:rPr>
    </w:lvl>
    <w:lvl w:ilvl="8">
      <w:start w:val="1"/>
      <w:numFmt w:val="decimal"/>
      <w:lvlText w:val="%1.%2.%3.%4.%5.%6.%7.%8.%9"/>
      <w:lvlJc w:val="left"/>
      <w:pPr>
        <w:ind w:left="2160" w:hanging="2160"/>
      </w:pPr>
      <w:rPr>
        <w:i w:val="0"/>
      </w:rPr>
    </w:lvl>
  </w:abstractNum>
  <w:abstractNum w:abstractNumId="10" w15:restartNumberingAfterBreak="0">
    <w:nsid w:val="7AA42933"/>
    <w:multiLevelType w:val="multilevel"/>
    <w:tmpl w:val="AAC24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168884">
    <w:abstractNumId w:val="3"/>
  </w:num>
  <w:num w:numId="2" w16cid:durableId="959913996">
    <w:abstractNumId w:val="5"/>
  </w:num>
  <w:num w:numId="3" w16cid:durableId="1169250096">
    <w:abstractNumId w:val="9"/>
  </w:num>
  <w:num w:numId="4" w16cid:durableId="474489590">
    <w:abstractNumId w:val="2"/>
  </w:num>
  <w:num w:numId="5" w16cid:durableId="2021279179">
    <w:abstractNumId w:val="0"/>
  </w:num>
  <w:num w:numId="6" w16cid:durableId="2000814552">
    <w:abstractNumId w:val="6"/>
  </w:num>
  <w:num w:numId="7" w16cid:durableId="9374319">
    <w:abstractNumId w:val="1"/>
  </w:num>
  <w:num w:numId="8" w16cid:durableId="1902448355">
    <w:abstractNumId w:val="10"/>
  </w:num>
  <w:num w:numId="9" w16cid:durableId="1575386671">
    <w:abstractNumId w:val="4"/>
  </w:num>
  <w:num w:numId="10" w16cid:durableId="406389483">
    <w:abstractNumId w:val="8"/>
  </w:num>
  <w:num w:numId="11" w16cid:durableId="4585691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57F0"/>
    <w:rsid w:val="000000E2"/>
    <w:rsid w:val="00000A4D"/>
    <w:rsid w:val="00001113"/>
    <w:rsid w:val="000018DF"/>
    <w:rsid w:val="00002386"/>
    <w:rsid w:val="00002A87"/>
    <w:rsid w:val="00002EF2"/>
    <w:rsid w:val="00003AA2"/>
    <w:rsid w:val="00004A1B"/>
    <w:rsid w:val="00005033"/>
    <w:rsid w:val="0000538C"/>
    <w:rsid w:val="0000552A"/>
    <w:rsid w:val="0000562D"/>
    <w:rsid w:val="00005816"/>
    <w:rsid w:val="000059B9"/>
    <w:rsid w:val="00005B40"/>
    <w:rsid w:val="00005BE9"/>
    <w:rsid w:val="00005C1F"/>
    <w:rsid w:val="00005EF7"/>
    <w:rsid w:val="000060E8"/>
    <w:rsid w:val="0000689A"/>
    <w:rsid w:val="0000690D"/>
    <w:rsid w:val="00006C69"/>
    <w:rsid w:val="00007437"/>
    <w:rsid w:val="00011310"/>
    <w:rsid w:val="000117FE"/>
    <w:rsid w:val="00011E9F"/>
    <w:rsid w:val="000124DF"/>
    <w:rsid w:val="00012710"/>
    <w:rsid w:val="000134F4"/>
    <w:rsid w:val="00013E2E"/>
    <w:rsid w:val="0001469E"/>
    <w:rsid w:val="00014B80"/>
    <w:rsid w:val="00014BC9"/>
    <w:rsid w:val="0001543C"/>
    <w:rsid w:val="00015C3A"/>
    <w:rsid w:val="00016311"/>
    <w:rsid w:val="00016605"/>
    <w:rsid w:val="00017236"/>
    <w:rsid w:val="000175A5"/>
    <w:rsid w:val="0002019F"/>
    <w:rsid w:val="00020779"/>
    <w:rsid w:val="00020A1F"/>
    <w:rsid w:val="00020A3A"/>
    <w:rsid w:val="00021197"/>
    <w:rsid w:val="00021FB3"/>
    <w:rsid w:val="000225C3"/>
    <w:rsid w:val="00022A53"/>
    <w:rsid w:val="00023A49"/>
    <w:rsid w:val="00023B19"/>
    <w:rsid w:val="00023B7F"/>
    <w:rsid w:val="00023BB3"/>
    <w:rsid w:val="0002490F"/>
    <w:rsid w:val="00024A36"/>
    <w:rsid w:val="000252F8"/>
    <w:rsid w:val="00025A05"/>
    <w:rsid w:val="00025CAE"/>
    <w:rsid w:val="00026BDC"/>
    <w:rsid w:val="00027305"/>
    <w:rsid w:val="000277E6"/>
    <w:rsid w:val="000278F5"/>
    <w:rsid w:val="00027DEE"/>
    <w:rsid w:val="00027EBE"/>
    <w:rsid w:val="00030197"/>
    <w:rsid w:val="0003025E"/>
    <w:rsid w:val="000308C4"/>
    <w:rsid w:val="000309CA"/>
    <w:rsid w:val="000309F4"/>
    <w:rsid w:val="00030B7C"/>
    <w:rsid w:val="00030CCA"/>
    <w:rsid w:val="00031480"/>
    <w:rsid w:val="00031EDE"/>
    <w:rsid w:val="0003291A"/>
    <w:rsid w:val="00033247"/>
    <w:rsid w:val="0003429A"/>
    <w:rsid w:val="000345F2"/>
    <w:rsid w:val="00034D6A"/>
    <w:rsid w:val="000352C3"/>
    <w:rsid w:val="0003544A"/>
    <w:rsid w:val="00035B60"/>
    <w:rsid w:val="00036251"/>
    <w:rsid w:val="00036953"/>
    <w:rsid w:val="00037380"/>
    <w:rsid w:val="000373D9"/>
    <w:rsid w:val="00037488"/>
    <w:rsid w:val="00037498"/>
    <w:rsid w:val="00037614"/>
    <w:rsid w:val="000377CC"/>
    <w:rsid w:val="0004042D"/>
    <w:rsid w:val="00040448"/>
    <w:rsid w:val="00040A89"/>
    <w:rsid w:val="00040E06"/>
    <w:rsid w:val="000413B4"/>
    <w:rsid w:val="00041775"/>
    <w:rsid w:val="0004195A"/>
    <w:rsid w:val="00042810"/>
    <w:rsid w:val="00042F63"/>
    <w:rsid w:val="000436F9"/>
    <w:rsid w:val="00043755"/>
    <w:rsid w:val="00043CFC"/>
    <w:rsid w:val="00043DA2"/>
    <w:rsid w:val="0004413E"/>
    <w:rsid w:val="0004444C"/>
    <w:rsid w:val="00044969"/>
    <w:rsid w:val="00044CFF"/>
    <w:rsid w:val="00044DC3"/>
    <w:rsid w:val="00044DD2"/>
    <w:rsid w:val="00044E21"/>
    <w:rsid w:val="00045973"/>
    <w:rsid w:val="00045A80"/>
    <w:rsid w:val="00045F8D"/>
    <w:rsid w:val="000461B3"/>
    <w:rsid w:val="000464A2"/>
    <w:rsid w:val="000468EC"/>
    <w:rsid w:val="00046E07"/>
    <w:rsid w:val="0004730B"/>
    <w:rsid w:val="000476CB"/>
    <w:rsid w:val="000476D9"/>
    <w:rsid w:val="0004771C"/>
    <w:rsid w:val="00047927"/>
    <w:rsid w:val="00047979"/>
    <w:rsid w:val="00050D8F"/>
    <w:rsid w:val="000510EC"/>
    <w:rsid w:val="000511D3"/>
    <w:rsid w:val="00051413"/>
    <w:rsid w:val="0005208F"/>
    <w:rsid w:val="00052187"/>
    <w:rsid w:val="00052698"/>
    <w:rsid w:val="0005292C"/>
    <w:rsid w:val="00052FBB"/>
    <w:rsid w:val="0005350B"/>
    <w:rsid w:val="00053A25"/>
    <w:rsid w:val="00053F5C"/>
    <w:rsid w:val="00054236"/>
    <w:rsid w:val="00054555"/>
    <w:rsid w:val="00054961"/>
    <w:rsid w:val="00055A3C"/>
    <w:rsid w:val="00055AAC"/>
    <w:rsid w:val="00055FDE"/>
    <w:rsid w:val="000561BD"/>
    <w:rsid w:val="00056932"/>
    <w:rsid w:val="00056A6C"/>
    <w:rsid w:val="00056B67"/>
    <w:rsid w:val="000570B2"/>
    <w:rsid w:val="0005715D"/>
    <w:rsid w:val="0005724F"/>
    <w:rsid w:val="000575FA"/>
    <w:rsid w:val="00057D0B"/>
    <w:rsid w:val="00060268"/>
    <w:rsid w:val="00060272"/>
    <w:rsid w:val="00060596"/>
    <w:rsid w:val="00060C22"/>
    <w:rsid w:val="0006141C"/>
    <w:rsid w:val="0006175F"/>
    <w:rsid w:val="00061EA1"/>
    <w:rsid w:val="00061EE4"/>
    <w:rsid w:val="00062484"/>
    <w:rsid w:val="00062B0B"/>
    <w:rsid w:val="00062F9C"/>
    <w:rsid w:val="000633DE"/>
    <w:rsid w:val="0006350A"/>
    <w:rsid w:val="00063554"/>
    <w:rsid w:val="00063B1A"/>
    <w:rsid w:val="00063BEF"/>
    <w:rsid w:val="0006456B"/>
    <w:rsid w:val="00064B9D"/>
    <w:rsid w:val="0006509C"/>
    <w:rsid w:val="0006511F"/>
    <w:rsid w:val="00065154"/>
    <w:rsid w:val="000656AD"/>
    <w:rsid w:val="000657AA"/>
    <w:rsid w:val="00065858"/>
    <w:rsid w:val="000659B0"/>
    <w:rsid w:val="00065BB7"/>
    <w:rsid w:val="00065C65"/>
    <w:rsid w:val="0006622B"/>
    <w:rsid w:val="00066806"/>
    <w:rsid w:val="00066866"/>
    <w:rsid w:val="00066B19"/>
    <w:rsid w:val="0006704D"/>
    <w:rsid w:val="000670F8"/>
    <w:rsid w:val="00067240"/>
    <w:rsid w:val="00067263"/>
    <w:rsid w:val="00067790"/>
    <w:rsid w:val="00067E9C"/>
    <w:rsid w:val="000700D5"/>
    <w:rsid w:val="00070607"/>
    <w:rsid w:val="000706A9"/>
    <w:rsid w:val="00070B49"/>
    <w:rsid w:val="00070B85"/>
    <w:rsid w:val="00070E04"/>
    <w:rsid w:val="000710F5"/>
    <w:rsid w:val="000718E4"/>
    <w:rsid w:val="000719DC"/>
    <w:rsid w:val="00072474"/>
    <w:rsid w:val="00072729"/>
    <w:rsid w:val="000730FE"/>
    <w:rsid w:val="000733AC"/>
    <w:rsid w:val="000733B8"/>
    <w:rsid w:val="000737E7"/>
    <w:rsid w:val="00073ABF"/>
    <w:rsid w:val="00074129"/>
    <w:rsid w:val="00074466"/>
    <w:rsid w:val="000744DA"/>
    <w:rsid w:val="00075378"/>
    <w:rsid w:val="000754B3"/>
    <w:rsid w:val="000757F7"/>
    <w:rsid w:val="00075CEC"/>
    <w:rsid w:val="00076464"/>
    <w:rsid w:val="00076E47"/>
    <w:rsid w:val="00076EAE"/>
    <w:rsid w:val="00077FD0"/>
    <w:rsid w:val="00080BFB"/>
    <w:rsid w:val="00080E76"/>
    <w:rsid w:val="00080E7A"/>
    <w:rsid w:val="000815A9"/>
    <w:rsid w:val="0008195F"/>
    <w:rsid w:val="00081D31"/>
    <w:rsid w:val="00081DFC"/>
    <w:rsid w:val="000827C4"/>
    <w:rsid w:val="00082804"/>
    <w:rsid w:val="00082B01"/>
    <w:rsid w:val="00082B45"/>
    <w:rsid w:val="000837DF"/>
    <w:rsid w:val="00083959"/>
    <w:rsid w:val="000845C9"/>
    <w:rsid w:val="0008509D"/>
    <w:rsid w:val="000852FE"/>
    <w:rsid w:val="000855FC"/>
    <w:rsid w:val="000857B7"/>
    <w:rsid w:val="000858D7"/>
    <w:rsid w:val="0008597B"/>
    <w:rsid w:val="00086680"/>
    <w:rsid w:val="000873E4"/>
    <w:rsid w:val="00087F4D"/>
    <w:rsid w:val="00087F8C"/>
    <w:rsid w:val="000900A3"/>
    <w:rsid w:val="00090413"/>
    <w:rsid w:val="00090871"/>
    <w:rsid w:val="00090A05"/>
    <w:rsid w:val="00090C67"/>
    <w:rsid w:val="00091325"/>
    <w:rsid w:val="00091895"/>
    <w:rsid w:val="00091EFB"/>
    <w:rsid w:val="000922A2"/>
    <w:rsid w:val="000924DE"/>
    <w:rsid w:val="00092741"/>
    <w:rsid w:val="00092806"/>
    <w:rsid w:val="00092BF3"/>
    <w:rsid w:val="00092D00"/>
    <w:rsid w:val="000939E4"/>
    <w:rsid w:val="00093E43"/>
    <w:rsid w:val="00094A96"/>
    <w:rsid w:val="00094ADB"/>
    <w:rsid w:val="00094B20"/>
    <w:rsid w:val="0009500F"/>
    <w:rsid w:val="000955F2"/>
    <w:rsid w:val="00095687"/>
    <w:rsid w:val="00096001"/>
    <w:rsid w:val="00097149"/>
    <w:rsid w:val="00097578"/>
    <w:rsid w:val="000978C1"/>
    <w:rsid w:val="00097B5D"/>
    <w:rsid w:val="00097F82"/>
    <w:rsid w:val="000A0046"/>
    <w:rsid w:val="000A0B68"/>
    <w:rsid w:val="000A0C42"/>
    <w:rsid w:val="000A1630"/>
    <w:rsid w:val="000A18BE"/>
    <w:rsid w:val="000A1A24"/>
    <w:rsid w:val="000A1B43"/>
    <w:rsid w:val="000A1CA9"/>
    <w:rsid w:val="000A1E5A"/>
    <w:rsid w:val="000A2466"/>
    <w:rsid w:val="000A25EA"/>
    <w:rsid w:val="000A2E7C"/>
    <w:rsid w:val="000A4266"/>
    <w:rsid w:val="000A441D"/>
    <w:rsid w:val="000A4437"/>
    <w:rsid w:val="000A4B1D"/>
    <w:rsid w:val="000A5B5B"/>
    <w:rsid w:val="000A718E"/>
    <w:rsid w:val="000A7EFB"/>
    <w:rsid w:val="000B0923"/>
    <w:rsid w:val="000B0977"/>
    <w:rsid w:val="000B0AA1"/>
    <w:rsid w:val="000B0CD2"/>
    <w:rsid w:val="000B14BB"/>
    <w:rsid w:val="000B152A"/>
    <w:rsid w:val="000B159C"/>
    <w:rsid w:val="000B2207"/>
    <w:rsid w:val="000B236F"/>
    <w:rsid w:val="000B2621"/>
    <w:rsid w:val="000B3261"/>
    <w:rsid w:val="000B367A"/>
    <w:rsid w:val="000B43BF"/>
    <w:rsid w:val="000B4712"/>
    <w:rsid w:val="000B4B74"/>
    <w:rsid w:val="000B582E"/>
    <w:rsid w:val="000B5C0E"/>
    <w:rsid w:val="000B60E6"/>
    <w:rsid w:val="000B6175"/>
    <w:rsid w:val="000B6334"/>
    <w:rsid w:val="000B664F"/>
    <w:rsid w:val="000B6991"/>
    <w:rsid w:val="000B6A8F"/>
    <w:rsid w:val="000B700B"/>
    <w:rsid w:val="000B7288"/>
    <w:rsid w:val="000B7306"/>
    <w:rsid w:val="000C0006"/>
    <w:rsid w:val="000C033B"/>
    <w:rsid w:val="000C06AC"/>
    <w:rsid w:val="000C073C"/>
    <w:rsid w:val="000C088A"/>
    <w:rsid w:val="000C09FF"/>
    <w:rsid w:val="000C1173"/>
    <w:rsid w:val="000C1927"/>
    <w:rsid w:val="000C1F01"/>
    <w:rsid w:val="000C2764"/>
    <w:rsid w:val="000C2ABE"/>
    <w:rsid w:val="000C3257"/>
    <w:rsid w:val="000C3771"/>
    <w:rsid w:val="000C3B62"/>
    <w:rsid w:val="000C4353"/>
    <w:rsid w:val="000C436D"/>
    <w:rsid w:val="000C4756"/>
    <w:rsid w:val="000C5197"/>
    <w:rsid w:val="000C539B"/>
    <w:rsid w:val="000C554A"/>
    <w:rsid w:val="000C5631"/>
    <w:rsid w:val="000C6667"/>
    <w:rsid w:val="000C72B4"/>
    <w:rsid w:val="000C7426"/>
    <w:rsid w:val="000C795C"/>
    <w:rsid w:val="000C7D84"/>
    <w:rsid w:val="000C7E0B"/>
    <w:rsid w:val="000D08E1"/>
    <w:rsid w:val="000D0ACD"/>
    <w:rsid w:val="000D0DE3"/>
    <w:rsid w:val="000D0EEE"/>
    <w:rsid w:val="000D0F2E"/>
    <w:rsid w:val="000D161A"/>
    <w:rsid w:val="000D1FD6"/>
    <w:rsid w:val="000D2877"/>
    <w:rsid w:val="000D30CB"/>
    <w:rsid w:val="000D350B"/>
    <w:rsid w:val="000D385A"/>
    <w:rsid w:val="000D3FE9"/>
    <w:rsid w:val="000D41E8"/>
    <w:rsid w:val="000D44AD"/>
    <w:rsid w:val="000D456B"/>
    <w:rsid w:val="000D4A1D"/>
    <w:rsid w:val="000D4ADF"/>
    <w:rsid w:val="000D530A"/>
    <w:rsid w:val="000D5859"/>
    <w:rsid w:val="000D5F78"/>
    <w:rsid w:val="000D6705"/>
    <w:rsid w:val="000D6875"/>
    <w:rsid w:val="000D6B2D"/>
    <w:rsid w:val="000D6D2A"/>
    <w:rsid w:val="000D713E"/>
    <w:rsid w:val="000D7145"/>
    <w:rsid w:val="000D7589"/>
    <w:rsid w:val="000D75CA"/>
    <w:rsid w:val="000E0500"/>
    <w:rsid w:val="000E1237"/>
    <w:rsid w:val="000E17C1"/>
    <w:rsid w:val="000E18A8"/>
    <w:rsid w:val="000E191A"/>
    <w:rsid w:val="000E1C3A"/>
    <w:rsid w:val="000E1DA3"/>
    <w:rsid w:val="000E2FE5"/>
    <w:rsid w:val="000E3368"/>
    <w:rsid w:val="000E42CC"/>
    <w:rsid w:val="000E455D"/>
    <w:rsid w:val="000E4BC0"/>
    <w:rsid w:val="000E6752"/>
    <w:rsid w:val="000E6E46"/>
    <w:rsid w:val="000E7431"/>
    <w:rsid w:val="000E7D43"/>
    <w:rsid w:val="000E7F93"/>
    <w:rsid w:val="000F027D"/>
    <w:rsid w:val="000F0413"/>
    <w:rsid w:val="000F0684"/>
    <w:rsid w:val="000F09BB"/>
    <w:rsid w:val="000F1AF4"/>
    <w:rsid w:val="000F1C9A"/>
    <w:rsid w:val="000F1FBB"/>
    <w:rsid w:val="000F23C3"/>
    <w:rsid w:val="000F24BB"/>
    <w:rsid w:val="000F298B"/>
    <w:rsid w:val="000F2B07"/>
    <w:rsid w:val="000F2B11"/>
    <w:rsid w:val="000F2E0E"/>
    <w:rsid w:val="000F3F77"/>
    <w:rsid w:val="000F4151"/>
    <w:rsid w:val="000F415B"/>
    <w:rsid w:val="000F4452"/>
    <w:rsid w:val="000F44FC"/>
    <w:rsid w:val="000F475F"/>
    <w:rsid w:val="000F4B51"/>
    <w:rsid w:val="000F4C2A"/>
    <w:rsid w:val="000F4D47"/>
    <w:rsid w:val="000F536C"/>
    <w:rsid w:val="000F54D9"/>
    <w:rsid w:val="000F5708"/>
    <w:rsid w:val="000F5A59"/>
    <w:rsid w:val="000F5C76"/>
    <w:rsid w:val="000F5EC5"/>
    <w:rsid w:val="000F6620"/>
    <w:rsid w:val="000F68CA"/>
    <w:rsid w:val="000F69B2"/>
    <w:rsid w:val="000F715D"/>
    <w:rsid w:val="000F734D"/>
    <w:rsid w:val="000F75A5"/>
    <w:rsid w:val="000F76FD"/>
    <w:rsid w:val="000F7870"/>
    <w:rsid w:val="000F7D24"/>
    <w:rsid w:val="000F7EBA"/>
    <w:rsid w:val="00100301"/>
    <w:rsid w:val="0010076E"/>
    <w:rsid w:val="001007E5"/>
    <w:rsid w:val="00100CE5"/>
    <w:rsid w:val="00100DC9"/>
    <w:rsid w:val="001013F1"/>
    <w:rsid w:val="001014AA"/>
    <w:rsid w:val="00101642"/>
    <w:rsid w:val="00101B42"/>
    <w:rsid w:val="00102CC6"/>
    <w:rsid w:val="00102EA1"/>
    <w:rsid w:val="00103764"/>
    <w:rsid w:val="0010415D"/>
    <w:rsid w:val="00104161"/>
    <w:rsid w:val="0010443D"/>
    <w:rsid w:val="00104539"/>
    <w:rsid w:val="00104604"/>
    <w:rsid w:val="001047B0"/>
    <w:rsid w:val="00104A00"/>
    <w:rsid w:val="00104ECD"/>
    <w:rsid w:val="001055D2"/>
    <w:rsid w:val="00105B05"/>
    <w:rsid w:val="00105DAD"/>
    <w:rsid w:val="00105E99"/>
    <w:rsid w:val="00106599"/>
    <w:rsid w:val="00106749"/>
    <w:rsid w:val="0010675D"/>
    <w:rsid w:val="00106879"/>
    <w:rsid w:val="001069E1"/>
    <w:rsid w:val="00106AD9"/>
    <w:rsid w:val="00106BDC"/>
    <w:rsid w:val="0010709D"/>
    <w:rsid w:val="0010757C"/>
    <w:rsid w:val="00107B13"/>
    <w:rsid w:val="00110030"/>
    <w:rsid w:val="001100B7"/>
    <w:rsid w:val="0011085C"/>
    <w:rsid w:val="00110EF0"/>
    <w:rsid w:val="00111634"/>
    <w:rsid w:val="00111B8B"/>
    <w:rsid w:val="00111E04"/>
    <w:rsid w:val="00111F02"/>
    <w:rsid w:val="001121C8"/>
    <w:rsid w:val="00112701"/>
    <w:rsid w:val="0011287A"/>
    <w:rsid w:val="001131BA"/>
    <w:rsid w:val="00113559"/>
    <w:rsid w:val="0011359F"/>
    <w:rsid w:val="00113F2F"/>
    <w:rsid w:val="001141DA"/>
    <w:rsid w:val="00114335"/>
    <w:rsid w:val="0011475B"/>
    <w:rsid w:val="0011497B"/>
    <w:rsid w:val="00114A87"/>
    <w:rsid w:val="00115386"/>
    <w:rsid w:val="00115687"/>
    <w:rsid w:val="0011586B"/>
    <w:rsid w:val="001158AB"/>
    <w:rsid w:val="00115E38"/>
    <w:rsid w:val="00116D78"/>
    <w:rsid w:val="00116F5B"/>
    <w:rsid w:val="0011787F"/>
    <w:rsid w:val="00117B12"/>
    <w:rsid w:val="00120128"/>
    <w:rsid w:val="00120247"/>
    <w:rsid w:val="00120689"/>
    <w:rsid w:val="0012070B"/>
    <w:rsid w:val="00120905"/>
    <w:rsid w:val="001209FB"/>
    <w:rsid w:val="001213DA"/>
    <w:rsid w:val="001221EA"/>
    <w:rsid w:val="001227B1"/>
    <w:rsid w:val="001228FE"/>
    <w:rsid w:val="00122AA3"/>
    <w:rsid w:val="00122C27"/>
    <w:rsid w:val="001232C5"/>
    <w:rsid w:val="0012340E"/>
    <w:rsid w:val="001236D1"/>
    <w:rsid w:val="00124182"/>
    <w:rsid w:val="001241A9"/>
    <w:rsid w:val="0012425E"/>
    <w:rsid w:val="00124585"/>
    <w:rsid w:val="0012466B"/>
    <w:rsid w:val="00124E7B"/>
    <w:rsid w:val="0012519B"/>
    <w:rsid w:val="001256A6"/>
    <w:rsid w:val="00125849"/>
    <w:rsid w:val="00125A16"/>
    <w:rsid w:val="00125A56"/>
    <w:rsid w:val="00125EC9"/>
    <w:rsid w:val="0012688A"/>
    <w:rsid w:val="0012690F"/>
    <w:rsid w:val="00126F64"/>
    <w:rsid w:val="00126FB3"/>
    <w:rsid w:val="001270D4"/>
    <w:rsid w:val="00127FDF"/>
    <w:rsid w:val="001303A9"/>
    <w:rsid w:val="00130B84"/>
    <w:rsid w:val="00130BDF"/>
    <w:rsid w:val="00130C40"/>
    <w:rsid w:val="00130E7C"/>
    <w:rsid w:val="0013170C"/>
    <w:rsid w:val="00131906"/>
    <w:rsid w:val="00131B4C"/>
    <w:rsid w:val="00131E47"/>
    <w:rsid w:val="001324C3"/>
    <w:rsid w:val="00132D1C"/>
    <w:rsid w:val="00133688"/>
    <w:rsid w:val="001337DB"/>
    <w:rsid w:val="00133AA0"/>
    <w:rsid w:val="00133CE5"/>
    <w:rsid w:val="001341F2"/>
    <w:rsid w:val="001342C5"/>
    <w:rsid w:val="001343D5"/>
    <w:rsid w:val="001347AE"/>
    <w:rsid w:val="00134C5E"/>
    <w:rsid w:val="00134C8D"/>
    <w:rsid w:val="00134D0C"/>
    <w:rsid w:val="00134D2F"/>
    <w:rsid w:val="00134E11"/>
    <w:rsid w:val="00134FC1"/>
    <w:rsid w:val="00135358"/>
    <w:rsid w:val="001355E2"/>
    <w:rsid w:val="001359EE"/>
    <w:rsid w:val="00135EB7"/>
    <w:rsid w:val="00136308"/>
    <w:rsid w:val="00136419"/>
    <w:rsid w:val="00136B1E"/>
    <w:rsid w:val="00137280"/>
    <w:rsid w:val="00137B44"/>
    <w:rsid w:val="0014129F"/>
    <w:rsid w:val="001417D6"/>
    <w:rsid w:val="00141BA8"/>
    <w:rsid w:val="0014232C"/>
    <w:rsid w:val="001423E9"/>
    <w:rsid w:val="001426F0"/>
    <w:rsid w:val="001428BA"/>
    <w:rsid w:val="00142CD7"/>
    <w:rsid w:val="00143256"/>
    <w:rsid w:val="001432A3"/>
    <w:rsid w:val="00143BD8"/>
    <w:rsid w:val="0014404B"/>
    <w:rsid w:val="001441C2"/>
    <w:rsid w:val="001445BA"/>
    <w:rsid w:val="0014494C"/>
    <w:rsid w:val="00144D58"/>
    <w:rsid w:val="00145B54"/>
    <w:rsid w:val="00145ED7"/>
    <w:rsid w:val="001461A4"/>
    <w:rsid w:val="00146864"/>
    <w:rsid w:val="00146AED"/>
    <w:rsid w:val="00147255"/>
    <w:rsid w:val="0014777F"/>
    <w:rsid w:val="00147A9E"/>
    <w:rsid w:val="00147BE2"/>
    <w:rsid w:val="00147E9A"/>
    <w:rsid w:val="00147FA9"/>
    <w:rsid w:val="00150293"/>
    <w:rsid w:val="001507C7"/>
    <w:rsid w:val="00150802"/>
    <w:rsid w:val="001508AC"/>
    <w:rsid w:val="00150B89"/>
    <w:rsid w:val="00150EDA"/>
    <w:rsid w:val="00151E9B"/>
    <w:rsid w:val="001522EA"/>
    <w:rsid w:val="00152820"/>
    <w:rsid w:val="001532D2"/>
    <w:rsid w:val="00153357"/>
    <w:rsid w:val="0015343D"/>
    <w:rsid w:val="00153C22"/>
    <w:rsid w:val="00153D6F"/>
    <w:rsid w:val="00153F40"/>
    <w:rsid w:val="001541AB"/>
    <w:rsid w:val="001545AE"/>
    <w:rsid w:val="0015465C"/>
    <w:rsid w:val="00154BF8"/>
    <w:rsid w:val="00154FD7"/>
    <w:rsid w:val="00155DDE"/>
    <w:rsid w:val="001562B2"/>
    <w:rsid w:val="00156348"/>
    <w:rsid w:val="00156442"/>
    <w:rsid w:val="00156910"/>
    <w:rsid w:val="00156B4E"/>
    <w:rsid w:val="00156C64"/>
    <w:rsid w:val="00156D69"/>
    <w:rsid w:val="00156E46"/>
    <w:rsid w:val="001575C7"/>
    <w:rsid w:val="0015765E"/>
    <w:rsid w:val="00157C41"/>
    <w:rsid w:val="00160170"/>
    <w:rsid w:val="00160172"/>
    <w:rsid w:val="00160199"/>
    <w:rsid w:val="0016068E"/>
    <w:rsid w:val="001611D6"/>
    <w:rsid w:val="0016168F"/>
    <w:rsid w:val="0016193F"/>
    <w:rsid w:val="00161E28"/>
    <w:rsid w:val="0016226A"/>
    <w:rsid w:val="00162D4D"/>
    <w:rsid w:val="00163139"/>
    <w:rsid w:val="001632CE"/>
    <w:rsid w:val="00163582"/>
    <w:rsid w:val="001637B2"/>
    <w:rsid w:val="00163929"/>
    <w:rsid w:val="00163F00"/>
    <w:rsid w:val="00164754"/>
    <w:rsid w:val="00164A16"/>
    <w:rsid w:val="00164C96"/>
    <w:rsid w:val="00165109"/>
    <w:rsid w:val="0016510A"/>
    <w:rsid w:val="00165C09"/>
    <w:rsid w:val="00165F10"/>
    <w:rsid w:val="001664CA"/>
    <w:rsid w:val="001667AF"/>
    <w:rsid w:val="00166FB9"/>
    <w:rsid w:val="00167865"/>
    <w:rsid w:val="00167B19"/>
    <w:rsid w:val="00167CD3"/>
    <w:rsid w:val="00167D5E"/>
    <w:rsid w:val="00170DA9"/>
    <w:rsid w:val="00171122"/>
    <w:rsid w:val="00171290"/>
    <w:rsid w:val="001713DB"/>
    <w:rsid w:val="0017180C"/>
    <w:rsid w:val="00171944"/>
    <w:rsid w:val="001724D8"/>
    <w:rsid w:val="0017252D"/>
    <w:rsid w:val="001727DC"/>
    <w:rsid w:val="00172D23"/>
    <w:rsid w:val="00172FC3"/>
    <w:rsid w:val="00173788"/>
    <w:rsid w:val="00174051"/>
    <w:rsid w:val="001740A8"/>
    <w:rsid w:val="0017447B"/>
    <w:rsid w:val="00174B1F"/>
    <w:rsid w:val="00174BE0"/>
    <w:rsid w:val="001750C6"/>
    <w:rsid w:val="001753B4"/>
    <w:rsid w:val="0017598D"/>
    <w:rsid w:val="00175F0E"/>
    <w:rsid w:val="00176154"/>
    <w:rsid w:val="00176167"/>
    <w:rsid w:val="00176215"/>
    <w:rsid w:val="0017623F"/>
    <w:rsid w:val="001762B0"/>
    <w:rsid w:val="0017645E"/>
    <w:rsid w:val="00176802"/>
    <w:rsid w:val="001769BB"/>
    <w:rsid w:val="001773EA"/>
    <w:rsid w:val="001774F7"/>
    <w:rsid w:val="00177C71"/>
    <w:rsid w:val="001808E3"/>
    <w:rsid w:val="00180CE3"/>
    <w:rsid w:val="00180F34"/>
    <w:rsid w:val="00180F54"/>
    <w:rsid w:val="00180FBD"/>
    <w:rsid w:val="00181141"/>
    <w:rsid w:val="001816B9"/>
    <w:rsid w:val="00182573"/>
    <w:rsid w:val="001826C3"/>
    <w:rsid w:val="001829D5"/>
    <w:rsid w:val="00182AF0"/>
    <w:rsid w:val="00182B45"/>
    <w:rsid w:val="00182E0B"/>
    <w:rsid w:val="00182F67"/>
    <w:rsid w:val="00183634"/>
    <w:rsid w:val="001838C2"/>
    <w:rsid w:val="00183A63"/>
    <w:rsid w:val="00183B23"/>
    <w:rsid w:val="00183D2F"/>
    <w:rsid w:val="001845F3"/>
    <w:rsid w:val="00184A0F"/>
    <w:rsid w:val="00185704"/>
    <w:rsid w:val="00185F78"/>
    <w:rsid w:val="001866B3"/>
    <w:rsid w:val="001868E0"/>
    <w:rsid w:val="00186A40"/>
    <w:rsid w:val="00186B19"/>
    <w:rsid w:val="001871AB"/>
    <w:rsid w:val="001871C1"/>
    <w:rsid w:val="00187641"/>
    <w:rsid w:val="001877F5"/>
    <w:rsid w:val="00187F75"/>
    <w:rsid w:val="001903B8"/>
    <w:rsid w:val="00190C5E"/>
    <w:rsid w:val="0019104D"/>
    <w:rsid w:val="00191376"/>
    <w:rsid w:val="00191A84"/>
    <w:rsid w:val="00191D55"/>
    <w:rsid w:val="00191DA0"/>
    <w:rsid w:val="001920BA"/>
    <w:rsid w:val="00192564"/>
    <w:rsid w:val="0019290E"/>
    <w:rsid w:val="001931D0"/>
    <w:rsid w:val="001933D3"/>
    <w:rsid w:val="00193B86"/>
    <w:rsid w:val="00193D45"/>
    <w:rsid w:val="00194020"/>
    <w:rsid w:val="0019420D"/>
    <w:rsid w:val="001942D8"/>
    <w:rsid w:val="0019466F"/>
    <w:rsid w:val="00195ABF"/>
    <w:rsid w:val="00195E04"/>
    <w:rsid w:val="00196676"/>
    <w:rsid w:val="001967A9"/>
    <w:rsid w:val="00196E27"/>
    <w:rsid w:val="00197661"/>
    <w:rsid w:val="00197727"/>
    <w:rsid w:val="00197BA8"/>
    <w:rsid w:val="00197CC6"/>
    <w:rsid w:val="00197E20"/>
    <w:rsid w:val="00197EFD"/>
    <w:rsid w:val="001A0050"/>
    <w:rsid w:val="001A07B0"/>
    <w:rsid w:val="001A0828"/>
    <w:rsid w:val="001A084D"/>
    <w:rsid w:val="001A0948"/>
    <w:rsid w:val="001A0B41"/>
    <w:rsid w:val="001A0CEB"/>
    <w:rsid w:val="001A0D27"/>
    <w:rsid w:val="001A0DD7"/>
    <w:rsid w:val="001A1150"/>
    <w:rsid w:val="001A12FE"/>
    <w:rsid w:val="001A15C2"/>
    <w:rsid w:val="001A1A76"/>
    <w:rsid w:val="001A1E32"/>
    <w:rsid w:val="001A2463"/>
    <w:rsid w:val="001A2471"/>
    <w:rsid w:val="001A2483"/>
    <w:rsid w:val="001A2903"/>
    <w:rsid w:val="001A2909"/>
    <w:rsid w:val="001A2C7E"/>
    <w:rsid w:val="001A32C6"/>
    <w:rsid w:val="001A3316"/>
    <w:rsid w:val="001A3858"/>
    <w:rsid w:val="001A3BA6"/>
    <w:rsid w:val="001A3C2B"/>
    <w:rsid w:val="001A3D09"/>
    <w:rsid w:val="001A44EE"/>
    <w:rsid w:val="001A4AEE"/>
    <w:rsid w:val="001A5058"/>
    <w:rsid w:val="001A5378"/>
    <w:rsid w:val="001A5726"/>
    <w:rsid w:val="001A59BF"/>
    <w:rsid w:val="001A5A9F"/>
    <w:rsid w:val="001A601B"/>
    <w:rsid w:val="001A63F3"/>
    <w:rsid w:val="001A64A6"/>
    <w:rsid w:val="001A67FB"/>
    <w:rsid w:val="001A6E97"/>
    <w:rsid w:val="001A6FE3"/>
    <w:rsid w:val="001A7379"/>
    <w:rsid w:val="001A7987"/>
    <w:rsid w:val="001A7FE6"/>
    <w:rsid w:val="001B0121"/>
    <w:rsid w:val="001B0454"/>
    <w:rsid w:val="001B0887"/>
    <w:rsid w:val="001B0BEB"/>
    <w:rsid w:val="001B10D1"/>
    <w:rsid w:val="001B17C6"/>
    <w:rsid w:val="001B1AE7"/>
    <w:rsid w:val="001B1C06"/>
    <w:rsid w:val="001B28C4"/>
    <w:rsid w:val="001B2954"/>
    <w:rsid w:val="001B2A65"/>
    <w:rsid w:val="001B2B84"/>
    <w:rsid w:val="001B2F13"/>
    <w:rsid w:val="001B2F5D"/>
    <w:rsid w:val="001B37A5"/>
    <w:rsid w:val="001B3807"/>
    <w:rsid w:val="001B3A2A"/>
    <w:rsid w:val="001B3D69"/>
    <w:rsid w:val="001B3E98"/>
    <w:rsid w:val="001B40EA"/>
    <w:rsid w:val="001B5031"/>
    <w:rsid w:val="001B5605"/>
    <w:rsid w:val="001B565A"/>
    <w:rsid w:val="001B567A"/>
    <w:rsid w:val="001B5762"/>
    <w:rsid w:val="001B5D8D"/>
    <w:rsid w:val="001B6019"/>
    <w:rsid w:val="001B683C"/>
    <w:rsid w:val="001B76B2"/>
    <w:rsid w:val="001B7B66"/>
    <w:rsid w:val="001C0232"/>
    <w:rsid w:val="001C099A"/>
    <w:rsid w:val="001C09F4"/>
    <w:rsid w:val="001C0CBC"/>
    <w:rsid w:val="001C0FB4"/>
    <w:rsid w:val="001C11A4"/>
    <w:rsid w:val="001C11F1"/>
    <w:rsid w:val="001C16AD"/>
    <w:rsid w:val="001C196C"/>
    <w:rsid w:val="001C1BF4"/>
    <w:rsid w:val="001C1C3B"/>
    <w:rsid w:val="001C20F9"/>
    <w:rsid w:val="001C31F0"/>
    <w:rsid w:val="001C34E1"/>
    <w:rsid w:val="001C37FC"/>
    <w:rsid w:val="001C3D6E"/>
    <w:rsid w:val="001C52DA"/>
    <w:rsid w:val="001C5A52"/>
    <w:rsid w:val="001C6418"/>
    <w:rsid w:val="001C7761"/>
    <w:rsid w:val="001C7844"/>
    <w:rsid w:val="001C785C"/>
    <w:rsid w:val="001C7B97"/>
    <w:rsid w:val="001C7EEA"/>
    <w:rsid w:val="001D0361"/>
    <w:rsid w:val="001D0394"/>
    <w:rsid w:val="001D0F88"/>
    <w:rsid w:val="001D1056"/>
    <w:rsid w:val="001D109A"/>
    <w:rsid w:val="001D1335"/>
    <w:rsid w:val="001D3876"/>
    <w:rsid w:val="001D40AD"/>
    <w:rsid w:val="001D4167"/>
    <w:rsid w:val="001D423B"/>
    <w:rsid w:val="001D45A1"/>
    <w:rsid w:val="001D4AC5"/>
    <w:rsid w:val="001D4FA6"/>
    <w:rsid w:val="001D524A"/>
    <w:rsid w:val="001D5AE7"/>
    <w:rsid w:val="001D5D08"/>
    <w:rsid w:val="001D6020"/>
    <w:rsid w:val="001D606D"/>
    <w:rsid w:val="001D6181"/>
    <w:rsid w:val="001D6692"/>
    <w:rsid w:val="001D68BD"/>
    <w:rsid w:val="001D744D"/>
    <w:rsid w:val="001D79CF"/>
    <w:rsid w:val="001D7CC3"/>
    <w:rsid w:val="001E000C"/>
    <w:rsid w:val="001E09FB"/>
    <w:rsid w:val="001E0ED6"/>
    <w:rsid w:val="001E128A"/>
    <w:rsid w:val="001E16D6"/>
    <w:rsid w:val="001E1D41"/>
    <w:rsid w:val="001E1D72"/>
    <w:rsid w:val="001E27E8"/>
    <w:rsid w:val="001E2998"/>
    <w:rsid w:val="001E2AA9"/>
    <w:rsid w:val="001E2B87"/>
    <w:rsid w:val="001E2ECD"/>
    <w:rsid w:val="001E31D4"/>
    <w:rsid w:val="001E34C3"/>
    <w:rsid w:val="001E366C"/>
    <w:rsid w:val="001E38BC"/>
    <w:rsid w:val="001E4620"/>
    <w:rsid w:val="001E4806"/>
    <w:rsid w:val="001E487D"/>
    <w:rsid w:val="001E4C40"/>
    <w:rsid w:val="001E4D16"/>
    <w:rsid w:val="001E5613"/>
    <w:rsid w:val="001E6108"/>
    <w:rsid w:val="001E6260"/>
    <w:rsid w:val="001E6914"/>
    <w:rsid w:val="001E6ABF"/>
    <w:rsid w:val="001E6AF7"/>
    <w:rsid w:val="001E6B19"/>
    <w:rsid w:val="001E7468"/>
    <w:rsid w:val="001E769D"/>
    <w:rsid w:val="001E7BF2"/>
    <w:rsid w:val="001F041C"/>
    <w:rsid w:val="001F05B4"/>
    <w:rsid w:val="001F080C"/>
    <w:rsid w:val="001F0FF2"/>
    <w:rsid w:val="001F1368"/>
    <w:rsid w:val="001F1D21"/>
    <w:rsid w:val="001F24ED"/>
    <w:rsid w:val="001F29D2"/>
    <w:rsid w:val="001F347F"/>
    <w:rsid w:val="001F415D"/>
    <w:rsid w:val="001F463A"/>
    <w:rsid w:val="001F4714"/>
    <w:rsid w:val="001F53B6"/>
    <w:rsid w:val="001F55E7"/>
    <w:rsid w:val="001F5762"/>
    <w:rsid w:val="001F5D27"/>
    <w:rsid w:val="001F5E95"/>
    <w:rsid w:val="001F5E96"/>
    <w:rsid w:val="001F6BAA"/>
    <w:rsid w:val="001F6CA3"/>
    <w:rsid w:val="001F6D30"/>
    <w:rsid w:val="001F738D"/>
    <w:rsid w:val="001F7589"/>
    <w:rsid w:val="001F7656"/>
    <w:rsid w:val="001F7B15"/>
    <w:rsid w:val="001F7FE8"/>
    <w:rsid w:val="002004A9"/>
    <w:rsid w:val="002004BA"/>
    <w:rsid w:val="002004CD"/>
    <w:rsid w:val="00200A07"/>
    <w:rsid w:val="00200B2E"/>
    <w:rsid w:val="00200FA6"/>
    <w:rsid w:val="00201A61"/>
    <w:rsid w:val="0020268F"/>
    <w:rsid w:val="0020339F"/>
    <w:rsid w:val="00203A92"/>
    <w:rsid w:val="00203BF4"/>
    <w:rsid w:val="002041A8"/>
    <w:rsid w:val="00204321"/>
    <w:rsid w:val="002049ED"/>
    <w:rsid w:val="00204D8F"/>
    <w:rsid w:val="002052F5"/>
    <w:rsid w:val="00205431"/>
    <w:rsid w:val="00205882"/>
    <w:rsid w:val="00205D7E"/>
    <w:rsid w:val="00205F62"/>
    <w:rsid w:val="0020605D"/>
    <w:rsid w:val="002061EF"/>
    <w:rsid w:val="00206260"/>
    <w:rsid w:val="00206D17"/>
    <w:rsid w:val="00207021"/>
    <w:rsid w:val="002075DF"/>
    <w:rsid w:val="002076B4"/>
    <w:rsid w:val="00207A97"/>
    <w:rsid w:val="00207DE1"/>
    <w:rsid w:val="0021028E"/>
    <w:rsid w:val="0021036F"/>
    <w:rsid w:val="002104EB"/>
    <w:rsid w:val="00210A85"/>
    <w:rsid w:val="00210FEA"/>
    <w:rsid w:val="00211041"/>
    <w:rsid w:val="00211D2F"/>
    <w:rsid w:val="00211DD6"/>
    <w:rsid w:val="00212484"/>
    <w:rsid w:val="00212582"/>
    <w:rsid w:val="00212939"/>
    <w:rsid w:val="00212A3A"/>
    <w:rsid w:val="002130F7"/>
    <w:rsid w:val="00213C26"/>
    <w:rsid w:val="00213D3A"/>
    <w:rsid w:val="00213DF6"/>
    <w:rsid w:val="0021407F"/>
    <w:rsid w:val="00214A6A"/>
    <w:rsid w:val="00214DE8"/>
    <w:rsid w:val="00214FB1"/>
    <w:rsid w:val="002151A7"/>
    <w:rsid w:val="00215224"/>
    <w:rsid w:val="002156C2"/>
    <w:rsid w:val="00215726"/>
    <w:rsid w:val="002158F5"/>
    <w:rsid w:val="00216213"/>
    <w:rsid w:val="0022006D"/>
    <w:rsid w:val="0022011E"/>
    <w:rsid w:val="002203EF"/>
    <w:rsid w:val="002206F6"/>
    <w:rsid w:val="002208A2"/>
    <w:rsid w:val="00220E31"/>
    <w:rsid w:val="0022102D"/>
    <w:rsid w:val="00221243"/>
    <w:rsid w:val="00221986"/>
    <w:rsid w:val="00221FC8"/>
    <w:rsid w:val="00222B32"/>
    <w:rsid w:val="002233AE"/>
    <w:rsid w:val="00223F8D"/>
    <w:rsid w:val="002242C5"/>
    <w:rsid w:val="00224487"/>
    <w:rsid w:val="002244F6"/>
    <w:rsid w:val="00224C29"/>
    <w:rsid w:val="0022508C"/>
    <w:rsid w:val="0022540F"/>
    <w:rsid w:val="0022550B"/>
    <w:rsid w:val="002266D2"/>
    <w:rsid w:val="00226AC7"/>
    <w:rsid w:val="00227782"/>
    <w:rsid w:val="00227B3E"/>
    <w:rsid w:val="002302BC"/>
    <w:rsid w:val="00230BDC"/>
    <w:rsid w:val="00231174"/>
    <w:rsid w:val="00231FBC"/>
    <w:rsid w:val="0023205F"/>
    <w:rsid w:val="00232444"/>
    <w:rsid w:val="002324A9"/>
    <w:rsid w:val="002326D9"/>
    <w:rsid w:val="002327DE"/>
    <w:rsid w:val="0023313B"/>
    <w:rsid w:val="00233719"/>
    <w:rsid w:val="00233BB0"/>
    <w:rsid w:val="00233C8F"/>
    <w:rsid w:val="00234302"/>
    <w:rsid w:val="00234570"/>
    <w:rsid w:val="002345C7"/>
    <w:rsid w:val="0023463F"/>
    <w:rsid w:val="00234F44"/>
    <w:rsid w:val="00234F4F"/>
    <w:rsid w:val="0023531C"/>
    <w:rsid w:val="00236501"/>
    <w:rsid w:val="00236685"/>
    <w:rsid w:val="002371B5"/>
    <w:rsid w:val="002374F7"/>
    <w:rsid w:val="0023783B"/>
    <w:rsid w:val="00237F79"/>
    <w:rsid w:val="0024052F"/>
    <w:rsid w:val="00240AC3"/>
    <w:rsid w:val="00240F5F"/>
    <w:rsid w:val="002410EA"/>
    <w:rsid w:val="002415CB"/>
    <w:rsid w:val="002416F4"/>
    <w:rsid w:val="00241EAE"/>
    <w:rsid w:val="00241EC4"/>
    <w:rsid w:val="00241EE6"/>
    <w:rsid w:val="002422A9"/>
    <w:rsid w:val="00242874"/>
    <w:rsid w:val="00242D38"/>
    <w:rsid w:val="002430FA"/>
    <w:rsid w:val="00243188"/>
    <w:rsid w:val="00243526"/>
    <w:rsid w:val="002438BF"/>
    <w:rsid w:val="00243BF0"/>
    <w:rsid w:val="0024406E"/>
    <w:rsid w:val="0024424F"/>
    <w:rsid w:val="002444D4"/>
    <w:rsid w:val="002450F9"/>
    <w:rsid w:val="002455B9"/>
    <w:rsid w:val="0024583B"/>
    <w:rsid w:val="0024612C"/>
    <w:rsid w:val="002467B1"/>
    <w:rsid w:val="00246F26"/>
    <w:rsid w:val="002475D7"/>
    <w:rsid w:val="00247D03"/>
    <w:rsid w:val="00247E17"/>
    <w:rsid w:val="0025014A"/>
    <w:rsid w:val="002502C4"/>
    <w:rsid w:val="0025047A"/>
    <w:rsid w:val="00250785"/>
    <w:rsid w:val="0025104C"/>
    <w:rsid w:val="0025116C"/>
    <w:rsid w:val="0025126D"/>
    <w:rsid w:val="00251372"/>
    <w:rsid w:val="0025172D"/>
    <w:rsid w:val="00251BC2"/>
    <w:rsid w:val="00251CEB"/>
    <w:rsid w:val="0025214A"/>
    <w:rsid w:val="0025227F"/>
    <w:rsid w:val="002524CB"/>
    <w:rsid w:val="002525C7"/>
    <w:rsid w:val="00252C5C"/>
    <w:rsid w:val="0025330B"/>
    <w:rsid w:val="00253755"/>
    <w:rsid w:val="002537A4"/>
    <w:rsid w:val="002537D4"/>
    <w:rsid w:val="002537E6"/>
    <w:rsid w:val="00253816"/>
    <w:rsid w:val="0025392E"/>
    <w:rsid w:val="00253E5C"/>
    <w:rsid w:val="002542AD"/>
    <w:rsid w:val="00255662"/>
    <w:rsid w:val="00255F26"/>
    <w:rsid w:val="00256378"/>
    <w:rsid w:val="00256765"/>
    <w:rsid w:val="00256A42"/>
    <w:rsid w:val="00256A56"/>
    <w:rsid w:val="00257B85"/>
    <w:rsid w:val="00257DBB"/>
    <w:rsid w:val="00257E27"/>
    <w:rsid w:val="00260557"/>
    <w:rsid w:val="00260D1A"/>
    <w:rsid w:val="00260D1E"/>
    <w:rsid w:val="00260D38"/>
    <w:rsid w:val="00261686"/>
    <w:rsid w:val="00261754"/>
    <w:rsid w:val="00261860"/>
    <w:rsid w:val="002622DE"/>
    <w:rsid w:val="0026243A"/>
    <w:rsid w:val="00262504"/>
    <w:rsid w:val="002626A5"/>
    <w:rsid w:val="0026272B"/>
    <w:rsid w:val="0026302C"/>
    <w:rsid w:val="0026328A"/>
    <w:rsid w:val="00264298"/>
    <w:rsid w:val="0026455D"/>
    <w:rsid w:val="00265454"/>
    <w:rsid w:val="00265A9F"/>
    <w:rsid w:val="00265D5B"/>
    <w:rsid w:val="0026603E"/>
    <w:rsid w:val="0026607B"/>
    <w:rsid w:val="00266C07"/>
    <w:rsid w:val="00266E66"/>
    <w:rsid w:val="00267A50"/>
    <w:rsid w:val="002702EC"/>
    <w:rsid w:val="00270631"/>
    <w:rsid w:val="002706D0"/>
    <w:rsid w:val="002712E1"/>
    <w:rsid w:val="00271C3F"/>
    <w:rsid w:val="00272027"/>
    <w:rsid w:val="00272ACD"/>
    <w:rsid w:val="00272CDC"/>
    <w:rsid w:val="00272D68"/>
    <w:rsid w:val="00272F54"/>
    <w:rsid w:val="002731BC"/>
    <w:rsid w:val="002732DA"/>
    <w:rsid w:val="00273391"/>
    <w:rsid w:val="0027376D"/>
    <w:rsid w:val="00273F42"/>
    <w:rsid w:val="002740A1"/>
    <w:rsid w:val="002740CC"/>
    <w:rsid w:val="0027435E"/>
    <w:rsid w:val="00274744"/>
    <w:rsid w:val="002748AD"/>
    <w:rsid w:val="00274B1F"/>
    <w:rsid w:val="00275242"/>
    <w:rsid w:val="00275333"/>
    <w:rsid w:val="00275573"/>
    <w:rsid w:val="00275EE2"/>
    <w:rsid w:val="00276265"/>
    <w:rsid w:val="002771D1"/>
    <w:rsid w:val="002774CC"/>
    <w:rsid w:val="00280073"/>
    <w:rsid w:val="00280481"/>
    <w:rsid w:val="0028067C"/>
    <w:rsid w:val="00280B69"/>
    <w:rsid w:val="00281B3F"/>
    <w:rsid w:val="00281D75"/>
    <w:rsid w:val="002820BC"/>
    <w:rsid w:val="002824C2"/>
    <w:rsid w:val="00282995"/>
    <w:rsid w:val="0028324F"/>
    <w:rsid w:val="00283823"/>
    <w:rsid w:val="0028385A"/>
    <w:rsid w:val="00283ABC"/>
    <w:rsid w:val="002842D4"/>
    <w:rsid w:val="00284BC5"/>
    <w:rsid w:val="00284E2F"/>
    <w:rsid w:val="0028558F"/>
    <w:rsid w:val="002855CE"/>
    <w:rsid w:val="00285723"/>
    <w:rsid w:val="002857B7"/>
    <w:rsid w:val="00285BDB"/>
    <w:rsid w:val="00285D59"/>
    <w:rsid w:val="00285D85"/>
    <w:rsid w:val="00285E80"/>
    <w:rsid w:val="00285F7C"/>
    <w:rsid w:val="002866B2"/>
    <w:rsid w:val="0028681C"/>
    <w:rsid w:val="00286B69"/>
    <w:rsid w:val="00286BE3"/>
    <w:rsid w:val="00286FB7"/>
    <w:rsid w:val="00287916"/>
    <w:rsid w:val="00290411"/>
    <w:rsid w:val="00290607"/>
    <w:rsid w:val="00290621"/>
    <w:rsid w:val="00290750"/>
    <w:rsid w:val="00290882"/>
    <w:rsid w:val="00291035"/>
    <w:rsid w:val="00291390"/>
    <w:rsid w:val="00291510"/>
    <w:rsid w:val="0029196F"/>
    <w:rsid w:val="00291C1E"/>
    <w:rsid w:val="00292102"/>
    <w:rsid w:val="002922AA"/>
    <w:rsid w:val="00292780"/>
    <w:rsid w:val="002930B7"/>
    <w:rsid w:val="002934CC"/>
    <w:rsid w:val="0029368B"/>
    <w:rsid w:val="002944A0"/>
    <w:rsid w:val="0029460F"/>
    <w:rsid w:val="00294749"/>
    <w:rsid w:val="002949A6"/>
    <w:rsid w:val="002956CE"/>
    <w:rsid w:val="00295C91"/>
    <w:rsid w:val="00297C96"/>
    <w:rsid w:val="00297D23"/>
    <w:rsid w:val="002A00FC"/>
    <w:rsid w:val="002A0413"/>
    <w:rsid w:val="002A0B9A"/>
    <w:rsid w:val="002A11B5"/>
    <w:rsid w:val="002A1654"/>
    <w:rsid w:val="002A173F"/>
    <w:rsid w:val="002A19AF"/>
    <w:rsid w:val="002A2681"/>
    <w:rsid w:val="002A2F80"/>
    <w:rsid w:val="002A318E"/>
    <w:rsid w:val="002A3BC8"/>
    <w:rsid w:val="002A3D7C"/>
    <w:rsid w:val="002A4000"/>
    <w:rsid w:val="002A468D"/>
    <w:rsid w:val="002A4740"/>
    <w:rsid w:val="002A4896"/>
    <w:rsid w:val="002A4AB1"/>
    <w:rsid w:val="002A4BED"/>
    <w:rsid w:val="002A4D06"/>
    <w:rsid w:val="002A4E3E"/>
    <w:rsid w:val="002A50BE"/>
    <w:rsid w:val="002A57C6"/>
    <w:rsid w:val="002A5902"/>
    <w:rsid w:val="002A5B4D"/>
    <w:rsid w:val="002A5F93"/>
    <w:rsid w:val="002A62BA"/>
    <w:rsid w:val="002A63B6"/>
    <w:rsid w:val="002A68A7"/>
    <w:rsid w:val="002A6991"/>
    <w:rsid w:val="002A6A29"/>
    <w:rsid w:val="002A6B3A"/>
    <w:rsid w:val="002A6EC0"/>
    <w:rsid w:val="002A706D"/>
    <w:rsid w:val="002A7175"/>
    <w:rsid w:val="002A71E2"/>
    <w:rsid w:val="002A730F"/>
    <w:rsid w:val="002A76E1"/>
    <w:rsid w:val="002A7EA3"/>
    <w:rsid w:val="002B0208"/>
    <w:rsid w:val="002B0378"/>
    <w:rsid w:val="002B059F"/>
    <w:rsid w:val="002B072D"/>
    <w:rsid w:val="002B08E2"/>
    <w:rsid w:val="002B0A2F"/>
    <w:rsid w:val="002B0EC5"/>
    <w:rsid w:val="002B1746"/>
    <w:rsid w:val="002B1AAD"/>
    <w:rsid w:val="002B26B6"/>
    <w:rsid w:val="002B2D18"/>
    <w:rsid w:val="002B2E75"/>
    <w:rsid w:val="002B2F29"/>
    <w:rsid w:val="002B322A"/>
    <w:rsid w:val="002B33D0"/>
    <w:rsid w:val="002B3B51"/>
    <w:rsid w:val="002B42F8"/>
    <w:rsid w:val="002B44D8"/>
    <w:rsid w:val="002B488C"/>
    <w:rsid w:val="002B49C5"/>
    <w:rsid w:val="002B570B"/>
    <w:rsid w:val="002B5C93"/>
    <w:rsid w:val="002B5D6F"/>
    <w:rsid w:val="002B5FCA"/>
    <w:rsid w:val="002B616A"/>
    <w:rsid w:val="002B66EF"/>
    <w:rsid w:val="002B6E6F"/>
    <w:rsid w:val="002B799F"/>
    <w:rsid w:val="002B7BA1"/>
    <w:rsid w:val="002B7F69"/>
    <w:rsid w:val="002C05A8"/>
    <w:rsid w:val="002C061B"/>
    <w:rsid w:val="002C09C9"/>
    <w:rsid w:val="002C1770"/>
    <w:rsid w:val="002C20E0"/>
    <w:rsid w:val="002C26D4"/>
    <w:rsid w:val="002C31CD"/>
    <w:rsid w:val="002C3BCB"/>
    <w:rsid w:val="002C3BF3"/>
    <w:rsid w:val="002C4807"/>
    <w:rsid w:val="002C4A76"/>
    <w:rsid w:val="002C4E8E"/>
    <w:rsid w:val="002C4EBD"/>
    <w:rsid w:val="002C5901"/>
    <w:rsid w:val="002C5B13"/>
    <w:rsid w:val="002C5CAD"/>
    <w:rsid w:val="002C6582"/>
    <w:rsid w:val="002C6749"/>
    <w:rsid w:val="002C68A7"/>
    <w:rsid w:val="002C6C3E"/>
    <w:rsid w:val="002C7109"/>
    <w:rsid w:val="002C7536"/>
    <w:rsid w:val="002C77BB"/>
    <w:rsid w:val="002D0908"/>
    <w:rsid w:val="002D13AC"/>
    <w:rsid w:val="002D164E"/>
    <w:rsid w:val="002D1E28"/>
    <w:rsid w:val="002D1EA9"/>
    <w:rsid w:val="002D1FAA"/>
    <w:rsid w:val="002D1FBB"/>
    <w:rsid w:val="002D21DA"/>
    <w:rsid w:val="002D2A18"/>
    <w:rsid w:val="002D32EB"/>
    <w:rsid w:val="002D36BF"/>
    <w:rsid w:val="002D3798"/>
    <w:rsid w:val="002D386E"/>
    <w:rsid w:val="002D3C21"/>
    <w:rsid w:val="002D3C71"/>
    <w:rsid w:val="002D3F10"/>
    <w:rsid w:val="002D4373"/>
    <w:rsid w:val="002D4584"/>
    <w:rsid w:val="002D4891"/>
    <w:rsid w:val="002D4A39"/>
    <w:rsid w:val="002D4E6B"/>
    <w:rsid w:val="002D554C"/>
    <w:rsid w:val="002D573F"/>
    <w:rsid w:val="002D5DD0"/>
    <w:rsid w:val="002D5E9A"/>
    <w:rsid w:val="002D5EB2"/>
    <w:rsid w:val="002D766C"/>
    <w:rsid w:val="002E0024"/>
    <w:rsid w:val="002E01AF"/>
    <w:rsid w:val="002E03BE"/>
    <w:rsid w:val="002E063C"/>
    <w:rsid w:val="002E09F4"/>
    <w:rsid w:val="002E0D26"/>
    <w:rsid w:val="002E0EDA"/>
    <w:rsid w:val="002E1150"/>
    <w:rsid w:val="002E144A"/>
    <w:rsid w:val="002E15EC"/>
    <w:rsid w:val="002E1810"/>
    <w:rsid w:val="002E1B01"/>
    <w:rsid w:val="002E2073"/>
    <w:rsid w:val="002E2811"/>
    <w:rsid w:val="002E28CE"/>
    <w:rsid w:val="002E28DA"/>
    <w:rsid w:val="002E2AB0"/>
    <w:rsid w:val="002E2BF0"/>
    <w:rsid w:val="002E2E09"/>
    <w:rsid w:val="002E39B3"/>
    <w:rsid w:val="002E40F5"/>
    <w:rsid w:val="002E46A1"/>
    <w:rsid w:val="002E498B"/>
    <w:rsid w:val="002E4A2E"/>
    <w:rsid w:val="002E4B65"/>
    <w:rsid w:val="002E5414"/>
    <w:rsid w:val="002E580F"/>
    <w:rsid w:val="002E59D6"/>
    <w:rsid w:val="002E618F"/>
    <w:rsid w:val="002E63D7"/>
    <w:rsid w:val="002E64CA"/>
    <w:rsid w:val="002E69FA"/>
    <w:rsid w:val="002E6A75"/>
    <w:rsid w:val="002E6EDE"/>
    <w:rsid w:val="002E6F8F"/>
    <w:rsid w:val="002E7103"/>
    <w:rsid w:val="002F0272"/>
    <w:rsid w:val="002F06FD"/>
    <w:rsid w:val="002F09BC"/>
    <w:rsid w:val="002F0C13"/>
    <w:rsid w:val="002F21A1"/>
    <w:rsid w:val="002F264E"/>
    <w:rsid w:val="002F272E"/>
    <w:rsid w:val="002F2A4E"/>
    <w:rsid w:val="002F2E92"/>
    <w:rsid w:val="002F3C7E"/>
    <w:rsid w:val="002F3DE8"/>
    <w:rsid w:val="002F3E3F"/>
    <w:rsid w:val="002F3FBE"/>
    <w:rsid w:val="002F42CA"/>
    <w:rsid w:val="002F4611"/>
    <w:rsid w:val="002F4728"/>
    <w:rsid w:val="002F4A8A"/>
    <w:rsid w:val="002F4C89"/>
    <w:rsid w:val="002F5101"/>
    <w:rsid w:val="002F5ACB"/>
    <w:rsid w:val="002F62FA"/>
    <w:rsid w:val="002F6429"/>
    <w:rsid w:val="002F6DE9"/>
    <w:rsid w:val="002F72E2"/>
    <w:rsid w:val="002F75FA"/>
    <w:rsid w:val="002F7723"/>
    <w:rsid w:val="002F7895"/>
    <w:rsid w:val="003001D7"/>
    <w:rsid w:val="00300535"/>
    <w:rsid w:val="00300897"/>
    <w:rsid w:val="0030140E"/>
    <w:rsid w:val="003017F2"/>
    <w:rsid w:val="00301AE7"/>
    <w:rsid w:val="003020E2"/>
    <w:rsid w:val="00302116"/>
    <w:rsid w:val="00302CD6"/>
    <w:rsid w:val="0030329F"/>
    <w:rsid w:val="003032D7"/>
    <w:rsid w:val="003035A6"/>
    <w:rsid w:val="0030372F"/>
    <w:rsid w:val="00303C7C"/>
    <w:rsid w:val="00304198"/>
    <w:rsid w:val="003044F5"/>
    <w:rsid w:val="00304B6D"/>
    <w:rsid w:val="00304C75"/>
    <w:rsid w:val="00304EFF"/>
    <w:rsid w:val="00305109"/>
    <w:rsid w:val="0030534C"/>
    <w:rsid w:val="003057B7"/>
    <w:rsid w:val="00305D32"/>
    <w:rsid w:val="003064C1"/>
    <w:rsid w:val="0030669A"/>
    <w:rsid w:val="00306D54"/>
    <w:rsid w:val="00306EED"/>
    <w:rsid w:val="003071B2"/>
    <w:rsid w:val="00310023"/>
    <w:rsid w:val="003104A4"/>
    <w:rsid w:val="00310D4E"/>
    <w:rsid w:val="00310D9D"/>
    <w:rsid w:val="00311308"/>
    <w:rsid w:val="00311518"/>
    <w:rsid w:val="00311807"/>
    <w:rsid w:val="00311BEF"/>
    <w:rsid w:val="00311C0F"/>
    <w:rsid w:val="00312104"/>
    <w:rsid w:val="0031212A"/>
    <w:rsid w:val="0031288C"/>
    <w:rsid w:val="00312FE0"/>
    <w:rsid w:val="00313011"/>
    <w:rsid w:val="0031305B"/>
    <w:rsid w:val="003130D7"/>
    <w:rsid w:val="00313308"/>
    <w:rsid w:val="00313443"/>
    <w:rsid w:val="00313474"/>
    <w:rsid w:val="00313DF2"/>
    <w:rsid w:val="00313EAB"/>
    <w:rsid w:val="00314638"/>
    <w:rsid w:val="00314703"/>
    <w:rsid w:val="003148E7"/>
    <w:rsid w:val="00314CBC"/>
    <w:rsid w:val="00314D9F"/>
    <w:rsid w:val="003155D8"/>
    <w:rsid w:val="00315D0D"/>
    <w:rsid w:val="00316B8D"/>
    <w:rsid w:val="00316DAF"/>
    <w:rsid w:val="0031723B"/>
    <w:rsid w:val="00317456"/>
    <w:rsid w:val="003174AC"/>
    <w:rsid w:val="00317D07"/>
    <w:rsid w:val="00317E26"/>
    <w:rsid w:val="00320162"/>
    <w:rsid w:val="003201D9"/>
    <w:rsid w:val="00320738"/>
    <w:rsid w:val="003208F0"/>
    <w:rsid w:val="00320E45"/>
    <w:rsid w:val="003211FA"/>
    <w:rsid w:val="00321252"/>
    <w:rsid w:val="0032134C"/>
    <w:rsid w:val="0032142F"/>
    <w:rsid w:val="003214A0"/>
    <w:rsid w:val="00322482"/>
    <w:rsid w:val="003226B1"/>
    <w:rsid w:val="00322B30"/>
    <w:rsid w:val="0032311D"/>
    <w:rsid w:val="00323271"/>
    <w:rsid w:val="003234A9"/>
    <w:rsid w:val="00323632"/>
    <w:rsid w:val="003238E8"/>
    <w:rsid w:val="00324684"/>
    <w:rsid w:val="00324C87"/>
    <w:rsid w:val="00324F9D"/>
    <w:rsid w:val="0032503F"/>
    <w:rsid w:val="00325BDC"/>
    <w:rsid w:val="00325E5C"/>
    <w:rsid w:val="003265DE"/>
    <w:rsid w:val="00326E6C"/>
    <w:rsid w:val="00326EFD"/>
    <w:rsid w:val="0032741A"/>
    <w:rsid w:val="00327AD1"/>
    <w:rsid w:val="003308FF"/>
    <w:rsid w:val="00330B93"/>
    <w:rsid w:val="00330BB1"/>
    <w:rsid w:val="0033154F"/>
    <w:rsid w:val="0033184D"/>
    <w:rsid w:val="00331962"/>
    <w:rsid w:val="003319D9"/>
    <w:rsid w:val="00332087"/>
    <w:rsid w:val="003320E2"/>
    <w:rsid w:val="00332660"/>
    <w:rsid w:val="00332A54"/>
    <w:rsid w:val="00332C15"/>
    <w:rsid w:val="00332DF6"/>
    <w:rsid w:val="003330B4"/>
    <w:rsid w:val="00333101"/>
    <w:rsid w:val="003335FD"/>
    <w:rsid w:val="00333A01"/>
    <w:rsid w:val="00333B14"/>
    <w:rsid w:val="00333B65"/>
    <w:rsid w:val="00333BD3"/>
    <w:rsid w:val="00333EC2"/>
    <w:rsid w:val="003341F8"/>
    <w:rsid w:val="00334382"/>
    <w:rsid w:val="00334956"/>
    <w:rsid w:val="003351F3"/>
    <w:rsid w:val="003359E8"/>
    <w:rsid w:val="00335AAE"/>
    <w:rsid w:val="00335F9F"/>
    <w:rsid w:val="003362C5"/>
    <w:rsid w:val="00336321"/>
    <w:rsid w:val="00336468"/>
    <w:rsid w:val="0033687C"/>
    <w:rsid w:val="003368B2"/>
    <w:rsid w:val="00336D9C"/>
    <w:rsid w:val="0033719C"/>
    <w:rsid w:val="003373A3"/>
    <w:rsid w:val="003374AB"/>
    <w:rsid w:val="003374EA"/>
    <w:rsid w:val="00337D51"/>
    <w:rsid w:val="003403E7"/>
    <w:rsid w:val="00340A1A"/>
    <w:rsid w:val="00340BA2"/>
    <w:rsid w:val="00340D22"/>
    <w:rsid w:val="00341050"/>
    <w:rsid w:val="00341826"/>
    <w:rsid w:val="00341BF5"/>
    <w:rsid w:val="003420B8"/>
    <w:rsid w:val="003421E0"/>
    <w:rsid w:val="003423E4"/>
    <w:rsid w:val="00342412"/>
    <w:rsid w:val="003426E0"/>
    <w:rsid w:val="0034335D"/>
    <w:rsid w:val="0034339A"/>
    <w:rsid w:val="003433BA"/>
    <w:rsid w:val="00343A8B"/>
    <w:rsid w:val="00344749"/>
    <w:rsid w:val="0034521D"/>
    <w:rsid w:val="00345358"/>
    <w:rsid w:val="00345BF6"/>
    <w:rsid w:val="0034609C"/>
    <w:rsid w:val="003462D7"/>
    <w:rsid w:val="0034660D"/>
    <w:rsid w:val="00346860"/>
    <w:rsid w:val="00346886"/>
    <w:rsid w:val="003468E1"/>
    <w:rsid w:val="00346B0E"/>
    <w:rsid w:val="00346E02"/>
    <w:rsid w:val="003471CF"/>
    <w:rsid w:val="003477AF"/>
    <w:rsid w:val="00347BCE"/>
    <w:rsid w:val="00347D46"/>
    <w:rsid w:val="00347FAE"/>
    <w:rsid w:val="0035014F"/>
    <w:rsid w:val="003503EE"/>
    <w:rsid w:val="003506E5"/>
    <w:rsid w:val="0035075A"/>
    <w:rsid w:val="00351371"/>
    <w:rsid w:val="003514D3"/>
    <w:rsid w:val="0035204A"/>
    <w:rsid w:val="003526F0"/>
    <w:rsid w:val="0035308D"/>
    <w:rsid w:val="00353154"/>
    <w:rsid w:val="0035347A"/>
    <w:rsid w:val="0035385F"/>
    <w:rsid w:val="00354B68"/>
    <w:rsid w:val="00354C52"/>
    <w:rsid w:val="00354E59"/>
    <w:rsid w:val="00355179"/>
    <w:rsid w:val="00355509"/>
    <w:rsid w:val="003555E8"/>
    <w:rsid w:val="00355925"/>
    <w:rsid w:val="00355A8C"/>
    <w:rsid w:val="00355ABA"/>
    <w:rsid w:val="00355C66"/>
    <w:rsid w:val="003565EB"/>
    <w:rsid w:val="00356953"/>
    <w:rsid w:val="00356D63"/>
    <w:rsid w:val="0035786D"/>
    <w:rsid w:val="00357F84"/>
    <w:rsid w:val="00360200"/>
    <w:rsid w:val="00360A75"/>
    <w:rsid w:val="00360C2C"/>
    <w:rsid w:val="00360C93"/>
    <w:rsid w:val="00360D16"/>
    <w:rsid w:val="00360DB9"/>
    <w:rsid w:val="00360DFC"/>
    <w:rsid w:val="00360FDE"/>
    <w:rsid w:val="00361779"/>
    <w:rsid w:val="00361DEE"/>
    <w:rsid w:val="00362751"/>
    <w:rsid w:val="00362CC6"/>
    <w:rsid w:val="00362F80"/>
    <w:rsid w:val="00363807"/>
    <w:rsid w:val="00364337"/>
    <w:rsid w:val="00364B76"/>
    <w:rsid w:val="00364ED2"/>
    <w:rsid w:val="00365300"/>
    <w:rsid w:val="00365473"/>
    <w:rsid w:val="00365B56"/>
    <w:rsid w:val="00365BEE"/>
    <w:rsid w:val="003667AE"/>
    <w:rsid w:val="00366E4D"/>
    <w:rsid w:val="00366F6C"/>
    <w:rsid w:val="00367340"/>
    <w:rsid w:val="00367B37"/>
    <w:rsid w:val="00367BB8"/>
    <w:rsid w:val="00367E3B"/>
    <w:rsid w:val="003703D3"/>
    <w:rsid w:val="00370C60"/>
    <w:rsid w:val="00370DA3"/>
    <w:rsid w:val="00371158"/>
    <w:rsid w:val="00371965"/>
    <w:rsid w:val="00371F7F"/>
    <w:rsid w:val="0037251D"/>
    <w:rsid w:val="00372606"/>
    <w:rsid w:val="00372A0C"/>
    <w:rsid w:val="00372D57"/>
    <w:rsid w:val="00373044"/>
    <w:rsid w:val="003732E5"/>
    <w:rsid w:val="00373358"/>
    <w:rsid w:val="00373ACB"/>
    <w:rsid w:val="00373C13"/>
    <w:rsid w:val="003742DA"/>
    <w:rsid w:val="003743DE"/>
    <w:rsid w:val="00374679"/>
    <w:rsid w:val="003747FF"/>
    <w:rsid w:val="0037483B"/>
    <w:rsid w:val="00374BAB"/>
    <w:rsid w:val="00374E17"/>
    <w:rsid w:val="003755FB"/>
    <w:rsid w:val="00375ABF"/>
    <w:rsid w:val="00375B68"/>
    <w:rsid w:val="0037669B"/>
    <w:rsid w:val="003766FA"/>
    <w:rsid w:val="00376CC0"/>
    <w:rsid w:val="00377088"/>
    <w:rsid w:val="0037748E"/>
    <w:rsid w:val="00377677"/>
    <w:rsid w:val="003776F9"/>
    <w:rsid w:val="003778F4"/>
    <w:rsid w:val="00377AB4"/>
    <w:rsid w:val="00377C17"/>
    <w:rsid w:val="00377D9A"/>
    <w:rsid w:val="00380A61"/>
    <w:rsid w:val="0038142A"/>
    <w:rsid w:val="0038158E"/>
    <w:rsid w:val="00381707"/>
    <w:rsid w:val="003824CE"/>
    <w:rsid w:val="00382629"/>
    <w:rsid w:val="00382B34"/>
    <w:rsid w:val="00382BB6"/>
    <w:rsid w:val="00382C4B"/>
    <w:rsid w:val="00382D59"/>
    <w:rsid w:val="00383DF3"/>
    <w:rsid w:val="00383FD9"/>
    <w:rsid w:val="00384112"/>
    <w:rsid w:val="00384785"/>
    <w:rsid w:val="00384A48"/>
    <w:rsid w:val="0038548E"/>
    <w:rsid w:val="003856F2"/>
    <w:rsid w:val="003859F6"/>
    <w:rsid w:val="00386694"/>
    <w:rsid w:val="003870E9"/>
    <w:rsid w:val="003870FA"/>
    <w:rsid w:val="003873A4"/>
    <w:rsid w:val="003873F7"/>
    <w:rsid w:val="003874A6"/>
    <w:rsid w:val="00387793"/>
    <w:rsid w:val="00387B58"/>
    <w:rsid w:val="00390000"/>
    <w:rsid w:val="003902DF"/>
    <w:rsid w:val="003907BC"/>
    <w:rsid w:val="00390AA9"/>
    <w:rsid w:val="00390AD0"/>
    <w:rsid w:val="0039131C"/>
    <w:rsid w:val="003918E9"/>
    <w:rsid w:val="003919F9"/>
    <w:rsid w:val="00391F5B"/>
    <w:rsid w:val="003925CC"/>
    <w:rsid w:val="003927E2"/>
    <w:rsid w:val="00392B6E"/>
    <w:rsid w:val="00393C5B"/>
    <w:rsid w:val="00394432"/>
    <w:rsid w:val="00394A53"/>
    <w:rsid w:val="00394CD8"/>
    <w:rsid w:val="00394E06"/>
    <w:rsid w:val="00395E84"/>
    <w:rsid w:val="00396363"/>
    <w:rsid w:val="0039688C"/>
    <w:rsid w:val="00397225"/>
    <w:rsid w:val="003978E0"/>
    <w:rsid w:val="00397EFA"/>
    <w:rsid w:val="003A01D7"/>
    <w:rsid w:val="003A0373"/>
    <w:rsid w:val="003A0420"/>
    <w:rsid w:val="003A0F22"/>
    <w:rsid w:val="003A104F"/>
    <w:rsid w:val="003A1A48"/>
    <w:rsid w:val="003A1AE3"/>
    <w:rsid w:val="003A1D93"/>
    <w:rsid w:val="003A1FA2"/>
    <w:rsid w:val="003A2050"/>
    <w:rsid w:val="003A21D1"/>
    <w:rsid w:val="003A23BE"/>
    <w:rsid w:val="003A30A7"/>
    <w:rsid w:val="003A321D"/>
    <w:rsid w:val="003A366C"/>
    <w:rsid w:val="003A3B03"/>
    <w:rsid w:val="003A3C73"/>
    <w:rsid w:val="003A45C9"/>
    <w:rsid w:val="003A48E6"/>
    <w:rsid w:val="003A4B2C"/>
    <w:rsid w:val="003A4C56"/>
    <w:rsid w:val="003A4E89"/>
    <w:rsid w:val="003A5007"/>
    <w:rsid w:val="003A5CA1"/>
    <w:rsid w:val="003A6035"/>
    <w:rsid w:val="003A6407"/>
    <w:rsid w:val="003A6D46"/>
    <w:rsid w:val="003A6FE7"/>
    <w:rsid w:val="003A71B2"/>
    <w:rsid w:val="003A7BA4"/>
    <w:rsid w:val="003B039D"/>
    <w:rsid w:val="003B058A"/>
    <w:rsid w:val="003B07B4"/>
    <w:rsid w:val="003B1697"/>
    <w:rsid w:val="003B249E"/>
    <w:rsid w:val="003B2920"/>
    <w:rsid w:val="003B2C07"/>
    <w:rsid w:val="003B2E4D"/>
    <w:rsid w:val="003B2ED0"/>
    <w:rsid w:val="003B306D"/>
    <w:rsid w:val="003B3109"/>
    <w:rsid w:val="003B3338"/>
    <w:rsid w:val="003B3492"/>
    <w:rsid w:val="003B3496"/>
    <w:rsid w:val="003B3A9D"/>
    <w:rsid w:val="003B401B"/>
    <w:rsid w:val="003B4238"/>
    <w:rsid w:val="003B4948"/>
    <w:rsid w:val="003B4AE0"/>
    <w:rsid w:val="003B4B78"/>
    <w:rsid w:val="003B4D2E"/>
    <w:rsid w:val="003B4FFA"/>
    <w:rsid w:val="003B5663"/>
    <w:rsid w:val="003B5874"/>
    <w:rsid w:val="003B5EDB"/>
    <w:rsid w:val="003B6119"/>
    <w:rsid w:val="003B65D1"/>
    <w:rsid w:val="003B7538"/>
    <w:rsid w:val="003B7778"/>
    <w:rsid w:val="003C030F"/>
    <w:rsid w:val="003C0766"/>
    <w:rsid w:val="003C0A29"/>
    <w:rsid w:val="003C0B27"/>
    <w:rsid w:val="003C1DCC"/>
    <w:rsid w:val="003C2D9D"/>
    <w:rsid w:val="003C2DC4"/>
    <w:rsid w:val="003C340C"/>
    <w:rsid w:val="003C3605"/>
    <w:rsid w:val="003C38DD"/>
    <w:rsid w:val="003C3D2A"/>
    <w:rsid w:val="003C3F55"/>
    <w:rsid w:val="003C4D18"/>
    <w:rsid w:val="003C51D0"/>
    <w:rsid w:val="003C5786"/>
    <w:rsid w:val="003C5CA6"/>
    <w:rsid w:val="003C6022"/>
    <w:rsid w:val="003C6041"/>
    <w:rsid w:val="003C68BB"/>
    <w:rsid w:val="003C6FF0"/>
    <w:rsid w:val="003C70A6"/>
    <w:rsid w:val="003C7255"/>
    <w:rsid w:val="003D029A"/>
    <w:rsid w:val="003D075C"/>
    <w:rsid w:val="003D12D9"/>
    <w:rsid w:val="003D1DA4"/>
    <w:rsid w:val="003D26E4"/>
    <w:rsid w:val="003D2753"/>
    <w:rsid w:val="003D27BE"/>
    <w:rsid w:val="003D2C3F"/>
    <w:rsid w:val="003D3339"/>
    <w:rsid w:val="003D3E24"/>
    <w:rsid w:val="003D41A1"/>
    <w:rsid w:val="003D472B"/>
    <w:rsid w:val="003D48A4"/>
    <w:rsid w:val="003D4C9F"/>
    <w:rsid w:val="003D59FB"/>
    <w:rsid w:val="003D5ADC"/>
    <w:rsid w:val="003D5F02"/>
    <w:rsid w:val="003D64A6"/>
    <w:rsid w:val="003D64CF"/>
    <w:rsid w:val="003D6683"/>
    <w:rsid w:val="003D6B39"/>
    <w:rsid w:val="003D6BE0"/>
    <w:rsid w:val="003D788C"/>
    <w:rsid w:val="003D79BE"/>
    <w:rsid w:val="003E041D"/>
    <w:rsid w:val="003E0646"/>
    <w:rsid w:val="003E0695"/>
    <w:rsid w:val="003E08D8"/>
    <w:rsid w:val="003E0DBD"/>
    <w:rsid w:val="003E101A"/>
    <w:rsid w:val="003E110F"/>
    <w:rsid w:val="003E163B"/>
    <w:rsid w:val="003E16A6"/>
    <w:rsid w:val="003E1B1B"/>
    <w:rsid w:val="003E1C00"/>
    <w:rsid w:val="003E22C1"/>
    <w:rsid w:val="003E28B9"/>
    <w:rsid w:val="003E2AA8"/>
    <w:rsid w:val="003E2B76"/>
    <w:rsid w:val="003E3079"/>
    <w:rsid w:val="003E30B0"/>
    <w:rsid w:val="003E3129"/>
    <w:rsid w:val="003E31EB"/>
    <w:rsid w:val="003E339B"/>
    <w:rsid w:val="003E36C6"/>
    <w:rsid w:val="003E3C0B"/>
    <w:rsid w:val="003E41AF"/>
    <w:rsid w:val="003E45D5"/>
    <w:rsid w:val="003E4A2B"/>
    <w:rsid w:val="003E4B22"/>
    <w:rsid w:val="003E4F6A"/>
    <w:rsid w:val="003E4F86"/>
    <w:rsid w:val="003E54AF"/>
    <w:rsid w:val="003E6029"/>
    <w:rsid w:val="003E611A"/>
    <w:rsid w:val="003E62D0"/>
    <w:rsid w:val="003E68F0"/>
    <w:rsid w:val="003E69B0"/>
    <w:rsid w:val="003E6B07"/>
    <w:rsid w:val="003E72F3"/>
    <w:rsid w:val="003E73C4"/>
    <w:rsid w:val="003E7416"/>
    <w:rsid w:val="003E74C5"/>
    <w:rsid w:val="003E7A74"/>
    <w:rsid w:val="003E7A90"/>
    <w:rsid w:val="003E7ABA"/>
    <w:rsid w:val="003F06A4"/>
    <w:rsid w:val="003F09C6"/>
    <w:rsid w:val="003F0AF5"/>
    <w:rsid w:val="003F0E68"/>
    <w:rsid w:val="003F112C"/>
    <w:rsid w:val="003F119A"/>
    <w:rsid w:val="003F123C"/>
    <w:rsid w:val="003F141A"/>
    <w:rsid w:val="003F15C3"/>
    <w:rsid w:val="003F202D"/>
    <w:rsid w:val="003F21A4"/>
    <w:rsid w:val="003F2290"/>
    <w:rsid w:val="003F23F1"/>
    <w:rsid w:val="003F2E2E"/>
    <w:rsid w:val="003F3B06"/>
    <w:rsid w:val="003F40FA"/>
    <w:rsid w:val="003F4306"/>
    <w:rsid w:val="003F4517"/>
    <w:rsid w:val="003F4FDB"/>
    <w:rsid w:val="003F52E5"/>
    <w:rsid w:val="003F5307"/>
    <w:rsid w:val="003F5852"/>
    <w:rsid w:val="003F5C39"/>
    <w:rsid w:val="003F5D53"/>
    <w:rsid w:val="003F60DC"/>
    <w:rsid w:val="003F6941"/>
    <w:rsid w:val="003F694A"/>
    <w:rsid w:val="003F7215"/>
    <w:rsid w:val="003F72AB"/>
    <w:rsid w:val="003F72C4"/>
    <w:rsid w:val="003F7807"/>
    <w:rsid w:val="003F7995"/>
    <w:rsid w:val="003F7D3E"/>
    <w:rsid w:val="00401050"/>
    <w:rsid w:val="004010A1"/>
    <w:rsid w:val="00401692"/>
    <w:rsid w:val="00402037"/>
    <w:rsid w:val="0040253C"/>
    <w:rsid w:val="004025B0"/>
    <w:rsid w:val="00402A5B"/>
    <w:rsid w:val="00402B4C"/>
    <w:rsid w:val="00402E1D"/>
    <w:rsid w:val="00403B2E"/>
    <w:rsid w:val="0040400D"/>
    <w:rsid w:val="004042DD"/>
    <w:rsid w:val="00404436"/>
    <w:rsid w:val="00404A16"/>
    <w:rsid w:val="00405981"/>
    <w:rsid w:val="00405EBC"/>
    <w:rsid w:val="0040684A"/>
    <w:rsid w:val="00406B74"/>
    <w:rsid w:val="00406CB3"/>
    <w:rsid w:val="004075C1"/>
    <w:rsid w:val="00407A5C"/>
    <w:rsid w:val="00407D6A"/>
    <w:rsid w:val="004100AD"/>
    <w:rsid w:val="004108AD"/>
    <w:rsid w:val="004115A6"/>
    <w:rsid w:val="004119B0"/>
    <w:rsid w:val="00411A5A"/>
    <w:rsid w:val="00411D7B"/>
    <w:rsid w:val="00411E1B"/>
    <w:rsid w:val="004123DD"/>
    <w:rsid w:val="00413692"/>
    <w:rsid w:val="00413789"/>
    <w:rsid w:val="004137C9"/>
    <w:rsid w:val="00413913"/>
    <w:rsid w:val="00413BA9"/>
    <w:rsid w:val="00413EEB"/>
    <w:rsid w:val="00413F22"/>
    <w:rsid w:val="00414BF0"/>
    <w:rsid w:val="00414F7C"/>
    <w:rsid w:val="004151B5"/>
    <w:rsid w:val="00415E34"/>
    <w:rsid w:val="00416478"/>
    <w:rsid w:val="00416BF9"/>
    <w:rsid w:val="00416F5E"/>
    <w:rsid w:val="00417214"/>
    <w:rsid w:val="0042029E"/>
    <w:rsid w:val="0042050A"/>
    <w:rsid w:val="00420A20"/>
    <w:rsid w:val="00420D13"/>
    <w:rsid w:val="0042115D"/>
    <w:rsid w:val="0042150F"/>
    <w:rsid w:val="00421BEB"/>
    <w:rsid w:val="00421DD0"/>
    <w:rsid w:val="00422850"/>
    <w:rsid w:val="00422AC2"/>
    <w:rsid w:val="0042361B"/>
    <w:rsid w:val="0042375C"/>
    <w:rsid w:val="0042396A"/>
    <w:rsid w:val="004239D3"/>
    <w:rsid w:val="004239FA"/>
    <w:rsid w:val="00423EC7"/>
    <w:rsid w:val="0042437C"/>
    <w:rsid w:val="004243AA"/>
    <w:rsid w:val="00424515"/>
    <w:rsid w:val="0042477A"/>
    <w:rsid w:val="00424C13"/>
    <w:rsid w:val="00424DFD"/>
    <w:rsid w:val="0042506B"/>
    <w:rsid w:val="00425097"/>
    <w:rsid w:val="0042541C"/>
    <w:rsid w:val="00425EAA"/>
    <w:rsid w:val="00426145"/>
    <w:rsid w:val="0042698C"/>
    <w:rsid w:val="0042699E"/>
    <w:rsid w:val="00427246"/>
    <w:rsid w:val="004273EF"/>
    <w:rsid w:val="004276A0"/>
    <w:rsid w:val="00427F1E"/>
    <w:rsid w:val="004300DD"/>
    <w:rsid w:val="0043091D"/>
    <w:rsid w:val="00430CBE"/>
    <w:rsid w:val="004312F6"/>
    <w:rsid w:val="004314FF"/>
    <w:rsid w:val="00431A22"/>
    <w:rsid w:val="00431B44"/>
    <w:rsid w:val="00431BFD"/>
    <w:rsid w:val="00431EBB"/>
    <w:rsid w:val="00431ED4"/>
    <w:rsid w:val="00432585"/>
    <w:rsid w:val="0043267C"/>
    <w:rsid w:val="00432DAB"/>
    <w:rsid w:val="004330F7"/>
    <w:rsid w:val="004331F8"/>
    <w:rsid w:val="004332B9"/>
    <w:rsid w:val="00433365"/>
    <w:rsid w:val="004336D5"/>
    <w:rsid w:val="004339FD"/>
    <w:rsid w:val="00433B52"/>
    <w:rsid w:val="00433D60"/>
    <w:rsid w:val="00434CC8"/>
    <w:rsid w:val="00434F08"/>
    <w:rsid w:val="0043504C"/>
    <w:rsid w:val="00435B8B"/>
    <w:rsid w:val="00436377"/>
    <w:rsid w:val="00436C96"/>
    <w:rsid w:val="0043722F"/>
    <w:rsid w:val="004375F6"/>
    <w:rsid w:val="00437C9F"/>
    <w:rsid w:val="00437D9F"/>
    <w:rsid w:val="0044011A"/>
    <w:rsid w:val="00440784"/>
    <w:rsid w:val="00440A4A"/>
    <w:rsid w:val="004410B5"/>
    <w:rsid w:val="00441A96"/>
    <w:rsid w:val="00441C0E"/>
    <w:rsid w:val="00441DAD"/>
    <w:rsid w:val="004420E7"/>
    <w:rsid w:val="004423F4"/>
    <w:rsid w:val="00442589"/>
    <w:rsid w:val="00442613"/>
    <w:rsid w:val="00442C63"/>
    <w:rsid w:val="00442C79"/>
    <w:rsid w:val="0044330C"/>
    <w:rsid w:val="004443DC"/>
    <w:rsid w:val="004444B9"/>
    <w:rsid w:val="00444E3C"/>
    <w:rsid w:val="00445031"/>
    <w:rsid w:val="004452EF"/>
    <w:rsid w:val="00445897"/>
    <w:rsid w:val="00445A4B"/>
    <w:rsid w:val="0044623D"/>
    <w:rsid w:val="004462EC"/>
    <w:rsid w:val="0044678B"/>
    <w:rsid w:val="00446B12"/>
    <w:rsid w:val="00446D26"/>
    <w:rsid w:val="00446F60"/>
    <w:rsid w:val="00447122"/>
    <w:rsid w:val="00447193"/>
    <w:rsid w:val="004477D1"/>
    <w:rsid w:val="00447B82"/>
    <w:rsid w:val="00447E2E"/>
    <w:rsid w:val="00450171"/>
    <w:rsid w:val="00450868"/>
    <w:rsid w:val="00450C31"/>
    <w:rsid w:val="00451322"/>
    <w:rsid w:val="00451772"/>
    <w:rsid w:val="00452580"/>
    <w:rsid w:val="0045292D"/>
    <w:rsid w:val="00452C19"/>
    <w:rsid w:val="00452E9C"/>
    <w:rsid w:val="0045387B"/>
    <w:rsid w:val="004538A5"/>
    <w:rsid w:val="00453C92"/>
    <w:rsid w:val="00453E4C"/>
    <w:rsid w:val="00454646"/>
    <w:rsid w:val="00454A27"/>
    <w:rsid w:val="004556BB"/>
    <w:rsid w:val="00455E0A"/>
    <w:rsid w:val="00456AEF"/>
    <w:rsid w:val="00456B00"/>
    <w:rsid w:val="00456B9F"/>
    <w:rsid w:val="00456E13"/>
    <w:rsid w:val="00456F77"/>
    <w:rsid w:val="004573AB"/>
    <w:rsid w:val="00457B53"/>
    <w:rsid w:val="004604AF"/>
    <w:rsid w:val="0046057B"/>
    <w:rsid w:val="00462198"/>
    <w:rsid w:val="004623C6"/>
    <w:rsid w:val="00462C0B"/>
    <w:rsid w:val="00462DC1"/>
    <w:rsid w:val="00463198"/>
    <w:rsid w:val="00463986"/>
    <w:rsid w:val="00463E9D"/>
    <w:rsid w:val="00463EC7"/>
    <w:rsid w:val="0046507F"/>
    <w:rsid w:val="00465A21"/>
    <w:rsid w:val="00466D9E"/>
    <w:rsid w:val="00466E62"/>
    <w:rsid w:val="004677B0"/>
    <w:rsid w:val="00467B7C"/>
    <w:rsid w:val="00467CEF"/>
    <w:rsid w:val="0047004E"/>
    <w:rsid w:val="00470111"/>
    <w:rsid w:val="00470379"/>
    <w:rsid w:val="004704A0"/>
    <w:rsid w:val="004706EE"/>
    <w:rsid w:val="00470A9F"/>
    <w:rsid w:val="00471292"/>
    <w:rsid w:val="0047150C"/>
    <w:rsid w:val="004715B0"/>
    <w:rsid w:val="0047193B"/>
    <w:rsid w:val="00471FB0"/>
    <w:rsid w:val="0047238F"/>
    <w:rsid w:val="004725B6"/>
    <w:rsid w:val="00472675"/>
    <w:rsid w:val="00472B74"/>
    <w:rsid w:val="00472D6F"/>
    <w:rsid w:val="004732ED"/>
    <w:rsid w:val="004732FF"/>
    <w:rsid w:val="004734F1"/>
    <w:rsid w:val="00473EEE"/>
    <w:rsid w:val="00474690"/>
    <w:rsid w:val="00474C38"/>
    <w:rsid w:val="00475611"/>
    <w:rsid w:val="00475747"/>
    <w:rsid w:val="00475800"/>
    <w:rsid w:val="00475C22"/>
    <w:rsid w:val="00476543"/>
    <w:rsid w:val="00476570"/>
    <w:rsid w:val="00476945"/>
    <w:rsid w:val="00476A58"/>
    <w:rsid w:val="00477130"/>
    <w:rsid w:val="00477207"/>
    <w:rsid w:val="0048010F"/>
    <w:rsid w:val="00480298"/>
    <w:rsid w:val="0048037F"/>
    <w:rsid w:val="004803C5"/>
    <w:rsid w:val="004807A0"/>
    <w:rsid w:val="004813A2"/>
    <w:rsid w:val="00481A97"/>
    <w:rsid w:val="00481E55"/>
    <w:rsid w:val="00481F17"/>
    <w:rsid w:val="00482332"/>
    <w:rsid w:val="0048242F"/>
    <w:rsid w:val="004824E9"/>
    <w:rsid w:val="00482AEC"/>
    <w:rsid w:val="00482B5A"/>
    <w:rsid w:val="00482BE7"/>
    <w:rsid w:val="00483451"/>
    <w:rsid w:val="004842F3"/>
    <w:rsid w:val="00484517"/>
    <w:rsid w:val="0048498B"/>
    <w:rsid w:val="0048548C"/>
    <w:rsid w:val="00485EAC"/>
    <w:rsid w:val="00486247"/>
    <w:rsid w:val="004863E3"/>
    <w:rsid w:val="004868B0"/>
    <w:rsid w:val="00486A3A"/>
    <w:rsid w:val="00486A7A"/>
    <w:rsid w:val="004873D1"/>
    <w:rsid w:val="004874B6"/>
    <w:rsid w:val="00487BCA"/>
    <w:rsid w:val="0049048C"/>
    <w:rsid w:val="004907DC"/>
    <w:rsid w:val="00490DE7"/>
    <w:rsid w:val="004913D4"/>
    <w:rsid w:val="00491795"/>
    <w:rsid w:val="00491FC2"/>
    <w:rsid w:val="00492911"/>
    <w:rsid w:val="0049292F"/>
    <w:rsid w:val="00492C90"/>
    <w:rsid w:val="00492CE0"/>
    <w:rsid w:val="00492D34"/>
    <w:rsid w:val="00492F2C"/>
    <w:rsid w:val="004939DF"/>
    <w:rsid w:val="00494247"/>
    <w:rsid w:val="00494475"/>
    <w:rsid w:val="004946EC"/>
    <w:rsid w:val="00494757"/>
    <w:rsid w:val="00494962"/>
    <w:rsid w:val="00494EB9"/>
    <w:rsid w:val="004950AF"/>
    <w:rsid w:val="00495182"/>
    <w:rsid w:val="004955DD"/>
    <w:rsid w:val="004957E0"/>
    <w:rsid w:val="00495A94"/>
    <w:rsid w:val="00495E3A"/>
    <w:rsid w:val="004963E0"/>
    <w:rsid w:val="004966DD"/>
    <w:rsid w:val="00496A8C"/>
    <w:rsid w:val="00496BB0"/>
    <w:rsid w:val="0049704B"/>
    <w:rsid w:val="0049796F"/>
    <w:rsid w:val="004A003B"/>
    <w:rsid w:val="004A043B"/>
    <w:rsid w:val="004A0632"/>
    <w:rsid w:val="004A0C89"/>
    <w:rsid w:val="004A1B4D"/>
    <w:rsid w:val="004A1E69"/>
    <w:rsid w:val="004A2053"/>
    <w:rsid w:val="004A25A9"/>
    <w:rsid w:val="004A2DC9"/>
    <w:rsid w:val="004A2E2C"/>
    <w:rsid w:val="004A3A99"/>
    <w:rsid w:val="004A3B15"/>
    <w:rsid w:val="004A3D76"/>
    <w:rsid w:val="004A3EA7"/>
    <w:rsid w:val="004A42F8"/>
    <w:rsid w:val="004A4386"/>
    <w:rsid w:val="004A46E0"/>
    <w:rsid w:val="004A491C"/>
    <w:rsid w:val="004A4C5B"/>
    <w:rsid w:val="004A50A9"/>
    <w:rsid w:val="004A526B"/>
    <w:rsid w:val="004A5863"/>
    <w:rsid w:val="004A69F2"/>
    <w:rsid w:val="004A6B68"/>
    <w:rsid w:val="004A6D02"/>
    <w:rsid w:val="004A6D9A"/>
    <w:rsid w:val="004A70F8"/>
    <w:rsid w:val="004A7742"/>
    <w:rsid w:val="004A7B8A"/>
    <w:rsid w:val="004A7FEE"/>
    <w:rsid w:val="004B01E0"/>
    <w:rsid w:val="004B0572"/>
    <w:rsid w:val="004B068F"/>
    <w:rsid w:val="004B06B2"/>
    <w:rsid w:val="004B09A6"/>
    <w:rsid w:val="004B0ED3"/>
    <w:rsid w:val="004B1C86"/>
    <w:rsid w:val="004B2138"/>
    <w:rsid w:val="004B25C3"/>
    <w:rsid w:val="004B25D4"/>
    <w:rsid w:val="004B26CF"/>
    <w:rsid w:val="004B292C"/>
    <w:rsid w:val="004B2EAA"/>
    <w:rsid w:val="004B2FF1"/>
    <w:rsid w:val="004B312B"/>
    <w:rsid w:val="004B36DF"/>
    <w:rsid w:val="004B39A3"/>
    <w:rsid w:val="004B3B54"/>
    <w:rsid w:val="004B3FC4"/>
    <w:rsid w:val="004B4181"/>
    <w:rsid w:val="004B4650"/>
    <w:rsid w:val="004B4913"/>
    <w:rsid w:val="004B499D"/>
    <w:rsid w:val="004B4FB5"/>
    <w:rsid w:val="004B53FD"/>
    <w:rsid w:val="004B5836"/>
    <w:rsid w:val="004B59B3"/>
    <w:rsid w:val="004B5A21"/>
    <w:rsid w:val="004B6538"/>
    <w:rsid w:val="004B6B6E"/>
    <w:rsid w:val="004B6B7B"/>
    <w:rsid w:val="004B6B9C"/>
    <w:rsid w:val="004B7501"/>
    <w:rsid w:val="004B776A"/>
    <w:rsid w:val="004B7D1E"/>
    <w:rsid w:val="004C028C"/>
    <w:rsid w:val="004C07A7"/>
    <w:rsid w:val="004C1002"/>
    <w:rsid w:val="004C1D45"/>
    <w:rsid w:val="004C2220"/>
    <w:rsid w:val="004C2494"/>
    <w:rsid w:val="004C2FE6"/>
    <w:rsid w:val="004C31A6"/>
    <w:rsid w:val="004C4293"/>
    <w:rsid w:val="004C4C71"/>
    <w:rsid w:val="004C4D59"/>
    <w:rsid w:val="004C555B"/>
    <w:rsid w:val="004C5C48"/>
    <w:rsid w:val="004C6715"/>
    <w:rsid w:val="004C6805"/>
    <w:rsid w:val="004C6C7F"/>
    <w:rsid w:val="004C74E1"/>
    <w:rsid w:val="004C7A01"/>
    <w:rsid w:val="004C7A45"/>
    <w:rsid w:val="004D0387"/>
    <w:rsid w:val="004D041A"/>
    <w:rsid w:val="004D056A"/>
    <w:rsid w:val="004D06F3"/>
    <w:rsid w:val="004D111A"/>
    <w:rsid w:val="004D16CB"/>
    <w:rsid w:val="004D180A"/>
    <w:rsid w:val="004D24DF"/>
    <w:rsid w:val="004D2C1C"/>
    <w:rsid w:val="004D2CE3"/>
    <w:rsid w:val="004D2FBD"/>
    <w:rsid w:val="004D30BC"/>
    <w:rsid w:val="004D32CF"/>
    <w:rsid w:val="004D32FF"/>
    <w:rsid w:val="004D392D"/>
    <w:rsid w:val="004D3D35"/>
    <w:rsid w:val="004D4188"/>
    <w:rsid w:val="004D4BF8"/>
    <w:rsid w:val="004D51E5"/>
    <w:rsid w:val="004D5E74"/>
    <w:rsid w:val="004D6166"/>
    <w:rsid w:val="004D6607"/>
    <w:rsid w:val="004D6663"/>
    <w:rsid w:val="004D6B19"/>
    <w:rsid w:val="004D6DBF"/>
    <w:rsid w:val="004D7057"/>
    <w:rsid w:val="004D7426"/>
    <w:rsid w:val="004D79F7"/>
    <w:rsid w:val="004D7C64"/>
    <w:rsid w:val="004E007E"/>
    <w:rsid w:val="004E0CD5"/>
    <w:rsid w:val="004E0E07"/>
    <w:rsid w:val="004E175B"/>
    <w:rsid w:val="004E1869"/>
    <w:rsid w:val="004E19E4"/>
    <w:rsid w:val="004E1D7C"/>
    <w:rsid w:val="004E1DCC"/>
    <w:rsid w:val="004E2177"/>
    <w:rsid w:val="004E23F4"/>
    <w:rsid w:val="004E2B8F"/>
    <w:rsid w:val="004E306E"/>
    <w:rsid w:val="004E31EE"/>
    <w:rsid w:val="004E3452"/>
    <w:rsid w:val="004E354B"/>
    <w:rsid w:val="004E380F"/>
    <w:rsid w:val="004E3CA1"/>
    <w:rsid w:val="004E3D6C"/>
    <w:rsid w:val="004E41AF"/>
    <w:rsid w:val="004E4312"/>
    <w:rsid w:val="004E4477"/>
    <w:rsid w:val="004E44E6"/>
    <w:rsid w:val="004E4647"/>
    <w:rsid w:val="004E4F2C"/>
    <w:rsid w:val="004E4FE6"/>
    <w:rsid w:val="004E5669"/>
    <w:rsid w:val="004E58BC"/>
    <w:rsid w:val="004E58CF"/>
    <w:rsid w:val="004E5B0E"/>
    <w:rsid w:val="004E5CE1"/>
    <w:rsid w:val="004E6031"/>
    <w:rsid w:val="004E6144"/>
    <w:rsid w:val="004E65D4"/>
    <w:rsid w:val="004E6A68"/>
    <w:rsid w:val="004E6C7D"/>
    <w:rsid w:val="004E7171"/>
    <w:rsid w:val="004E7626"/>
    <w:rsid w:val="004E7CB0"/>
    <w:rsid w:val="004E7CC1"/>
    <w:rsid w:val="004E7D44"/>
    <w:rsid w:val="004F015C"/>
    <w:rsid w:val="004F0162"/>
    <w:rsid w:val="004F05A9"/>
    <w:rsid w:val="004F0849"/>
    <w:rsid w:val="004F0F1C"/>
    <w:rsid w:val="004F18A5"/>
    <w:rsid w:val="004F1EE3"/>
    <w:rsid w:val="004F241B"/>
    <w:rsid w:val="004F3077"/>
    <w:rsid w:val="004F450B"/>
    <w:rsid w:val="004F4616"/>
    <w:rsid w:val="004F4F2C"/>
    <w:rsid w:val="004F53CF"/>
    <w:rsid w:val="004F66EB"/>
    <w:rsid w:val="004F6939"/>
    <w:rsid w:val="004F6A8A"/>
    <w:rsid w:val="004F706F"/>
    <w:rsid w:val="004F707D"/>
    <w:rsid w:val="004F754B"/>
    <w:rsid w:val="004F7B84"/>
    <w:rsid w:val="004F7C9D"/>
    <w:rsid w:val="005005B3"/>
    <w:rsid w:val="005011F2"/>
    <w:rsid w:val="00501562"/>
    <w:rsid w:val="00501610"/>
    <w:rsid w:val="005016A9"/>
    <w:rsid w:val="00501848"/>
    <w:rsid w:val="005019C9"/>
    <w:rsid w:val="00501AA2"/>
    <w:rsid w:val="0050252F"/>
    <w:rsid w:val="00502F32"/>
    <w:rsid w:val="0050301E"/>
    <w:rsid w:val="00503293"/>
    <w:rsid w:val="0050344F"/>
    <w:rsid w:val="00504E12"/>
    <w:rsid w:val="00504ED0"/>
    <w:rsid w:val="005051F1"/>
    <w:rsid w:val="005054F1"/>
    <w:rsid w:val="00505A74"/>
    <w:rsid w:val="00505B0D"/>
    <w:rsid w:val="00506443"/>
    <w:rsid w:val="0050704A"/>
    <w:rsid w:val="005072BB"/>
    <w:rsid w:val="00507F95"/>
    <w:rsid w:val="00510217"/>
    <w:rsid w:val="005103E7"/>
    <w:rsid w:val="00510C9A"/>
    <w:rsid w:val="00510F2E"/>
    <w:rsid w:val="0051138A"/>
    <w:rsid w:val="005115B2"/>
    <w:rsid w:val="005116B5"/>
    <w:rsid w:val="005116D9"/>
    <w:rsid w:val="0051178F"/>
    <w:rsid w:val="005119E3"/>
    <w:rsid w:val="00511C3E"/>
    <w:rsid w:val="005129C9"/>
    <w:rsid w:val="005130D9"/>
    <w:rsid w:val="00513970"/>
    <w:rsid w:val="00513BC7"/>
    <w:rsid w:val="00513DCD"/>
    <w:rsid w:val="00514030"/>
    <w:rsid w:val="00514352"/>
    <w:rsid w:val="0051436A"/>
    <w:rsid w:val="0051478A"/>
    <w:rsid w:val="005147A7"/>
    <w:rsid w:val="005158BD"/>
    <w:rsid w:val="00516029"/>
    <w:rsid w:val="00516CB8"/>
    <w:rsid w:val="0051707E"/>
    <w:rsid w:val="00517596"/>
    <w:rsid w:val="005175D4"/>
    <w:rsid w:val="00517D83"/>
    <w:rsid w:val="00520055"/>
    <w:rsid w:val="0052039C"/>
    <w:rsid w:val="00520C53"/>
    <w:rsid w:val="00520F48"/>
    <w:rsid w:val="0052139C"/>
    <w:rsid w:val="00521A4D"/>
    <w:rsid w:val="00521AE0"/>
    <w:rsid w:val="00521D4A"/>
    <w:rsid w:val="0052260E"/>
    <w:rsid w:val="00522DD4"/>
    <w:rsid w:val="0052317E"/>
    <w:rsid w:val="005231AF"/>
    <w:rsid w:val="00523260"/>
    <w:rsid w:val="0052371C"/>
    <w:rsid w:val="00523A8D"/>
    <w:rsid w:val="0052475E"/>
    <w:rsid w:val="005253CA"/>
    <w:rsid w:val="005253FF"/>
    <w:rsid w:val="00525FF6"/>
    <w:rsid w:val="00526B46"/>
    <w:rsid w:val="00526C15"/>
    <w:rsid w:val="005271D1"/>
    <w:rsid w:val="00527B1E"/>
    <w:rsid w:val="00530207"/>
    <w:rsid w:val="0053069E"/>
    <w:rsid w:val="0053134E"/>
    <w:rsid w:val="00531B20"/>
    <w:rsid w:val="00531B5B"/>
    <w:rsid w:val="00531F28"/>
    <w:rsid w:val="0053232F"/>
    <w:rsid w:val="0053245C"/>
    <w:rsid w:val="005325FE"/>
    <w:rsid w:val="005330C2"/>
    <w:rsid w:val="005338C4"/>
    <w:rsid w:val="00533AE8"/>
    <w:rsid w:val="00533C56"/>
    <w:rsid w:val="005344EB"/>
    <w:rsid w:val="00534A89"/>
    <w:rsid w:val="00534E9A"/>
    <w:rsid w:val="00535244"/>
    <w:rsid w:val="005357F2"/>
    <w:rsid w:val="00535A80"/>
    <w:rsid w:val="00535AF4"/>
    <w:rsid w:val="00536455"/>
    <w:rsid w:val="00536B19"/>
    <w:rsid w:val="00537756"/>
    <w:rsid w:val="0053787F"/>
    <w:rsid w:val="00537A03"/>
    <w:rsid w:val="00537A8A"/>
    <w:rsid w:val="00537CE9"/>
    <w:rsid w:val="00537F7E"/>
    <w:rsid w:val="00540178"/>
    <w:rsid w:val="005404C4"/>
    <w:rsid w:val="0054083E"/>
    <w:rsid w:val="00540CE6"/>
    <w:rsid w:val="00540F45"/>
    <w:rsid w:val="005410D9"/>
    <w:rsid w:val="005416C8"/>
    <w:rsid w:val="00541D58"/>
    <w:rsid w:val="00542226"/>
    <w:rsid w:val="00542290"/>
    <w:rsid w:val="005429EC"/>
    <w:rsid w:val="00542A0A"/>
    <w:rsid w:val="00542C46"/>
    <w:rsid w:val="00542DF2"/>
    <w:rsid w:val="005441DD"/>
    <w:rsid w:val="005443B9"/>
    <w:rsid w:val="005443D8"/>
    <w:rsid w:val="005445B9"/>
    <w:rsid w:val="00544975"/>
    <w:rsid w:val="00544DA4"/>
    <w:rsid w:val="00545360"/>
    <w:rsid w:val="00545503"/>
    <w:rsid w:val="00545905"/>
    <w:rsid w:val="00545B37"/>
    <w:rsid w:val="00546F0C"/>
    <w:rsid w:val="00550710"/>
    <w:rsid w:val="00550EE5"/>
    <w:rsid w:val="0055112E"/>
    <w:rsid w:val="005515D5"/>
    <w:rsid w:val="0055196F"/>
    <w:rsid w:val="00551C63"/>
    <w:rsid w:val="005523A3"/>
    <w:rsid w:val="005524F8"/>
    <w:rsid w:val="00552802"/>
    <w:rsid w:val="00552D2D"/>
    <w:rsid w:val="00553078"/>
    <w:rsid w:val="005532D3"/>
    <w:rsid w:val="005533BF"/>
    <w:rsid w:val="00553441"/>
    <w:rsid w:val="005535AF"/>
    <w:rsid w:val="005537D5"/>
    <w:rsid w:val="0055388E"/>
    <w:rsid w:val="00553A26"/>
    <w:rsid w:val="00554CA5"/>
    <w:rsid w:val="00555956"/>
    <w:rsid w:val="00555EAB"/>
    <w:rsid w:val="0055622E"/>
    <w:rsid w:val="005562C7"/>
    <w:rsid w:val="005565C0"/>
    <w:rsid w:val="00556CB8"/>
    <w:rsid w:val="0055730E"/>
    <w:rsid w:val="005575B7"/>
    <w:rsid w:val="00557824"/>
    <w:rsid w:val="00557954"/>
    <w:rsid w:val="00557D4B"/>
    <w:rsid w:val="00557EA8"/>
    <w:rsid w:val="005605DB"/>
    <w:rsid w:val="00560629"/>
    <w:rsid w:val="0056146F"/>
    <w:rsid w:val="005615A9"/>
    <w:rsid w:val="00561FB8"/>
    <w:rsid w:val="005620E3"/>
    <w:rsid w:val="0056218A"/>
    <w:rsid w:val="005621AD"/>
    <w:rsid w:val="00562903"/>
    <w:rsid w:val="0056306C"/>
    <w:rsid w:val="0056328C"/>
    <w:rsid w:val="005632C3"/>
    <w:rsid w:val="005633B6"/>
    <w:rsid w:val="00563597"/>
    <w:rsid w:val="005639BA"/>
    <w:rsid w:val="005645A4"/>
    <w:rsid w:val="00564DF6"/>
    <w:rsid w:val="00565152"/>
    <w:rsid w:val="0056516F"/>
    <w:rsid w:val="00565333"/>
    <w:rsid w:val="00565492"/>
    <w:rsid w:val="005657CF"/>
    <w:rsid w:val="00565998"/>
    <w:rsid w:val="005659E0"/>
    <w:rsid w:val="00565EFB"/>
    <w:rsid w:val="005665E9"/>
    <w:rsid w:val="00566AB9"/>
    <w:rsid w:val="00566FE5"/>
    <w:rsid w:val="00567323"/>
    <w:rsid w:val="0057060E"/>
    <w:rsid w:val="005708A6"/>
    <w:rsid w:val="00570FAF"/>
    <w:rsid w:val="00571051"/>
    <w:rsid w:val="00571453"/>
    <w:rsid w:val="005716B3"/>
    <w:rsid w:val="00571933"/>
    <w:rsid w:val="00571E05"/>
    <w:rsid w:val="00572172"/>
    <w:rsid w:val="0057303B"/>
    <w:rsid w:val="005739BD"/>
    <w:rsid w:val="00573E4A"/>
    <w:rsid w:val="005741FC"/>
    <w:rsid w:val="005742EE"/>
    <w:rsid w:val="00574AFA"/>
    <w:rsid w:val="00575201"/>
    <w:rsid w:val="005755B0"/>
    <w:rsid w:val="00575CCA"/>
    <w:rsid w:val="00575F41"/>
    <w:rsid w:val="00576448"/>
    <w:rsid w:val="00576AD5"/>
    <w:rsid w:val="005770AD"/>
    <w:rsid w:val="005772E8"/>
    <w:rsid w:val="00577C10"/>
    <w:rsid w:val="00577CA7"/>
    <w:rsid w:val="00577D53"/>
    <w:rsid w:val="00577F04"/>
    <w:rsid w:val="00577F24"/>
    <w:rsid w:val="00580095"/>
    <w:rsid w:val="00580286"/>
    <w:rsid w:val="00581865"/>
    <w:rsid w:val="00581AC6"/>
    <w:rsid w:val="00582797"/>
    <w:rsid w:val="00582B71"/>
    <w:rsid w:val="00582C14"/>
    <w:rsid w:val="00582CE6"/>
    <w:rsid w:val="00582ED9"/>
    <w:rsid w:val="0058333C"/>
    <w:rsid w:val="0058365B"/>
    <w:rsid w:val="0058402F"/>
    <w:rsid w:val="005843D4"/>
    <w:rsid w:val="0058484D"/>
    <w:rsid w:val="00584B61"/>
    <w:rsid w:val="00584C8C"/>
    <w:rsid w:val="005852EE"/>
    <w:rsid w:val="00585784"/>
    <w:rsid w:val="00585A09"/>
    <w:rsid w:val="005861F1"/>
    <w:rsid w:val="0058686E"/>
    <w:rsid w:val="00586BDB"/>
    <w:rsid w:val="00586D55"/>
    <w:rsid w:val="005874D0"/>
    <w:rsid w:val="00587824"/>
    <w:rsid w:val="00587958"/>
    <w:rsid w:val="00587A61"/>
    <w:rsid w:val="00587E37"/>
    <w:rsid w:val="00590077"/>
    <w:rsid w:val="005902A7"/>
    <w:rsid w:val="005902B2"/>
    <w:rsid w:val="0059061A"/>
    <w:rsid w:val="005908E1"/>
    <w:rsid w:val="00590903"/>
    <w:rsid w:val="00590C45"/>
    <w:rsid w:val="00590E34"/>
    <w:rsid w:val="00590F0F"/>
    <w:rsid w:val="00591E39"/>
    <w:rsid w:val="00591E55"/>
    <w:rsid w:val="005921DE"/>
    <w:rsid w:val="005925C3"/>
    <w:rsid w:val="00592A4C"/>
    <w:rsid w:val="00592E5C"/>
    <w:rsid w:val="00592FB5"/>
    <w:rsid w:val="00593373"/>
    <w:rsid w:val="0059353F"/>
    <w:rsid w:val="00593844"/>
    <w:rsid w:val="00593873"/>
    <w:rsid w:val="00593947"/>
    <w:rsid w:val="0059412F"/>
    <w:rsid w:val="005941DA"/>
    <w:rsid w:val="005943D3"/>
    <w:rsid w:val="0059485D"/>
    <w:rsid w:val="00594929"/>
    <w:rsid w:val="00594BED"/>
    <w:rsid w:val="005952B9"/>
    <w:rsid w:val="00595317"/>
    <w:rsid w:val="00595D20"/>
    <w:rsid w:val="005971F5"/>
    <w:rsid w:val="00597285"/>
    <w:rsid w:val="0059750C"/>
    <w:rsid w:val="0059766A"/>
    <w:rsid w:val="005976B8"/>
    <w:rsid w:val="00597A9F"/>
    <w:rsid w:val="00597BAB"/>
    <w:rsid w:val="005A0002"/>
    <w:rsid w:val="005A0130"/>
    <w:rsid w:val="005A0477"/>
    <w:rsid w:val="005A0601"/>
    <w:rsid w:val="005A09B0"/>
    <w:rsid w:val="005A117D"/>
    <w:rsid w:val="005A126D"/>
    <w:rsid w:val="005A1396"/>
    <w:rsid w:val="005A1519"/>
    <w:rsid w:val="005A1A72"/>
    <w:rsid w:val="005A267D"/>
    <w:rsid w:val="005A31B5"/>
    <w:rsid w:val="005A33B6"/>
    <w:rsid w:val="005A3470"/>
    <w:rsid w:val="005A347D"/>
    <w:rsid w:val="005A41D5"/>
    <w:rsid w:val="005A44AF"/>
    <w:rsid w:val="005A483E"/>
    <w:rsid w:val="005A4C68"/>
    <w:rsid w:val="005A51AB"/>
    <w:rsid w:val="005A571B"/>
    <w:rsid w:val="005A5820"/>
    <w:rsid w:val="005A5E85"/>
    <w:rsid w:val="005A5ECA"/>
    <w:rsid w:val="005A6128"/>
    <w:rsid w:val="005A626C"/>
    <w:rsid w:val="005A66FC"/>
    <w:rsid w:val="005A6B87"/>
    <w:rsid w:val="005A6C2F"/>
    <w:rsid w:val="005A724F"/>
    <w:rsid w:val="005A7685"/>
    <w:rsid w:val="005A7998"/>
    <w:rsid w:val="005B07DF"/>
    <w:rsid w:val="005B0D09"/>
    <w:rsid w:val="005B104F"/>
    <w:rsid w:val="005B1A6D"/>
    <w:rsid w:val="005B1A86"/>
    <w:rsid w:val="005B1C8C"/>
    <w:rsid w:val="005B29C6"/>
    <w:rsid w:val="005B2A7B"/>
    <w:rsid w:val="005B2EC5"/>
    <w:rsid w:val="005B2F55"/>
    <w:rsid w:val="005B310F"/>
    <w:rsid w:val="005B3772"/>
    <w:rsid w:val="005B41CA"/>
    <w:rsid w:val="005B4B17"/>
    <w:rsid w:val="005B54CD"/>
    <w:rsid w:val="005B596C"/>
    <w:rsid w:val="005B6D3F"/>
    <w:rsid w:val="005B71A4"/>
    <w:rsid w:val="005B7596"/>
    <w:rsid w:val="005B759C"/>
    <w:rsid w:val="005B7A6C"/>
    <w:rsid w:val="005B7A91"/>
    <w:rsid w:val="005B7B2B"/>
    <w:rsid w:val="005B7C15"/>
    <w:rsid w:val="005B7D21"/>
    <w:rsid w:val="005C03B8"/>
    <w:rsid w:val="005C03F7"/>
    <w:rsid w:val="005C0506"/>
    <w:rsid w:val="005C060F"/>
    <w:rsid w:val="005C06EC"/>
    <w:rsid w:val="005C123E"/>
    <w:rsid w:val="005C125A"/>
    <w:rsid w:val="005C1347"/>
    <w:rsid w:val="005C1544"/>
    <w:rsid w:val="005C1546"/>
    <w:rsid w:val="005C159B"/>
    <w:rsid w:val="005C1675"/>
    <w:rsid w:val="005C188D"/>
    <w:rsid w:val="005C18DF"/>
    <w:rsid w:val="005C1FF9"/>
    <w:rsid w:val="005C2155"/>
    <w:rsid w:val="005C24A1"/>
    <w:rsid w:val="005C2AF5"/>
    <w:rsid w:val="005C2D38"/>
    <w:rsid w:val="005C41F1"/>
    <w:rsid w:val="005C46C4"/>
    <w:rsid w:val="005C47D6"/>
    <w:rsid w:val="005C55B8"/>
    <w:rsid w:val="005C5707"/>
    <w:rsid w:val="005C5772"/>
    <w:rsid w:val="005C5EA7"/>
    <w:rsid w:val="005C603C"/>
    <w:rsid w:val="005C60A8"/>
    <w:rsid w:val="005C6190"/>
    <w:rsid w:val="005C6520"/>
    <w:rsid w:val="005C6C3F"/>
    <w:rsid w:val="005C7079"/>
    <w:rsid w:val="005C729D"/>
    <w:rsid w:val="005C7369"/>
    <w:rsid w:val="005C7BAC"/>
    <w:rsid w:val="005D16A1"/>
    <w:rsid w:val="005D1BD9"/>
    <w:rsid w:val="005D202C"/>
    <w:rsid w:val="005D2396"/>
    <w:rsid w:val="005D239F"/>
    <w:rsid w:val="005D2427"/>
    <w:rsid w:val="005D2482"/>
    <w:rsid w:val="005D2BE9"/>
    <w:rsid w:val="005D3021"/>
    <w:rsid w:val="005D3A55"/>
    <w:rsid w:val="005D3B55"/>
    <w:rsid w:val="005D3ECF"/>
    <w:rsid w:val="005D4225"/>
    <w:rsid w:val="005D4532"/>
    <w:rsid w:val="005D45A3"/>
    <w:rsid w:val="005D4857"/>
    <w:rsid w:val="005D4AE7"/>
    <w:rsid w:val="005D4C9C"/>
    <w:rsid w:val="005D4E18"/>
    <w:rsid w:val="005D5338"/>
    <w:rsid w:val="005D5778"/>
    <w:rsid w:val="005D58F3"/>
    <w:rsid w:val="005D5A02"/>
    <w:rsid w:val="005D5A8D"/>
    <w:rsid w:val="005D6114"/>
    <w:rsid w:val="005D612C"/>
    <w:rsid w:val="005D6346"/>
    <w:rsid w:val="005D66FF"/>
    <w:rsid w:val="005D6864"/>
    <w:rsid w:val="005D6A30"/>
    <w:rsid w:val="005D6C39"/>
    <w:rsid w:val="005D74B4"/>
    <w:rsid w:val="005D7543"/>
    <w:rsid w:val="005D77A5"/>
    <w:rsid w:val="005D77BD"/>
    <w:rsid w:val="005D7A5E"/>
    <w:rsid w:val="005D7B4C"/>
    <w:rsid w:val="005E010F"/>
    <w:rsid w:val="005E043E"/>
    <w:rsid w:val="005E06CF"/>
    <w:rsid w:val="005E0B9A"/>
    <w:rsid w:val="005E0BE6"/>
    <w:rsid w:val="005E0F26"/>
    <w:rsid w:val="005E0F48"/>
    <w:rsid w:val="005E33FF"/>
    <w:rsid w:val="005E3901"/>
    <w:rsid w:val="005E39DC"/>
    <w:rsid w:val="005E3D56"/>
    <w:rsid w:val="005E3EF4"/>
    <w:rsid w:val="005E45E5"/>
    <w:rsid w:val="005E47AA"/>
    <w:rsid w:val="005E49C9"/>
    <w:rsid w:val="005E4B1E"/>
    <w:rsid w:val="005E4E7E"/>
    <w:rsid w:val="005E4ED5"/>
    <w:rsid w:val="005E5016"/>
    <w:rsid w:val="005E5149"/>
    <w:rsid w:val="005E5530"/>
    <w:rsid w:val="005E662E"/>
    <w:rsid w:val="005E6B7D"/>
    <w:rsid w:val="005E6E8A"/>
    <w:rsid w:val="005E7027"/>
    <w:rsid w:val="005E735B"/>
    <w:rsid w:val="005E7646"/>
    <w:rsid w:val="005E7703"/>
    <w:rsid w:val="005E770B"/>
    <w:rsid w:val="005E77BC"/>
    <w:rsid w:val="005F0502"/>
    <w:rsid w:val="005F0FF7"/>
    <w:rsid w:val="005F1245"/>
    <w:rsid w:val="005F12F0"/>
    <w:rsid w:val="005F1A1B"/>
    <w:rsid w:val="005F1A43"/>
    <w:rsid w:val="005F1D45"/>
    <w:rsid w:val="005F2341"/>
    <w:rsid w:val="005F2384"/>
    <w:rsid w:val="005F27B8"/>
    <w:rsid w:val="005F28DA"/>
    <w:rsid w:val="005F2AB5"/>
    <w:rsid w:val="005F30F3"/>
    <w:rsid w:val="005F314E"/>
    <w:rsid w:val="005F358F"/>
    <w:rsid w:val="005F3756"/>
    <w:rsid w:val="005F3A02"/>
    <w:rsid w:val="005F3C2C"/>
    <w:rsid w:val="005F446F"/>
    <w:rsid w:val="005F45E0"/>
    <w:rsid w:val="005F4701"/>
    <w:rsid w:val="005F4D65"/>
    <w:rsid w:val="005F5214"/>
    <w:rsid w:val="005F552B"/>
    <w:rsid w:val="005F5555"/>
    <w:rsid w:val="005F572D"/>
    <w:rsid w:val="005F5AB9"/>
    <w:rsid w:val="005F65FD"/>
    <w:rsid w:val="005F66D9"/>
    <w:rsid w:val="005F6884"/>
    <w:rsid w:val="005F6E6E"/>
    <w:rsid w:val="005F7260"/>
    <w:rsid w:val="005F7759"/>
    <w:rsid w:val="006010D2"/>
    <w:rsid w:val="006014B7"/>
    <w:rsid w:val="006019CC"/>
    <w:rsid w:val="00602203"/>
    <w:rsid w:val="00602464"/>
    <w:rsid w:val="00602BBD"/>
    <w:rsid w:val="00604394"/>
    <w:rsid w:val="00604621"/>
    <w:rsid w:val="00604743"/>
    <w:rsid w:val="00604BEA"/>
    <w:rsid w:val="00604F20"/>
    <w:rsid w:val="00605279"/>
    <w:rsid w:val="006053A9"/>
    <w:rsid w:val="00605749"/>
    <w:rsid w:val="006059FF"/>
    <w:rsid w:val="00605C2D"/>
    <w:rsid w:val="00605C9F"/>
    <w:rsid w:val="006061FB"/>
    <w:rsid w:val="00606540"/>
    <w:rsid w:val="006066DC"/>
    <w:rsid w:val="00606853"/>
    <w:rsid w:val="00606FF0"/>
    <w:rsid w:val="006074A6"/>
    <w:rsid w:val="006076B6"/>
    <w:rsid w:val="00607B6C"/>
    <w:rsid w:val="00607CA8"/>
    <w:rsid w:val="00607ED2"/>
    <w:rsid w:val="006106DA"/>
    <w:rsid w:val="00610D2D"/>
    <w:rsid w:val="006111CA"/>
    <w:rsid w:val="0061155E"/>
    <w:rsid w:val="0061232A"/>
    <w:rsid w:val="00612FEC"/>
    <w:rsid w:val="00613345"/>
    <w:rsid w:val="0061344A"/>
    <w:rsid w:val="006137BC"/>
    <w:rsid w:val="006139C5"/>
    <w:rsid w:val="00613B50"/>
    <w:rsid w:val="00614470"/>
    <w:rsid w:val="006145A1"/>
    <w:rsid w:val="006148B1"/>
    <w:rsid w:val="00614B17"/>
    <w:rsid w:val="006155E5"/>
    <w:rsid w:val="00615800"/>
    <w:rsid w:val="00615BAD"/>
    <w:rsid w:val="00616C4F"/>
    <w:rsid w:val="00616DE2"/>
    <w:rsid w:val="0061727D"/>
    <w:rsid w:val="0061743E"/>
    <w:rsid w:val="0061750B"/>
    <w:rsid w:val="00617740"/>
    <w:rsid w:val="0062021B"/>
    <w:rsid w:val="00620399"/>
    <w:rsid w:val="006208E2"/>
    <w:rsid w:val="00620A11"/>
    <w:rsid w:val="00620D2B"/>
    <w:rsid w:val="00621C6D"/>
    <w:rsid w:val="00622344"/>
    <w:rsid w:val="006225AD"/>
    <w:rsid w:val="00622A8A"/>
    <w:rsid w:val="00623025"/>
    <w:rsid w:val="006231F4"/>
    <w:rsid w:val="00623383"/>
    <w:rsid w:val="00623EA9"/>
    <w:rsid w:val="0062466F"/>
    <w:rsid w:val="00624F24"/>
    <w:rsid w:val="00625B8E"/>
    <w:rsid w:val="00626A83"/>
    <w:rsid w:val="00626B2B"/>
    <w:rsid w:val="006270A7"/>
    <w:rsid w:val="0062745F"/>
    <w:rsid w:val="00627600"/>
    <w:rsid w:val="006277CB"/>
    <w:rsid w:val="00627E9B"/>
    <w:rsid w:val="0063026D"/>
    <w:rsid w:val="00630439"/>
    <w:rsid w:val="00630BE8"/>
    <w:rsid w:val="00631297"/>
    <w:rsid w:val="00631891"/>
    <w:rsid w:val="00632048"/>
    <w:rsid w:val="00632CCE"/>
    <w:rsid w:val="00633136"/>
    <w:rsid w:val="006331E9"/>
    <w:rsid w:val="00633272"/>
    <w:rsid w:val="0063336E"/>
    <w:rsid w:val="006334EA"/>
    <w:rsid w:val="0063350C"/>
    <w:rsid w:val="006344BF"/>
    <w:rsid w:val="00634C9F"/>
    <w:rsid w:val="00634DAA"/>
    <w:rsid w:val="0063530A"/>
    <w:rsid w:val="00635334"/>
    <w:rsid w:val="00635657"/>
    <w:rsid w:val="00635855"/>
    <w:rsid w:val="00635B07"/>
    <w:rsid w:val="00635C74"/>
    <w:rsid w:val="00635D90"/>
    <w:rsid w:val="0063617C"/>
    <w:rsid w:val="00636AF5"/>
    <w:rsid w:val="00636EB6"/>
    <w:rsid w:val="006370CB"/>
    <w:rsid w:val="0063717D"/>
    <w:rsid w:val="00637643"/>
    <w:rsid w:val="006378B3"/>
    <w:rsid w:val="00637A50"/>
    <w:rsid w:val="00637B32"/>
    <w:rsid w:val="00637FB6"/>
    <w:rsid w:val="00640060"/>
    <w:rsid w:val="00640422"/>
    <w:rsid w:val="00640914"/>
    <w:rsid w:val="00640F92"/>
    <w:rsid w:val="00641097"/>
    <w:rsid w:val="006410E4"/>
    <w:rsid w:val="006414F2"/>
    <w:rsid w:val="006416D5"/>
    <w:rsid w:val="00641D60"/>
    <w:rsid w:val="006427E2"/>
    <w:rsid w:val="00642870"/>
    <w:rsid w:val="00642931"/>
    <w:rsid w:val="00642BF8"/>
    <w:rsid w:val="00642CDD"/>
    <w:rsid w:val="00642D91"/>
    <w:rsid w:val="00642F3B"/>
    <w:rsid w:val="00643C58"/>
    <w:rsid w:val="00643CD3"/>
    <w:rsid w:val="0064404B"/>
    <w:rsid w:val="0064406F"/>
    <w:rsid w:val="0064466C"/>
    <w:rsid w:val="00644B29"/>
    <w:rsid w:val="0064585E"/>
    <w:rsid w:val="0064587F"/>
    <w:rsid w:val="00645FA1"/>
    <w:rsid w:val="0064651C"/>
    <w:rsid w:val="0064685C"/>
    <w:rsid w:val="006469E6"/>
    <w:rsid w:val="00647476"/>
    <w:rsid w:val="0064775E"/>
    <w:rsid w:val="00647A96"/>
    <w:rsid w:val="00650270"/>
    <w:rsid w:val="00650873"/>
    <w:rsid w:val="00650CBB"/>
    <w:rsid w:val="00650F89"/>
    <w:rsid w:val="00651014"/>
    <w:rsid w:val="00651F69"/>
    <w:rsid w:val="00652351"/>
    <w:rsid w:val="00652B10"/>
    <w:rsid w:val="00653051"/>
    <w:rsid w:val="00653488"/>
    <w:rsid w:val="00653693"/>
    <w:rsid w:val="006536F8"/>
    <w:rsid w:val="00653850"/>
    <w:rsid w:val="006538EF"/>
    <w:rsid w:val="00653D3D"/>
    <w:rsid w:val="006543EF"/>
    <w:rsid w:val="00654707"/>
    <w:rsid w:val="00654CBA"/>
    <w:rsid w:val="006554F1"/>
    <w:rsid w:val="0065581F"/>
    <w:rsid w:val="00655C96"/>
    <w:rsid w:val="00655E36"/>
    <w:rsid w:val="0065603A"/>
    <w:rsid w:val="0065629B"/>
    <w:rsid w:val="0065679B"/>
    <w:rsid w:val="00656B28"/>
    <w:rsid w:val="00656C5C"/>
    <w:rsid w:val="00656F03"/>
    <w:rsid w:val="00656FC1"/>
    <w:rsid w:val="0065705F"/>
    <w:rsid w:val="00657088"/>
    <w:rsid w:val="0065732F"/>
    <w:rsid w:val="0065745F"/>
    <w:rsid w:val="00657C50"/>
    <w:rsid w:val="00657DF3"/>
    <w:rsid w:val="00660116"/>
    <w:rsid w:val="006603A0"/>
    <w:rsid w:val="00660529"/>
    <w:rsid w:val="006605CA"/>
    <w:rsid w:val="00660DB8"/>
    <w:rsid w:val="00661367"/>
    <w:rsid w:val="00662690"/>
    <w:rsid w:val="00662861"/>
    <w:rsid w:val="00662B7C"/>
    <w:rsid w:val="00662BFE"/>
    <w:rsid w:val="0066374C"/>
    <w:rsid w:val="0066388E"/>
    <w:rsid w:val="00663B8B"/>
    <w:rsid w:val="00663C2D"/>
    <w:rsid w:val="00663F4E"/>
    <w:rsid w:val="00663FC8"/>
    <w:rsid w:val="00664857"/>
    <w:rsid w:val="00664A61"/>
    <w:rsid w:val="00664C54"/>
    <w:rsid w:val="00664F89"/>
    <w:rsid w:val="00665241"/>
    <w:rsid w:val="006652B9"/>
    <w:rsid w:val="0066591C"/>
    <w:rsid w:val="00665B42"/>
    <w:rsid w:val="006662D1"/>
    <w:rsid w:val="006669C8"/>
    <w:rsid w:val="00666BB1"/>
    <w:rsid w:val="00666CD4"/>
    <w:rsid w:val="00666D49"/>
    <w:rsid w:val="006673C1"/>
    <w:rsid w:val="0066763A"/>
    <w:rsid w:val="0067018C"/>
    <w:rsid w:val="00670252"/>
    <w:rsid w:val="006702D1"/>
    <w:rsid w:val="00670609"/>
    <w:rsid w:val="00670898"/>
    <w:rsid w:val="0067095C"/>
    <w:rsid w:val="00670AB8"/>
    <w:rsid w:val="0067153D"/>
    <w:rsid w:val="00671936"/>
    <w:rsid w:val="00671C32"/>
    <w:rsid w:val="00672869"/>
    <w:rsid w:val="00672DF0"/>
    <w:rsid w:val="006731DC"/>
    <w:rsid w:val="00673661"/>
    <w:rsid w:val="00673A93"/>
    <w:rsid w:val="00673D7D"/>
    <w:rsid w:val="0067419C"/>
    <w:rsid w:val="0067437D"/>
    <w:rsid w:val="006749F0"/>
    <w:rsid w:val="00674F92"/>
    <w:rsid w:val="00675362"/>
    <w:rsid w:val="00675547"/>
    <w:rsid w:val="00675715"/>
    <w:rsid w:val="00675A06"/>
    <w:rsid w:val="00675A6E"/>
    <w:rsid w:val="006769F7"/>
    <w:rsid w:val="00676FA9"/>
    <w:rsid w:val="006770EB"/>
    <w:rsid w:val="006777FA"/>
    <w:rsid w:val="006778CB"/>
    <w:rsid w:val="00677C93"/>
    <w:rsid w:val="00677F22"/>
    <w:rsid w:val="00677F56"/>
    <w:rsid w:val="00680DCC"/>
    <w:rsid w:val="0068106F"/>
    <w:rsid w:val="00681247"/>
    <w:rsid w:val="00681514"/>
    <w:rsid w:val="00681E41"/>
    <w:rsid w:val="00682015"/>
    <w:rsid w:val="006820F4"/>
    <w:rsid w:val="0068288B"/>
    <w:rsid w:val="00682A11"/>
    <w:rsid w:val="00682D55"/>
    <w:rsid w:val="00682D6F"/>
    <w:rsid w:val="00682F30"/>
    <w:rsid w:val="00683233"/>
    <w:rsid w:val="00683425"/>
    <w:rsid w:val="00683E39"/>
    <w:rsid w:val="006844CE"/>
    <w:rsid w:val="006844F5"/>
    <w:rsid w:val="00684516"/>
    <w:rsid w:val="00684A2A"/>
    <w:rsid w:val="00684DE6"/>
    <w:rsid w:val="00685800"/>
    <w:rsid w:val="00685AB9"/>
    <w:rsid w:val="006866A2"/>
    <w:rsid w:val="00686772"/>
    <w:rsid w:val="00686785"/>
    <w:rsid w:val="006868EA"/>
    <w:rsid w:val="00686995"/>
    <w:rsid w:val="00686D25"/>
    <w:rsid w:val="0068721C"/>
    <w:rsid w:val="006875BD"/>
    <w:rsid w:val="006879E7"/>
    <w:rsid w:val="00687EC2"/>
    <w:rsid w:val="0069043D"/>
    <w:rsid w:val="0069067F"/>
    <w:rsid w:val="00690899"/>
    <w:rsid w:val="006909E2"/>
    <w:rsid w:val="00690B92"/>
    <w:rsid w:val="00690BE7"/>
    <w:rsid w:val="0069111D"/>
    <w:rsid w:val="006923CA"/>
    <w:rsid w:val="006924FE"/>
    <w:rsid w:val="00692D7F"/>
    <w:rsid w:val="00692D9C"/>
    <w:rsid w:val="00693059"/>
    <w:rsid w:val="006938E8"/>
    <w:rsid w:val="00693926"/>
    <w:rsid w:val="00693E7A"/>
    <w:rsid w:val="00693EAD"/>
    <w:rsid w:val="006943B0"/>
    <w:rsid w:val="00694E8B"/>
    <w:rsid w:val="006950D1"/>
    <w:rsid w:val="006956D1"/>
    <w:rsid w:val="00695D22"/>
    <w:rsid w:val="00696137"/>
    <w:rsid w:val="006962DF"/>
    <w:rsid w:val="00697174"/>
    <w:rsid w:val="00697D40"/>
    <w:rsid w:val="00697F77"/>
    <w:rsid w:val="006A034F"/>
    <w:rsid w:val="006A03AA"/>
    <w:rsid w:val="006A0556"/>
    <w:rsid w:val="006A076F"/>
    <w:rsid w:val="006A0866"/>
    <w:rsid w:val="006A0AF4"/>
    <w:rsid w:val="006A126F"/>
    <w:rsid w:val="006A1279"/>
    <w:rsid w:val="006A1387"/>
    <w:rsid w:val="006A19DF"/>
    <w:rsid w:val="006A1C07"/>
    <w:rsid w:val="006A24D3"/>
    <w:rsid w:val="006A2680"/>
    <w:rsid w:val="006A30DC"/>
    <w:rsid w:val="006A35A2"/>
    <w:rsid w:val="006A3969"/>
    <w:rsid w:val="006A3F73"/>
    <w:rsid w:val="006A41A7"/>
    <w:rsid w:val="006A4491"/>
    <w:rsid w:val="006A4AEA"/>
    <w:rsid w:val="006A4FA2"/>
    <w:rsid w:val="006A5188"/>
    <w:rsid w:val="006A549B"/>
    <w:rsid w:val="006A5AE6"/>
    <w:rsid w:val="006A6823"/>
    <w:rsid w:val="006A6A57"/>
    <w:rsid w:val="006A6D53"/>
    <w:rsid w:val="006A70FA"/>
    <w:rsid w:val="006A762F"/>
    <w:rsid w:val="006A7977"/>
    <w:rsid w:val="006A7C68"/>
    <w:rsid w:val="006A7E47"/>
    <w:rsid w:val="006A7E75"/>
    <w:rsid w:val="006B0059"/>
    <w:rsid w:val="006B06F5"/>
    <w:rsid w:val="006B0919"/>
    <w:rsid w:val="006B0A04"/>
    <w:rsid w:val="006B0A49"/>
    <w:rsid w:val="006B0D59"/>
    <w:rsid w:val="006B0DBD"/>
    <w:rsid w:val="006B142E"/>
    <w:rsid w:val="006B1599"/>
    <w:rsid w:val="006B186C"/>
    <w:rsid w:val="006B1B97"/>
    <w:rsid w:val="006B1CCB"/>
    <w:rsid w:val="006B1E16"/>
    <w:rsid w:val="006B233C"/>
    <w:rsid w:val="006B2861"/>
    <w:rsid w:val="006B31E0"/>
    <w:rsid w:val="006B32AA"/>
    <w:rsid w:val="006B3A1E"/>
    <w:rsid w:val="006B47B0"/>
    <w:rsid w:val="006B4A7E"/>
    <w:rsid w:val="006B5892"/>
    <w:rsid w:val="006B5CA2"/>
    <w:rsid w:val="006B6DD4"/>
    <w:rsid w:val="006B707F"/>
    <w:rsid w:val="006B716D"/>
    <w:rsid w:val="006B7A08"/>
    <w:rsid w:val="006B7A28"/>
    <w:rsid w:val="006B7D76"/>
    <w:rsid w:val="006B7E72"/>
    <w:rsid w:val="006C0210"/>
    <w:rsid w:val="006C0215"/>
    <w:rsid w:val="006C1043"/>
    <w:rsid w:val="006C1253"/>
    <w:rsid w:val="006C161F"/>
    <w:rsid w:val="006C1739"/>
    <w:rsid w:val="006C1AB3"/>
    <w:rsid w:val="006C1E7C"/>
    <w:rsid w:val="006C1EA7"/>
    <w:rsid w:val="006C237D"/>
    <w:rsid w:val="006C29FD"/>
    <w:rsid w:val="006C2F21"/>
    <w:rsid w:val="006C400B"/>
    <w:rsid w:val="006C4118"/>
    <w:rsid w:val="006C45D5"/>
    <w:rsid w:val="006C4CA7"/>
    <w:rsid w:val="006C503C"/>
    <w:rsid w:val="006C511D"/>
    <w:rsid w:val="006C5299"/>
    <w:rsid w:val="006C53EE"/>
    <w:rsid w:val="006C54C3"/>
    <w:rsid w:val="006C583F"/>
    <w:rsid w:val="006C58BE"/>
    <w:rsid w:val="006C5AB6"/>
    <w:rsid w:val="006C5C2A"/>
    <w:rsid w:val="006C63FF"/>
    <w:rsid w:val="006C6470"/>
    <w:rsid w:val="006C674C"/>
    <w:rsid w:val="006C67C4"/>
    <w:rsid w:val="006C6886"/>
    <w:rsid w:val="006C6C7A"/>
    <w:rsid w:val="006C71DF"/>
    <w:rsid w:val="006C7230"/>
    <w:rsid w:val="006C7B5F"/>
    <w:rsid w:val="006C7CC3"/>
    <w:rsid w:val="006D0150"/>
    <w:rsid w:val="006D0211"/>
    <w:rsid w:val="006D0561"/>
    <w:rsid w:val="006D0E1A"/>
    <w:rsid w:val="006D2627"/>
    <w:rsid w:val="006D2913"/>
    <w:rsid w:val="006D2E0F"/>
    <w:rsid w:val="006D3582"/>
    <w:rsid w:val="006D3686"/>
    <w:rsid w:val="006D394B"/>
    <w:rsid w:val="006D39FE"/>
    <w:rsid w:val="006D3B72"/>
    <w:rsid w:val="006D40C4"/>
    <w:rsid w:val="006D4E11"/>
    <w:rsid w:val="006D56A7"/>
    <w:rsid w:val="006D5E3C"/>
    <w:rsid w:val="006D5F15"/>
    <w:rsid w:val="006D6581"/>
    <w:rsid w:val="006D6657"/>
    <w:rsid w:val="006D6E21"/>
    <w:rsid w:val="006D6EBC"/>
    <w:rsid w:val="006D7261"/>
    <w:rsid w:val="006D7409"/>
    <w:rsid w:val="006D742B"/>
    <w:rsid w:val="006D7ED3"/>
    <w:rsid w:val="006D7F01"/>
    <w:rsid w:val="006E0504"/>
    <w:rsid w:val="006E0534"/>
    <w:rsid w:val="006E08FD"/>
    <w:rsid w:val="006E0FB6"/>
    <w:rsid w:val="006E125F"/>
    <w:rsid w:val="006E1490"/>
    <w:rsid w:val="006E15DE"/>
    <w:rsid w:val="006E1A22"/>
    <w:rsid w:val="006E1AC3"/>
    <w:rsid w:val="006E1D39"/>
    <w:rsid w:val="006E217B"/>
    <w:rsid w:val="006E2AA6"/>
    <w:rsid w:val="006E3456"/>
    <w:rsid w:val="006E3515"/>
    <w:rsid w:val="006E397B"/>
    <w:rsid w:val="006E4FFE"/>
    <w:rsid w:val="006E5245"/>
    <w:rsid w:val="006E5EBF"/>
    <w:rsid w:val="006E5F89"/>
    <w:rsid w:val="006E63A3"/>
    <w:rsid w:val="006E6EED"/>
    <w:rsid w:val="006E70CE"/>
    <w:rsid w:val="006E733E"/>
    <w:rsid w:val="006E7AB1"/>
    <w:rsid w:val="006F0617"/>
    <w:rsid w:val="006F07C2"/>
    <w:rsid w:val="006F08BE"/>
    <w:rsid w:val="006F1267"/>
    <w:rsid w:val="006F1D9D"/>
    <w:rsid w:val="006F1DC5"/>
    <w:rsid w:val="006F2027"/>
    <w:rsid w:val="006F2B7D"/>
    <w:rsid w:val="006F2C5A"/>
    <w:rsid w:val="006F2F01"/>
    <w:rsid w:val="006F3E5F"/>
    <w:rsid w:val="006F440A"/>
    <w:rsid w:val="006F45BA"/>
    <w:rsid w:val="006F4654"/>
    <w:rsid w:val="006F4E1E"/>
    <w:rsid w:val="006F553F"/>
    <w:rsid w:val="006F5616"/>
    <w:rsid w:val="006F59D1"/>
    <w:rsid w:val="006F5AA7"/>
    <w:rsid w:val="006F6286"/>
    <w:rsid w:val="006F6ED1"/>
    <w:rsid w:val="006F7DB2"/>
    <w:rsid w:val="007002C2"/>
    <w:rsid w:val="00700449"/>
    <w:rsid w:val="00700AF2"/>
    <w:rsid w:val="00700D67"/>
    <w:rsid w:val="0070176A"/>
    <w:rsid w:val="00701AEB"/>
    <w:rsid w:val="0070245C"/>
    <w:rsid w:val="00702F09"/>
    <w:rsid w:val="0070301A"/>
    <w:rsid w:val="007031F2"/>
    <w:rsid w:val="00703B28"/>
    <w:rsid w:val="00704001"/>
    <w:rsid w:val="0070473F"/>
    <w:rsid w:val="007057AB"/>
    <w:rsid w:val="00705A9E"/>
    <w:rsid w:val="00705D2B"/>
    <w:rsid w:val="00705FE5"/>
    <w:rsid w:val="00706F30"/>
    <w:rsid w:val="00707179"/>
    <w:rsid w:val="00707503"/>
    <w:rsid w:val="007077BB"/>
    <w:rsid w:val="0070783D"/>
    <w:rsid w:val="007078F1"/>
    <w:rsid w:val="0071043E"/>
    <w:rsid w:val="007104BA"/>
    <w:rsid w:val="007105DF"/>
    <w:rsid w:val="00710A74"/>
    <w:rsid w:val="00710B3D"/>
    <w:rsid w:val="007112F7"/>
    <w:rsid w:val="0071131F"/>
    <w:rsid w:val="0071256B"/>
    <w:rsid w:val="0071284B"/>
    <w:rsid w:val="00712C41"/>
    <w:rsid w:val="007130C5"/>
    <w:rsid w:val="00713914"/>
    <w:rsid w:val="00713989"/>
    <w:rsid w:val="00713EAE"/>
    <w:rsid w:val="00714457"/>
    <w:rsid w:val="0071456D"/>
    <w:rsid w:val="00714623"/>
    <w:rsid w:val="00714665"/>
    <w:rsid w:val="007148CF"/>
    <w:rsid w:val="007150D9"/>
    <w:rsid w:val="00716422"/>
    <w:rsid w:val="0071672F"/>
    <w:rsid w:val="00716733"/>
    <w:rsid w:val="007169BB"/>
    <w:rsid w:val="00716ACD"/>
    <w:rsid w:val="00716C22"/>
    <w:rsid w:val="00717497"/>
    <w:rsid w:val="00717605"/>
    <w:rsid w:val="00717D49"/>
    <w:rsid w:val="0072003C"/>
    <w:rsid w:val="00720680"/>
    <w:rsid w:val="00720776"/>
    <w:rsid w:val="00720971"/>
    <w:rsid w:val="00720DD5"/>
    <w:rsid w:val="00721027"/>
    <w:rsid w:val="00721C1D"/>
    <w:rsid w:val="00721D97"/>
    <w:rsid w:val="00721FB7"/>
    <w:rsid w:val="0072212B"/>
    <w:rsid w:val="00722C91"/>
    <w:rsid w:val="0072311C"/>
    <w:rsid w:val="00723858"/>
    <w:rsid w:val="00723D8A"/>
    <w:rsid w:val="0072463B"/>
    <w:rsid w:val="00724887"/>
    <w:rsid w:val="00724938"/>
    <w:rsid w:val="00724C84"/>
    <w:rsid w:val="00725154"/>
    <w:rsid w:val="007252F5"/>
    <w:rsid w:val="007252F6"/>
    <w:rsid w:val="00725895"/>
    <w:rsid w:val="00725ABA"/>
    <w:rsid w:val="00725B6F"/>
    <w:rsid w:val="00725FD3"/>
    <w:rsid w:val="00726003"/>
    <w:rsid w:val="00726696"/>
    <w:rsid w:val="007269F5"/>
    <w:rsid w:val="00726BB4"/>
    <w:rsid w:val="00727A7E"/>
    <w:rsid w:val="00727A9D"/>
    <w:rsid w:val="00727F68"/>
    <w:rsid w:val="007301AA"/>
    <w:rsid w:val="0073054C"/>
    <w:rsid w:val="00730F06"/>
    <w:rsid w:val="007310D8"/>
    <w:rsid w:val="00732071"/>
    <w:rsid w:val="007321F6"/>
    <w:rsid w:val="0073229C"/>
    <w:rsid w:val="00732DCA"/>
    <w:rsid w:val="00732FC8"/>
    <w:rsid w:val="00733069"/>
    <w:rsid w:val="00733130"/>
    <w:rsid w:val="00733316"/>
    <w:rsid w:val="007333EF"/>
    <w:rsid w:val="007335FF"/>
    <w:rsid w:val="007341F8"/>
    <w:rsid w:val="00734445"/>
    <w:rsid w:val="00734624"/>
    <w:rsid w:val="00734715"/>
    <w:rsid w:val="007347D3"/>
    <w:rsid w:val="00734DE7"/>
    <w:rsid w:val="00734E4A"/>
    <w:rsid w:val="007355B7"/>
    <w:rsid w:val="0073581A"/>
    <w:rsid w:val="00735A12"/>
    <w:rsid w:val="0073605E"/>
    <w:rsid w:val="00736981"/>
    <w:rsid w:val="007372F8"/>
    <w:rsid w:val="007377B3"/>
    <w:rsid w:val="00737C11"/>
    <w:rsid w:val="00740107"/>
    <w:rsid w:val="007407ED"/>
    <w:rsid w:val="007409A3"/>
    <w:rsid w:val="00740ED7"/>
    <w:rsid w:val="007417AC"/>
    <w:rsid w:val="00741E51"/>
    <w:rsid w:val="007420FF"/>
    <w:rsid w:val="0074210A"/>
    <w:rsid w:val="00742C01"/>
    <w:rsid w:val="00742DE4"/>
    <w:rsid w:val="00742EA6"/>
    <w:rsid w:val="007430BD"/>
    <w:rsid w:val="0074349D"/>
    <w:rsid w:val="00743F71"/>
    <w:rsid w:val="00744005"/>
    <w:rsid w:val="007447A8"/>
    <w:rsid w:val="00744A29"/>
    <w:rsid w:val="00744B25"/>
    <w:rsid w:val="00745079"/>
    <w:rsid w:val="007451BB"/>
    <w:rsid w:val="007453A8"/>
    <w:rsid w:val="00745553"/>
    <w:rsid w:val="007457E0"/>
    <w:rsid w:val="00745854"/>
    <w:rsid w:val="007464C2"/>
    <w:rsid w:val="0074665B"/>
    <w:rsid w:val="00746A04"/>
    <w:rsid w:val="00746F2B"/>
    <w:rsid w:val="007470B5"/>
    <w:rsid w:val="00747158"/>
    <w:rsid w:val="007472E0"/>
    <w:rsid w:val="00747335"/>
    <w:rsid w:val="0074748D"/>
    <w:rsid w:val="00747EA8"/>
    <w:rsid w:val="00747F2B"/>
    <w:rsid w:val="00750159"/>
    <w:rsid w:val="007501DC"/>
    <w:rsid w:val="00750225"/>
    <w:rsid w:val="007507BE"/>
    <w:rsid w:val="007508A2"/>
    <w:rsid w:val="00750C52"/>
    <w:rsid w:val="00750C8D"/>
    <w:rsid w:val="0075145A"/>
    <w:rsid w:val="00751C26"/>
    <w:rsid w:val="007523E9"/>
    <w:rsid w:val="00752A66"/>
    <w:rsid w:val="00752C39"/>
    <w:rsid w:val="00752C61"/>
    <w:rsid w:val="00752CE6"/>
    <w:rsid w:val="00753547"/>
    <w:rsid w:val="0075376E"/>
    <w:rsid w:val="00753B7F"/>
    <w:rsid w:val="00753DC9"/>
    <w:rsid w:val="0075410D"/>
    <w:rsid w:val="00754ADA"/>
    <w:rsid w:val="00754B82"/>
    <w:rsid w:val="00754C65"/>
    <w:rsid w:val="0075512C"/>
    <w:rsid w:val="007551AA"/>
    <w:rsid w:val="00755343"/>
    <w:rsid w:val="007556F0"/>
    <w:rsid w:val="00755FDA"/>
    <w:rsid w:val="00757A3E"/>
    <w:rsid w:val="00757BFB"/>
    <w:rsid w:val="00760077"/>
    <w:rsid w:val="007606CC"/>
    <w:rsid w:val="00760797"/>
    <w:rsid w:val="0076087B"/>
    <w:rsid w:val="007614C6"/>
    <w:rsid w:val="00761DFD"/>
    <w:rsid w:val="00762453"/>
    <w:rsid w:val="00762507"/>
    <w:rsid w:val="00762A2C"/>
    <w:rsid w:val="00762E4D"/>
    <w:rsid w:val="00762F0A"/>
    <w:rsid w:val="00762F43"/>
    <w:rsid w:val="007631D4"/>
    <w:rsid w:val="00763365"/>
    <w:rsid w:val="00763848"/>
    <w:rsid w:val="00763A37"/>
    <w:rsid w:val="007642E1"/>
    <w:rsid w:val="00764B2A"/>
    <w:rsid w:val="00764D49"/>
    <w:rsid w:val="00764DC1"/>
    <w:rsid w:val="00764FA3"/>
    <w:rsid w:val="007650D0"/>
    <w:rsid w:val="0076559E"/>
    <w:rsid w:val="00765A14"/>
    <w:rsid w:val="00765F22"/>
    <w:rsid w:val="007663D7"/>
    <w:rsid w:val="00767177"/>
    <w:rsid w:val="00767AE3"/>
    <w:rsid w:val="00767B1F"/>
    <w:rsid w:val="00767CF1"/>
    <w:rsid w:val="007702E1"/>
    <w:rsid w:val="00771651"/>
    <w:rsid w:val="007716F5"/>
    <w:rsid w:val="00771A0E"/>
    <w:rsid w:val="0077251A"/>
    <w:rsid w:val="007729D9"/>
    <w:rsid w:val="00772A31"/>
    <w:rsid w:val="00772B14"/>
    <w:rsid w:val="00772B39"/>
    <w:rsid w:val="00772BB4"/>
    <w:rsid w:val="00772C03"/>
    <w:rsid w:val="007730C0"/>
    <w:rsid w:val="00773438"/>
    <w:rsid w:val="007735D1"/>
    <w:rsid w:val="0077384B"/>
    <w:rsid w:val="00773A47"/>
    <w:rsid w:val="00773F08"/>
    <w:rsid w:val="00773FE3"/>
    <w:rsid w:val="00774389"/>
    <w:rsid w:val="00774CA8"/>
    <w:rsid w:val="00774F5D"/>
    <w:rsid w:val="007750B4"/>
    <w:rsid w:val="0077597D"/>
    <w:rsid w:val="00776DF1"/>
    <w:rsid w:val="00777071"/>
    <w:rsid w:val="00777631"/>
    <w:rsid w:val="007777A6"/>
    <w:rsid w:val="007806B4"/>
    <w:rsid w:val="0078085A"/>
    <w:rsid w:val="00780D5E"/>
    <w:rsid w:val="0078170B"/>
    <w:rsid w:val="00781B7F"/>
    <w:rsid w:val="0078236C"/>
    <w:rsid w:val="007826B6"/>
    <w:rsid w:val="0078316A"/>
    <w:rsid w:val="00783B43"/>
    <w:rsid w:val="007847ED"/>
    <w:rsid w:val="007848B4"/>
    <w:rsid w:val="00784F66"/>
    <w:rsid w:val="00785035"/>
    <w:rsid w:val="00785241"/>
    <w:rsid w:val="0078526B"/>
    <w:rsid w:val="00785A34"/>
    <w:rsid w:val="0078604A"/>
    <w:rsid w:val="0078611D"/>
    <w:rsid w:val="00786411"/>
    <w:rsid w:val="0078692F"/>
    <w:rsid w:val="007870C7"/>
    <w:rsid w:val="00787366"/>
    <w:rsid w:val="00787F5B"/>
    <w:rsid w:val="00787FF0"/>
    <w:rsid w:val="00790A4A"/>
    <w:rsid w:val="00791613"/>
    <w:rsid w:val="00791705"/>
    <w:rsid w:val="007927D5"/>
    <w:rsid w:val="007928C8"/>
    <w:rsid w:val="00792B17"/>
    <w:rsid w:val="00792F63"/>
    <w:rsid w:val="00793130"/>
    <w:rsid w:val="0079332E"/>
    <w:rsid w:val="00793905"/>
    <w:rsid w:val="00794547"/>
    <w:rsid w:val="00794C6A"/>
    <w:rsid w:val="00794E2B"/>
    <w:rsid w:val="0079594B"/>
    <w:rsid w:val="00795B02"/>
    <w:rsid w:val="00795EDF"/>
    <w:rsid w:val="00796733"/>
    <w:rsid w:val="00796CC6"/>
    <w:rsid w:val="00796CCE"/>
    <w:rsid w:val="00796F44"/>
    <w:rsid w:val="00797AD7"/>
    <w:rsid w:val="007A09D8"/>
    <w:rsid w:val="007A0C65"/>
    <w:rsid w:val="007A0FFD"/>
    <w:rsid w:val="007A1161"/>
    <w:rsid w:val="007A163A"/>
    <w:rsid w:val="007A195C"/>
    <w:rsid w:val="007A19BA"/>
    <w:rsid w:val="007A1B86"/>
    <w:rsid w:val="007A217B"/>
    <w:rsid w:val="007A282D"/>
    <w:rsid w:val="007A2F07"/>
    <w:rsid w:val="007A301E"/>
    <w:rsid w:val="007A350F"/>
    <w:rsid w:val="007A3545"/>
    <w:rsid w:val="007A3C72"/>
    <w:rsid w:val="007A412D"/>
    <w:rsid w:val="007A4600"/>
    <w:rsid w:val="007A4815"/>
    <w:rsid w:val="007A4D43"/>
    <w:rsid w:val="007A4EA0"/>
    <w:rsid w:val="007A4FC8"/>
    <w:rsid w:val="007A5058"/>
    <w:rsid w:val="007A5329"/>
    <w:rsid w:val="007A61DA"/>
    <w:rsid w:val="007A63F9"/>
    <w:rsid w:val="007A6455"/>
    <w:rsid w:val="007A682D"/>
    <w:rsid w:val="007A6E46"/>
    <w:rsid w:val="007A7077"/>
    <w:rsid w:val="007A70F0"/>
    <w:rsid w:val="007A7947"/>
    <w:rsid w:val="007A7B97"/>
    <w:rsid w:val="007A7F60"/>
    <w:rsid w:val="007B03E4"/>
    <w:rsid w:val="007B0F6D"/>
    <w:rsid w:val="007B1937"/>
    <w:rsid w:val="007B1DC2"/>
    <w:rsid w:val="007B23E1"/>
    <w:rsid w:val="007B3200"/>
    <w:rsid w:val="007B3308"/>
    <w:rsid w:val="007B3749"/>
    <w:rsid w:val="007B3C34"/>
    <w:rsid w:val="007B421A"/>
    <w:rsid w:val="007B4B4E"/>
    <w:rsid w:val="007B4E4A"/>
    <w:rsid w:val="007B5B2D"/>
    <w:rsid w:val="007B6A73"/>
    <w:rsid w:val="007B6FC9"/>
    <w:rsid w:val="007B71D3"/>
    <w:rsid w:val="007B7372"/>
    <w:rsid w:val="007B7B35"/>
    <w:rsid w:val="007B7BF1"/>
    <w:rsid w:val="007C0342"/>
    <w:rsid w:val="007C052F"/>
    <w:rsid w:val="007C07C6"/>
    <w:rsid w:val="007C07F1"/>
    <w:rsid w:val="007C16FF"/>
    <w:rsid w:val="007C1D95"/>
    <w:rsid w:val="007C24C3"/>
    <w:rsid w:val="007C2A09"/>
    <w:rsid w:val="007C2B9D"/>
    <w:rsid w:val="007C2E14"/>
    <w:rsid w:val="007C3153"/>
    <w:rsid w:val="007C33EB"/>
    <w:rsid w:val="007C349F"/>
    <w:rsid w:val="007C369C"/>
    <w:rsid w:val="007C402B"/>
    <w:rsid w:val="007C421C"/>
    <w:rsid w:val="007C4272"/>
    <w:rsid w:val="007C48F9"/>
    <w:rsid w:val="007C4D6E"/>
    <w:rsid w:val="007C4EB7"/>
    <w:rsid w:val="007C5341"/>
    <w:rsid w:val="007C55B8"/>
    <w:rsid w:val="007C5634"/>
    <w:rsid w:val="007C62EA"/>
    <w:rsid w:val="007C684C"/>
    <w:rsid w:val="007C7221"/>
    <w:rsid w:val="007C78CC"/>
    <w:rsid w:val="007C7A0A"/>
    <w:rsid w:val="007D04E8"/>
    <w:rsid w:val="007D08E3"/>
    <w:rsid w:val="007D117D"/>
    <w:rsid w:val="007D1235"/>
    <w:rsid w:val="007D1451"/>
    <w:rsid w:val="007D15ED"/>
    <w:rsid w:val="007D1B8E"/>
    <w:rsid w:val="007D1F07"/>
    <w:rsid w:val="007D21DE"/>
    <w:rsid w:val="007D237A"/>
    <w:rsid w:val="007D25DD"/>
    <w:rsid w:val="007D2BCF"/>
    <w:rsid w:val="007D2F83"/>
    <w:rsid w:val="007D3331"/>
    <w:rsid w:val="007D3984"/>
    <w:rsid w:val="007D3ACE"/>
    <w:rsid w:val="007D3D91"/>
    <w:rsid w:val="007D49A0"/>
    <w:rsid w:val="007D4CC3"/>
    <w:rsid w:val="007D4D3D"/>
    <w:rsid w:val="007D4FB2"/>
    <w:rsid w:val="007D61D5"/>
    <w:rsid w:val="007D663E"/>
    <w:rsid w:val="007D67C6"/>
    <w:rsid w:val="007D6851"/>
    <w:rsid w:val="007D6D4E"/>
    <w:rsid w:val="007D7155"/>
    <w:rsid w:val="007E0411"/>
    <w:rsid w:val="007E0750"/>
    <w:rsid w:val="007E0EB5"/>
    <w:rsid w:val="007E13B8"/>
    <w:rsid w:val="007E13DF"/>
    <w:rsid w:val="007E16A0"/>
    <w:rsid w:val="007E1783"/>
    <w:rsid w:val="007E1A3F"/>
    <w:rsid w:val="007E1E6F"/>
    <w:rsid w:val="007E2694"/>
    <w:rsid w:val="007E2DB4"/>
    <w:rsid w:val="007E2EDF"/>
    <w:rsid w:val="007E349D"/>
    <w:rsid w:val="007E3906"/>
    <w:rsid w:val="007E3B1A"/>
    <w:rsid w:val="007E3B49"/>
    <w:rsid w:val="007E3CB7"/>
    <w:rsid w:val="007E414E"/>
    <w:rsid w:val="007E433A"/>
    <w:rsid w:val="007E4958"/>
    <w:rsid w:val="007E49F4"/>
    <w:rsid w:val="007E4D7B"/>
    <w:rsid w:val="007E50CC"/>
    <w:rsid w:val="007E5198"/>
    <w:rsid w:val="007E524A"/>
    <w:rsid w:val="007E52F5"/>
    <w:rsid w:val="007E53DE"/>
    <w:rsid w:val="007E54D5"/>
    <w:rsid w:val="007E57B4"/>
    <w:rsid w:val="007E58EC"/>
    <w:rsid w:val="007E63C6"/>
    <w:rsid w:val="007E6432"/>
    <w:rsid w:val="007E6573"/>
    <w:rsid w:val="007E6667"/>
    <w:rsid w:val="007E6E6C"/>
    <w:rsid w:val="007E6E72"/>
    <w:rsid w:val="007E70F2"/>
    <w:rsid w:val="007E7649"/>
    <w:rsid w:val="007F073A"/>
    <w:rsid w:val="007F1214"/>
    <w:rsid w:val="007F17E5"/>
    <w:rsid w:val="007F2114"/>
    <w:rsid w:val="007F32AA"/>
    <w:rsid w:val="007F33CA"/>
    <w:rsid w:val="007F34E1"/>
    <w:rsid w:val="007F3B21"/>
    <w:rsid w:val="007F477C"/>
    <w:rsid w:val="007F4AAC"/>
    <w:rsid w:val="007F54DD"/>
    <w:rsid w:val="007F5859"/>
    <w:rsid w:val="007F5B76"/>
    <w:rsid w:val="007F5CBB"/>
    <w:rsid w:val="007F650B"/>
    <w:rsid w:val="007F6AF8"/>
    <w:rsid w:val="007F6DE9"/>
    <w:rsid w:val="007F716C"/>
    <w:rsid w:val="007F7507"/>
    <w:rsid w:val="00800340"/>
    <w:rsid w:val="0080127E"/>
    <w:rsid w:val="00801D37"/>
    <w:rsid w:val="00801E69"/>
    <w:rsid w:val="008020DB"/>
    <w:rsid w:val="0080226A"/>
    <w:rsid w:val="008026CE"/>
    <w:rsid w:val="00802886"/>
    <w:rsid w:val="008030DB"/>
    <w:rsid w:val="00803156"/>
    <w:rsid w:val="0080316E"/>
    <w:rsid w:val="008036D7"/>
    <w:rsid w:val="008036DA"/>
    <w:rsid w:val="00803A3B"/>
    <w:rsid w:val="00803FE2"/>
    <w:rsid w:val="00804024"/>
    <w:rsid w:val="00804213"/>
    <w:rsid w:val="0080496E"/>
    <w:rsid w:val="00804FF3"/>
    <w:rsid w:val="00806878"/>
    <w:rsid w:val="00810300"/>
    <w:rsid w:val="00811044"/>
    <w:rsid w:val="00811115"/>
    <w:rsid w:val="00811304"/>
    <w:rsid w:val="008118CD"/>
    <w:rsid w:val="00811B4D"/>
    <w:rsid w:val="00811CF6"/>
    <w:rsid w:val="00811D9D"/>
    <w:rsid w:val="008121E8"/>
    <w:rsid w:val="008122B1"/>
    <w:rsid w:val="0081233C"/>
    <w:rsid w:val="00812542"/>
    <w:rsid w:val="0081265F"/>
    <w:rsid w:val="00812AE9"/>
    <w:rsid w:val="008130C3"/>
    <w:rsid w:val="0081335C"/>
    <w:rsid w:val="0081375C"/>
    <w:rsid w:val="00813AAB"/>
    <w:rsid w:val="00813BC9"/>
    <w:rsid w:val="008141D4"/>
    <w:rsid w:val="0081479E"/>
    <w:rsid w:val="00814DBB"/>
    <w:rsid w:val="00814FAB"/>
    <w:rsid w:val="00815083"/>
    <w:rsid w:val="00815245"/>
    <w:rsid w:val="00815296"/>
    <w:rsid w:val="008154C4"/>
    <w:rsid w:val="00815531"/>
    <w:rsid w:val="008155F9"/>
    <w:rsid w:val="0081589C"/>
    <w:rsid w:val="00815972"/>
    <w:rsid w:val="008159E0"/>
    <w:rsid w:val="00815F78"/>
    <w:rsid w:val="00815FE0"/>
    <w:rsid w:val="00816405"/>
    <w:rsid w:val="00816481"/>
    <w:rsid w:val="00816625"/>
    <w:rsid w:val="008166F5"/>
    <w:rsid w:val="00816D8E"/>
    <w:rsid w:val="008171E8"/>
    <w:rsid w:val="00817EC5"/>
    <w:rsid w:val="00817FE5"/>
    <w:rsid w:val="00820FD5"/>
    <w:rsid w:val="00821529"/>
    <w:rsid w:val="00821BDE"/>
    <w:rsid w:val="00821E88"/>
    <w:rsid w:val="008221B6"/>
    <w:rsid w:val="00822225"/>
    <w:rsid w:val="008222AA"/>
    <w:rsid w:val="0082285A"/>
    <w:rsid w:val="0082294C"/>
    <w:rsid w:val="00822F15"/>
    <w:rsid w:val="00823848"/>
    <w:rsid w:val="0082409B"/>
    <w:rsid w:val="00824B64"/>
    <w:rsid w:val="0082504D"/>
    <w:rsid w:val="008257D3"/>
    <w:rsid w:val="00825991"/>
    <w:rsid w:val="00825D08"/>
    <w:rsid w:val="00825D82"/>
    <w:rsid w:val="0082610E"/>
    <w:rsid w:val="008267D9"/>
    <w:rsid w:val="008278F9"/>
    <w:rsid w:val="008300A5"/>
    <w:rsid w:val="0083011D"/>
    <w:rsid w:val="00830BE2"/>
    <w:rsid w:val="00830E5E"/>
    <w:rsid w:val="0083149E"/>
    <w:rsid w:val="00831882"/>
    <w:rsid w:val="008328CC"/>
    <w:rsid w:val="00832E73"/>
    <w:rsid w:val="00832E97"/>
    <w:rsid w:val="008330E4"/>
    <w:rsid w:val="00833387"/>
    <w:rsid w:val="00833CEE"/>
    <w:rsid w:val="00834684"/>
    <w:rsid w:val="008348E7"/>
    <w:rsid w:val="00834DAB"/>
    <w:rsid w:val="00834EB8"/>
    <w:rsid w:val="008350DB"/>
    <w:rsid w:val="00835E49"/>
    <w:rsid w:val="0083694F"/>
    <w:rsid w:val="00836B6B"/>
    <w:rsid w:val="00836C5E"/>
    <w:rsid w:val="00836D7A"/>
    <w:rsid w:val="0083778E"/>
    <w:rsid w:val="0083780D"/>
    <w:rsid w:val="00837B45"/>
    <w:rsid w:val="00837BD1"/>
    <w:rsid w:val="008400FA"/>
    <w:rsid w:val="0084028F"/>
    <w:rsid w:val="0084068E"/>
    <w:rsid w:val="008406B8"/>
    <w:rsid w:val="008409F3"/>
    <w:rsid w:val="00840A1D"/>
    <w:rsid w:val="00840C7C"/>
    <w:rsid w:val="00840D59"/>
    <w:rsid w:val="00841496"/>
    <w:rsid w:val="00841564"/>
    <w:rsid w:val="008425C0"/>
    <w:rsid w:val="00843149"/>
    <w:rsid w:val="00843277"/>
    <w:rsid w:val="0084349E"/>
    <w:rsid w:val="008435FC"/>
    <w:rsid w:val="00843D3C"/>
    <w:rsid w:val="00843E32"/>
    <w:rsid w:val="008442DD"/>
    <w:rsid w:val="00844562"/>
    <w:rsid w:val="008447FB"/>
    <w:rsid w:val="00844B92"/>
    <w:rsid w:val="00844F71"/>
    <w:rsid w:val="008462D5"/>
    <w:rsid w:val="0084714B"/>
    <w:rsid w:val="00847222"/>
    <w:rsid w:val="00847234"/>
    <w:rsid w:val="00847BC5"/>
    <w:rsid w:val="00850034"/>
    <w:rsid w:val="008501A2"/>
    <w:rsid w:val="00850BEF"/>
    <w:rsid w:val="00850C3C"/>
    <w:rsid w:val="00850F4F"/>
    <w:rsid w:val="00851303"/>
    <w:rsid w:val="0085204E"/>
    <w:rsid w:val="0085225C"/>
    <w:rsid w:val="008532F9"/>
    <w:rsid w:val="0085394C"/>
    <w:rsid w:val="00853D7B"/>
    <w:rsid w:val="00854048"/>
    <w:rsid w:val="00854F6F"/>
    <w:rsid w:val="00855156"/>
    <w:rsid w:val="008555A1"/>
    <w:rsid w:val="008558B8"/>
    <w:rsid w:val="00855DE4"/>
    <w:rsid w:val="00856B75"/>
    <w:rsid w:val="00856D25"/>
    <w:rsid w:val="00856EF6"/>
    <w:rsid w:val="00856F3E"/>
    <w:rsid w:val="00857BD1"/>
    <w:rsid w:val="00857CF3"/>
    <w:rsid w:val="008621F5"/>
    <w:rsid w:val="0086271E"/>
    <w:rsid w:val="008627F6"/>
    <w:rsid w:val="00862C6E"/>
    <w:rsid w:val="00863053"/>
    <w:rsid w:val="00863644"/>
    <w:rsid w:val="008636D3"/>
    <w:rsid w:val="00863F00"/>
    <w:rsid w:val="008646B3"/>
    <w:rsid w:val="00865040"/>
    <w:rsid w:val="00865555"/>
    <w:rsid w:val="00865575"/>
    <w:rsid w:val="008659E0"/>
    <w:rsid w:val="00866AB7"/>
    <w:rsid w:val="008672A6"/>
    <w:rsid w:val="008675D9"/>
    <w:rsid w:val="00870230"/>
    <w:rsid w:val="00870359"/>
    <w:rsid w:val="00870706"/>
    <w:rsid w:val="00870A8F"/>
    <w:rsid w:val="00871168"/>
    <w:rsid w:val="00871552"/>
    <w:rsid w:val="008715F9"/>
    <w:rsid w:val="00871BDB"/>
    <w:rsid w:val="008722BE"/>
    <w:rsid w:val="00872AE0"/>
    <w:rsid w:val="00873733"/>
    <w:rsid w:val="0087379C"/>
    <w:rsid w:val="00874168"/>
    <w:rsid w:val="0087447D"/>
    <w:rsid w:val="00874498"/>
    <w:rsid w:val="00874C47"/>
    <w:rsid w:val="00874E72"/>
    <w:rsid w:val="0087502F"/>
    <w:rsid w:val="0087531E"/>
    <w:rsid w:val="00875814"/>
    <w:rsid w:val="008762E7"/>
    <w:rsid w:val="00876F6A"/>
    <w:rsid w:val="00877010"/>
    <w:rsid w:val="008770EB"/>
    <w:rsid w:val="00877A4C"/>
    <w:rsid w:val="00877C33"/>
    <w:rsid w:val="00877E63"/>
    <w:rsid w:val="008800A4"/>
    <w:rsid w:val="008803BF"/>
    <w:rsid w:val="0088060E"/>
    <w:rsid w:val="008808E8"/>
    <w:rsid w:val="00880BF0"/>
    <w:rsid w:val="00880CCB"/>
    <w:rsid w:val="00880D75"/>
    <w:rsid w:val="00880F1B"/>
    <w:rsid w:val="00881A78"/>
    <w:rsid w:val="00882C4E"/>
    <w:rsid w:val="008830F9"/>
    <w:rsid w:val="008838B8"/>
    <w:rsid w:val="00883A69"/>
    <w:rsid w:val="00884EA7"/>
    <w:rsid w:val="008856CC"/>
    <w:rsid w:val="00887BA2"/>
    <w:rsid w:val="008900B6"/>
    <w:rsid w:val="00890204"/>
    <w:rsid w:val="008909E2"/>
    <w:rsid w:val="00890D6A"/>
    <w:rsid w:val="00891666"/>
    <w:rsid w:val="00891D6C"/>
    <w:rsid w:val="0089220B"/>
    <w:rsid w:val="00892491"/>
    <w:rsid w:val="008926F9"/>
    <w:rsid w:val="0089278A"/>
    <w:rsid w:val="0089286F"/>
    <w:rsid w:val="00892A81"/>
    <w:rsid w:val="008942D0"/>
    <w:rsid w:val="0089507E"/>
    <w:rsid w:val="008952DD"/>
    <w:rsid w:val="0089540F"/>
    <w:rsid w:val="0089621A"/>
    <w:rsid w:val="0089653A"/>
    <w:rsid w:val="00896E06"/>
    <w:rsid w:val="0089722E"/>
    <w:rsid w:val="008977B7"/>
    <w:rsid w:val="00897925"/>
    <w:rsid w:val="00897EA7"/>
    <w:rsid w:val="008A0115"/>
    <w:rsid w:val="008A0118"/>
    <w:rsid w:val="008A04CC"/>
    <w:rsid w:val="008A09D0"/>
    <w:rsid w:val="008A1186"/>
    <w:rsid w:val="008A1378"/>
    <w:rsid w:val="008A184E"/>
    <w:rsid w:val="008A1AFF"/>
    <w:rsid w:val="008A2280"/>
    <w:rsid w:val="008A2475"/>
    <w:rsid w:val="008A27FC"/>
    <w:rsid w:val="008A2ECA"/>
    <w:rsid w:val="008A3010"/>
    <w:rsid w:val="008A343B"/>
    <w:rsid w:val="008A3546"/>
    <w:rsid w:val="008A36C9"/>
    <w:rsid w:val="008A3C74"/>
    <w:rsid w:val="008A3CDE"/>
    <w:rsid w:val="008A3FC7"/>
    <w:rsid w:val="008A4745"/>
    <w:rsid w:val="008A4940"/>
    <w:rsid w:val="008A4C19"/>
    <w:rsid w:val="008A4E65"/>
    <w:rsid w:val="008A53C7"/>
    <w:rsid w:val="008A5853"/>
    <w:rsid w:val="008A6073"/>
    <w:rsid w:val="008A6C18"/>
    <w:rsid w:val="008A6F41"/>
    <w:rsid w:val="008A706A"/>
    <w:rsid w:val="008A769B"/>
    <w:rsid w:val="008A78C1"/>
    <w:rsid w:val="008A78EA"/>
    <w:rsid w:val="008A796E"/>
    <w:rsid w:val="008A7D25"/>
    <w:rsid w:val="008B00DB"/>
    <w:rsid w:val="008B03C7"/>
    <w:rsid w:val="008B03FE"/>
    <w:rsid w:val="008B08B2"/>
    <w:rsid w:val="008B08D3"/>
    <w:rsid w:val="008B099A"/>
    <w:rsid w:val="008B0D86"/>
    <w:rsid w:val="008B1050"/>
    <w:rsid w:val="008B13AF"/>
    <w:rsid w:val="008B2191"/>
    <w:rsid w:val="008B2550"/>
    <w:rsid w:val="008B27A8"/>
    <w:rsid w:val="008B345F"/>
    <w:rsid w:val="008B38C5"/>
    <w:rsid w:val="008B464B"/>
    <w:rsid w:val="008B482F"/>
    <w:rsid w:val="008B50A3"/>
    <w:rsid w:val="008B5278"/>
    <w:rsid w:val="008B563D"/>
    <w:rsid w:val="008B5F76"/>
    <w:rsid w:val="008B6625"/>
    <w:rsid w:val="008B6A3D"/>
    <w:rsid w:val="008B719C"/>
    <w:rsid w:val="008B7255"/>
    <w:rsid w:val="008B7346"/>
    <w:rsid w:val="008B7419"/>
    <w:rsid w:val="008B7426"/>
    <w:rsid w:val="008B7673"/>
    <w:rsid w:val="008B7A6F"/>
    <w:rsid w:val="008B7BA8"/>
    <w:rsid w:val="008B7BFE"/>
    <w:rsid w:val="008B7C34"/>
    <w:rsid w:val="008C04D8"/>
    <w:rsid w:val="008C084F"/>
    <w:rsid w:val="008C0A4F"/>
    <w:rsid w:val="008C0DB6"/>
    <w:rsid w:val="008C0FEC"/>
    <w:rsid w:val="008C121D"/>
    <w:rsid w:val="008C137E"/>
    <w:rsid w:val="008C154D"/>
    <w:rsid w:val="008C1744"/>
    <w:rsid w:val="008C250E"/>
    <w:rsid w:val="008C2EA6"/>
    <w:rsid w:val="008C2FE2"/>
    <w:rsid w:val="008C31CE"/>
    <w:rsid w:val="008C343F"/>
    <w:rsid w:val="008C3443"/>
    <w:rsid w:val="008C3B79"/>
    <w:rsid w:val="008C43E6"/>
    <w:rsid w:val="008C480D"/>
    <w:rsid w:val="008C4DCF"/>
    <w:rsid w:val="008C51EA"/>
    <w:rsid w:val="008C58F9"/>
    <w:rsid w:val="008C60E7"/>
    <w:rsid w:val="008C6209"/>
    <w:rsid w:val="008C6D94"/>
    <w:rsid w:val="008C6EC7"/>
    <w:rsid w:val="008C6F55"/>
    <w:rsid w:val="008C7299"/>
    <w:rsid w:val="008C7668"/>
    <w:rsid w:val="008C798D"/>
    <w:rsid w:val="008C7A89"/>
    <w:rsid w:val="008D0080"/>
    <w:rsid w:val="008D063C"/>
    <w:rsid w:val="008D06D7"/>
    <w:rsid w:val="008D0751"/>
    <w:rsid w:val="008D0939"/>
    <w:rsid w:val="008D097D"/>
    <w:rsid w:val="008D0CFA"/>
    <w:rsid w:val="008D1A15"/>
    <w:rsid w:val="008D1BDB"/>
    <w:rsid w:val="008D1E09"/>
    <w:rsid w:val="008D2327"/>
    <w:rsid w:val="008D255E"/>
    <w:rsid w:val="008D3081"/>
    <w:rsid w:val="008D3201"/>
    <w:rsid w:val="008D3246"/>
    <w:rsid w:val="008D37F9"/>
    <w:rsid w:val="008D3B99"/>
    <w:rsid w:val="008D3DEB"/>
    <w:rsid w:val="008D46DF"/>
    <w:rsid w:val="008D514F"/>
    <w:rsid w:val="008D5220"/>
    <w:rsid w:val="008D5E33"/>
    <w:rsid w:val="008D6396"/>
    <w:rsid w:val="008D6614"/>
    <w:rsid w:val="008D691A"/>
    <w:rsid w:val="008D7011"/>
    <w:rsid w:val="008D7314"/>
    <w:rsid w:val="008D76B1"/>
    <w:rsid w:val="008D790B"/>
    <w:rsid w:val="008D7B1D"/>
    <w:rsid w:val="008D7C5F"/>
    <w:rsid w:val="008E0720"/>
    <w:rsid w:val="008E07A4"/>
    <w:rsid w:val="008E0D1B"/>
    <w:rsid w:val="008E0FBA"/>
    <w:rsid w:val="008E1E1B"/>
    <w:rsid w:val="008E1EF6"/>
    <w:rsid w:val="008E21B6"/>
    <w:rsid w:val="008E23F5"/>
    <w:rsid w:val="008E2482"/>
    <w:rsid w:val="008E299D"/>
    <w:rsid w:val="008E2A3B"/>
    <w:rsid w:val="008E2BAB"/>
    <w:rsid w:val="008E2C1D"/>
    <w:rsid w:val="008E2D0B"/>
    <w:rsid w:val="008E38F6"/>
    <w:rsid w:val="008E3F37"/>
    <w:rsid w:val="008E433F"/>
    <w:rsid w:val="008E57C4"/>
    <w:rsid w:val="008E5E87"/>
    <w:rsid w:val="008E6A71"/>
    <w:rsid w:val="008E7143"/>
    <w:rsid w:val="008E7404"/>
    <w:rsid w:val="008E77D7"/>
    <w:rsid w:val="008E7B6B"/>
    <w:rsid w:val="008F05A8"/>
    <w:rsid w:val="008F0674"/>
    <w:rsid w:val="008F0C0E"/>
    <w:rsid w:val="008F0DBB"/>
    <w:rsid w:val="008F1167"/>
    <w:rsid w:val="008F174F"/>
    <w:rsid w:val="008F1966"/>
    <w:rsid w:val="008F1BDF"/>
    <w:rsid w:val="008F291C"/>
    <w:rsid w:val="008F31D9"/>
    <w:rsid w:val="008F328D"/>
    <w:rsid w:val="008F369F"/>
    <w:rsid w:val="008F373B"/>
    <w:rsid w:val="008F383C"/>
    <w:rsid w:val="008F4097"/>
    <w:rsid w:val="008F41E0"/>
    <w:rsid w:val="008F461B"/>
    <w:rsid w:val="008F4B46"/>
    <w:rsid w:val="008F4E98"/>
    <w:rsid w:val="008F4F9F"/>
    <w:rsid w:val="008F5559"/>
    <w:rsid w:val="008F5F53"/>
    <w:rsid w:val="008F6BD4"/>
    <w:rsid w:val="008F6DE5"/>
    <w:rsid w:val="008F6DEC"/>
    <w:rsid w:val="008F6FBC"/>
    <w:rsid w:val="008F79C3"/>
    <w:rsid w:val="00900121"/>
    <w:rsid w:val="00900595"/>
    <w:rsid w:val="00900734"/>
    <w:rsid w:val="00900ADE"/>
    <w:rsid w:val="00900CB9"/>
    <w:rsid w:val="00901775"/>
    <w:rsid w:val="00901B9A"/>
    <w:rsid w:val="00901EE4"/>
    <w:rsid w:val="009026DD"/>
    <w:rsid w:val="00902A2A"/>
    <w:rsid w:val="00902B63"/>
    <w:rsid w:val="00902CDD"/>
    <w:rsid w:val="00903513"/>
    <w:rsid w:val="00903604"/>
    <w:rsid w:val="009036CF"/>
    <w:rsid w:val="00903794"/>
    <w:rsid w:val="0090393A"/>
    <w:rsid w:val="00903B81"/>
    <w:rsid w:val="00903DB4"/>
    <w:rsid w:val="00904817"/>
    <w:rsid w:val="00904943"/>
    <w:rsid w:val="00904D2B"/>
    <w:rsid w:val="0090510F"/>
    <w:rsid w:val="0090514B"/>
    <w:rsid w:val="00905E8F"/>
    <w:rsid w:val="00906058"/>
    <w:rsid w:val="0090630E"/>
    <w:rsid w:val="00906384"/>
    <w:rsid w:val="0090659C"/>
    <w:rsid w:val="009066D8"/>
    <w:rsid w:val="0090729C"/>
    <w:rsid w:val="0090739F"/>
    <w:rsid w:val="00910023"/>
    <w:rsid w:val="009104FB"/>
    <w:rsid w:val="009107C4"/>
    <w:rsid w:val="009108BF"/>
    <w:rsid w:val="00910CD3"/>
    <w:rsid w:val="009119F3"/>
    <w:rsid w:val="00911DDB"/>
    <w:rsid w:val="009123B7"/>
    <w:rsid w:val="00912556"/>
    <w:rsid w:val="00912851"/>
    <w:rsid w:val="009128A5"/>
    <w:rsid w:val="00912B82"/>
    <w:rsid w:val="009134DD"/>
    <w:rsid w:val="009135F8"/>
    <w:rsid w:val="00913A83"/>
    <w:rsid w:val="00913B39"/>
    <w:rsid w:val="00913F67"/>
    <w:rsid w:val="00914451"/>
    <w:rsid w:val="0091448E"/>
    <w:rsid w:val="00914647"/>
    <w:rsid w:val="00914DC8"/>
    <w:rsid w:val="00914F68"/>
    <w:rsid w:val="00914F69"/>
    <w:rsid w:val="0091514D"/>
    <w:rsid w:val="00915794"/>
    <w:rsid w:val="00915F8A"/>
    <w:rsid w:val="00916116"/>
    <w:rsid w:val="009161F4"/>
    <w:rsid w:val="009164DE"/>
    <w:rsid w:val="00916A36"/>
    <w:rsid w:val="009173B1"/>
    <w:rsid w:val="0091756B"/>
    <w:rsid w:val="00917A22"/>
    <w:rsid w:val="009203FA"/>
    <w:rsid w:val="00920B72"/>
    <w:rsid w:val="00920C7C"/>
    <w:rsid w:val="00920FB4"/>
    <w:rsid w:val="009217E5"/>
    <w:rsid w:val="00921A3C"/>
    <w:rsid w:val="00921CBB"/>
    <w:rsid w:val="009238E9"/>
    <w:rsid w:val="00923E1C"/>
    <w:rsid w:val="00923F6D"/>
    <w:rsid w:val="009242E7"/>
    <w:rsid w:val="00924462"/>
    <w:rsid w:val="00924479"/>
    <w:rsid w:val="0092473E"/>
    <w:rsid w:val="00924A1C"/>
    <w:rsid w:val="00924A48"/>
    <w:rsid w:val="00924AC0"/>
    <w:rsid w:val="009251AF"/>
    <w:rsid w:val="00925299"/>
    <w:rsid w:val="0092534E"/>
    <w:rsid w:val="00925606"/>
    <w:rsid w:val="009256D4"/>
    <w:rsid w:val="0092590E"/>
    <w:rsid w:val="00925B1C"/>
    <w:rsid w:val="00926866"/>
    <w:rsid w:val="00926EE4"/>
    <w:rsid w:val="009274BF"/>
    <w:rsid w:val="00927661"/>
    <w:rsid w:val="009304BF"/>
    <w:rsid w:val="00931452"/>
    <w:rsid w:val="0093156F"/>
    <w:rsid w:val="009318DA"/>
    <w:rsid w:val="00931DE4"/>
    <w:rsid w:val="00933A7E"/>
    <w:rsid w:val="00933AA7"/>
    <w:rsid w:val="00933D6D"/>
    <w:rsid w:val="009340AA"/>
    <w:rsid w:val="00934286"/>
    <w:rsid w:val="009351E2"/>
    <w:rsid w:val="00935360"/>
    <w:rsid w:val="009358FC"/>
    <w:rsid w:val="00935BB6"/>
    <w:rsid w:val="00935BCD"/>
    <w:rsid w:val="00935C21"/>
    <w:rsid w:val="0093662B"/>
    <w:rsid w:val="00936A54"/>
    <w:rsid w:val="00936AC4"/>
    <w:rsid w:val="00937677"/>
    <w:rsid w:val="009378C3"/>
    <w:rsid w:val="00937DAA"/>
    <w:rsid w:val="00937DC3"/>
    <w:rsid w:val="00940692"/>
    <w:rsid w:val="0094194D"/>
    <w:rsid w:val="00941C9C"/>
    <w:rsid w:val="00942BD7"/>
    <w:rsid w:val="00942BDD"/>
    <w:rsid w:val="00942F17"/>
    <w:rsid w:val="00943199"/>
    <w:rsid w:val="00943245"/>
    <w:rsid w:val="009434C7"/>
    <w:rsid w:val="00943915"/>
    <w:rsid w:val="00944135"/>
    <w:rsid w:val="009448D5"/>
    <w:rsid w:val="00944AC7"/>
    <w:rsid w:val="00944EDC"/>
    <w:rsid w:val="00945B01"/>
    <w:rsid w:val="00945C9B"/>
    <w:rsid w:val="00945D54"/>
    <w:rsid w:val="00945E5A"/>
    <w:rsid w:val="00946086"/>
    <w:rsid w:val="00946091"/>
    <w:rsid w:val="00946BC8"/>
    <w:rsid w:val="009470D0"/>
    <w:rsid w:val="0094711B"/>
    <w:rsid w:val="00947288"/>
    <w:rsid w:val="00947C84"/>
    <w:rsid w:val="0095081E"/>
    <w:rsid w:val="009508C7"/>
    <w:rsid w:val="009509F3"/>
    <w:rsid w:val="00950C58"/>
    <w:rsid w:val="00951618"/>
    <w:rsid w:val="009516A3"/>
    <w:rsid w:val="0095187F"/>
    <w:rsid w:val="00951AFC"/>
    <w:rsid w:val="0095206D"/>
    <w:rsid w:val="009520BB"/>
    <w:rsid w:val="009520E9"/>
    <w:rsid w:val="0095263E"/>
    <w:rsid w:val="00952B17"/>
    <w:rsid w:val="009531B9"/>
    <w:rsid w:val="00953743"/>
    <w:rsid w:val="009538D9"/>
    <w:rsid w:val="009538F6"/>
    <w:rsid w:val="009539FB"/>
    <w:rsid w:val="00953D3F"/>
    <w:rsid w:val="00954242"/>
    <w:rsid w:val="009542E6"/>
    <w:rsid w:val="00954511"/>
    <w:rsid w:val="0095541A"/>
    <w:rsid w:val="0095577E"/>
    <w:rsid w:val="00955D48"/>
    <w:rsid w:val="00956D8A"/>
    <w:rsid w:val="00956DF8"/>
    <w:rsid w:val="009570C9"/>
    <w:rsid w:val="009570E7"/>
    <w:rsid w:val="00957845"/>
    <w:rsid w:val="00957876"/>
    <w:rsid w:val="00957A37"/>
    <w:rsid w:val="00957B79"/>
    <w:rsid w:val="009601DC"/>
    <w:rsid w:val="0096088B"/>
    <w:rsid w:val="00960A65"/>
    <w:rsid w:val="00960C88"/>
    <w:rsid w:val="00961411"/>
    <w:rsid w:val="00961805"/>
    <w:rsid w:val="00961A31"/>
    <w:rsid w:val="00961D50"/>
    <w:rsid w:val="00962178"/>
    <w:rsid w:val="0096286D"/>
    <w:rsid w:val="00962984"/>
    <w:rsid w:val="009629EC"/>
    <w:rsid w:val="00962EF2"/>
    <w:rsid w:val="0096317B"/>
    <w:rsid w:val="009637EE"/>
    <w:rsid w:val="0096399C"/>
    <w:rsid w:val="00963E13"/>
    <w:rsid w:val="00964D7D"/>
    <w:rsid w:val="00965D85"/>
    <w:rsid w:val="00965EB9"/>
    <w:rsid w:val="00966397"/>
    <w:rsid w:val="009667DB"/>
    <w:rsid w:val="00966D4C"/>
    <w:rsid w:val="009670ED"/>
    <w:rsid w:val="009671C8"/>
    <w:rsid w:val="0096726A"/>
    <w:rsid w:val="0096746B"/>
    <w:rsid w:val="00967F68"/>
    <w:rsid w:val="009704A1"/>
    <w:rsid w:val="009704BF"/>
    <w:rsid w:val="00970515"/>
    <w:rsid w:val="009706AD"/>
    <w:rsid w:val="00970836"/>
    <w:rsid w:val="00970967"/>
    <w:rsid w:val="009711A7"/>
    <w:rsid w:val="00971760"/>
    <w:rsid w:val="0097190B"/>
    <w:rsid w:val="00972187"/>
    <w:rsid w:val="009722E3"/>
    <w:rsid w:val="0097268A"/>
    <w:rsid w:val="009727BA"/>
    <w:rsid w:val="00972DD8"/>
    <w:rsid w:val="0097318D"/>
    <w:rsid w:val="00973704"/>
    <w:rsid w:val="00973E48"/>
    <w:rsid w:val="00973F25"/>
    <w:rsid w:val="0097425E"/>
    <w:rsid w:val="009742F3"/>
    <w:rsid w:val="009753AE"/>
    <w:rsid w:val="009756BE"/>
    <w:rsid w:val="009756F0"/>
    <w:rsid w:val="00975C70"/>
    <w:rsid w:val="00976753"/>
    <w:rsid w:val="009767D4"/>
    <w:rsid w:val="009769E0"/>
    <w:rsid w:val="00976F0E"/>
    <w:rsid w:val="009775F1"/>
    <w:rsid w:val="00977F16"/>
    <w:rsid w:val="00977F4F"/>
    <w:rsid w:val="00980244"/>
    <w:rsid w:val="00980629"/>
    <w:rsid w:val="00980816"/>
    <w:rsid w:val="009821C9"/>
    <w:rsid w:val="009821E2"/>
    <w:rsid w:val="0098238D"/>
    <w:rsid w:val="009824D0"/>
    <w:rsid w:val="0098258E"/>
    <w:rsid w:val="0098270C"/>
    <w:rsid w:val="00982A80"/>
    <w:rsid w:val="00983336"/>
    <w:rsid w:val="00983468"/>
    <w:rsid w:val="00983575"/>
    <w:rsid w:val="0098461F"/>
    <w:rsid w:val="00984B50"/>
    <w:rsid w:val="00984BAA"/>
    <w:rsid w:val="00984EDD"/>
    <w:rsid w:val="00985399"/>
    <w:rsid w:val="00985FAD"/>
    <w:rsid w:val="0098618D"/>
    <w:rsid w:val="009863CF"/>
    <w:rsid w:val="009865B4"/>
    <w:rsid w:val="00986662"/>
    <w:rsid w:val="00987087"/>
    <w:rsid w:val="009876BA"/>
    <w:rsid w:val="009876FD"/>
    <w:rsid w:val="0098776F"/>
    <w:rsid w:val="00987DE0"/>
    <w:rsid w:val="009908F5"/>
    <w:rsid w:val="00990FC1"/>
    <w:rsid w:val="009911BF"/>
    <w:rsid w:val="009914A9"/>
    <w:rsid w:val="00991AC5"/>
    <w:rsid w:val="0099247E"/>
    <w:rsid w:val="009932FB"/>
    <w:rsid w:val="009935F9"/>
    <w:rsid w:val="00993AAF"/>
    <w:rsid w:val="0099418F"/>
    <w:rsid w:val="00994F56"/>
    <w:rsid w:val="0099538F"/>
    <w:rsid w:val="00995A48"/>
    <w:rsid w:val="00995D70"/>
    <w:rsid w:val="00995FF3"/>
    <w:rsid w:val="00996617"/>
    <w:rsid w:val="00997A79"/>
    <w:rsid w:val="00997FF2"/>
    <w:rsid w:val="009A0938"/>
    <w:rsid w:val="009A0DCB"/>
    <w:rsid w:val="009A15C2"/>
    <w:rsid w:val="009A1895"/>
    <w:rsid w:val="009A1A6B"/>
    <w:rsid w:val="009A1E26"/>
    <w:rsid w:val="009A1E54"/>
    <w:rsid w:val="009A23AB"/>
    <w:rsid w:val="009A2533"/>
    <w:rsid w:val="009A2845"/>
    <w:rsid w:val="009A2895"/>
    <w:rsid w:val="009A2ACC"/>
    <w:rsid w:val="009A304C"/>
    <w:rsid w:val="009A3545"/>
    <w:rsid w:val="009A368F"/>
    <w:rsid w:val="009A3846"/>
    <w:rsid w:val="009A3D83"/>
    <w:rsid w:val="009A3FF2"/>
    <w:rsid w:val="009A402A"/>
    <w:rsid w:val="009A4511"/>
    <w:rsid w:val="009A47B1"/>
    <w:rsid w:val="009A50E1"/>
    <w:rsid w:val="009A5437"/>
    <w:rsid w:val="009A76D3"/>
    <w:rsid w:val="009A7775"/>
    <w:rsid w:val="009A7CA5"/>
    <w:rsid w:val="009A7FF8"/>
    <w:rsid w:val="009B00DA"/>
    <w:rsid w:val="009B03C5"/>
    <w:rsid w:val="009B04EC"/>
    <w:rsid w:val="009B08E6"/>
    <w:rsid w:val="009B09C4"/>
    <w:rsid w:val="009B2E9C"/>
    <w:rsid w:val="009B3769"/>
    <w:rsid w:val="009B3A31"/>
    <w:rsid w:val="009B3A55"/>
    <w:rsid w:val="009B3BA8"/>
    <w:rsid w:val="009B3C45"/>
    <w:rsid w:val="009B3EA6"/>
    <w:rsid w:val="009B4CC6"/>
    <w:rsid w:val="009B5388"/>
    <w:rsid w:val="009B595E"/>
    <w:rsid w:val="009B5A05"/>
    <w:rsid w:val="009B5C9A"/>
    <w:rsid w:val="009B63C1"/>
    <w:rsid w:val="009B6559"/>
    <w:rsid w:val="009B6C80"/>
    <w:rsid w:val="009B7548"/>
    <w:rsid w:val="009B7F5A"/>
    <w:rsid w:val="009B7F8C"/>
    <w:rsid w:val="009C04E6"/>
    <w:rsid w:val="009C096D"/>
    <w:rsid w:val="009C137B"/>
    <w:rsid w:val="009C17B2"/>
    <w:rsid w:val="009C1BD2"/>
    <w:rsid w:val="009C2AF8"/>
    <w:rsid w:val="009C2EF2"/>
    <w:rsid w:val="009C3C51"/>
    <w:rsid w:val="009C420D"/>
    <w:rsid w:val="009C4267"/>
    <w:rsid w:val="009C447C"/>
    <w:rsid w:val="009C4F23"/>
    <w:rsid w:val="009C5205"/>
    <w:rsid w:val="009C54B3"/>
    <w:rsid w:val="009C57EB"/>
    <w:rsid w:val="009C5E55"/>
    <w:rsid w:val="009C60DF"/>
    <w:rsid w:val="009C63DB"/>
    <w:rsid w:val="009C682E"/>
    <w:rsid w:val="009C6AD2"/>
    <w:rsid w:val="009C6F2C"/>
    <w:rsid w:val="009C7772"/>
    <w:rsid w:val="009D02BC"/>
    <w:rsid w:val="009D0340"/>
    <w:rsid w:val="009D080B"/>
    <w:rsid w:val="009D0C9C"/>
    <w:rsid w:val="009D0DA8"/>
    <w:rsid w:val="009D14F6"/>
    <w:rsid w:val="009D1627"/>
    <w:rsid w:val="009D1C27"/>
    <w:rsid w:val="009D1CB8"/>
    <w:rsid w:val="009D1DED"/>
    <w:rsid w:val="009D1F0A"/>
    <w:rsid w:val="009D22E4"/>
    <w:rsid w:val="009D259E"/>
    <w:rsid w:val="009D26DB"/>
    <w:rsid w:val="009D2769"/>
    <w:rsid w:val="009D2E70"/>
    <w:rsid w:val="009D303A"/>
    <w:rsid w:val="009D316A"/>
    <w:rsid w:val="009D3854"/>
    <w:rsid w:val="009D3F95"/>
    <w:rsid w:val="009D4012"/>
    <w:rsid w:val="009D401E"/>
    <w:rsid w:val="009D448B"/>
    <w:rsid w:val="009D51B9"/>
    <w:rsid w:val="009D51E1"/>
    <w:rsid w:val="009D527F"/>
    <w:rsid w:val="009D5415"/>
    <w:rsid w:val="009D5454"/>
    <w:rsid w:val="009D5513"/>
    <w:rsid w:val="009D55DC"/>
    <w:rsid w:val="009D5817"/>
    <w:rsid w:val="009D60CE"/>
    <w:rsid w:val="009D64A3"/>
    <w:rsid w:val="009D6D55"/>
    <w:rsid w:val="009E00C3"/>
    <w:rsid w:val="009E0464"/>
    <w:rsid w:val="009E0914"/>
    <w:rsid w:val="009E0B93"/>
    <w:rsid w:val="009E0F01"/>
    <w:rsid w:val="009E108E"/>
    <w:rsid w:val="009E1B2F"/>
    <w:rsid w:val="009E2F7C"/>
    <w:rsid w:val="009E3158"/>
    <w:rsid w:val="009E3533"/>
    <w:rsid w:val="009E3676"/>
    <w:rsid w:val="009E4A88"/>
    <w:rsid w:val="009E4F02"/>
    <w:rsid w:val="009E529A"/>
    <w:rsid w:val="009E531A"/>
    <w:rsid w:val="009E5400"/>
    <w:rsid w:val="009E5579"/>
    <w:rsid w:val="009E56F8"/>
    <w:rsid w:val="009E57F6"/>
    <w:rsid w:val="009E6489"/>
    <w:rsid w:val="009E64D2"/>
    <w:rsid w:val="009E65C4"/>
    <w:rsid w:val="009E68E1"/>
    <w:rsid w:val="009E69BB"/>
    <w:rsid w:val="009E6A89"/>
    <w:rsid w:val="009E6AD7"/>
    <w:rsid w:val="009E6D34"/>
    <w:rsid w:val="009E6FCA"/>
    <w:rsid w:val="009E718E"/>
    <w:rsid w:val="009E72F1"/>
    <w:rsid w:val="009E73EB"/>
    <w:rsid w:val="009E7506"/>
    <w:rsid w:val="009E7B78"/>
    <w:rsid w:val="009E7D27"/>
    <w:rsid w:val="009E7FDF"/>
    <w:rsid w:val="009F06FC"/>
    <w:rsid w:val="009F0790"/>
    <w:rsid w:val="009F0C63"/>
    <w:rsid w:val="009F1145"/>
    <w:rsid w:val="009F1C12"/>
    <w:rsid w:val="009F1D6C"/>
    <w:rsid w:val="009F1E0A"/>
    <w:rsid w:val="009F1ED2"/>
    <w:rsid w:val="009F2923"/>
    <w:rsid w:val="009F29C9"/>
    <w:rsid w:val="009F29D5"/>
    <w:rsid w:val="009F3D5F"/>
    <w:rsid w:val="009F45E6"/>
    <w:rsid w:val="009F4A14"/>
    <w:rsid w:val="009F5249"/>
    <w:rsid w:val="009F58BA"/>
    <w:rsid w:val="009F5A45"/>
    <w:rsid w:val="009F5D89"/>
    <w:rsid w:val="009F67A5"/>
    <w:rsid w:val="009F7313"/>
    <w:rsid w:val="009F74BC"/>
    <w:rsid w:val="00A00A4F"/>
    <w:rsid w:val="00A00A72"/>
    <w:rsid w:val="00A00BAD"/>
    <w:rsid w:val="00A00F0F"/>
    <w:rsid w:val="00A00FF2"/>
    <w:rsid w:val="00A01107"/>
    <w:rsid w:val="00A01129"/>
    <w:rsid w:val="00A01838"/>
    <w:rsid w:val="00A018F7"/>
    <w:rsid w:val="00A01EE9"/>
    <w:rsid w:val="00A0284E"/>
    <w:rsid w:val="00A03633"/>
    <w:rsid w:val="00A036E0"/>
    <w:rsid w:val="00A03835"/>
    <w:rsid w:val="00A03EE6"/>
    <w:rsid w:val="00A03FEC"/>
    <w:rsid w:val="00A04252"/>
    <w:rsid w:val="00A0456E"/>
    <w:rsid w:val="00A049E0"/>
    <w:rsid w:val="00A04AD2"/>
    <w:rsid w:val="00A050B1"/>
    <w:rsid w:val="00A050B3"/>
    <w:rsid w:val="00A050B6"/>
    <w:rsid w:val="00A05A38"/>
    <w:rsid w:val="00A05D96"/>
    <w:rsid w:val="00A05E65"/>
    <w:rsid w:val="00A0713C"/>
    <w:rsid w:val="00A0730E"/>
    <w:rsid w:val="00A10B7E"/>
    <w:rsid w:val="00A10DC1"/>
    <w:rsid w:val="00A10FF5"/>
    <w:rsid w:val="00A11179"/>
    <w:rsid w:val="00A1147F"/>
    <w:rsid w:val="00A115A6"/>
    <w:rsid w:val="00A11944"/>
    <w:rsid w:val="00A11A6C"/>
    <w:rsid w:val="00A11C62"/>
    <w:rsid w:val="00A120C0"/>
    <w:rsid w:val="00A12374"/>
    <w:rsid w:val="00A12747"/>
    <w:rsid w:val="00A12977"/>
    <w:rsid w:val="00A1301D"/>
    <w:rsid w:val="00A1305E"/>
    <w:rsid w:val="00A13914"/>
    <w:rsid w:val="00A13A1A"/>
    <w:rsid w:val="00A13C47"/>
    <w:rsid w:val="00A14500"/>
    <w:rsid w:val="00A149EA"/>
    <w:rsid w:val="00A14AA6"/>
    <w:rsid w:val="00A1548A"/>
    <w:rsid w:val="00A15BD1"/>
    <w:rsid w:val="00A15F2A"/>
    <w:rsid w:val="00A16321"/>
    <w:rsid w:val="00A16B01"/>
    <w:rsid w:val="00A17016"/>
    <w:rsid w:val="00A17440"/>
    <w:rsid w:val="00A175A7"/>
    <w:rsid w:val="00A17ACC"/>
    <w:rsid w:val="00A17AFA"/>
    <w:rsid w:val="00A17F66"/>
    <w:rsid w:val="00A204B4"/>
    <w:rsid w:val="00A2050F"/>
    <w:rsid w:val="00A20593"/>
    <w:rsid w:val="00A209A1"/>
    <w:rsid w:val="00A20AC7"/>
    <w:rsid w:val="00A20B41"/>
    <w:rsid w:val="00A20F92"/>
    <w:rsid w:val="00A210A8"/>
    <w:rsid w:val="00A212D5"/>
    <w:rsid w:val="00A21335"/>
    <w:rsid w:val="00A215E3"/>
    <w:rsid w:val="00A220B1"/>
    <w:rsid w:val="00A22397"/>
    <w:rsid w:val="00A223EC"/>
    <w:rsid w:val="00A224D8"/>
    <w:rsid w:val="00A22521"/>
    <w:rsid w:val="00A225BB"/>
    <w:rsid w:val="00A231C2"/>
    <w:rsid w:val="00A23200"/>
    <w:rsid w:val="00A23411"/>
    <w:rsid w:val="00A23B8F"/>
    <w:rsid w:val="00A23C1B"/>
    <w:rsid w:val="00A23DFE"/>
    <w:rsid w:val="00A241A8"/>
    <w:rsid w:val="00A24595"/>
    <w:rsid w:val="00A24B89"/>
    <w:rsid w:val="00A24CB7"/>
    <w:rsid w:val="00A24D10"/>
    <w:rsid w:val="00A25097"/>
    <w:rsid w:val="00A2519F"/>
    <w:rsid w:val="00A25295"/>
    <w:rsid w:val="00A2580D"/>
    <w:rsid w:val="00A25853"/>
    <w:rsid w:val="00A25C8D"/>
    <w:rsid w:val="00A25EBE"/>
    <w:rsid w:val="00A266F2"/>
    <w:rsid w:val="00A27223"/>
    <w:rsid w:val="00A275B9"/>
    <w:rsid w:val="00A27655"/>
    <w:rsid w:val="00A277D3"/>
    <w:rsid w:val="00A2792F"/>
    <w:rsid w:val="00A2797C"/>
    <w:rsid w:val="00A3052B"/>
    <w:rsid w:val="00A307F9"/>
    <w:rsid w:val="00A30D2C"/>
    <w:rsid w:val="00A311AA"/>
    <w:rsid w:val="00A31905"/>
    <w:rsid w:val="00A31A5B"/>
    <w:rsid w:val="00A31FC3"/>
    <w:rsid w:val="00A32526"/>
    <w:rsid w:val="00A328C3"/>
    <w:rsid w:val="00A32CA5"/>
    <w:rsid w:val="00A32FC1"/>
    <w:rsid w:val="00A33010"/>
    <w:rsid w:val="00A331F0"/>
    <w:rsid w:val="00A33B44"/>
    <w:rsid w:val="00A33F25"/>
    <w:rsid w:val="00A34662"/>
    <w:rsid w:val="00A34805"/>
    <w:rsid w:val="00A34D21"/>
    <w:rsid w:val="00A351B6"/>
    <w:rsid w:val="00A35A49"/>
    <w:rsid w:val="00A35E71"/>
    <w:rsid w:val="00A361EC"/>
    <w:rsid w:val="00A363A6"/>
    <w:rsid w:val="00A36655"/>
    <w:rsid w:val="00A366A8"/>
    <w:rsid w:val="00A36754"/>
    <w:rsid w:val="00A36785"/>
    <w:rsid w:val="00A36F0E"/>
    <w:rsid w:val="00A374F5"/>
    <w:rsid w:val="00A40A93"/>
    <w:rsid w:val="00A40B8E"/>
    <w:rsid w:val="00A41120"/>
    <w:rsid w:val="00A414ED"/>
    <w:rsid w:val="00A41705"/>
    <w:rsid w:val="00A41D22"/>
    <w:rsid w:val="00A41F91"/>
    <w:rsid w:val="00A42655"/>
    <w:rsid w:val="00A42722"/>
    <w:rsid w:val="00A42763"/>
    <w:rsid w:val="00A42E01"/>
    <w:rsid w:val="00A4351B"/>
    <w:rsid w:val="00A439AA"/>
    <w:rsid w:val="00A43E53"/>
    <w:rsid w:val="00A440FE"/>
    <w:rsid w:val="00A44125"/>
    <w:rsid w:val="00A455A9"/>
    <w:rsid w:val="00A466B1"/>
    <w:rsid w:val="00A46710"/>
    <w:rsid w:val="00A4697E"/>
    <w:rsid w:val="00A46A19"/>
    <w:rsid w:val="00A46E3B"/>
    <w:rsid w:val="00A46ED0"/>
    <w:rsid w:val="00A47748"/>
    <w:rsid w:val="00A478C3"/>
    <w:rsid w:val="00A478C5"/>
    <w:rsid w:val="00A50874"/>
    <w:rsid w:val="00A50A4C"/>
    <w:rsid w:val="00A510A4"/>
    <w:rsid w:val="00A51642"/>
    <w:rsid w:val="00A51C61"/>
    <w:rsid w:val="00A52095"/>
    <w:rsid w:val="00A524A6"/>
    <w:rsid w:val="00A52880"/>
    <w:rsid w:val="00A52BF6"/>
    <w:rsid w:val="00A52D39"/>
    <w:rsid w:val="00A532CF"/>
    <w:rsid w:val="00A53B35"/>
    <w:rsid w:val="00A53B6E"/>
    <w:rsid w:val="00A53F1E"/>
    <w:rsid w:val="00A544AB"/>
    <w:rsid w:val="00A54A48"/>
    <w:rsid w:val="00A54CDE"/>
    <w:rsid w:val="00A555B9"/>
    <w:rsid w:val="00A55A72"/>
    <w:rsid w:val="00A55A84"/>
    <w:rsid w:val="00A55FED"/>
    <w:rsid w:val="00A56073"/>
    <w:rsid w:val="00A560F2"/>
    <w:rsid w:val="00A5636F"/>
    <w:rsid w:val="00A56F1F"/>
    <w:rsid w:val="00A57401"/>
    <w:rsid w:val="00A57BA8"/>
    <w:rsid w:val="00A57C4C"/>
    <w:rsid w:val="00A600B6"/>
    <w:rsid w:val="00A609CF"/>
    <w:rsid w:val="00A61707"/>
    <w:rsid w:val="00A61C9D"/>
    <w:rsid w:val="00A62765"/>
    <w:rsid w:val="00A62802"/>
    <w:rsid w:val="00A62C5A"/>
    <w:rsid w:val="00A632EE"/>
    <w:rsid w:val="00A633ED"/>
    <w:rsid w:val="00A63832"/>
    <w:rsid w:val="00A6397A"/>
    <w:rsid w:val="00A63CB1"/>
    <w:rsid w:val="00A64189"/>
    <w:rsid w:val="00A643C2"/>
    <w:rsid w:val="00A64492"/>
    <w:rsid w:val="00A64ACB"/>
    <w:rsid w:val="00A6520D"/>
    <w:rsid w:val="00A661C6"/>
    <w:rsid w:val="00A6697B"/>
    <w:rsid w:val="00A66AC9"/>
    <w:rsid w:val="00A66F81"/>
    <w:rsid w:val="00A6762F"/>
    <w:rsid w:val="00A67848"/>
    <w:rsid w:val="00A67D89"/>
    <w:rsid w:val="00A67E50"/>
    <w:rsid w:val="00A700B6"/>
    <w:rsid w:val="00A70632"/>
    <w:rsid w:val="00A7096B"/>
    <w:rsid w:val="00A70D8A"/>
    <w:rsid w:val="00A70F19"/>
    <w:rsid w:val="00A70FE5"/>
    <w:rsid w:val="00A711CD"/>
    <w:rsid w:val="00A71443"/>
    <w:rsid w:val="00A71528"/>
    <w:rsid w:val="00A71627"/>
    <w:rsid w:val="00A71A84"/>
    <w:rsid w:val="00A71EFC"/>
    <w:rsid w:val="00A71F83"/>
    <w:rsid w:val="00A73127"/>
    <w:rsid w:val="00A732F5"/>
    <w:rsid w:val="00A73D31"/>
    <w:rsid w:val="00A73D6C"/>
    <w:rsid w:val="00A74110"/>
    <w:rsid w:val="00A74609"/>
    <w:rsid w:val="00A7484A"/>
    <w:rsid w:val="00A75382"/>
    <w:rsid w:val="00A753BD"/>
    <w:rsid w:val="00A75442"/>
    <w:rsid w:val="00A7568D"/>
    <w:rsid w:val="00A75A60"/>
    <w:rsid w:val="00A75E17"/>
    <w:rsid w:val="00A7645C"/>
    <w:rsid w:val="00A76993"/>
    <w:rsid w:val="00A771D7"/>
    <w:rsid w:val="00A77B37"/>
    <w:rsid w:val="00A8016C"/>
    <w:rsid w:val="00A8071A"/>
    <w:rsid w:val="00A80862"/>
    <w:rsid w:val="00A80C2B"/>
    <w:rsid w:val="00A8186B"/>
    <w:rsid w:val="00A81E55"/>
    <w:rsid w:val="00A82456"/>
    <w:rsid w:val="00A829D2"/>
    <w:rsid w:val="00A83669"/>
    <w:rsid w:val="00A838A0"/>
    <w:rsid w:val="00A83A19"/>
    <w:rsid w:val="00A84295"/>
    <w:rsid w:val="00A84661"/>
    <w:rsid w:val="00A84B20"/>
    <w:rsid w:val="00A84C1E"/>
    <w:rsid w:val="00A85877"/>
    <w:rsid w:val="00A85A6F"/>
    <w:rsid w:val="00A85C24"/>
    <w:rsid w:val="00A863ED"/>
    <w:rsid w:val="00A87AB5"/>
    <w:rsid w:val="00A9026D"/>
    <w:rsid w:val="00A90657"/>
    <w:rsid w:val="00A9094A"/>
    <w:rsid w:val="00A90B4E"/>
    <w:rsid w:val="00A90D89"/>
    <w:rsid w:val="00A90FA2"/>
    <w:rsid w:val="00A91856"/>
    <w:rsid w:val="00A9265B"/>
    <w:rsid w:val="00A9278C"/>
    <w:rsid w:val="00A928B1"/>
    <w:rsid w:val="00A92B82"/>
    <w:rsid w:val="00A92D94"/>
    <w:rsid w:val="00A9331B"/>
    <w:rsid w:val="00A93685"/>
    <w:rsid w:val="00A93CD3"/>
    <w:rsid w:val="00A93F26"/>
    <w:rsid w:val="00A94117"/>
    <w:rsid w:val="00A9449B"/>
    <w:rsid w:val="00A94CC0"/>
    <w:rsid w:val="00A9524D"/>
    <w:rsid w:val="00A95327"/>
    <w:rsid w:val="00A9575D"/>
    <w:rsid w:val="00A95BA5"/>
    <w:rsid w:val="00A95FF5"/>
    <w:rsid w:val="00A96500"/>
    <w:rsid w:val="00A969BA"/>
    <w:rsid w:val="00A97104"/>
    <w:rsid w:val="00A97356"/>
    <w:rsid w:val="00A97693"/>
    <w:rsid w:val="00A97972"/>
    <w:rsid w:val="00A97CAB"/>
    <w:rsid w:val="00AA03FF"/>
    <w:rsid w:val="00AA095B"/>
    <w:rsid w:val="00AA0F28"/>
    <w:rsid w:val="00AA111C"/>
    <w:rsid w:val="00AA13AB"/>
    <w:rsid w:val="00AA1742"/>
    <w:rsid w:val="00AA1E37"/>
    <w:rsid w:val="00AA1FB4"/>
    <w:rsid w:val="00AA20BB"/>
    <w:rsid w:val="00AA224E"/>
    <w:rsid w:val="00AA2797"/>
    <w:rsid w:val="00AA2A3D"/>
    <w:rsid w:val="00AA2C8C"/>
    <w:rsid w:val="00AA2E40"/>
    <w:rsid w:val="00AA3614"/>
    <w:rsid w:val="00AA3708"/>
    <w:rsid w:val="00AA38C5"/>
    <w:rsid w:val="00AA3B4B"/>
    <w:rsid w:val="00AA3BA5"/>
    <w:rsid w:val="00AA3C29"/>
    <w:rsid w:val="00AA43A8"/>
    <w:rsid w:val="00AA467F"/>
    <w:rsid w:val="00AA47C2"/>
    <w:rsid w:val="00AA49FF"/>
    <w:rsid w:val="00AA4CA4"/>
    <w:rsid w:val="00AA500D"/>
    <w:rsid w:val="00AA5284"/>
    <w:rsid w:val="00AA5DA7"/>
    <w:rsid w:val="00AA6DEE"/>
    <w:rsid w:val="00AA7AB8"/>
    <w:rsid w:val="00AB089E"/>
    <w:rsid w:val="00AB0A4C"/>
    <w:rsid w:val="00AB0C5E"/>
    <w:rsid w:val="00AB0E96"/>
    <w:rsid w:val="00AB1552"/>
    <w:rsid w:val="00AB1A84"/>
    <w:rsid w:val="00AB2668"/>
    <w:rsid w:val="00AB270D"/>
    <w:rsid w:val="00AB2F0F"/>
    <w:rsid w:val="00AB3AB7"/>
    <w:rsid w:val="00AB3D40"/>
    <w:rsid w:val="00AB3FBD"/>
    <w:rsid w:val="00AB4CD3"/>
    <w:rsid w:val="00AB4DCC"/>
    <w:rsid w:val="00AB54F0"/>
    <w:rsid w:val="00AB5515"/>
    <w:rsid w:val="00AB5792"/>
    <w:rsid w:val="00AB5C49"/>
    <w:rsid w:val="00AB5DB8"/>
    <w:rsid w:val="00AB6028"/>
    <w:rsid w:val="00AB60F2"/>
    <w:rsid w:val="00AB6E36"/>
    <w:rsid w:val="00AB73FF"/>
    <w:rsid w:val="00AB7555"/>
    <w:rsid w:val="00AB7BF4"/>
    <w:rsid w:val="00AB7D23"/>
    <w:rsid w:val="00AB7E35"/>
    <w:rsid w:val="00AC0357"/>
    <w:rsid w:val="00AC0818"/>
    <w:rsid w:val="00AC0F24"/>
    <w:rsid w:val="00AC1292"/>
    <w:rsid w:val="00AC1398"/>
    <w:rsid w:val="00AC19B2"/>
    <w:rsid w:val="00AC1BCC"/>
    <w:rsid w:val="00AC22F3"/>
    <w:rsid w:val="00AC231B"/>
    <w:rsid w:val="00AC241B"/>
    <w:rsid w:val="00AC2A58"/>
    <w:rsid w:val="00AC2BC1"/>
    <w:rsid w:val="00AC36A1"/>
    <w:rsid w:val="00AC3CC2"/>
    <w:rsid w:val="00AC3EAC"/>
    <w:rsid w:val="00AC416A"/>
    <w:rsid w:val="00AC4192"/>
    <w:rsid w:val="00AC4A91"/>
    <w:rsid w:val="00AC4ABC"/>
    <w:rsid w:val="00AC4AE7"/>
    <w:rsid w:val="00AC4C00"/>
    <w:rsid w:val="00AC4E64"/>
    <w:rsid w:val="00AC4EE6"/>
    <w:rsid w:val="00AC4FCA"/>
    <w:rsid w:val="00AC539B"/>
    <w:rsid w:val="00AC558E"/>
    <w:rsid w:val="00AC5B11"/>
    <w:rsid w:val="00AC67B6"/>
    <w:rsid w:val="00AC6A7B"/>
    <w:rsid w:val="00AC72FD"/>
    <w:rsid w:val="00AC7604"/>
    <w:rsid w:val="00AC7673"/>
    <w:rsid w:val="00AC7CC7"/>
    <w:rsid w:val="00AC7E0A"/>
    <w:rsid w:val="00AD0333"/>
    <w:rsid w:val="00AD06E9"/>
    <w:rsid w:val="00AD0815"/>
    <w:rsid w:val="00AD0896"/>
    <w:rsid w:val="00AD13A2"/>
    <w:rsid w:val="00AD1436"/>
    <w:rsid w:val="00AD1947"/>
    <w:rsid w:val="00AD1C47"/>
    <w:rsid w:val="00AD1CF4"/>
    <w:rsid w:val="00AD1DA6"/>
    <w:rsid w:val="00AD233C"/>
    <w:rsid w:val="00AD23AD"/>
    <w:rsid w:val="00AD245B"/>
    <w:rsid w:val="00AD2D10"/>
    <w:rsid w:val="00AD3232"/>
    <w:rsid w:val="00AD415C"/>
    <w:rsid w:val="00AD4793"/>
    <w:rsid w:val="00AD4B64"/>
    <w:rsid w:val="00AD4CA1"/>
    <w:rsid w:val="00AD5095"/>
    <w:rsid w:val="00AD59B4"/>
    <w:rsid w:val="00AD5B2D"/>
    <w:rsid w:val="00AD5D05"/>
    <w:rsid w:val="00AD650D"/>
    <w:rsid w:val="00AD6838"/>
    <w:rsid w:val="00AD75CE"/>
    <w:rsid w:val="00AD771A"/>
    <w:rsid w:val="00AD7FA2"/>
    <w:rsid w:val="00AE0111"/>
    <w:rsid w:val="00AE0CE1"/>
    <w:rsid w:val="00AE0E6C"/>
    <w:rsid w:val="00AE13BD"/>
    <w:rsid w:val="00AE1615"/>
    <w:rsid w:val="00AE2254"/>
    <w:rsid w:val="00AE2494"/>
    <w:rsid w:val="00AE24A5"/>
    <w:rsid w:val="00AE2713"/>
    <w:rsid w:val="00AE2858"/>
    <w:rsid w:val="00AE2981"/>
    <w:rsid w:val="00AE2BD6"/>
    <w:rsid w:val="00AE33A3"/>
    <w:rsid w:val="00AE378C"/>
    <w:rsid w:val="00AE387C"/>
    <w:rsid w:val="00AE3923"/>
    <w:rsid w:val="00AE3A0C"/>
    <w:rsid w:val="00AE3EF8"/>
    <w:rsid w:val="00AE3EFB"/>
    <w:rsid w:val="00AE43B5"/>
    <w:rsid w:val="00AE57F0"/>
    <w:rsid w:val="00AE5925"/>
    <w:rsid w:val="00AE5BB3"/>
    <w:rsid w:val="00AE6789"/>
    <w:rsid w:val="00AE6A6E"/>
    <w:rsid w:val="00AE6B80"/>
    <w:rsid w:val="00AE7019"/>
    <w:rsid w:val="00AE7240"/>
    <w:rsid w:val="00AE739E"/>
    <w:rsid w:val="00AE7E55"/>
    <w:rsid w:val="00AE7EAE"/>
    <w:rsid w:val="00AF0038"/>
    <w:rsid w:val="00AF0146"/>
    <w:rsid w:val="00AF039F"/>
    <w:rsid w:val="00AF0BD9"/>
    <w:rsid w:val="00AF14EC"/>
    <w:rsid w:val="00AF15D7"/>
    <w:rsid w:val="00AF1ED1"/>
    <w:rsid w:val="00AF295D"/>
    <w:rsid w:val="00AF3916"/>
    <w:rsid w:val="00AF4998"/>
    <w:rsid w:val="00AF4F7D"/>
    <w:rsid w:val="00AF5530"/>
    <w:rsid w:val="00AF55E2"/>
    <w:rsid w:val="00AF5768"/>
    <w:rsid w:val="00AF5B1C"/>
    <w:rsid w:val="00AF5B59"/>
    <w:rsid w:val="00AF5EC6"/>
    <w:rsid w:val="00AF618C"/>
    <w:rsid w:val="00AF61AD"/>
    <w:rsid w:val="00AF65D3"/>
    <w:rsid w:val="00AF6F39"/>
    <w:rsid w:val="00AF71FF"/>
    <w:rsid w:val="00AF724E"/>
    <w:rsid w:val="00AF7AAF"/>
    <w:rsid w:val="00AF7FE3"/>
    <w:rsid w:val="00B0030D"/>
    <w:rsid w:val="00B004C1"/>
    <w:rsid w:val="00B00A28"/>
    <w:rsid w:val="00B00DBC"/>
    <w:rsid w:val="00B01071"/>
    <w:rsid w:val="00B01A2D"/>
    <w:rsid w:val="00B01BB6"/>
    <w:rsid w:val="00B01EF6"/>
    <w:rsid w:val="00B021C7"/>
    <w:rsid w:val="00B023B0"/>
    <w:rsid w:val="00B0272B"/>
    <w:rsid w:val="00B02ADB"/>
    <w:rsid w:val="00B02F44"/>
    <w:rsid w:val="00B03DD8"/>
    <w:rsid w:val="00B044A1"/>
    <w:rsid w:val="00B0470F"/>
    <w:rsid w:val="00B048A3"/>
    <w:rsid w:val="00B049A7"/>
    <w:rsid w:val="00B04B95"/>
    <w:rsid w:val="00B06405"/>
    <w:rsid w:val="00B0692E"/>
    <w:rsid w:val="00B069A8"/>
    <w:rsid w:val="00B06B8B"/>
    <w:rsid w:val="00B06D00"/>
    <w:rsid w:val="00B0705D"/>
    <w:rsid w:val="00B073CF"/>
    <w:rsid w:val="00B073F1"/>
    <w:rsid w:val="00B078A2"/>
    <w:rsid w:val="00B078A9"/>
    <w:rsid w:val="00B07C01"/>
    <w:rsid w:val="00B1043C"/>
    <w:rsid w:val="00B106AB"/>
    <w:rsid w:val="00B1081A"/>
    <w:rsid w:val="00B10B38"/>
    <w:rsid w:val="00B10B97"/>
    <w:rsid w:val="00B10C59"/>
    <w:rsid w:val="00B10D18"/>
    <w:rsid w:val="00B10E35"/>
    <w:rsid w:val="00B10F31"/>
    <w:rsid w:val="00B111A8"/>
    <w:rsid w:val="00B1128B"/>
    <w:rsid w:val="00B11632"/>
    <w:rsid w:val="00B11BFB"/>
    <w:rsid w:val="00B12F42"/>
    <w:rsid w:val="00B12F59"/>
    <w:rsid w:val="00B133ED"/>
    <w:rsid w:val="00B134E1"/>
    <w:rsid w:val="00B139FB"/>
    <w:rsid w:val="00B13E5C"/>
    <w:rsid w:val="00B14123"/>
    <w:rsid w:val="00B142EA"/>
    <w:rsid w:val="00B14C0F"/>
    <w:rsid w:val="00B14C82"/>
    <w:rsid w:val="00B156C2"/>
    <w:rsid w:val="00B1618F"/>
    <w:rsid w:val="00B164B0"/>
    <w:rsid w:val="00B16967"/>
    <w:rsid w:val="00B16A0C"/>
    <w:rsid w:val="00B16DF2"/>
    <w:rsid w:val="00B17431"/>
    <w:rsid w:val="00B17595"/>
    <w:rsid w:val="00B17627"/>
    <w:rsid w:val="00B176FC"/>
    <w:rsid w:val="00B17D65"/>
    <w:rsid w:val="00B2068A"/>
    <w:rsid w:val="00B206A7"/>
    <w:rsid w:val="00B20A92"/>
    <w:rsid w:val="00B21CC2"/>
    <w:rsid w:val="00B21E0B"/>
    <w:rsid w:val="00B21E1F"/>
    <w:rsid w:val="00B21E4C"/>
    <w:rsid w:val="00B2209D"/>
    <w:rsid w:val="00B2254E"/>
    <w:rsid w:val="00B225C7"/>
    <w:rsid w:val="00B2265B"/>
    <w:rsid w:val="00B22E90"/>
    <w:rsid w:val="00B2344E"/>
    <w:rsid w:val="00B234B1"/>
    <w:rsid w:val="00B23944"/>
    <w:rsid w:val="00B23BAC"/>
    <w:rsid w:val="00B23BEB"/>
    <w:rsid w:val="00B23CEA"/>
    <w:rsid w:val="00B243B6"/>
    <w:rsid w:val="00B2472E"/>
    <w:rsid w:val="00B25402"/>
    <w:rsid w:val="00B25A0A"/>
    <w:rsid w:val="00B260F6"/>
    <w:rsid w:val="00B26294"/>
    <w:rsid w:val="00B2776B"/>
    <w:rsid w:val="00B278E7"/>
    <w:rsid w:val="00B279B5"/>
    <w:rsid w:val="00B27A56"/>
    <w:rsid w:val="00B27AFF"/>
    <w:rsid w:val="00B27BAE"/>
    <w:rsid w:val="00B27D67"/>
    <w:rsid w:val="00B304FA"/>
    <w:rsid w:val="00B310A0"/>
    <w:rsid w:val="00B314C1"/>
    <w:rsid w:val="00B31976"/>
    <w:rsid w:val="00B319AA"/>
    <w:rsid w:val="00B31B2B"/>
    <w:rsid w:val="00B31BDD"/>
    <w:rsid w:val="00B323A0"/>
    <w:rsid w:val="00B32968"/>
    <w:rsid w:val="00B329A1"/>
    <w:rsid w:val="00B32C7C"/>
    <w:rsid w:val="00B34501"/>
    <w:rsid w:val="00B346E3"/>
    <w:rsid w:val="00B348D2"/>
    <w:rsid w:val="00B3497B"/>
    <w:rsid w:val="00B34D58"/>
    <w:rsid w:val="00B3528C"/>
    <w:rsid w:val="00B353B0"/>
    <w:rsid w:val="00B35703"/>
    <w:rsid w:val="00B357A0"/>
    <w:rsid w:val="00B367F0"/>
    <w:rsid w:val="00B369F6"/>
    <w:rsid w:val="00B36A24"/>
    <w:rsid w:val="00B36A46"/>
    <w:rsid w:val="00B37546"/>
    <w:rsid w:val="00B37B6C"/>
    <w:rsid w:val="00B37DCB"/>
    <w:rsid w:val="00B405FA"/>
    <w:rsid w:val="00B40943"/>
    <w:rsid w:val="00B40B5C"/>
    <w:rsid w:val="00B41059"/>
    <w:rsid w:val="00B41253"/>
    <w:rsid w:val="00B4144C"/>
    <w:rsid w:val="00B41561"/>
    <w:rsid w:val="00B41711"/>
    <w:rsid w:val="00B41819"/>
    <w:rsid w:val="00B41A39"/>
    <w:rsid w:val="00B41DA8"/>
    <w:rsid w:val="00B420D5"/>
    <w:rsid w:val="00B4233D"/>
    <w:rsid w:val="00B423BA"/>
    <w:rsid w:val="00B4252C"/>
    <w:rsid w:val="00B42965"/>
    <w:rsid w:val="00B42CAE"/>
    <w:rsid w:val="00B4390E"/>
    <w:rsid w:val="00B43EF2"/>
    <w:rsid w:val="00B4439F"/>
    <w:rsid w:val="00B443DB"/>
    <w:rsid w:val="00B45046"/>
    <w:rsid w:val="00B453E4"/>
    <w:rsid w:val="00B45D22"/>
    <w:rsid w:val="00B45E5A"/>
    <w:rsid w:val="00B46215"/>
    <w:rsid w:val="00B46716"/>
    <w:rsid w:val="00B47056"/>
    <w:rsid w:val="00B4744E"/>
    <w:rsid w:val="00B474B6"/>
    <w:rsid w:val="00B47649"/>
    <w:rsid w:val="00B47C1D"/>
    <w:rsid w:val="00B47DB2"/>
    <w:rsid w:val="00B47DF9"/>
    <w:rsid w:val="00B505EE"/>
    <w:rsid w:val="00B50B70"/>
    <w:rsid w:val="00B50F97"/>
    <w:rsid w:val="00B510C1"/>
    <w:rsid w:val="00B5160E"/>
    <w:rsid w:val="00B51C5D"/>
    <w:rsid w:val="00B51EB1"/>
    <w:rsid w:val="00B52316"/>
    <w:rsid w:val="00B52382"/>
    <w:rsid w:val="00B52738"/>
    <w:rsid w:val="00B5287E"/>
    <w:rsid w:val="00B52A72"/>
    <w:rsid w:val="00B52AC9"/>
    <w:rsid w:val="00B52CE4"/>
    <w:rsid w:val="00B52D4A"/>
    <w:rsid w:val="00B530EC"/>
    <w:rsid w:val="00B53484"/>
    <w:rsid w:val="00B5375C"/>
    <w:rsid w:val="00B53ABE"/>
    <w:rsid w:val="00B53E5B"/>
    <w:rsid w:val="00B5435F"/>
    <w:rsid w:val="00B54509"/>
    <w:rsid w:val="00B54704"/>
    <w:rsid w:val="00B54F2C"/>
    <w:rsid w:val="00B558D0"/>
    <w:rsid w:val="00B55909"/>
    <w:rsid w:val="00B55E29"/>
    <w:rsid w:val="00B55EF1"/>
    <w:rsid w:val="00B563F6"/>
    <w:rsid w:val="00B564B1"/>
    <w:rsid w:val="00B56ADD"/>
    <w:rsid w:val="00B56DB6"/>
    <w:rsid w:val="00B56DBA"/>
    <w:rsid w:val="00B56FE9"/>
    <w:rsid w:val="00B5706B"/>
    <w:rsid w:val="00B571DC"/>
    <w:rsid w:val="00B576C2"/>
    <w:rsid w:val="00B603E1"/>
    <w:rsid w:val="00B60780"/>
    <w:rsid w:val="00B60D5C"/>
    <w:rsid w:val="00B6100B"/>
    <w:rsid w:val="00B61264"/>
    <w:rsid w:val="00B612F1"/>
    <w:rsid w:val="00B61A12"/>
    <w:rsid w:val="00B61FD8"/>
    <w:rsid w:val="00B62495"/>
    <w:rsid w:val="00B6296B"/>
    <w:rsid w:val="00B62D55"/>
    <w:rsid w:val="00B62F42"/>
    <w:rsid w:val="00B63112"/>
    <w:rsid w:val="00B63234"/>
    <w:rsid w:val="00B63E2B"/>
    <w:rsid w:val="00B63E91"/>
    <w:rsid w:val="00B64428"/>
    <w:rsid w:val="00B6522D"/>
    <w:rsid w:val="00B6545B"/>
    <w:rsid w:val="00B66004"/>
    <w:rsid w:val="00B66142"/>
    <w:rsid w:val="00B66CE8"/>
    <w:rsid w:val="00B67510"/>
    <w:rsid w:val="00B678D7"/>
    <w:rsid w:val="00B70462"/>
    <w:rsid w:val="00B70BEF"/>
    <w:rsid w:val="00B710FC"/>
    <w:rsid w:val="00B71443"/>
    <w:rsid w:val="00B718C0"/>
    <w:rsid w:val="00B71A3C"/>
    <w:rsid w:val="00B71C97"/>
    <w:rsid w:val="00B7269B"/>
    <w:rsid w:val="00B72E1A"/>
    <w:rsid w:val="00B732EA"/>
    <w:rsid w:val="00B738F3"/>
    <w:rsid w:val="00B7396C"/>
    <w:rsid w:val="00B739B3"/>
    <w:rsid w:val="00B73D50"/>
    <w:rsid w:val="00B7403F"/>
    <w:rsid w:val="00B74959"/>
    <w:rsid w:val="00B74C70"/>
    <w:rsid w:val="00B75028"/>
    <w:rsid w:val="00B75341"/>
    <w:rsid w:val="00B76342"/>
    <w:rsid w:val="00B76630"/>
    <w:rsid w:val="00B76847"/>
    <w:rsid w:val="00B76A90"/>
    <w:rsid w:val="00B7703D"/>
    <w:rsid w:val="00B77597"/>
    <w:rsid w:val="00B77A02"/>
    <w:rsid w:val="00B80752"/>
    <w:rsid w:val="00B807EA"/>
    <w:rsid w:val="00B80F5E"/>
    <w:rsid w:val="00B81208"/>
    <w:rsid w:val="00B81DC3"/>
    <w:rsid w:val="00B824A8"/>
    <w:rsid w:val="00B824C8"/>
    <w:rsid w:val="00B82590"/>
    <w:rsid w:val="00B82667"/>
    <w:rsid w:val="00B83213"/>
    <w:rsid w:val="00B83486"/>
    <w:rsid w:val="00B83F06"/>
    <w:rsid w:val="00B846F3"/>
    <w:rsid w:val="00B84732"/>
    <w:rsid w:val="00B85767"/>
    <w:rsid w:val="00B85824"/>
    <w:rsid w:val="00B8584F"/>
    <w:rsid w:val="00B85BCB"/>
    <w:rsid w:val="00B8618A"/>
    <w:rsid w:val="00B865BD"/>
    <w:rsid w:val="00B86E12"/>
    <w:rsid w:val="00B86E69"/>
    <w:rsid w:val="00B86EE4"/>
    <w:rsid w:val="00B86F43"/>
    <w:rsid w:val="00B8711A"/>
    <w:rsid w:val="00B87D30"/>
    <w:rsid w:val="00B90176"/>
    <w:rsid w:val="00B9047B"/>
    <w:rsid w:val="00B910BE"/>
    <w:rsid w:val="00B91474"/>
    <w:rsid w:val="00B91880"/>
    <w:rsid w:val="00B91A18"/>
    <w:rsid w:val="00B92056"/>
    <w:rsid w:val="00B92618"/>
    <w:rsid w:val="00B92CFB"/>
    <w:rsid w:val="00B92F71"/>
    <w:rsid w:val="00B9305B"/>
    <w:rsid w:val="00B9346B"/>
    <w:rsid w:val="00B94076"/>
    <w:rsid w:val="00B94663"/>
    <w:rsid w:val="00B946B1"/>
    <w:rsid w:val="00B950D5"/>
    <w:rsid w:val="00B9516E"/>
    <w:rsid w:val="00B953F7"/>
    <w:rsid w:val="00B955EE"/>
    <w:rsid w:val="00B95E1A"/>
    <w:rsid w:val="00B96597"/>
    <w:rsid w:val="00B96AF6"/>
    <w:rsid w:val="00B97A37"/>
    <w:rsid w:val="00B97FF2"/>
    <w:rsid w:val="00BA0049"/>
    <w:rsid w:val="00BA0139"/>
    <w:rsid w:val="00BA020B"/>
    <w:rsid w:val="00BA049D"/>
    <w:rsid w:val="00BA0708"/>
    <w:rsid w:val="00BA07F9"/>
    <w:rsid w:val="00BA0BE0"/>
    <w:rsid w:val="00BA10C6"/>
    <w:rsid w:val="00BA11DC"/>
    <w:rsid w:val="00BA1291"/>
    <w:rsid w:val="00BA1379"/>
    <w:rsid w:val="00BA159C"/>
    <w:rsid w:val="00BA2A5C"/>
    <w:rsid w:val="00BA2AED"/>
    <w:rsid w:val="00BA32D8"/>
    <w:rsid w:val="00BA38F4"/>
    <w:rsid w:val="00BA390B"/>
    <w:rsid w:val="00BA3978"/>
    <w:rsid w:val="00BA39E5"/>
    <w:rsid w:val="00BA3C81"/>
    <w:rsid w:val="00BA406C"/>
    <w:rsid w:val="00BA435D"/>
    <w:rsid w:val="00BA5516"/>
    <w:rsid w:val="00BA55D5"/>
    <w:rsid w:val="00BA5A3B"/>
    <w:rsid w:val="00BA5EA1"/>
    <w:rsid w:val="00BA62B8"/>
    <w:rsid w:val="00BA6828"/>
    <w:rsid w:val="00BA6A1A"/>
    <w:rsid w:val="00BA6B53"/>
    <w:rsid w:val="00BA7443"/>
    <w:rsid w:val="00BA7521"/>
    <w:rsid w:val="00BA7973"/>
    <w:rsid w:val="00BB181E"/>
    <w:rsid w:val="00BB1A71"/>
    <w:rsid w:val="00BB1C03"/>
    <w:rsid w:val="00BB1E6C"/>
    <w:rsid w:val="00BB22E3"/>
    <w:rsid w:val="00BB2D41"/>
    <w:rsid w:val="00BB4480"/>
    <w:rsid w:val="00BB4C8E"/>
    <w:rsid w:val="00BB4D54"/>
    <w:rsid w:val="00BB4D6C"/>
    <w:rsid w:val="00BB5AC5"/>
    <w:rsid w:val="00BB5B2B"/>
    <w:rsid w:val="00BB5C09"/>
    <w:rsid w:val="00BB5D97"/>
    <w:rsid w:val="00BB7783"/>
    <w:rsid w:val="00BB79AA"/>
    <w:rsid w:val="00BB7BB6"/>
    <w:rsid w:val="00BB7BE7"/>
    <w:rsid w:val="00BB7EBF"/>
    <w:rsid w:val="00BB7F71"/>
    <w:rsid w:val="00BC069E"/>
    <w:rsid w:val="00BC099B"/>
    <w:rsid w:val="00BC0A6A"/>
    <w:rsid w:val="00BC1421"/>
    <w:rsid w:val="00BC168E"/>
    <w:rsid w:val="00BC16AF"/>
    <w:rsid w:val="00BC1725"/>
    <w:rsid w:val="00BC20A1"/>
    <w:rsid w:val="00BC271F"/>
    <w:rsid w:val="00BC2B98"/>
    <w:rsid w:val="00BC2C7C"/>
    <w:rsid w:val="00BC2FB4"/>
    <w:rsid w:val="00BC349A"/>
    <w:rsid w:val="00BC3837"/>
    <w:rsid w:val="00BC3D6D"/>
    <w:rsid w:val="00BC425F"/>
    <w:rsid w:val="00BC454A"/>
    <w:rsid w:val="00BC4AB7"/>
    <w:rsid w:val="00BC50BF"/>
    <w:rsid w:val="00BC55C9"/>
    <w:rsid w:val="00BC5732"/>
    <w:rsid w:val="00BC576D"/>
    <w:rsid w:val="00BC5B8D"/>
    <w:rsid w:val="00BC5CFF"/>
    <w:rsid w:val="00BC5FC3"/>
    <w:rsid w:val="00BC67B4"/>
    <w:rsid w:val="00BC7BC8"/>
    <w:rsid w:val="00BC7CEC"/>
    <w:rsid w:val="00BD0788"/>
    <w:rsid w:val="00BD0904"/>
    <w:rsid w:val="00BD0BD9"/>
    <w:rsid w:val="00BD0D51"/>
    <w:rsid w:val="00BD160E"/>
    <w:rsid w:val="00BD1B77"/>
    <w:rsid w:val="00BD2077"/>
    <w:rsid w:val="00BD2466"/>
    <w:rsid w:val="00BD2651"/>
    <w:rsid w:val="00BD2C9F"/>
    <w:rsid w:val="00BD3561"/>
    <w:rsid w:val="00BD363F"/>
    <w:rsid w:val="00BD4302"/>
    <w:rsid w:val="00BD431B"/>
    <w:rsid w:val="00BD4EDA"/>
    <w:rsid w:val="00BD5D5C"/>
    <w:rsid w:val="00BD6ED5"/>
    <w:rsid w:val="00BD7377"/>
    <w:rsid w:val="00BD73FA"/>
    <w:rsid w:val="00BD7487"/>
    <w:rsid w:val="00BD7B31"/>
    <w:rsid w:val="00BE0022"/>
    <w:rsid w:val="00BE0210"/>
    <w:rsid w:val="00BE0D34"/>
    <w:rsid w:val="00BE0DE4"/>
    <w:rsid w:val="00BE1860"/>
    <w:rsid w:val="00BE1A42"/>
    <w:rsid w:val="00BE2205"/>
    <w:rsid w:val="00BE220C"/>
    <w:rsid w:val="00BE2E74"/>
    <w:rsid w:val="00BE308F"/>
    <w:rsid w:val="00BE316A"/>
    <w:rsid w:val="00BE32AF"/>
    <w:rsid w:val="00BE35A1"/>
    <w:rsid w:val="00BE3D40"/>
    <w:rsid w:val="00BE4140"/>
    <w:rsid w:val="00BE4158"/>
    <w:rsid w:val="00BE4458"/>
    <w:rsid w:val="00BE450A"/>
    <w:rsid w:val="00BE4791"/>
    <w:rsid w:val="00BE488D"/>
    <w:rsid w:val="00BE4979"/>
    <w:rsid w:val="00BE4BC2"/>
    <w:rsid w:val="00BE4E0C"/>
    <w:rsid w:val="00BE4F72"/>
    <w:rsid w:val="00BE5223"/>
    <w:rsid w:val="00BE534F"/>
    <w:rsid w:val="00BE5478"/>
    <w:rsid w:val="00BE55D6"/>
    <w:rsid w:val="00BE6245"/>
    <w:rsid w:val="00BE6D7D"/>
    <w:rsid w:val="00BE71F8"/>
    <w:rsid w:val="00BE7AA2"/>
    <w:rsid w:val="00BE7AA5"/>
    <w:rsid w:val="00BE7DB0"/>
    <w:rsid w:val="00BF019A"/>
    <w:rsid w:val="00BF06DD"/>
    <w:rsid w:val="00BF0935"/>
    <w:rsid w:val="00BF0D3C"/>
    <w:rsid w:val="00BF1266"/>
    <w:rsid w:val="00BF13A9"/>
    <w:rsid w:val="00BF18E0"/>
    <w:rsid w:val="00BF1A28"/>
    <w:rsid w:val="00BF22BF"/>
    <w:rsid w:val="00BF3712"/>
    <w:rsid w:val="00BF39FE"/>
    <w:rsid w:val="00BF3B53"/>
    <w:rsid w:val="00BF3BB8"/>
    <w:rsid w:val="00BF3BFF"/>
    <w:rsid w:val="00BF43D2"/>
    <w:rsid w:val="00BF440C"/>
    <w:rsid w:val="00BF4753"/>
    <w:rsid w:val="00BF4BC5"/>
    <w:rsid w:val="00BF4CDE"/>
    <w:rsid w:val="00BF54ED"/>
    <w:rsid w:val="00BF5908"/>
    <w:rsid w:val="00BF5A5E"/>
    <w:rsid w:val="00BF683A"/>
    <w:rsid w:val="00BF68B7"/>
    <w:rsid w:val="00BF73BE"/>
    <w:rsid w:val="00BF7949"/>
    <w:rsid w:val="00BF7B63"/>
    <w:rsid w:val="00BF7B97"/>
    <w:rsid w:val="00C00B46"/>
    <w:rsid w:val="00C00E1C"/>
    <w:rsid w:val="00C01671"/>
    <w:rsid w:val="00C0168C"/>
    <w:rsid w:val="00C02685"/>
    <w:rsid w:val="00C02914"/>
    <w:rsid w:val="00C0293D"/>
    <w:rsid w:val="00C02DAE"/>
    <w:rsid w:val="00C0336A"/>
    <w:rsid w:val="00C03A8F"/>
    <w:rsid w:val="00C0428C"/>
    <w:rsid w:val="00C043BD"/>
    <w:rsid w:val="00C060A3"/>
    <w:rsid w:val="00C0686E"/>
    <w:rsid w:val="00C06CF7"/>
    <w:rsid w:val="00C07032"/>
    <w:rsid w:val="00C07264"/>
    <w:rsid w:val="00C07508"/>
    <w:rsid w:val="00C07B2F"/>
    <w:rsid w:val="00C07F7F"/>
    <w:rsid w:val="00C100A9"/>
    <w:rsid w:val="00C1077D"/>
    <w:rsid w:val="00C10AA4"/>
    <w:rsid w:val="00C10D3B"/>
    <w:rsid w:val="00C10E98"/>
    <w:rsid w:val="00C112ED"/>
    <w:rsid w:val="00C11BFD"/>
    <w:rsid w:val="00C11CF6"/>
    <w:rsid w:val="00C11D7E"/>
    <w:rsid w:val="00C12239"/>
    <w:rsid w:val="00C12282"/>
    <w:rsid w:val="00C1229B"/>
    <w:rsid w:val="00C12BC3"/>
    <w:rsid w:val="00C12C8D"/>
    <w:rsid w:val="00C13175"/>
    <w:rsid w:val="00C131B2"/>
    <w:rsid w:val="00C13656"/>
    <w:rsid w:val="00C13D44"/>
    <w:rsid w:val="00C13D7E"/>
    <w:rsid w:val="00C14554"/>
    <w:rsid w:val="00C14F38"/>
    <w:rsid w:val="00C1563F"/>
    <w:rsid w:val="00C15801"/>
    <w:rsid w:val="00C1607D"/>
    <w:rsid w:val="00C165AA"/>
    <w:rsid w:val="00C1727D"/>
    <w:rsid w:val="00C173BA"/>
    <w:rsid w:val="00C17755"/>
    <w:rsid w:val="00C17AE3"/>
    <w:rsid w:val="00C204EB"/>
    <w:rsid w:val="00C2096F"/>
    <w:rsid w:val="00C20E62"/>
    <w:rsid w:val="00C21E48"/>
    <w:rsid w:val="00C21F82"/>
    <w:rsid w:val="00C220BD"/>
    <w:rsid w:val="00C22883"/>
    <w:rsid w:val="00C228E1"/>
    <w:rsid w:val="00C233E7"/>
    <w:rsid w:val="00C234A7"/>
    <w:rsid w:val="00C234B6"/>
    <w:rsid w:val="00C2387C"/>
    <w:rsid w:val="00C23E0E"/>
    <w:rsid w:val="00C243D0"/>
    <w:rsid w:val="00C2481B"/>
    <w:rsid w:val="00C24F8E"/>
    <w:rsid w:val="00C2519B"/>
    <w:rsid w:val="00C256AA"/>
    <w:rsid w:val="00C259BB"/>
    <w:rsid w:val="00C25E06"/>
    <w:rsid w:val="00C26412"/>
    <w:rsid w:val="00C269F5"/>
    <w:rsid w:val="00C27567"/>
    <w:rsid w:val="00C27C31"/>
    <w:rsid w:val="00C30220"/>
    <w:rsid w:val="00C30628"/>
    <w:rsid w:val="00C306A3"/>
    <w:rsid w:val="00C31145"/>
    <w:rsid w:val="00C31580"/>
    <w:rsid w:val="00C31651"/>
    <w:rsid w:val="00C31B7F"/>
    <w:rsid w:val="00C3200F"/>
    <w:rsid w:val="00C3285A"/>
    <w:rsid w:val="00C32F75"/>
    <w:rsid w:val="00C33641"/>
    <w:rsid w:val="00C339AF"/>
    <w:rsid w:val="00C33E1F"/>
    <w:rsid w:val="00C34322"/>
    <w:rsid w:val="00C34C1B"/>
    <w:rsid w:val="00C34C74"/>
    <w:rsid w:val="00C3540B"/>
    <w:rsid w:val="00C3589A"/>
    <w:rsid w:val="00C35C67"/>
    <w:rsid w:val="00C366DF"/>
    <w:rsid w:val="00C36804"/>
    <w:rsid w:val="00C368E3"/>
    <w:rsid w:val="00C37EE4"/>
    <w:rsid w:val="00C4041A"/>
    <w:rsid w:val="00C406BF"/>
    <w:rsid w:val="00C406CF"/>
    <w:rsid w:val="00C4093A"/>
    <w:rsid w:val="00C40E31"/>
    <w:rsid w:val="00C41119"/>
    <w:rsid w:val="00C42323"/>
    <w:rsid w:val="00C425B8"/>
    <w:rsid w:val="00C426F3"/>
    <w:rsid w:val="00C4282E"/>
    <w:rsid w:val="00C42D6D"/>
    <w:rsid w:val="00C4347D"/>
    <w:rsid w:val="00C43AF0"/>
    <w:rsid w:val="00C44042"/>
    <w:rsid w:val="00C44769"/>
    <w:rsid w:val="00C44FA0"/>
    <w:rsid w:val="00C45676"/>
    <w:rsid w:val="00C459BD"/>
    <w:rsid w:val="00C45CC0"/>
    <w:rsid w:val="00C4603F"/>
    <w:rsid w:val="00C460B4"/>
    <w:rsid w:val="00C46595"/>
    <w:rsid w:val="00C46737"/>
    <w:rsid w:val="00C46764"/>
    <w:rsid w:val="00C46B33"/>
    <w:rsid w:val="00C46B51"/>
    <w:rsid w:val="00C46F75"/>
    <w:rsid w:val="00C47521"/>
    <w:rsid w:val="00C47636"/>
    <w:rsid w:val="00C47ED7"/>
    <w:rsid w:val="00C503DB"/>
    <w:rsid w:val="00C5045F"/>
    <w:rsid w:val="00C50905"/>
    <w:rsid w:val="00C50B39"/>
    <w:rsid w:val="00C50D01"/>
    <w:rsid w:val="00C50F85"/>
    <w:rsid w:val="00C51C24"/>
    <w:rsid w:val="00C52213"/>
    <w:rsid w:val="00C52223"/>
    <w:rsid w:val="00C52A13"/>
    <w:rsid w:val="00C52ABE"/>
    <w:rsid w:val="00C52C1A"/>
    <w:rsid w:val="00C53129"/>
    <w:rsid w:val="00C534CD"/>
    <w:rsid w:val="00C54080"/>
    <w:rsid w:val="00C55246"/>
    <w:rsid w:val="00C55AEF"/>
    <w:rsid w:val="00C55FE1"/>
    <w:rsid w:val="00C56144"/>
    <w:rsid w:val="00C56420"/>
    <w:rsid w:val="00C5667C"/>
    <w:rsid w:val="00C56AA8"/>
    <w:rsid w:val="00C56C53"/>
    <w:rsid w:val="00C56DA2"/>
    <w:rsid w:val="00C57451"/>
    <w:rsid w:val="00C57B37"/>
    <w:rsid w:val="00C57CB3"/>
    <w:rsid w:val="00C607F2"/>
    <w:rsid w:val="00C60CC2"/>
    <w:rsid w:val="00C60E6C"/>
    <w:rsid w:val="00C61674"/>
    <w:rsid w:val="00C61956"/>
    <w:rsid w:val="00C6263C"/>
    <w:rsid w:val="00C629A6"/>
    <w:rsid w:val="00C629DE"/>
    <w:rsid w:val="00C62B0E"/>
    <w:rsid w:val="00C6301D"/>
    <w:rsid w:val="00C63021"/>
    <w:rsid w:val="00C632C7"/>
    <w:rsid w:val="00C633A5"/>
    <w:rsid w:val="00C63CEB"/>
    <w:rsid w:val="00C644DD"/>
    <w:rsid w:val="00C64E78"/>
    <w:rsid w:val="00C65D14"/>
    <w:rsid w:val="00C65F96"/>
    <w:rsid w:val="00C667C7"/>
    <w:rsid w:val="00C66858"/>
    <w:rsid w:val="00C67975"/>
    <w:rsid w:val="00C70D80"/>
    <w:rsid w:val="00C70DFF"/>
    <w:rsid w:val="00C71007"/>
    <w:rsid w:val="00C710A5"/>
    <w:rsid w:val="00C714FE"/>
    <w:rsid w:val="00C716BD"/>
    <w:rsid w:val="00C71AD2"/>
    <w:rsid w:val="00C71C9F"/>
    <w:rsid w:val="00C73964"/>
    <w:rsid w:val="00C74562"/>
    <w:rsid w:val="00C7470F"/>
    <w:rsid w:val="00C74DC5"/>
    <w:rsid w:val="00C75168"/>
    <w:rsid w:val="00C75208"/>
    <w:rsid w:val="00C75A5D"/>
    <w:rsid w:val="00C75C8E"/>
    <w:rsid w:val="00C7615B"/>
    <w:rsid w:val="00C76335"/>
    <w:rsid w:val="00C76539"/>
    <w:rsid w:val="00C766DC"/>
    <w:rsid w:val="00C76EE6"/>
    <w:rsid w:val="00C77012"/>
    <w:rsid w:val="00C77645"/>
    <w:rsid w:val="00C80165"/>
    <w:rsid w:val="00C80B7E"/>
    <w:rsid w:val="00C816CD"/>
    <w:rsid w:val="00C81AD0"/>
    <w:rsid w:val="00C82085"/>
    <w:rsid w:val="00C8209C"/>
    <w:rsid w:val="00C82728"/>
    <w:rsid w:val="00C82A98"/>
    <w:rsid w:val="00C82AC0"/>
    <w:rsid w:val="00C82D09"/>
    <w:rsid w:val="00C83558"/>
    <w:rsid w:val="00C835F1"/>
    <w:rsid w:val="00C83F2B"/>
    <w:rsid w:val="00C83F49"/>
    <w:rsid w:val="00C8406C"/>
    <w:rsid w:val="00C842E8"/>
    <w:rsid w:val="00C847CC"/>
    <w:rsid w:val="00C84CC7"/>
    <w:rsid w:val="00C84D6E"/>
    <w:rsid w:val="00C84F77"/>
    <w:rsid w:val="00C84FFB"/>
    <w:rsid w:val="00C85331"/>
    <w:rsid w:val="00C8559C"/>
    <w:rsid w:val="00C85663"/>
    <w:rsid w:val="00C8584F"/>
    <w:rsid w:val="00C85BAC"/>
    <w:rsid w:val="00C85C5C"/>
    <w:rsid w:val="00C86BAB"/>
    <w:rsid w:val="00C87650"/>
    <w:rsid w:val="00C87815"/>
    <w:rsid w:val="00C87EB2"/>
    <w:rsid w:val="00C901D4"/>
    <w:rsid w:val="00C9046C"/>
    <w:rsid w:val="00C904C9"/>
    <w:rsid w:val="00C906E3"/>
    <w:rsid w:val="00C90883"/>
    <w:rsid w:val="00C90A09"/>
    <w:rsid w:val="00C912B5"/>
    <w:rsid w:val="00C9132C"/>
    <w:rsid w:val="00C91B4D"/>
    <w:rsid w:val="00C91F54"/>
    <w:rsid w:val="00C92003"/>
    <w:rsid w:val="00C922B4"/>
    <w:rsid w:val="00C92367"/>
    <w:rsid w:val="00C926FD"/>
    <w:rsid w:val="00C92786"/>
    <w:rsid w:val="00C92F17"/>
    <w:rsid w:val="00C93743"/>
    <w:rsid w:val="00C93D2A"/>
    <w:rsid w:val="00C9456E"/>
    <w:rsid w:val="00C94642"/>
    <w:rsid w:val="00C94740"/>
    <w:rsid w:val="00C94F12"/>
    <w:rsid w:val="00C95943"/>
    <w:rsid w:val="00C95965"/>
    <w:rsid w:val="00C95BD4"/>
    <w:rsid w:val="00C962DA"/>
    <w:rsid w:val="00C9647B"/>
    <w:rsid w:val="00C9698D"/>
    <w:rsid w:val="00C96CF3"/>
    <w:rsid w:val="00C976F5"/>
    <w:rsid w:val="00C977AC"/>
    <w:rsid w:val="00C97F88"/>
    <w:rsid w:val="00CA044C"/>
    <w:rsid w:val="00CA098F"/>
    <w:rsid w:val="00CA1E3A"/>
    <w:rsid w:val="00CA3128"/>
    <w:rsid w:val="00CA3163"/>
    <w:rsid w:val="00CA3431"/>
    <w:rsid w:val="00CA3E91"/>
    <w:rsid w:val="00CA4D23"/>
    <w:rsid w:val="00CA5225"/>
    <w:rsid w:val="00CA5502"/>
    <w:rsid w:val="00CA5750"/>
    <w:rsid w:val="00CA58C1"/>
    <w:rsid w:val="00CA66C3"/>
    <w:rsid w:val="00CA6B05"/>
    <w:rsid w:val="00CA6C3D"/>
    <w:rsid w:val="00CA73D0"/>
    <w:rsid w:val="00CA7913"/>
    <w:rsid w:val="00CB015F"/>
    <w:rsid w:val="00CB0396"/>
    <w:rsid w:val="00CB0463"/>
    <w:rsid w:val="00CB0B79"/>
    <w:rsid w:val="00CB0BE6"/>
    <w:rsid w:val="00CB2180"/>
    <w:rsid w:val="00CB2496"/>
    <w:rsid w:val="00CB2D2A"/>
    <w:rsid w:val="00CB3683"/>
    <w:rsid w:val="00CB369A"/>
    <w:rsid w:val="00CB3EE5"/>
    <w:rsid w:val="00CB43BF"/>
    <w:rsid w:val="00CB4F1A"/>
    <w:rsid w:val="00CB515C"/>
    <w:rsid w:val="00CB52E9"/>
    <w:rsid w:val="00CB54BD"/>
    <w:rsid w:val="00CB7359"/>
    <w:rsid w:val="00CC010E"/>
    <w:rsid w:val="00CC025D"/>
    <w:rsid w:val="00CC0460"/>
    <w:rsid w:val="00CC0840"/>
    <w:rsid w:val="00CC0B1D"/>
    <w:rsid w:val="00CC0FC7"/>
    <w:rsid w:val="00CC160D"/>
    <w:rsid w:val="00CC16ED"/>
    <w:rsid w:val="00CC17F9"/>
    <w:rsid w:val="00CC28AA"/>
    <w:rsid w:val="00CC2E09"/>
    <w:rsid w:val="00CC2EC0"/>
    <w:rsid w:val="00CC2F68"/>
    <w:rsid w:val="00CC3715"/>
    <w:rsid w:val="00CC3BA0"/>
    <w:rsid w:val="00CC4052"/>
    <w:rsid w:val="00CC40D1"/>
    <w:rsid w:val="00CC45ED"/>
    <w:rsid w:val="00CC4B5D"/>
    <w:rsid w:val="00CC5686"/>
    <w:rsid w:val="00CC5834"/>
    <w:rsid w:val="00CC5E63"/>
    <w:rsid w:val="00CC6123"/>
    <w:rsid w:val="00CC64F3"/>
    <w:rsid w:val="00CC74B7"/>
    <w:rsid w:val="00CD03FE"/>
    <w:rsid w:val="00CD0642"/>
    <w:rsid w:val="00CD111B"/>
    <w:rsid w:val="00CD138A"/>
    <w:rsid w:val="00CD1B09"/>
    <w:rsid w:val="00CD1C6C"/>
    <w:rsid w:val="00CD1E88"/>
    <w:rsid w:val="00CD2262"/>
    <w:rsid w:val="00CD22ED"/>
    <w:rsid w:val="00CD22FA"/>
    <w:rsid w:val="00CD238C"/>
    <w:rsid w:val="00CD2E20"/>
    <w:rsid w:val="00CD317A"/>
    <w:rsid w:val="00CD333A"/>
    <w:rsid w:val="00CD33C2"/>
    <w:rsid w:val="00CD3B7D"/>
    <w:rsid w:val="00CD3D53"/>
    <w:rsid w:val="00CD3D5C"/>
    <w:rsid w:val="00CD3DDF"/>
    <w:rsid w:val="00CD406B"/>
    <w:rsid w:val="00CD4646"/>
    <w:rsid w:val="00CD4CB5"/>
    <w:rsid w:val="00CD501B"/>
    <w:rsid w:val="00CD52D5"/>
    <w:rsid w:val="00CD57A0"/>
    <w:rsid w:val="00CD588C"/>
    <w:rsid w:val="00CD73F9"/>
    <w:rsid w:val="00CD7F8D"/>
    <w:rsid w:val="00CE022B"/>
    <w:rsid w:val="00CE04DD"/>
    <w:rsid w:val="00CE0746"/>
    <w:rsid w:val="00CE1225"/>
    <w:rsid w:val="00CE1A54"/>
    <w:rsid w:val="00CE1ABF"/>
    <w:rsid w:val="00CE1B2B"/>
    <w:rsid w:val="00CE22F2"/>
    <w:rsid w:val="00CE2402"/>
    <w:rsid w:val="00CE254F"/>
    <w:rsid w:val="00CE25AE"/>
    <w:rsid w:val="00CE2790"/>
    <w:rsid w:val="00CE2C51"/>
    <w:rsid w:val="00CE2F3C"/>
    <w:rsid w:val="00CE2FA4"/>
    <w:rsid w:val="00CE36C7"/>
    <w:rsid w:val="00CE4442"/>
    <w:rsid w:val="00CE5153"/>
    <w:rsid w:val="00CE53C9"/>
    <w:rsid w:val="00CE55B2"/>
    <w:rsid w:val="00CE5A67"/>
    <w:rsid w:val="00CE5E4E"/>
    <w:rsid w:val="00CE5EA8"/>
    <w:rsid w:val="00CE6BF8"/>
    <w:rsid w:val="00CE6ED3"/>
    <w:rsid w:val="00CE745A"/>
    <w:rsid w:val="00CE74D8"/>
    <w:rsid w:val="00CE7A77"/>
    <w:rsid w:val="00CF01F5"/>
    <w:rsid w:val="00CF07FC"/>
    <w:rsid w:val="00CF12FC"/>
    <w:rsid w:val="00CF1429"/>
    <w:rsid w:val="00CF16CA"/>
    <w:rsid w:val="00CF1923"/>
    <w:rsid w:val="00CF1946"/>
    <w:rsid w:val="00CF2A28"/>
    <w:rsid w:val="00CF3300"/>
    <w:rsid w:val="00CF33A8"/>
    <w:rsid w:val="00CF355F"/>
    <w:rsid w:val="00CF3D06"/>
    <w:rsid w:val="00CF4261"/>
    <w:rsid w:val="00CF4A6E"/>
    <w:rsid w:val="00CF4B33"/>
    <w:rsid w:val="00CF4CBD"/>
    <w:rsid w:val="00CF51AF"/>
    <w:rsid w:val="00CF5274"/>
    <w:rsid w:val="00CF5486"/>
    <w:rsid w:val="00CF54A0"/>
    <w:rsid w:val="00CF5F07"/>
    <w:rsid w:val="00CF6142"/>
    <w:rsid w:val="00CF63BD"/>
    <w:rsid w:val="00CF674D"/>
    <w:rsid w:val="00CF6D83"/>
    <w:rsid w:val="00CF6D99"/>
    <w:rsid w:val="00CF6FB7"/>
    <w:rsid w:val="00CF6FD1"/>
    <w:rsid w:val="00CF7624"/>
    <w:rsid w:val="00CF772D"/>
    <w:rsid w:val="00CF78E7"/>
    <w:rsid w:val="00CF78F9"/>
    <w:rsid w:val="00CF7AA8"/>
    <w:rsid w:val="00CF7AE1"/>
    <w:rsid w:val="00CF7C4E"/>
    <w:rsid w:val="00CF7C84"/>
    <w:rsid w:val="00CF7D3C"/>
    <w:rsid w:val="00D00153"/>
    <w:rsid w:val="00D006AF"/>
    <w:rsid w:val="00D008D5"/>
    <w:rsid w:val="00D00D0D"/>
    <w:rsid w:val="00D00D94"/>
    <w:rsid w:val="00D01155"/>
    <w:rsid w:val="00D0144A"/>
    <w:rsid w:val="00D018BC"/>
    <w:rsid w:val="00D02458"/>
    <w:rsid w:val="00D029BA"/>
    <w:rsid w:val="00D02A74"/>
    <w:rsid w:val="00D02DE4"/>
    <w:rsid w:val="00D03AEB"/>
    <w:rsid w:val="00D04339"/>
    <w:rsid w:val="00D0483D"/>
    <w:rsid w:val="00D04F77"/>
    <w:rsid w:val="00D05CE3"/>
    <w:rsid w:val="00D05FC8"/>
    <w:rsid w:val="00D06229"/>
    <w:rsid w:val="00D065C8"/>
    <w:rsid w:val="00D06745"/>
    <w:rsid w:val="00D06752"/>
    <w:rsid w:val="00D067D6"/>
    <w:rsid w:val="00D06CBC"/>
    <w:rsid w:val="00D101DF"/>
    <w:rsid w:val="00D108C2"/>
    <w:rsid w:val="00D10B4E"/>
    <w:rsid w:val="00D112BF"/>
    <w:rsid w:val="00D113E1"/>
    <w:rsid w:val="00D1183F"/>
    <w:rsid w:val="00D11C08"/>
    <w:rsid w:val="00D11C52"/>
    <w:rsid w:val="00D11E01"/>
    <w:rsid w:val="00D12134"/>
    <w:rsid w:val="00D129F5"/>
    <w:rsid w:val="00D12EB0"/>
    <w:rsid w:val="00D1301A"/>
    <w:rsid w:val="00D13576"/>
    <w:rsid w:val="00D13BE2"/>
    <w:rsid w:val="00D13EE7"/>
    <w:rsid w:val="00D140D3"/>
    <w:rsid w:val="00D14E59"/>
    <w:rsid w:val="00D14FDB"/>
    <w:rsid w:val="00D153B2"/>
    <w:rsid w:val="00D1556F"/>
    <w:rsid w:val="00D15801"/>
    <w:rsid w:val="00D16765"/>
    <w:rsid w:val="00D16BBD"/>
    <w:rsid w:val="00D16E5C"/>
    <w:rsid w:val="00D170C1"/>
    <w:rsid w:val="00D171B4"/>
    <w:rsid w:val="00D17843"/>
    <w:rsid w:val="00D17923"/>
    <w:rsid w:val="00D17C84"/>
    <w:rsid w:val="00D17E16"/>
    <w:rsid w:val="00D17E77"/>
    <w:rsid w:val="00D20468"/>
    <w:rsid w:val="00D209ED"/>
    <w:rsid w:val="00D20A41"/>
    <w:rsid w:val="00D20AA0"/>
    <w:rsid w:val="00D20E54"/>
    <w:rsid w:val="00D21148"/>
    <w:rsid w:val="00D2117B"/>
    <w:rsid w:val="00D21A7C"/>
    <w:rsid w:val="00D21A8E"/>
    <w:rsid w:val="00D22189"/>
    <w:rsid w:val="00D22557"/>
    <w:rsid w:val="00D225CE"/>
    <w:rsid w:val="00D22BDA"/>
    <w:rsid w:val="00D241E2"/>
    <w:rsid w:val="00D24889"/>
    <w:rsid w:val="00D2491F"/>
    <w:rsid w:val="00D24D24"/>
    <w:rsid w:val="00D254A9"/>
    <w:rsid w:val="00D254E3"/>
    <w:rsid w:val="00D2572F"/>
    <w:rsid w:val="00D25B6C"/>
    <w:rsid w:val="00D25FB9"/>
    <w:rsid w:val="00D26FC2"/>
    <w:rsid w:val="00D27230"/>
    <w:rsid w:val="00D2761F"/>
    <w:rsid w:val="00D27DBC"/>
    <w:rsid w:val="00D27E18"/>
    <w:rsid w:val="00D27F06"/>
    <w:rsid w:val="00D307BC"/>
    <w:rsid w:val="00D311EB"/>
    <w:rsid w:val="00D31A64"/>
    <w:rsid w:val="00D32BEB"/>
    <w:rsid w:val="00D32F50"/>
    <w:rsid w:val="00D32F80"/>
    <w:rsid w:val="00D33CB0"/>
    <w:rsid w:val="00D33D6F"/>
    <w:rsid w:val="00D3473C"/>
    <w:rsid w:val="00D35BE2"/>
    <w:rsid w:val="00D35CC4"/>
    <w:rsid w:val="00D35D20"/>
    <w:rsid w:val="00D35DD7"/>
    <w:rsid w:val="00D365D2"/>
    <w:rsid w:val="00D36F8B"/>
    <w:rsid w:val="00D3732B"/>
    <w:rsid w:val="00D41001"/>
    <w:rsid w:val="00D410DA"/>
    <w:rsid w:val="00D4130D"/>
    <w:rsid w:val="00D413A5"/>
    <w:rsid w:val="00D41674"/>
    <w:rsid w:val="00D41759"/>
    <w:rsid w:val="00D41966"/>
    <w:rsid w:val="00D42196"/>
    <w:rsid w:val="00D42248"/>
    <w:rsid w:val="00D429F3"/>
    <w:rsid w:val="00D42B32"/>
    <w:rsid w:val="00D43357"/>
    <w:rsid w:val="00D4370E"/>
    <w:rsid w:val="00D4379C"/>
    <w:rsid w:val="00D43B18"/>
    <w:rsid w:val="00D43E18"/>
    <w:rsid w:val="00D44589"/>
    <w:rsid w:val="00D449DF"/>
    <w:rsid w:val="00D44C65"/>
    <w:rsid w:val="00D44E80"/>
    <w:rsid w:val="00D456E2"/>
    <w:rsid w:val="00D459FA"/>
    <w:rsid w:val="00D45C38"/>
    <w:rsid w:val="00D463A0"/>
    <w:rsid w:val="00D463F5"/>
    <w:rsid w:val="00D46C32"/>
    <w:rsid w:val="00D46C6F"/>
    <w:rsid w:val="00D471C1"/>
    <w:rsid w:val="00D47238"/>
    <w:rsid w:val="00D4788C"/>
    <w:rsid w:val="00D47B06"/>
    <w:rsid w:val="00D47C2A"/>
    <w:rsid w:val="00D504E2"/>
    <w:rsid w:val="00D505B1"/>
    <w:rsid w:val="00D50721"/>
    <w:rsid w:val="00D50F7B"/>
    <w:rsid w:val="00D51AB6"/>
    <w:rsid w:val="00D52066"/>
    <w:rsid w:val="00D52971"/>
    <w:rsid w:val="00D52ABE"/>
    <w:rsid w:val="00D534FB"/>
    <w:rsid w:val="00D537CF"/>
    <w:rsid w:val="00D5419F"/>
    <w:rsid w:val="00D550FE"/>
    <w:rsid w:val="00D557A0"/>
    <w:rsid w:val="00D558CF"/>
    <w:rsid w:val="00D55C24"/>
    <w:rsid w:val="00D55CEE"/>
    <w:rsid w:val="00D562D0"/>
    <w:rsid w:val="00D56709"/>
    <w:rsid w:val="00D5698D"/>
    <w:rsid w:val="00D572C7"/>
    <w:rsid w:val="00D57365"/>
    <w:rsid w:val="00D57739"/>
    <w:rsid w:val="00D57771"/>
    <w:rsid w:val="00D57CD6"/>
    <w:rsid w:val="00D57F71"/>
    <w:rsid w:val="00D603E1"/>
    <w:rsid w:val="00D605D7"/>
    <w:rsid w:val="00D611BA"/>
    <w:rsid w:val="00D61883"/>
    <w:rsid w:val="00D6190C"/>
    <w:rsid w:val="00D61B60"/>
    <w:rsid w:val="00D62083"/>
    <w:rsid w:val="00D624D9"/>
    <w:rsid w:val="00D6252E"/>
    <w:rsid w:val="00D627D8"/>
    <w:rsid w:val="00D62ABC"/>
    <w:rsid w:val="00D62B88"/>
    <w:rsid w:val="00D63157"/>
    <w:rsid w:val="00D631D4"/>
    <w:rsid w:val="00D633DA"/>
    <w:rsid w:val="00D63AB2"/>
    <w:rsid w:val="00D63C84"/>
    <w:rsid w:val="00D64047"/>
    <w:rsid w:val="00D64EEB"/>
    <w:rsid w:val="00D64F10"/>
    <w:rsid w:val="00D6527F"/>
    <w:rsid w:val="00D654AD"/>
    <w:rsid w:val="00D65576"/>
    <w:rsid w:val="00D655B7"/>
    <w:rsid w:val="00D6591B"/>
    <w:rsid w:val="00D666B6"/>
    <w:rsid w:val="00D66DF0"/>
    <w:rsid w:val="00D66E67"/>
    <w:rsid w:val="00D66FF2"/>
    <w:rsid w:val="00D67997"/>
    <w:rsid w:val="00D679AE"/>
    <w:rsid w:val="00D67FAF"/>
    <w:rsid w:val="00D70177"/>
    <w:rsid w:val="00D702FA"/>
    <w:rsid w:val="00D71068"/>
    <w:rsid w:val="00D71B3E"/>
    <w:rsid w:val="00D728A8"/>
    <w:rsid w:val="00D728DE"/>
    <w:rsid w:val="00D72D7E"/>
    <w:rsid w:val="00D72F16"/>
    <w:rsid w:val="00D72FFF"/>
    <w:rsid w:val="00D733EE"/>
    <w:rsid w:val="00D74234"/>
    <w:rsid w:val="00D747E7"/>
    <w:rsid w:val="00D748AC"/>
    <w:rsid w:val="00D74B40"/>
    <w:rsid w:val="00D74DA4"/>
    <w:rsid w:val="00D75120"/>
    <w:rsid w:val="00D75343"/>
    <w:rsid w:val="00D7537C"/>
    <w:rsid w:val="00D757D4"/>
    <w:rsid w:val="00D75950"/>
    <w:rsid w:val="00D76643"/>
    <w:rsid w:val="00D76B79"/>
    <w:rsid w:val="00D775DA"/>
    <w:rsid w:val="00D778B0"/>
    <w:rsid w:val="00D77C02"/>
    <w:rsid w:val="00D80089"/>
    <w:rsid w:val="00D80366"/>
    <w:rsid w:val="00D803D8"/>
    <w:rsid w:val="00D8055F"/>
    <w:rsid w:val="00D80580"/>
    <w:rsid w:val="00D8080F"/>
    <w:rsid w:val="00D809D6"/>
    <w:rsid w:val="00D80AB9"/>
    <w:rsid w:val="00D80CFC"/>
    <w:rsid w:val="00D80F4C"/>
    <w:rsid w:val="00D80FD0"/>
    <w:rsid w:val="00D80FFB"/>
    <w:rsid w:val="00D8105C"/>
    <w:rsid w:val="00D8132C"/>
    <w:rsid w:val="00D813BF"/>
    <w:rsid w:val="00D81965"/>
    <w:rsid w:val="00D823F0"/>
    <w:rsid w:val="00D82A8F"/>
    <w:rsid w:val="00D82C4A"/>
    <w:rsid w:val="00D82CFA"/>
    <w:rsid w:val="00D82FD3"/>
    <w:rsid w:val="00D83030"/>
    <w:rsid w:val="00D835CA"/>
    <w:rsid w:val="00D84408"/>
    <w:rsid w:val="00D84447"/>
    <w:rsid w:val="00D844BD"/>
    <w:rsid w:val="00D84A51"/>
    <w:rsid w:val="00D84BFC"/>
    <w:rsid w:val="00D84C33"/>
    <w:rsid w:val="00D86A93"/>
    <w:rsid w:val="00D86B80"/>
    <w:rsid w:val="00D8736E"/>
    <w:rsid w:val="00D87B3A"/>
    <w:rsid w:val="00D90A4D"/>
    <w:rsid w:val="00D910B3"/>
    <w:rsid w:val="00D91459"/>
    <w:rsid w:val="00D91DCA"/>
    <w:rsid w:val="00D92112"/>
    <w:rsid w:val="00D92538"/>
    <w:rsid w:val="00D92DE6"/>
    <w:rsid w:val="00D92E50"/>
    <w:rsid w:val="00D93A71"/>
    <w:rsid w:val="00D93E40"/>
    <w:rsid w:val="00D9462F"/>
    <w:rsid w:val="00D946F2"/>
    <w:rsid w:val="00D94991"/>
    <w:rsid w:val="00D94E64"/>
    <w:rsid w:val="00D9515A"/>
    <w:rsid w:val="00D9523C"/>
    <w:rsid w:val="00D95354"/>
    <w:rsid w:val="00D95A46"/>
    <w:rsid w:val="00D96554"/>
    <w:rsid w:val="00D96EC9"/>
    <w:rsid w:val="00D97289"/>
    <w:rsid w:val="00D975D5"/>
    <w:rsid w:val="00D97811"/>
    <w:rsid w:val="00D97A95"/>
    <w:rsid w:val="00DA0786"/>
    <w:rsid w:val="00DA1899"/>
    <w:rsid w:val="00DA191F"/>
    <w:rsid w:val="00DA223B"/>
    <w:rsid w:val="00DA263D"/>
    <w:rsid w:val="00DA274E"/>
    <w:rsid w:val="00DA281D"/>
    <w:rsid w:val="00DA2A31"/>
    <w:rsid w:val="00DA2A6E"/>
    <w:rsid w:val="00DA2B10"/>
    <w:rsid w:val="00DA3082"/>
    <w:rsid w:val="00DA3571"/>
    <w:rsid w:val="00DA3687"/>
    <w:rsid w:val="00DA392D"/>
    <w:rsid w:val="00DA3CFC"/>
    <w:rsid w:val="00DA4366"/>
    <w:rsid w:val="00DA4919"/>
    <w:rsid w:val="00DA4AC0"/>
    <w:rsid w:val="00DA4C02"/>
    <w:rsid w:val="00DA4C7F"/>
    <w:rsid w:val="00DA4DF9"/>
    <w:rsid w:val="00DA5129"/>
    <w:rsid w:val="00DA5889"/>
    <w:rsid w:val="00DA5C3E"/>
    <w:rsid w:val="00DA5D89"/>
    <w:rsid w:val="00DA5D99"/>
    <w:rsid w:val="00DA5EA7"/>
    <w:rsid w:val="00DA5F7A"/>
    <w:rsid w:val="00DA68F2"/>
    <w:rsid w:val="00DA6A47"/>
    <w:rsid w:val="00DA7642"/>
    <w:rsid w:val="00DA79B6"/>
    <w:rsid w:val="00DA7C46"/>
    <w:rsid w:val="00DB0021"/>
    <w:rsid w:val="00DB03AA"/>
    <w:rsid w:val="00DB07D9"/>
    <w:rsid w:val="00DB08BD"/>
    <w:rsid w:val="00DB0EA8"/>
    <w:rsid w:val="00DB0F3B"/>
    <w:rsid w:val="00DB10D3"/>
    <w:rsid w:val="00DB15FF"/>
    <w:rsid w:val="00DB17FB"/>
    <w:rsid w:val="00DB1DB4"/>
    <w:rsid w:val="00DB1E23"/>
    <w:rsid w:val="00DB252D"/>
    <w:rsid w:val="00DB25C6"/>
    <w:rsid w:val="00DB26BB"/>
    <w:rsid w:val="00DB287A"/>
    <w:rsid w:val="00DB2891"/>
    <w:rsid w:val="00DB2C14"/>
    <w:rsid w:val="00DB2EF8"/>
    <w:rsid w:val="00DB34A5"/>
    <w:rsid w:val="00DB35D2"/>
    <w:rsid w:val="00DB3744"/>
    <w:rsid w:val="00DB3ABF"/>
    <w:rsid w:val="00DB3F90"/>
    <w:rsid w:val="00DB41CD"/>
    <w:rsid w:val="00DB424B"/>
    <w:rsid w:val="00DB5118"/>
    <w:rsid w:val="00DB51A5"/>
    <w:rsid w:val="00DB52E9"/>
    <w:rsid w:val="00DB55C8"/>
    <w:rsid w:val="00DB5DDD"/>
    <w:rsid w:val="00DB5E8D"/>
    <w:rsid w:val="00DB6713"/>
    <w:rsid w:val="00DB69F5"/>
    <w:rsid w:val="00DB7066"/>
    <w:rsid w:val="00DB722F"/>
    <w:rsid w:val="00DB7373"/>
    <w:rsid w:val="00DB7CFB"/>
    <w:rsid w:val="00DC0995"/>
    <w:rsid w:val="00DC09A7"/>
    <w:rsid w:val="00DC0B61"/>
    <w:rsid w:val="00DC17A5"/>
    <w:rsid w:val="00DC2091"/>
    <w:rsid w:val="00DC21E0"/>
    <w:rsid w:val="00DC269F"/>
    <w:rsid w:val="00DC2D96"/>
    <w:rsid w:val="00DC2E65"/>
    <w:rsid w:val="00DC2EB9"/>
    <w:rsid w:val="00DC306F"/>
    <w:rsid w:val="00DC328A"/>
    <w:rsid w:val="00DC3357"/>
    <w:rsid w:val="00DC3603"/>
    <w:rsid w:val="00DC3646"/>
    <w:rsid w:val="00DC3935"/>
    <w:rsid w:val="00DC3C44"/>
    <w:rsid w:val="00DC3D0A"/>
    <w:rsid w:val="00DC42A2"/>
    <w:rsid w:val="00DC447B"/>
    <w:rsid w:val="00DC45C7"/>
    <w:rsid w:val="00DC45EF"/>
    <w:rsid w:val="00DC47C7"/>
    <w:rsid w:val="00DC4EE6"/>
    <w:rsid w:val="00DC4F6A"/>
    <w:rsid w:val="00DC55EE"/>
    <w:rsid w:val="00DC5CDD"/>
    <w:rsid w:val="00DC63CE"/>
    <w:rsid w:val="00DC66A1"/>
    <w:rsid w:val="00DC6CAC"/>
    <w:rsid w:val="00DC6F73"/>
    <w:rsid w:val="00DC6FA3"/>
    <w:rsid w:val="00DC7101"/>
    <w:rsid w:val="00DC771B"/>
    <w:rsid w:val="00DC792E"/>
    <w:rsid w:val="00DC7D67"/>
    <w:rsid w:val="00DD00AE"/>
    <w:rsid w:val="00DD0711"/>
    <w:rsid w:val="00DD0932"/>
    <w:rsid w:val="00DD0986"/>
    <w:rsid w:val="00DD174A"/>
    <w:rsid w:val="00DD17C3"/>
    <w:rsid w:val="00DD1959"/>
    <w:rsid w:val="00DD1B39"/>
    <w:rsid w:val="00DD1C96"/>
    <w:rsid w:val="00DD1D96"/>
    <w:rsid w:val="00DD223F"/>
    <w:rsid w:val="00DD225B"/>
    <w:rsid w:val="00DD23D0"/>
    <w:rsid w:val="00DD3107"/>
    <w:rsid w:val="00DD35B9"/>
    <w:rsid w:val="00DD3A89"/>
    <w:rsid w:val="00DD5194"/>
    <w:rsid w:val="00DD56E0"/>
    <w:rsid w:val="00DD5D96"/>
    <w:rsid w:val="00DD6213"/>
    <w:rsid w:val="00DD6811"/>
    <w:rsid w:val="00DD6AE7"/>
    <w:rsid w:val="00DD6F44"/>
    <w:rsid w:val="00DD7FD3"/>
    <w:rsid w:val="00DE003E"/>
    <w:rsid w:val="00DE0A5A"/>
    <w:rsid w:val="00DE0AD1"/>
    <w:rsid w:val="00DE1639"/>
    <w:rsid w:val="00DE173B"/>
    <w:rsid w:val="00DE18E7"/>
    <w:rsid w:val="00DE23C9"/>
    <w:rsid w:val="00DE29EB"/>
    <w:rsid w:val="00DE3186"/>
    <w:rsid w:val="00DE33EF"/>
    <w:rsid w:val="00DE3BB2"/>
    <w:rsid w:val="00DE3EBB"/>
    <w:rsid w:val="00DE529B"/>
    <w:rsid w:val="00DE5342"/>
    <w:rsid w:val="00DE56EE"/>
    <w:rsid w:val="00DE5A5C"/>
    <w:rsid w:val="00DE5C9B"/>
    <w:rsid w:val="00DE65E6"/>
    <w:rsid w:val="00DE667F"/>
    <w:rsid w:val="00DE6838"/>
    <w:rsid w:val="00DE6A3C"/>
    <w:rsid w:val="00DE7418"/>
    <w:rsid w:val="00DE7861"/>
    <w:rsid w:val="00DE7971"/>
    <w:rsid w:val="00DE7B3E"/>
    <w:rsid w:val="00DE7BFC"/>
    <w:rsid w:val="00DE7E53"/>
    <w:rsid w:val="00DF029A"/>
    <w:rsid w:val="00DF09ED"/>
    <w:rsid w:val="00DF1306"/>
    <w:rsid w:val="00DF1436"/>
    <w:rsid w:val="00DF148D"/>
    <w:rsid w:val="00DF17C7"/>
    <w:rsid w:val="00DF1C52"/>
    <w:rsid w:val="00DF1FF5"/>
    <w:rsid w:val="00DF2B32"/>
    <w:rsid w:val="00DF31A0"/>
    <w:rsid w:val="00DF35B5"/>
    <w:rsid w:val="00DF3C11"/>
    <w:rsid w:val="00DF3FB8"/>
    <w:rsid w:val="00DF434C"/>
    <w:rsid w:val="00DF49B0"/>
    <w:rsid w:val="00DF4A7D"/>
    <w:rsid w:val="00DF4BA5"/>
    <w:rsid w:val="00DF4C55"/>
    <w:rsid w:val="00DF4CF9"/>
    <w:rsid w:val="00DF573F"/>
    <w:rsid w:val="00DF5941"/>
    <w:rsid w:val="00DF5E86"/>
    <w:rsid w:val="00DF5F47"/>
    <w:rsid w:val="00DF6336"/>
    <w:rsid w:val="00DF65D8"/>
    <w:rsid w:val="00DF6974"/>
    <w:rsid w:val="00DF7A4B"/>
    <w:rsid w:val="00E00E37"/>
    <w:rsid w:val="00E00FD9"/>
    <w:rsid w:val="00E0153D"/>
    <w:rsid w:val="00E024B9"/>
    <w:rsid w:val="00E02533"/>
    <w:rsid w:val="00E02720"/>
    <w:rsid w:val="00E027F8"/>
    <w:rsid w:val="00E029B4"/>
    <w:rsid w:val="00E02D87"/>
    <w:rsid w:val="00E031AA"/>
    <w:rsid w:val="00E03238"/>
    <w:rsid w:val="00E034F7"/>
    <w:rsid w:val="00E03796"/>
    <w:rsid w:val="00E039B0"/>
    <w:rsid w:val="00E03CD3"/>
    <w:rsid w:val="00E03DAE"/>
    <w:rsid w:val="00E04293"/>
    <w:rsid w:val="00E044BE"/>
    <w:rsid w:val="00E0466F"/>
    <w:rsid w:val="00E046DF"/>
    <w:rsid w:val="00E04A58"/>
    <w:rsid w:val="00E05528"/>
    <w:rsid w:val="00E0565B"/>
    <w:rsid w:val="00E05BFE"/>
    <w:rsid w:val="00E072BD"/>
    <w:rsid w:val="00E074B1"/>
    <w:rsid w:val="00E07508"/>
    <w:rsid w:val="00E07AA2"/>
    <w:rsid w:val="00E07BFD"/>
    <w:rsid w:val="00E102BD"/>
    <w:rsid w:val="00E105D2"/>
    <w:rsid w:val="00E10933"/>
    <w:rsid w:val="00E1149A"/>
    <w:rsid w:val="00E11619"/>
    <w:rsid w:val="00E11801"/>
    <w:rsid w:val="00E11DD0"/>
    <w:rsid w:val="00E11E77"/>
    <w:rsid w:val="00E1207A"/>
    <w:rsid w:val="00E120EB"/>
    <w:rsid w:val="00E1247E"/>
    <w:rsid w:val="00E124E1"/>
    <w:rsid w:val="00E12503"/>
    <w:rsid w:val="00E12FF5"/>
    <w:rsid w:val="00E13222"/>
    <w:rsid w:val="00E133CC"/>
    <w:rsid w:val="00E1388E"/>
    <w:rsid w:val="00E139BC"/>
    <w:rsid w:val="00E13BCD"/>
    <w:rsid w:val="00E14513"/>
    <w:rsid w:val="00E145B3"/>
    <w:rsid w:val="00E1498A"/>
    <w:rsid w:val="00E14B2D"/>
    <w:rsid w:val="00E14CFC"/>
    <w:rsid w:val="00E15019"/>
    <w:rsid w:val="00E15036"/>
    <w:rsid w:val="00E15115"/>
    <w:rsid w:val="00E1517C"/>
    <w:rsid w:val="00E155A5"/>
    <w:rsid w:val="00E15600"/>
    <w:rsid w:val="00E15634"/>
    <w:rsid w:val="00E15940"/>
    <w:rsid w:val="00E1614C"/>
    <w:rsid w:val="00E1641B"/>
    <w:rsid w:val="00E16841"/>
    <w:rsid w:val="00E16882"/>
    <w:rsid w:val="00E16A89"/>
    <w:rsid w:val="00E16B04"/>
    <w:rsid w:val="00E16EC4"/>
    <w:rsid w:val="00E16F2C"/>
    <w:rsid w:val="00E17105"/>
    <w:rsid w:val="00E175F6"/>
    <w:rsid w:val="00E1762F"/>
    <w:rsid w:val="00E178B9"/>
    <w:rsid w:val="00E179EF"/>
    <w:rsid w:val="00E2006E"/>
    <w:rsid w:val="00E20A80"/>
    <w:rsid w:val="00E20E8D"/>
    <w:rsid w:val="00E21327"/>
    <w:rsid w:val="00E21385"/>
    <w:rsid w:val="00E2160D"/>
    <w:rsid w:val="00E21A68"/>
    <w:rsid w:val="00E21A78"/>
    <w:rsid w:val="00E21F82"/>
    <w:rsid w:val="00E22AC9"/>
    <w:rsid w:val="00E230BF"/>
    <w:rsid w:val="00E2334D"/>
    <w:rsid w:val="00E24094"/>
    <w:rsid w:val="00E242F3"/>
    <w:rsid w:val="00E24419"/>
    <w:rsid w:val="00E25308"/>
    <w:rsid w:val="00E25420"/>
    <w:rsid w:val="00E254C4"/>
    <w:rsid w:val="00E26666"/>
    <w:rsid w:val="00E26870"/>
    <w:rsid w:val="00E26A9D"/>
    <w:rsid w:val="00E26AC7"/>
    <w:rsid w:val="00E27273"/>
    <w:rsid w:val="00E2741F"/>
    <w:rsid w:val="00E27954"/>
    <w:rsid w:val="00E27EA2"/>
    <w:rsid w:val="00E30137"/>
    <w:rsid w:val="00E30645"/>
    <w:rsid w:val="00E30814"/>
    <w:rsid w:val="00E309F2"/>
    <w:rsid w:val="00E3139E"/>
    <w:rsid w:val="00E31B87"/>
    <w:rsid w:val="00E31EF4"/>
    <w:rsid w:val="00E31F69"/>
    <w:rsid w:val="00E322B5"/>
    <w:rsid w:val="00E3231C"/>
    <w:rsid w:val="00E3278E"/>
    <w:rsid w:val="00E32FD4"/>
    <w:rsid w:val="00E3356A"/>
    <w:rsid w:val="00E33590"/>
    <w:rsid w:val="00E34577"/>
    <w:rsid w:val="00E346FD"/>
    <w:rsid w:val="00E34CF2"/>
    <w:rsid w:val="00E35079"/>
    <w:rsid w:val="00E35EFB"/>
    <w:rsid w:val="00E36134"/>
    <w:rsid w:val="00E3644A"/>
    <w:rsid w:val="00E36594"/>
    <w:rsid w:val="00E367C0"/>
    <w:rsid w:val="00E36D35"/>
    <w:rsid w:val="00E37022"/>
    <w:rsid w:val="00E37719"/>
    <w:rsid w:val="00E37817"/>
    <w:rsid w:val="00E3785B"/>
    <w:rsid w:val="00E40424"/>
    <w:rsid w:val="00E40428"/>
    <w:rsid w:val="00E40687"/>
    <w:rsid w:val="00E4088A"/>
    <w:rsid w:val="00E409B9"/>
    <w:rsid w:val="00E40EAC"/>
    <w:rsid w:val="00E41100"/>
    <w:rsid w:val="00E41160"/>
    <w:rsid w:val="00E41DAB"/>
    <w:rsid w:val="00E4239A"/>
    <w:rsid w:val="00E42710"/>
    <w:rsid w:val="00E42F2A"/>
    <w:rsid w:val="00E430DB"/>
    <w:rsid w:val="00E43244"/>
    <w:rsid w:val="00E4387D"/>
    <w:rsid w:val="00E43883"/>
    <w:rsid w:val="00E43921"/>
    <w:rsid w:val="00E43CBC"/>
    <w:rsid w:val="00E43CED"/>
    <w:rsid w:val="00E43D8C"/>
    <w:rsid w:val="00E4426D"/>
    <w:rsid w:val="00E447BE"/>
    <w:rsid w:val="00E44C43"/>
    <w:rsid w:val="00E456F2"/>
    <w:rsid w:val="00E45A22"/>
    <w:rsid w:val="00E45FFA"/>
    <w:rsid w:val="00E464E7"/>
    <w:rsid w:val="00E46E14"/>
    <w:rsid w:val="00E5039C"/>
    <w:rsid w:val="00E504C8"/>
    <w:rsid w:val="00E50A56"/>
    <w:rsid w:val="00E50D30"/>
    <w:rsid w:val="00E51115"/>
    <w:rsid w:val="00E51C65"/>
    <w:rsid w:val="00E51EFA"/>
    <w:rsid w:val="00E52220"/>
    <w:rsid w:val="00E52322"/>
    <w:rsid w:val="00E525F2"/>
    <w:rsid w:val="00E526C0"/>
    <w:rsid w:val="00E52965"/>
    <w:rsid w:val="00E52A83"/>
    <w:rsid w:val="00E5312D"/>
    <w:rsid w:val="00E53474"/>
    <w:rsid w:val="00E5378E"/>
    <w:rsid w:val="00E53C38"/>
    <w:rsid w:val="00E540AE"/>
    <w:rsid w:val="00E54112"/>
    <w:rsid w:val="00E5412B"/>
    <w:rsid w:val="00E544E0"/>
    <w:rsid w:val="00E54E3E"/>
    <w:rsid w:val="00E54FCE"/>
    <w:rsid w:val="00E5514F"/>
    <w:rsid w:val="00E5515B"/>
    <w:rsid w:val="00E552B5"/>
    <w:rsid w:val="00E55323"/>
    <w:rsid w:val="00E5582E"/>
    <w:rsid w:val="00E55B3A"/>
    <w:rsid w:val="00E56695"/>
    <w:rsid w:val="00E5679A"/>
    <w:rsid w:val="00E56B99"/>
    <w:rsid w:val="00E57352"/>
    <w:rsid w:val="00E57EFA"/>
    <w:rsid w:val="00E60611"/>
    <w:rsid w:val="00E607F6"/>
    <w:rsid w:val="00E60ECA"/>
    <w:rsid w:val="00E615A6"/>
    <w:rsid w:val="00E61A03"/>
    <w:rsid w:val="00E621C1"/>
    <w:rsid w:val="00E62806"/>
    <w:rsid w:val="00E62983"/>
    <w:rsid w:val="00E62988"/>
    <w:rsid w:val="00E62BEF"/>
    <w:rsid w:val="00E630CF"/>
    <w:rsid w:val="00E632A6"/>
    <w:rsid w:val="00E63D36"/>
    <w:rsid w:val="00E63E29"/>
    <w:rsid w:val="00E64E38"/>
    <w:rsid w:val="00E650E3"/>
    <w:rsid w:val="00E65228"/>
    <w:rsid w:val="00E66068"/>
    <w:rsid w:val="00E6651F"/>
    <w:rsid w:val="00E667B3"/>
    <w:rsid w:val="00E66B98"/>
    <w:rsid w:val="00E6750A"/>
    <w:rsid w:val="00E677DD"/>
    <w:rsid w:val="00E67F49"/>
    <w:rsid w:val="00E705FC"/>
    <w:rsid w:val="00E70AF8"/>
    <w:rsid w:val="00E70E68"/>
    <w:rsid w:val="00E70FBD"/>
    <w:rsid w:val="00E7152E"/>
    <w:rsid w:val="00E71722"/>
    <w:rsid w:val="00E71786"/>
    <w:rsid w:val="00E719BB"/>
    <w:rsid w:val="00E71B4B"/>
    <w:rsid w:val="00E72215"/>
    <w:rsid w:val="00E7235E"/>
    <w:rsid w:val="00E72519"/>
    <w:rsid w:val="00E72821"/>
    <w:rsid w:val="00E7287A"/>
    <w:rsid w:val="00E728A8"/>
    <w:rsid w:val="00E72CB2"/>
    <w:rsid w:val="00E72D06"/>
    <w:rsid w:val="00E73120"/>
    <w:rsid w:val="00E73442"/>
    <w:rsid w:val="00E740D0"/>
    <w:rsid w:val="00E74461"/>
    <w:rsid w:val="00E74CBF"/>
    <w:rsid w:val="00E74D9E"/>
    <w:rsid w:val="00E7507A"/>
    <w:rsid w:val="00E76F6A"/>
    <w:rsid w:val="00E772C0"/>
    <w:rsid w:val="00E7737C"/>
    <w:rsid w:val="00E77645"/>
    <w:rsid w:val="00E7771C"/>
    <w:rsid w:val="00E77A4F"/>
    <w:rsid w:val="00E77B93"/>
    <w:rsid w:val="00E80C76"/>
    <w:rsid w:val="00E8140A"/>
    <w:rsid w:val="00E817AD"/>
    <w:rsid w:val="00E81ADA"/>
    <w:rsid w:val="00E81F74"/>
    <w:rsid w:val="00E82094"/>
    <w:rsid w:val="00E82413"/>
    <w:rsid w:val="00E82C92"/>
    <w:rsid w:val="00E82D62"/>
    <w:rsid w:val="00E830B3"/>
    <w:rsid w:val="00E833AF"/>
    <w:rsid w:val="00E83428"/>
    <w:rsid w:val="00E8433F"/>
    <w:rsid w:val="00E8442F"/>
    <w:rsid w:val="00E844E5"/>
    <w:rsid w:val="00E84FF3"/>
    <w:rsid w:val="00E8511B"/>
    <w:rsid w:val="00E85589"/>
    <w:rsid w:val="00E86727"/>
    <w:rsid w:val="00E867DC"/>
    <w:rsid w:val="00E86924"/>
    <w:rsid w:val="00E86982"/>
    <w:rsid w:val="00E86DE6"/>
    <w:rsid w:val="00E86EFF"/>
    <w:rsid w:val="00E870CA"/>
    <w:rsid w:val="00E87298"/>
    <w:rsid w:val="00E877C9"/>
    <w:rsid w:val="00E90088"/>
    <w:rsid w:val="00E9052B"/>
    <w:rsid w:val="00E905C7"/>
    <w:rsid w:val="00E90D5D"/>
    <w:rsid w:val="00E9141D"/>
    <w:rsid w:val="00E91698"/>
    <w:rsid w:val="00E92036"/>
    <w:rsid w:val="00E924CF"/>
    <w:rsid w:val="00E92754"/>
    <w:rsid w:val="00E93366"/>
    <w:rsid w:val="00E933ED"/>
    <w:rsid w:val="00E93D0B"/>
    <w:rsid w:val="00E94AC4"/>
    <w:rsid w:val="00E94F48"/>
    <w:rsid w:val="00E953C8"/>
    <w:rsid w:val="00E95698"/>
    <w:rsid w:val="00E964CC"/>
    <w:rsid w:val="00E96FC0"/>
    <w:rsid w:val="00E97770"/>
    <w:rsid w:val="00E97807"/>
    <w:rsid w:val="00E97CA2"/>
    <w:rsid w:val="00EA0128"/>
    <w:rsid w:val="00EA01E6"/>
    <w:rsid w:val="00EA04FF"/>
    <w:rsid w:val="00EA07AA"/>
    <w:rsid w:val="00EA0819"/>
    <w:rsid w:val="00EA0D38"/>
    <w:rsid w:val="00EA0E26"/>
    <w:rsid w:val="00EA10F3"/>
    <w:rsid w:val="00EA1468"/>
    <w:rsid w:val="00EA1A76"/>
    <w:rsid w:val="00EA1F1F"/>
    <w:rsid w:val="00EA262E"/>
    <w:rsid w:val="00EA2983"/>
    <w:rsid w:val="00EA2A6D"/>
    <w:rsid w:val="00EA2BED"/>
    <w:rsid w:val="00EA3446"/>
    <w:rsid w:val="00EA38F3"/>
    <w:rsid w:val="00EA3CBB"/>
    <w:rsid w:val="00EA4266"/>
    <w:rsid w:val="00EA4758"/>
    <w:rsid w:val="00EA4A1A"/>
    <w:rsid w:val="00EA4F60"/>
    <w:rsid w:val="00EA5115"/>
    <w:rsid w:val="00EA5343"/>
    <w:rsid w:val="00EA56DB"/>
    <w:rsid w:val="00EA5795"/>
    <w:rsid w:val="00EA5889"/>
    <w:rsid w:val="00EA73EB"/>
    <w:rsid w:val="00EB00AB"/>
    <w:rsid w:val="00EB0A2D"/>
    <w:rsid w:val="00EB0D02"/>
    <w:rsid w:val="00EB0D81"/>
    <w:rsid w:val="00EB0EBC"/>
    <w:rsid w:val="00EB1452"/>
    <w:rsid w:val="00EB2071"/>
    <w:rsid w:val="00EB25BB"/>
    <w:rsid w:val="00EB26ED"/>
    <w:rsid w:val="00EB28EC"/>
    <w:rsid w:val="00EB2B35"/>
    <w:rsid w:val="00EB303F"/>
    <w:rsid w:val="00EB3D03"/>
    <w:rsid w:val="00EB4430"/>
    <w:rsid w:val="00EB4B10"/>
    <w:rsid w:val="00EB4B39"/>
    <w:rsid w:val="00EB5458"/>
    <w:rsid w:val="00EB54F7"/>
    <w:rsid w:val="00EB5A98"/>
    <w:rsid w:val="00EB5C0A"/>
    <w:rsid w:val="00EB6050"/>
    <w:rsid w:val="00EB62D1"/>
    <w:rsid w:val="00EB62D4"/>
    <w:rsid w:val="00EB658B"/>
    <w:rsid w:val="00EB6760"/>
    <w:rsid w:val="00EB6E0B"/>
    <w:rsid w:val="00EB7567"/>
    <w:rsid w:val="00EB7CAD"/>
    <w:rsid w:val="00EC00FB"/>
    <w:rsid w:val="00EC02DA"/>
    <w:rsid w:val="00EC041B"/>
    <w:rsid w:val="00EC12C0"/>
    <w:rsid w:val="00EC1520"/>
    <w:rsid w:val="00EC15D2"/>
    <w:rsid w:val="00EC1829"/>
    <w:rsid w:val="00EC182C"/>
    <w:rsid w:val="00EC18A5"/>
    <w:rsid w:val="00EC18BB"/>
    <w:rsid w:val="00EC1B57"/>
    <w:rsid w:val="00EC2005"/>
    <w:rsid w:val="00EC25FE"/>
    <w:rsid w:val="00EC2621"/>
    <w:rsid w:val="00EC2C66"/>
    <w:rsid w:val="00EC2F25"/>
    <w:rsid w:val="00EC344F"/>
    <w:rsid w:val="00EC3701"/>
    <w:rsid w:val="00EC450C"/>
    <w:rsid w:val="00EC4AC6"/>
    <w:rsid w:val="00EC56EA"/>
    <w:rsid w:val="00EC5871"/>
    <w:rsid w:val="00EC5D3F"/>
    <w:rsid w:val="00EC639D"/>
    <w:rsid w:val="00EC660A"/>
    <w:rsid w:val="00EC698A"/>
    <w:rsid w:val="00EC6995"/>
    <w:rsid w:val="00EC6A12"/>
    <w:rsid w:val="00EC6A1B"/>
    <w:rsid w:val="00EC6E87"/>
    <w:rsid w:val="00EC708D"/>
    <w:rsid w:val="00EC73D8"/>
    <w:rsid w:val="00ED01D7"/>
    <w:rsid w:val="00ED0E73"/>
    <w:rsid w:val="00ED1906"/>
    <w:rsid w:val="00ED19EB"/>
    <w:rsid w:val="00ED1BC3"/>
    <w:rsid w:val="00ED1C2B"/>
    <w:rsid w:val="00ED1CC4"/>
    <w:rsid w:val="00ED1E21"/>
    <w:rsid w:val="00ED1F2F"/>
    <w:rsid w:val="00ED22C0"/>
    <w:rsid w:val="00ED2627"/>
    <w:rsid w:val="00ED26DF"/>
    <w:rsid w:val="00ED2704"/>
    <w:rsid w:val="00ED2B17"/>
    <w:rsid w:val="00ED2D5C"/>
    <w:rsid w:val="00ED311B"/>
    <w:rsid w:val="00ED3801"/>
    <w:rsid w:val="00ED38A7"/>
    <w:rsid w:val="00ED4490"/>
    <w:rsid w:val="00ED47D5"/>
    <w:rsid w:val="00ED4CCD"/>
    <w:rsid w:val="00ED4D1D"/>
    <w:rsid w:val="00ED5B1E"/>
    <w:rsid w:val="00ED6AB2"/>
    <w:rsid w:val="00ED7E94"/>
    <w:rsid w:val="00EE058C"/>
    <w:rsid w:val="00EE0699"/>
    <w:rsid w:val="00EE0D0B"/>
    <w:rsid w:val="00EE1A61"/>
    <w:rsid w:val="00EE21D2"/>
    <w:rsid w:val="00EE2A5B"/>
    <w:rsid w:val="00EE34DB"/>
    <w:rsid w:val="00EE374F"/>
    <w:rsid w:val="00EE3AEE"/>
    <w:rsid w:val="00EE42DA"/>
    <w:rsid w:val="00EE4318"/>
    <w:rsid w:val="00EE4DB1"/>
    <w:rsid w:val="00EE4E2C"/>
    <w:rsid w:val="00EE4E93"/>
    <w:rsid w:val="00EE52E5"/>
    <w:rsid w:val="00EE53AB"/>
    <w:rsid w:val="00EE560D"/>
    <w:rsid w:val="00EE5677"/>
    <w:rsid w:val="00EE5851"/>
    <w:rsid w:val="00EE6230"/>
    <w:rsid w:val="00EE66FF"/>
    <w:rsid w:val="00EE69AA"/>
    <w:rsid w:val="00EE6A1F"/>
    <w:rsid w:val="00EE7963"/>
    <w:rsid w:val="00EF06A2"/>
    <w:rsid w:val="00EF0731"/>
    <w:rsid w:val="00EF0BC5"/>
    <w:rsid w:val="00EF1273"/>
    <w:rsid w:val="00EF1623"/>
    <w:rsid w:val="00EF1756"/>
    <w:rsid w:val="00EF1DDD"/>
    <w:rsid w:val="00EF212B"/>
    <w:rsid w:val="00EF23E5"/>
    <w:rsid w:val="00EF24E8"/>
    <w:rsid w:val="00EF2F49"/>
    <w:rsid w:val="00EF4813"/>
    <w:rsid w:val="00EF4CFA"/>
    <w:rsid w:val="00EF4E47"/>
    <w:rsid w:val="00EF4F07"/>
    <w:rsid w:val="00EF5482"/>
    <w:rsid w:val="00EF5BA2"/>
    <w:rsid w:val="00EF6008"/>
    <w:rsid w:val="00EF62D4"/>
    <w:rsid w:val="00EF63AB"/>
    <w:rsid w:val="00EF66D3"/>
    <w:rsid w:val="00EF6ADC"/>
    <w:rsid w:val="00EF708C"/>
    <w:rsid w:val="00EF73B1"/>
    <w:rsid w:val="00EF7429"/>
    <w:rsid w:val="00F00055"/>
    <w:rsid w:val="00F0055B"/>
    <w:rsid w:val="00F010A8"/>
    <w:rsid w:val="00F01D36"/>
    <w:rsid w:val="00F01E19"/>
    <w:rsid w:val="00F02042"/>
    <w:rsid w:val="00F0213B"/>
    <w:rsid w:val="00F0221B"/>
    <w:rsid w:val="00F025FB"/>
    <w:rsid w:val="00F0315E"/>
    <w:rsid w:val="00F03204"/>
    <w:rsid w:val="00F03355"/>
    <w:rsid w:val="00F036D3"/>
    <w:rsid w:val="00F038D4"/>
    <w:rsid w:val="00F03D39"/>
    <w:rsid w:val="00F03FC0"/>
    <w:rsid w:val="00F03FF6"/>
    <w:rsid w:val="00F043AB"/>
    <w:rsid w:val="00F04436"/>
    <w:rsid w:val="00F04605"/>
    <w:rsid w:val="00F05910"/>
    <w:rsid w:val="00F0591B"/>
    <w:rsid w:val="00F05C85"/>
    <w:rsid w:val="00F06CC3"/>
    <w:rsid w:val="00F06E36"/>
    <w:rsid w:val="00F07194"/>
    <w:rsid w:val="00F0753F"/>
    <w:rsid w:val="00F07758"/>
    <w:rsid w:val="00F07F6F"/>
    <w:rsid w:val="00F104D0"/>
    <w:rsid w:val="00F10719"/>
    <w:rsid w:val="00F10BBF"/>
    <w:rsid w:val="00F10E77"/>
    <w:rsid w:val="00F10EEE"/>
    <w:rsid w:val="00F10F94"/>
    <w:rsid w:val="00F11022"/>
    <w:rsid w:val="00F11318"/>
    <w:rsid w:val="00F11328"/>
    <w:rsid w:val="00F11A4E"/>
    <w:rsid w:val="00F11BD7"/>
    <w:rsid w:val="00F11C8D"/>
    <w:rsid w:val="00F11F77"/>
    <w:rsid w:val="00F12068"/>
    <w:rsid w:val="00F1320B"/>
    <w:rsid w:val="00F132F2"/>
    <w:rsid w:val="00F132FE"/>
    <w:rsid w:val="00F13322"/>
    <w:rsid w:val="00F13691"/>
    <w:rsid w:val="00F14105"/>
    <w:rsid w:val="00F1430B"/>
    <w:rsid w:val="00F1485C"/>
    <w:rsid w:val="00F148F1"/>
    <w:rsid w:val="00F14BDD"/>
    <w:rsid w:val="00F14CFF"/>
    <w:rsid w:val="00F15271"/>
    <w:rsid w:val="00F15409"/>
    <w:rsid w:val="00F16955"/>
    <w:rsid w:val="00F1709A"/>
    <w:rsid w:val="00F17392"/>
    <w:rsid w:val="00F17665"/>
    <w:rsid w:val="00F17D5B"/>
    <w:rsid w:val="00F2001F"/>
    <w:rsid w:val="00F204A9"/>
    <w:rsid w:val="00F206E8"/>
    <w:rsid w:val="00F206F5"/>
    <w:rsid w:val="00F2075A"/>
    <w:rsid w:val="00F20FF6"/>
    <w:rsid w:val="00F2101D"/>
    <w:rsid w:val="00F212E1"/>
    <w:rsid w:val="00F217DD"/>
    <w:rsid w:val="00F21A9B"/>
    <w:rsid w:val="00F21DFC"/>
    <w:rsid w:val="00F21E8E"/>
    <w:rsid w:val="00F21F9A"/>
    <w:rsid w:val="00F22396"/>
    <w:rsid w:val="00F22B89"/>
    <w:rsid w:val="00F22C7E"/>
    <w:rsid w:val="00F22CCF"/>
    <w:rsid w:val="00F23B36"/>
    <w:rsid w:val="00F2402D"/>
    <w:rsid w:val="00F2476B"/>
    <w:rsid w:val="00F247C8"/>
    <w:rsid w:val="00F24C80"/>
    <w:rsid w:val="00F25035"/>
    <w:rsid w:val="00F25177"/>
    <w:rsid w:val="00F25566"/>
    <w:rsid w:val="00F25599"/>
    <w:rsid w:val="00F2569F"/>
    <w:rsid w:val="00F25840"/>
    <w:rsid w:val="00F25C29"/>
    <w:rsid w:val="00F25C95"/>
    <w:rsid w:val="00F26A26"/>
    <w:rsid w:val="00F271E2"/>
    <w:rsid w:val="00F27320"/>
    <w:rsid w:val="00F27C09"/>
    <w:rsid w:val="00F27C3A"/>
    <w:rsid w:val="00F3049A"/>
    <w:rsid w:val="00F30F86"/>
    <w:rsid w:val="00F30FEB"/>
    <w:rsid w:val="00F31C3B"/>
    <w:rsid w:val="00F31D15"/>
    <w:rsid w:val="00F3226E"/>
    <w:rsid w:val="00F322FD"/>
    <w:rsid w:val="00F3274E"/>
    <w:rsid w:val="00F32A3D"/>
    <w:rsid w:val="00F331B7"/>
    <w:rsid w:val="00F333B9"/>
    <w:rsid w:val="00F3393C"/>
    <w:rsid w:val="00F34225"/>
    <w:rsid w:val="00F34907"/>
    <w:rsid w:val="00F34CBA"/>
    <w:rsid w:val="00F34CF6"/>
    <w:rsid w:val="00F352C4"/>
    <w:rsid w:val="00F354D1"/>
    <w:rsid w:val="00F36044"/>
    <w:rsid w:val="00F36794"/>
    <w:rsid w:val="00F36C60"/>
    <w:rsid w:val="00F36D3C"/>
    <w:rsid w:val="00F3729D"/>
    <w:rsid w:val="00F3737B"/>
    <w:rsid w:val="00F3772A"/>
    <w:rsid w:val="00F377A0"/>
    <w:rsid w:val="00F37B23"/>
    <w:rsid w:val="00F37C06"/>
    <w:rsid w:val="00F37C35"/>
    <w:rsid w:val="00F4022B"/>
    <w:rsid w:val="00F402C0"/>
    <w:rsid w:val="00F402EA"/>
    <w:rsid w:val="00F403D3"/>
    <w:rsid w:val="00F40815"/>
    <w:rsid w:val="00F408BE"/>
    <w:rsid w:val="00F40E33"/>
    <w:rsid w:val="00F40EB4"/>
    <w:rsid w:val="00F41186"/>
    <w:rsid w:val="00F412EB"/>
    <w:rsid w:val="00F413C1"/>
    <w:rsid w:val="00F4160E"/>
    <w:rsid w:val="00F4184C"/>
    <w:rsid w:val="00F42169"/>
    <w:rsid w:val="00F42A2D"/>
    <w:rsid w:val="00F42A3F"/>
    <w:rsid w:val="00F435F7"/>
    <w:rsid w:val="00F43912"/>
    <w:rsid w:val="00F43A27"/>
    <w:rsid w:val="00F44053"/>
    <w:rsid w:val="00F44276"/>
    <w:rsid w:val="00F44800"/>
    <w:rsid w:val="00F44BD0"/>
    <w:rsid w:val="00F44CD3"/>
    <w:rsid w:val="00F44FDE"/>
    <w:rsid w:val="00F45266"/>
    <w:rsid w:val="00F4598A"/>
    <w:rsid w:val="00F45BE1"/>
    <w:rsid w:val="00F460B8"/>
    <w:rsid w:val="00F460BE"/>
    <w:rsid w:val="00F46431"/>
    <w:rsid w:val="00F4660A"/>
    <w:rsid w:val="00F4684A"/>
    <w:rsid w:val="00F4687D"/>
    <w:rsid w:val="00F509CF"/>
    <w:rsid w:val="00F50C99"/>
    <w:rsid w:val="00F520FE"/>
    <w:rsid w:val="00F52497"/>
    <w:rsid w:val="00F5258E"/>
    <w:rsid w:val="00F5263B"/>
    <w:rsid w:val="00F526EC"/>
    <w:rsid w:val="00F527F0"/>
    <w:rsid w:val="00F52920"/>
    <w:rsid w:val="00F52A1E"/>
    <w:rsid w:val="00F53778"/>
    <w:rsid w:val="00F53C8A"/>
    <w:rsid w:val="00F53F94"/>
    <w:rsid w:val="00F540E4"/>
    <w:rsid w:val="00F5438F"/>
    <w:rsid w:val="00F54788"/>
    <w:rsid w:val="00F54F3E"/>
    <w:rsid w:val="00F551F1"/>
    <w:rsid w:val="00F555A7"/>
    <w:rsid w:val="00F556EE"/>
    <w:rsid w:val="00F55E54"/>
    <w:rsid w:val="00F5608E"/>
    <w:rsid w:val="00F560FB"/>
    <w:rsid w:val="00F56329"/>
    <w:rsid w:val="00F5636F"/>
    <w:rsid w:val="00F56B1B"/>
    <w:rsid w:val="00F570A2"/>
    <w:rsid w:val="00F572D9"/>
    <w:rsid w:val="00F572F8"/>
    <w:rsid w:val="00F57422"/>
    <w:rsid w:val="00F579F6"/>
    <w:rsid w:val="00F57E9B"/>
    <w:rsid w:val="00F6052B"/>
    <w:rsid w:val="00F60555"/>
    <w:rsid w:val="00F60C51"/>
    <w:rsid w:val="00F61082"/>
    <w:rsid w:val="00F6113D"/>
    <w:rsid w:val="00F611E4"/>
    <w:rsid w:val="00F61760"/>
    <w:rsid w:val="00F617FB"/>
    <w:rsid w:val="00F628BF"/>
    <w:rsid w:val="00F62D30"/>
    <w:rsid w:val="00F632D6"/>
    <w:rsid w:val="00F63CC2"/>
    <w:rsid w:val="00F644B7"/>
    <w:rsid w:val="00F64707"/>
    <w:rsid w:val="00F64986"/>
    <w:rsid w:val="00F64DF9"/>
    <w:rsid w:val="00F653DD"/>
    <w:rsid w:val="00F65418"/>
    <w:rsid w:val="00F6559C"/>
    <w:rsid w:val="00F65D07"/>
    <w:rsid w:val="00F65E1F"/>
    <w:rsid w:val="00F66455"/>
    <w:rsid w:val="00F666E3"/>
    <w:rsid w:val="00F66718"/>
    <w:rsid w:val="00F66C73"/>
    <w:rsid w:val="00F671BD"/>
    <w:rsid w:val="00F67BE5"/>
    <w:rsid w:val="00F67C2C"/>
    <w:rsid w:val="00F7091E"/>
    <w:rsid w:val="00F712A8"/>
    <w:rsid w:val="00F713A5"/>
    <w:rsid w:val="00F714C6"/>
    <w:rsid w:val="00F7189A"/>
    <w:rsid w:val="00F71D06"/>
    <w:rsid w:val="00F71D5C"/>
    <w:rsid w:val="00F72AF5"/>
    <w:rsid w:val="00F72C17"/>
    <w:rsid w:val="00F731B6"/>
    <w:rsid w:val="00F73299"/>
    <w:rsid w:val="00F733AE"/>
    <w:rsid w:val="00F740C1"/>
    <w:rsid w:val="00F7448D"/>
    <w:rsid w:val="00F749B2"/>
    <w:rsid w:val="00F75163"/>
    <w:rsid w:val="00F75BB9"/>
    <w:rsid w:val="00F75EF9"/>
    <w:rsid w:val="00F7644F"/>
    <w:rsid w:val="00F76CA8"/>
    <w:rsid w:val="00F777AA"/>
    <w:rsid w:val="00F8004D"/>
    <w:rsid w:val="00F804C3"/>
    <w:rsid w:val="00F80535"/>
    <w:rsid w:val="00F8065B"/>
    <w:rsid w:val="00F80E83"/>
    <w:rsid w:val="00F80F3B"/>
    <w:rsid w:val="00F80F8F"/>
    <w:rsid w:val="00F81023"/>
    <w:rsid w:val="00F81039"/>
    <w:rsid w:val="00F811A1"/>
    <w:rsid w:val="00F812F3"/>
    <w:rsid w:val="00F81419"/>
    <w:rsid w:val="00F8162C"/>
    <w:rsid w:val="00F816FF"/>
    <w:rsid w:val="00F8176F"/>
    <w:rsid w:val="00F8187B"/>
    <w:rsid w:val="00F81EED"/>
    <w:rsid w:val="00F8208A"/>
    <w:rsid w:val="00F82136"/>
    <w:rsid w:val="00F823E5"/>
    <w:rsid w:val="00F8254A"/>
    <w:rsid w:val="00F82679"/>
    <w:rsid w:val="00F82A43"/>
    <w:rsid w:val="00F82B0D"/>
    <w:rsid w:val="00F82D8C"/>
    <w:rsid w:val="00F8348D"/>
    <w:rsid w:val="00F845E6"/>
    <w:rsid w:val="00F84844"/>
    <w:rsid w:val="00F86022"/>
    <w:rsid w:val="00F8622B"/>
    <w:rsid w:val="00F86F3E"/>
    <w:rsid w:val="00F87097"/>
    <w:rsid w:val="00F87163"/>
    <w:rsid w:val="00F87245"/>
    <w:rsid w:val="00F8758C"/>
    <w:rsid w:val="00F87B27"/>
    <w:rsid w:val="00F87F95"/>
    <w:rsid w:val="00F9056D"/>
    <w:rsid w:val="00F906E4"/>
    <w:rsid w:val="00F9076D"/>
    <w:rsid w:val="00F90A7E"/>
    <w:rsid w:val="00F91189"/>
    <w:rsid w:val="00F91455"/>
    <w:rsid w:val="00F91512"/>
    <w:rsid w:val="00F91DD4"/>
    <w:rsid w:val="00F9274D"/>
    <w:rsid w:val="00F92F6C"/>
    <w:rsid w:val="00F9304E"/>
    <w:rsid w:val="00F93367"/>
    <w:rsid w:val="00F938AE"/>
    <w:rsid w:val="00F93A2A"/>
    <w:rsid w:val="00F93B94"/>
    <w:rsid w:val="00F9461D"/>
    <w:rsid w:val="00F94A0D"/>
    <w:rsid w:val="00F94CD6"/>
    <w:rsid w:val="00F95598"/>
    <w:rsid w:val="00F95C05"/>
    <w:rsid w:val="00F95C3B"/>
    <w:rsid w:val="00F95CBE"/>
    <w:rsid w:val="00F96076"/>
    <w:rsid w:val="00F9674A"/>
    <w:rsid w:val="00F97291"/>
    <w:rsid w:val="00F972EB"/>
    <w:rsid w:val="00F97579"/>
    <w:rsid w:val="00F9769C"/>
    <w:rsid w:val="00F97B47"/>
    <w:rsid w:val="00F97D2A"/>
    <w:rsid w:val="00FA054B"/>
    <w:rsid w:val="00FA07B6"/>
    <w:rsid w:val="00FA07EC"/>
    <w:rsid w:val="00FA0AEB"/>
    <w:rsid w:val="00FA0F95"/>
    <w:rsid w:val="00FA1059"/>
    <w:rsid w:val="00FA182C"/>
    <w:rsid w:val="00FA184A"/>
    <w:rsid w:val="00FA18F3"/>
    <w:rsid w:val="00FA1925"/>
    <w:rsid w:val="00FA27D4"/>
    <w:rsid w:val="00FA2AF7"/>
    <w:rsid w:val="00FA2B14"/>
    <w:rsid w:val="00FA2C2D"/>
    <w:rsid w:val="00FA2E92"/>
    <w:rsid w:val="00FA3613"/>
    <w:rsid w:val="00FA368D"/>
    <w:rsid w:val="00FA3AA0"/>
    <w:rsid w:val="00FA3F0F"/>
    <w:rsid w:val="00FA404E"/>
    <w:rsid w:val="00FA4105"/>
    <w:rsid w:val="00FA42B9"/>
    <w:rsid w:val="00FA490E"/>
    <w:rsid w:val="00FA4AB5"/>
    <w:rsid w:val="00FA4BF4"/>
    <w:rsid w:val="00FA4EF1"/>
    <w:rsid w:val="00FA4F11"/>
    <w:rsid w:val="00FA560E"/>
    <w:rsid w:val="00FA56C5"/>
    <w:rsid w:val="00FA5C58"/>
    <w:rsid w:val="00FA60E3"/>
    <w:rsid w:val="00FA6A1B"/>
    <w:rsid w:val="00FA6AEA"/>
    <w:rsid w:val="00FA6B7F"/>
    <w:rsid w:val="00FA7A96"/>
    <w:rsid w:val="00FA7FD3"/>
    <w:rsid w:val="00FB02B1"/>
    <w:rsid w:val="00FB03A4"/>
    <w:rsid w:val="00FB072C"/>
    <w:rsid w:val="00FB072F"/>
    <w:rsid w:val="00FB0827"/>
    <w:rsid w:val="00FB10F5"/>
    <w:rsid w:val="00FB1274"/>
    <w:rsid w:val="00FB145C"/>
    <w:rsid w:val="00FB17EE"/>
    <w:rsid w:val="00FB1D24"/>
    <w:rsid w:val="00FB23E2"/>
    <w:rsid w:val="00FB2C58"/>
    <w:rsid w:val="00FB3A67"/>
    <w:rsid w:val="00FB3E10"/>
    <w:rsid w:val="00FB3F86"/>
    <w:rsid w:val="00FB4138"/>
    <w:rsid w:val="00FB48FB"/>
    <w:rsid w:val="00FB4AC4"/>
    <w:rsid w:val="00FB6675"/>
    <w:rsid w:val="00FB6AFC"/>
    <w:rsid w:val="00FB6BF2"/>
    <w:rsid w:val="00FB6CFE"/>
    <w:rsid w:val="00FB6EA4"/>
    <w:rsid w:val="00FB703B"/>
    <w:rsid w:val="00FB72B8"/>
    <w:rsid w:val="00FB771D"/>
    <w:rsid w:val="00FC0F6F"/>
    <w:rsid w:val="00FC12ED"/>
    <w:rsid w:val="00FC1550"/>
    <w:rsid w:val="00FC1E6B"/>
    <w:rsid w:val="00FC2210"/>
    <w:rsid w:val="00FC24E2"/>
    <w:rsid w:val="00FC2A4B"/>
    <w:rsid w:val="00FC2BC8"/>
    <w:rsid w:val="00FC3232"/>
    <w:rsid w:val="00FC385E"/>
    <w:rsid w:val="00FC3FFE"/>
    <w:rsid w:val="00FC43A0"/>
    <w:rsid w:val="00FC45DB"/>
    <w:rsid w:val="00FC45E8"/>
    <w:rsid w:val="00FC4613"/>
    <w:rsid w:val="00FC49C7"/>
    <w:rsid w:val="00FC4C5E"/>
    <w:rsid w:val="00FC4DE9"/>
    <w:rsid w:val="00FC50BD"/>
    <w:rsid w:val="00FC51FA"/>
    <w:rsid w:val="00FC5C20"/>
    <w:rsid w:val="00FC6197"/>
    <w:rsid w:val="00FC622A"/>
    <w:rsid w:val="00FC6492"/>
    <w:rsid w:val="00FC6529"/>
    <w:rsid w:val="00FC665C"/>
    <w:rsid w:val="00FC6821"/>
    <w:rsid w:val="00FC68E7"/>
    <w:rsid w:val="00FC6DBE"/>
    <w:rsid w:val="00FC6DD0"/>
    <w:rsid w:val="00FC778E"/>
    <w:rsid w:val="00FC7B0C"/>
    <w:rsid w:val="00FC7B4E"/>
    <w:rsid w:val="00FD02F5"/>
    <w:rsid w:val="00FD0F84"/>
    <w:rsid w:val="00FD1861"/>
    <w:rsid w:val="00FD19E6"/>
    <w:rsid w:val="00FD209D"/>
    <w:rsid w:val="00FD2381"/>
    <w:rsid w:val="00FD26AD"/>
    <w:rsid w:val="00FD28DC"/>
    <w:rsid w:val="00FD2B24"/>
    <w:rsid w:val="00FD320E"/>
    <w:rsid w:val="00FD408D"/>
    <w:rsid w:val="00FD4135"/>
    <w:rsid w:val="00FD4AEF"/>
    <w:rsid w:val="00FD4CE9"/>
    <w:rsid w:val="00FD4D96"/>
    <w:rsid w:val="00FD511E"/>
    <w:rsid w:val="00FD51DF"/>
    <w:rsid w:val="00FD5225"/>
    <w:rsid w:val="00FD5858"/>
    <w:rsid w:val="00FD620B"/>
    <w:rsid w:val="00FD62DA"/>
    <w:rsid w:val="00FD67DF"/>
    <w:rsid w:val="00FD6A0B"/>
    <w:rsid w:val="00FD6A33"/>
    <w:rsid w:val="00FD6C60"/>
    <w:rsid w:val="00FD7010"/>
    <w:rsid w:val="00FD730F"/>
    <w:rsid w:val="00FD7541"/>
    <w:rsid w:val="00FE0423"/>
    <w:rsid w:val="00FE09F8"/>
    <w:rsid w:val="00FE0DF9"/>
    <w:rsid w:val="00FE1824"/>
    <w:rsid w:val="00FE1BB1"/>
    <w:rsid w:val="00FE1BE7"/>
    <w:rsid w:val="00FE2BE7"/>
    <w:rsid w:val="00FE2EC5"/>
    <w:rsid w:val="00FE3586"/>
    <w:rsid w:val="00FE3F79"/>
    <w:rsid w:val="00FE40BB"/>
    <w:rsid w:val="00FE4C74"/>
    <w:rsid w:val="00FE6BA4"/>
    <w:rsid w:val="00FE70E8"/>
    <w:rsid w:val="00FE78D7"/>
    <w:rsid w:val="00FE7A53"/>
    <w:rsid w:val="00FE7E02"/>
    <w:rsid w:val="00FF03AB"/>
    <w:rsid w:val="00FF050A"/>
    <w:rsid w:val="00FF1582"/>
    <w:rsid w:val="00FF1967"/>
    <w:rsid w:val="00FF1B41"/>
    <w:rsid w:val="00FF1C9D"/>
    <w:rsid w:val="00FF1CB3"/>
    <w:rsid w:val="00FF1E09"/>
    <w:rsid w:val="00FF23C5"/>
    <w:rsid w:val="00FF246E"/>
    <w:rsid w:val="00FF28A4"/>
    <w:rsid w:val="00FF299A"/>
    <w:rsid w:val="00FF29D4"/>
    <w:rsid w:val="00FF2BC1"/>
    <w:rsid w:val="00FF2E5F"/>
    <w:rsid w:val="00FF31B9"/>
    <w:rsid w:val="00FF3699"/>
    <w:rsid w:val="00FF3C95"/>
    <w:rsid w:val="00FF40D8"/>
    <w:rsid w:val="00FF40DC"/>
    <w:rsid w:val="00FF438C"/>
    <w:rsid w:val="00FF459D"/>
    <w:rsid w:val="00FF4671"/>
    <w:rsid w:val="00FF47DD"/>
    <w:rsid w:val="00FF50F0"/>
    <w:rsid w:val="00FF5346"/>
    <w:rsid w:val="00FF5AF6"/>
    <w:rsid w:val="00FF60FC"/>
    <w:rsid w:val="00FF6123"/>
    <w:rsid w:val="00FF6E24"/>
    <w:rsid w:val="00FF6F3A"/>
    <w:rsid w:val="00FF6F9C"/>
    <w:rsid w:val="00FF7E45"/>
    <w:rsid w:val="00FF7EB6"/>
    <w:rsid w:val="1001F00E"/>
    <w:rsid w:val="69891315"/>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83069"/>
  <w15:docId w15:val="{9D829169-7A79-4EA6-A72F-FFD07754D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ES" w:eastAsia="es-MX" w:bidi="ar-SA"/>
      </w:rPr>
    </w:rPrDefault>
    <w:pPrDefault>
      <w:pPr>
        <w:spacing w:after="2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B7D"/>
    <w:rPr>
      <w:lang w:eastAsia="es-ES"/>
    </w:rPr>
  </w:style>
  <w:style w:type="paragraph" w:styleId="Ttulo1">
    <w:name w:val="heading 1"/>
    <w:basedOn w:val="Normal"/>
    <w:next w:val="Normal"/>
    <w:link w:val="Ttulo1Car"/>
    <w:uiPriority w:val="9"/>
    <w:qFormat/>
    <w:rsid w:val="00EC42BB"/>
    <w:pPr>
      <w:keepNext/>
      <w:keepLines/>
      <w:pageBreakBefore/>
      <w:numPr>
        <w:numId w:val="6"/>
      </w:numPr>
      <w:spacing w:before="240"/>
      <w:outlineLvl w:val="0"/>
    </w:pPr>
    <w:rPr>
      <w:rFonts w:eastAsiaTheme="majorEastAsia"/>
      <w:b/>
      <w:bCs/>
      <w:color w:val="000000" w:themeColor="text1"/>
      <w:sz w:val="28"/>
      <w:szCs w:val="28"/>
    </w:rPr>
  </w:style>
  <w:style w:type="paragraph" w:styleId="Ttulo2">
    <w:name w:val="heading 2"/>
    <w:basedOn w:val="Prrafodelista"/>
    <w:next w:val="Normal"/>
    <w:link w:val="Ttulo2Car"/>
    <w:uiPriority w:val="9"/>
    <w:unhideWhenUsed/>
    <w:qFormat/>
    <w:rsid w:val="00A41C13"/>
    <w:pPr>
      <w:numPr>
        <w:ilvl w:val="1"/>
        <w:numId w:val="6"/>
      </w:numPr>
      <w:spacing w:after="120"/>
      <w:contextualSpacing w:val="0"/>
      <w:outlineLvl w:val="1"/>
    </w:pPr>
    <w:rPr>
      <w:b/>
      <w:bCs/>
    </w:rPr>
  </w:style>
  <w:style w:type="paragraph" w:styleId="Ttulo3">
    <w:name w:val="heading 3"/>
    <w:basedOn w:val="Normal"/>
    <w:next w:val="Normal"/>
    <w:link w:val="Ttulo3Car"/>
    <w:uiPriority w:val="9"/>
    <w:unhideWhenUsed/>
    <w:qFormat/>
    <w:rsid w:val="00967571"/>
    <w:pPr>
      <w:keepNext/>
      <w:keepLines/>
      <w:numPr>
        <w:ilvl w:val="2"/>
        <w:numId w:val="6"/>
      </w:numPr>
      <w:spacing w:before="200"/>
      <w:outlineLvl w:val="2"/>
    </w:pPr>
    <w:rPr>
      <w:rFonts w:eastAsiaTheme="majorEastAsia" w:cstheme="majorBidi"/>
      <w:b/>
      <w:bCs/>
    </w:rPr>
  </w:style>
  <w:style w:type="paragraph" w:styleId="Ttulo4">
    <w:name w:val="heading 4"/>
    <w:basedOn w:val="Normal"/>
    <w:next w:val="Normal"/>
    <w:uiPriority w:val="9"/>
    <w:semiHidden/>
    <w:unhideWhenUsed/>
    <w:qFormat/>
    <w:pPr>
      <w:keepNext/>
      <w:keepLines/>
      <w:numPr>
        <w:ilvl w:val="3"/>
        <w:numId w:val="6"/>
      </w:numPr>
      <w:spacing w:before="240" w:after="40"/>
      <w:outlineLvl w:val="3"/>
    </w:pPr>
    <w:rPr>
      <w:b/>
    </w:rPr>
  </w:style>
  <w:style w:type="paragraph" w:styleId="Ttulo5">
    <w:name w:val="heading 5"/>
    <w:basedOn w:val="Normal"/>
    <w:next w:val="Normal"/>
    <w:uiPriority w:val="9"/>
    <w:semiHidden/>
    <w:unhideWhenUsed/>
    <w:qFormat/>
    <w:pPr>
      <w:keepNext/>
      <w:keepLines/>
      <w:numPr>
        <w:ilvl w:val="4"/>
        <w:numId w:val="6"/>
      </w:numPr>
      <w:spacing w:before="220" w:after="40"/>
      <w:outlineLvl w:val="4"/>
    </w:pPr>
    <w:rPr>
      <w:b/>
      <w:sz w:val="22"/>
      <w:szCs w:val="22"/>
    </w:rPr>
  </w:style>
  <w:style w:type="paragraph" w:styleId="Ttulo6">
    <w:name w:val="heading 6"/>
    <w:basedOn w:val="Normal"/>
    <w:next w:val="Normal"/>
    <w:uiPriority w:val="9"/>
    <w:semiHidden/>
    <w:unhideWhenUsed/>
    <w:qFormat/>
    <w:pPr>
      <w:keepNext/>
      <w:keepLines/>
      <w:numPr>
        <w:ilvl w:val="5"/>
        <w:numId w:val="6"/>
      </w:numPr>
      <w:spacing w:before="200" w:after="40"/>
      <w:outlineLvl w:val="5"/>
    </w:pPr>
    <w:rPr>
      <w:b/>
      <w:sz w:val="20"/>
      <w:szCs w:val="20"/>
    </w:rPr>
  </w:style>
  <w:style w:type="paragraph" w:styleId="Ttulo7">
    <w:name w:val="heading 7"/>
    <w:basedOn w:val="Normal"/>
    <w:next w:val="Normal"/>
    <w:link w:val="Ttulo7Car"/>
    <w:uiPriority w:val="9"/>
    <w:semiHidden/>
    <w:unhideWhenUsed/>
    <w:qFormat/>
    <w:rsid w:val="00B55AE4"/>
    <w:pPr>
      <w:keepNext/>
      <w:keepLines/>
      <w:numPr>
        <w:ilvl w:val="6"/>
        <w:numId w:val="6"/>
      </w:numPr>
      <w:spacing w:before="40" w:after="0"/>
      <w:outlineLvl w:val="6"/>
    </w:pPr>
    <w:rPr>
      <w:rFonts w:asciiTheme="majorHAnsi" w:eastAsiaTheme="majorEastAsia" w:hAnsiTheme="majorHAnsi" w:cstheme="majorBidi"/>
      <w:i/>
      <w:iCs/>
      <w:color w:val="55051E" w:themeColor="accent1" w:themeShade="7F"/>
    </w:rPr>
  </w:style>
  <w:style w:type="paragraph" w:styleId="Ttulo8">
    <w:name w:val="heading 8"/>
    <w:basedOn w:val="Normal"/>
    <w:next w:val="Normal"/>
    <w:link w:val="Ttulo8Car"/>
    <w:uiPriority w:val="9"/>
    <w:semiHidden/>
    <w:unhideWhenUsed/>
    <w:qFormat/>
    <w:rsid w:val="00B55AE4"/>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55AE4"/>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Ttulo1"/>
    <w:next w:val="Normal"/>
    <w:link w:val="TtuloCar"/>
    <w:uiPriority w:val="10"/>
    <w:qFormat/>
    <w:rsid w:val="00B55AE4"/>
    <w:pPr>
      <w:numPr>
        <w:numId w:val="4"/>
      </w:numPr>
      <w:jc w:val="center"/>
    </w:pPr>
    <w:rPr>
      <w:color w:val="auto"/>
    </w:rPr>
  </w:style>
  <w:style w:type="character" w:customStyle="1" w:styleId="Ttulo1Car">
    <w:name w:val="Título 1 Car"/>
    <w:basedOn w:val="Fuentedeprrafopredeter"/>
    <w:link w:val="Ttulo1"/>
    <w:uiPriority w:val="9"/>
    <w:rsid w:val="00EC42BB"/>
    <w:rPr>
      <w:rFonts w:ascii="Arial" w:eastAsiaTheme="majorEastAsia" w:hAnsi="Arial" w:cs="Arial"/>
      <w:b/>
      <w:bCs/>
      <w:color w:val="000000" w:themeColor="text1"/>
      <w:sz w:val="28"/>
      <w:szCs w:val="28"/>
      <w:lang w:eastAsia="es-ES"/>
    </w:rPr>
  </w:style>
  <w:style w:type="character" w:customStyle="1" w:styleId="Ttulo2Car">
    <w:name w:val="Título 2 Car"/>
    <w:basedOn w:val="Fuentedeprrafopredeter"/>
    <w:link w:val="Ttulo2"/>
    <w:uiPriority w:val="9"/>
    <w:rsid w:val="00A41C13"/>
    <w:rPr>
      <w:rFonts w:ascii="Arial" w:eastAsia="Arial" w:hAnsi="Arial" w:cs="Arial"/>
      <w:b/>
      <w:bCs/>
      <w:lang w:eastAsia="es-ES"/>
    </w:rPr>
  </w:style>
  <w:style w:type="character" w:customStyle="1" w:styleId="Ttulo3Car">
    <w:name w:val="Título 3 Car"/>
    <w:basedOn w:val="Fuentedeprrafopredeter"/>
    <w:link w:val="Ttulo3"/>
    <w:uiPriority w:val="9"/>
    <w:rsid w:val="00967571"/>
    <w:rPr>
      <w:rFonts w:ascii="Arial" w:eastAsiaTheme="majorEastAsia" w:hAnsi="Arial" w:cstheme="majorBidi"/>
      <w:b/>
      <w:bCs/>
      <w:lang w:eastAsia="es-ES"/>
    </w:rPr>
  </w:style>
  <w:style w:type="paragraph" w:styleId="Prrafodelista">
    <w:name w:val="List Paragraph"/>
    <w:basedOn w:val="Normal"/>
    <w:uiPriority w:val="34"/>
    <w:qFormat/>
    <w:rsid w:val="00A108EC"/>
    <w:pPr>
      <w:ind w:left="720"/>
      <w:contextualSpacing/>
    </w:pPr>
  </w:style>
  <w:style w:type="paragraph" w:styleId="Textodeglobo">
    <w:name w:val="Balloon Text"/>
    <w:basedOn w:val="Normal"/>
    <w:link w:val="TextodegloboCar"/>
    <w:uiPriority w:val="99"/>
    <w:semiHidden/>
    <w:unhideWhenUsed/>
    <w:rsid w:val="005054E9"/>
    <w:rPr>
      <w:rFonts w:ascii="Tahoma" w:hAnsi="Tahoma" w:cs="Tahoma"/>
      <w:sz w:val="16"/>
      <w:szCs w:val="16"/>
    </w:rPr>
  </w:style>
  <w:style w:type="character" w:customStyle="1" w:styleId="TextodegloboCar">
    <w:name w:val="Texto de globo Car"/>
    <w:basedOn w:val="Fuentedeprrafopredeter"/>
    <w:link w:val="Textodeglobo"/>
    <w:uiPriority w:val="99"/>
    <w:semiHidden/>
    <w:rsid w:val="005054E9"/>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682E8B"/>
    <w:pPr>
      <w:tabs>
        <w:tab w:val="center" w:pos="4419"/>
        <w:tab w:val="right" w:pos="8838"/>
      </w:tabs>
    </w:pPr>
  </w:style>
  <w:style w:type="character" w:customStyle="1" w:styleId="EncabezadoCar">
    <w:name w:val="Encabezado Car"/>
    <w:basedOn w:val="Fuentedeprrafopredeter"/>
    <w:link w:val="Encabezado"/>
    <w:uiPriority w:val="99"/>
    <w:rsid w:val="00682E8B"/>
    <w:rPr>
      <w:rFonts w:ascii="Futura Lt BT" w:eastAsia="Times New Roman" w:hAnsi="Futura Lt BT" w:cs="Times New Roman"/>
      <w:sz w:val="24"/>
      <w:szCs w:val="24"/>
      <w:lang w:val="es-ES" w:eastAsia="es-ES"/>
    </w:rPr>
  </w:style>
  <w:style w:type="paragraph" w:styleId="Piedepgina">
    <w:name w:val="footer"/>
    <w:basedOn w:val="Normal"/>
    <w:link w:val="PiedepginaCar"/>
    <w:uiPriority w:val="99"/>
    <w:unhideWhenUsed/>
    <w:rsid w:val="00682E8B"/>
    <w:pPr>
      <w:tabs>
        <w:tab w:val="center" w:pos="4419"/>
        <w:tab w:val="right" w:pos="8838"/>
      </w:tabs>
    </w:pPr>
  </w:style>
  <w:style w:type="character" w:customStyle="1" w:styleId="PiedepginaCar">
    <w:name w:val="Pie de página Car"/>
    <w:basedOn w:val="Fuentedeprrafopredeter"/>
    <w:link w:val="Piedepgina"/>
    <w:uiPriority w:val="99"/>
    <w:rsid w:val="00682E8B"/>
    <w:rPr>
      <w:rFonts w:ascii="Futura Lt BT" w:eastAsia="Times New Roman" w:hAnsi="Futura Lt BT" w:cs="Times New Roman"/>
      <w:sz w:val="24"/>
      <w:szCs w:val="24"/>
      <w:lang w:val="es-ES" w:eastAsia="es-ES"/>
    </w:rPr>
  </w:style>
  <w:style w:type="paragraph" w:styleId="TtuloTDC">
    <w:name w:val="TOC Heading"/>
    <w:basedOn w:val="Ttulo1"/>
    <w:next w:val="Normal"/>
    <w:uiPriority w:val="39"/>
    <w:unhideWhenUsed/>
    <w:qFormat/>
    <w:rsid w:val="00C43A4D"/>
    <w:pPr>
      <w:numPr>
        <w:numId w:val="0"/>
      </w:numPr>
      <w:spacing w:line="276" w:lineRule="auto"/>
      <w:ind w:left="360" w:hanging="360"/>
      <w:outlineLvl w:val="9"/>
    </w:pPr>
    <w:rPr>
      <w:lang w:val="es-MX" w:eastAsia="es-MX"/>
    </w:rPr>
  </w:style>
  <w:style w:type="paragraph" w:styleId="TDC1">
    <w:name w:val="toc 1"/>
    <w:basedOn w:val="Normal"/>
    <w:next w:val="Normal"/>
    <w:autoRedefine/>
    <w:uiPriority w:val="39"/>
    <w:unhideWhenUsed/>
    <w:qFormat/>
    <w:rsid w:val="00C11ADB"/>
    <w:pPr>
      <w:tabs>
        <w:tab w:val="right" w:leader="dot" w:pos="8828"/>
      </w:tabs>
      <w:spacing w:after="100"/>
    </w:pPr>
    <w:rPr>
      <w:b/>
      <w:noProof/>
    </w:rPr>
  </w:style>
  <w:style w:type="paragraph" w:styleId="TDC3">
    <w:name w:val="toc 3"/>
    <w:basedOn w:val="Normal"/>
    <w:next w:val="Normal"/>
    <w:autoRedefine/>
    <w:uiPriority w:val="39"/>
    <w:unhideWhenUsed/>
    <w:qFormat/>
    <w:rsid w:val="00685694"/>
    <w:pPr>
      <w:tabs>
        <w:tab w:val="left" w:pos="1320"/>
        <w:tab w:val="right" w:leader="dot" w:pos="9111"/>
      </w:tabs>
      <w:spacing w:after="100"/>
      <w:ind w:left="480"/>
    </w:pPr>
    <w:rPr>
      <w:b/>
      <w:noProof/>
    </w:rPr>
  </w:style>
  <w:style w:type="character" w:styleId="Hipervnculo">
    <w:name w:val="Hyperlink"/>
    <w:basedOn w:val="Fuentedeprrafopredeter"/>
    <w:uiPriority w:val="99"/>
    <w:unhideWhenUsed/>
    <w:rsid w:val="00C43A4D"/>
    <w:rPr>
      <w:color w:val="75A323" w:themeColor="hyperlink"/>
      <w:u w:val="single"/>
    </w:rPr>
  </w:style>
  <w:style w:type="paragraph" w:styleId="TDC2">
    <w:name w:val="toc 2"/>
    <w:basedOn w:val="Normal"/>
    <w:next w:val="Normal"/>
    <w:autoRedefine/>
    <w:uiPriority w:val="39"/>
    <w:unhideWhenUsed/>
    <w:qFormat/>
    <w:rsid w:val="003C1594"/>
    <w:pPr>
      <w:tabs>
        <w:tab w:val="left" w:pos="880"/>
        <w:tab w:val="right" w:leader="dot" w:pos="8828"/>
      </w:tabs>
      <w:spacing w:after="100"/>
      <w:ind w:left="240"/>
    </w:pPr>
    <w:rPr>
      <w:b/>
      <w:noProof/>
    </w:rPr>
  </w:style>
  <w:style w:type="paragraph" w:styleId="Textonotaalfinal">
    <w:name w:val="endnote text"/>
    <w:basedOn w:val="Normal"/>
    <w:link w:val="TextonotaalfinalCar"/>
    <w:uiPriority w:val="99"/>
    <w:semiHidden/>
    <w:unhideWhenUsed/>
    <w:rsid w:val="00EA3200"/>
    <w:rPr>
      <w:sz w:val="20"/>
      <w:szCs w:val="20"/>
    </w:rPr>
  </w:style>
  <w:style w:type="character" w:customStyle="1" w:styleId="TextonotaalfinalCar">
    <w:name w:val="Texto nota al final Car"/>
    <w:basedOn w:val="Fuentedeprrafopredeter"/>
    <w:link w:val="Textonotaalfinal"/>
    <w:uiPriority w:val="99"/>
    <w:semiHidden/>
    <w:rsid w:val="00EA3200"/>
    <w:rPr>
      <w:rFonts w:ascii="Futura Lt BT" w:eastAsia="Times New Roman" w:hAnsi="Futura Lt BT" w:cs="Times New Roman"/>
      <w:sz w:val="20"/>
      <w:szCs w:val="20"/>
      <w:lang w:val="es-ES" w:eastAsia="es-ES"/>
    </w:rPr>
  </w:style>
  <w:style w:type="character" w:styleId="Refdenotaalfinal">
    <w:name w:val="endnote reference"/>
    <w:basedOn w:val="Fuentedeprrafopredeter"/>
    <w:uiPriority w:val="99"/>
    <w:semiHidden/>
    <w:unhideWhenUsed/>
    <w:rsid w:val="00EA3200"/>
    <w:rPr>
      <w:vertAlign w:val="superscript"/>
    </w:rPr>
  </w:style>
  <w:style w:type="table" w:styleId="Tablaconcuadrcula">
    <w:name w:val="Table Grid"/>
    <w:basedOn w:val="Tablanormal"/>
    <w:uiPriority w:val="59"/>
    <w:unhideWhenUsed/>
    <w:rsid w:val="00957836"/>
    <w:tblPr>
      <w:tblInd w:w="0" w:type="nil"/>
      <w:tblCellMar>
        <w:left w:w="0" w:type="dxa"/>
        <w:right w:w="0" w:type="dxa"/>
      </w:tblCellMar>
    </w:tblPr>
  </w:style>
  <w:style w:type="table" w:styleId="Sombreadoclaro-nfasis1">
    <w:name w:val="Light Shading Accent 1"/>
    <w:basedOn w:val="Tablanormal"/>
    <w:uiPriority w:val="60"/>
    <w:rsid w:val="002054BA"/>
    <w:rPr>
      <w:color w:val="7F072D" w:themeColor="accent1" w:themeShade="BF"/>
    </w:rPr>
    <w:tblPr>
      <w:tblStyleRowBandSize w:val="1"/>
      <w:tblStyleColBandSize w:val="1"/>
      <w:tblInd w:w="0" w:type="nil"/>
      <w:tblCellMar>
        <w:left w:w="0" w:type="dxa"/>
        <w:right w:w="0" w:type="dxa"/>
      </w:tblCellMar>
    </w:tblPr>
    <w:tblStylePr w:type="firstRow">
      <w:pPr>
        <w:spacing w:before="0" w:after="0" w:line="240" w:lineRule="auto"/>
      </w:pPr>
      <w:rPr>
        <w:b/>
        <w:bCs/>
      </w:rPr>
      <w:tblPr/>
      <w:tcPr>
        <w:tcBorders>
          <w:top w:val="single" w:sz="8" w:space="0" w:color="AB0A3D" w:themeColor="accent1"/>
          <w:left w:val="nil"/>
          <w:bottom w:val="single" w:sz="8" w:space="0" w:color="AB0A3D" w:themeColor="accent1"/>
          <w:right w:val="nil"/>
          <w:insideH w:val="nil"/>
          <w:insideV w:val="nil"/>
        </w:tcBorders>
      </w:tcPr>
    </w:tblStylePr>
    <w:tblStylePr w:type="lastRow">
      <w:pPr>
        <w:spacing w:before="0" w:after="0" w:line="240" w:lineRule="auto"/>
      </w:pPr>
      <w:rPr>
        <w:b/>
        <w:bCs/>
      </w:rPr>
      <w:tblPr/>
      <w:tcPr>
        <w:tcBorders>
          <w:top w:val="single" w:sz="8" w:space="0" w:color="AB0A3D" w:themeColor="accent1"/>
          <w:left w:val="nil"/>
          <w:bottom w:val="single" w:sz="8" w:space="0" w:color="AB0A3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B2C8" w:themeFill="accent1" w:themeFillTint="3F"/>
      </w:tcPr>
    </w:tblStylePr>
    <w:tblStylePr w:type="band1Horz">
      <w:tblPr/>
      <w:tcPr>
        <w:tcBorders>
          <w:left w:val="nil"/>
          <w:right w:val="nil"/>
          <w:insideH w:val="nil"/>
          <w:insideV w:val="nil"/>
        </w:tcBorders>
        <w:shd w:val="clear" w:color="auto" w:fill="FAB2C8" w:themeFill="accent1" w:themeFillTint="3F"/>
      </w:tcPr>
    </w:tblStylePr>
  </w:style>
  <w:style w:type="table" w:styleId="Sombreadoclaro-nfasis2">
    <w:name w:val="Light Shading Accent 2"/>
    <w:basedOn w:val="Tablanormal"/>
    <w:uiPriority w:val="60"/>
    <w:rsid w:val="009D1C33"/>
    <w:rPr>
      <w:color w:val="886200" w:themeColor="accent2" w:themeShade="BF"/>
    </w:rPr>
    <w:tblPr>
      <w:tblStyleRowBandSize w:val="1"/>
      <w:tblStyleColBandSize w:val="1"/>
      <w:tblInd w:w="0" w:type="nil"/>
      <w:tblCellMar>
        <w:left w:w="0" w:type="dxa"/>
        <w:right w:w="0" w:type="dxa"/>
      </w:tblCellMar>
    </w:tblPr>
    <w:tblStylePr w:type="firstRow">
      <w:pPr>
        <w:spacing w:before="0" w:after="0" w:line="240" w:lineRule="auto"/>
      </w:pPr>
      <w:rPr>
        <w:b/>
        <w:bCs/>
      </w:rPr>
      <w:tblPr/>
      <w:tcPr>
        <w:tcBorders>
          <w:top w:val="single" w:sz="8" w:space="0" w:color="B68400" w:themeColor="accent2"/>
          <w:left w:val="nil"/>
          <w:bottom w:val="single" w:sz="8" w:space="0" w:color="B68400" w:themeColor="accent2"/>
          <w:right w:val="nil"/>
          <w:insideH w:val="nil"/>
          <w:insideV w:val="nil"/>
        </w:tcBorders>
      </w:tcPr>
    </w:tblStylePr>
    <w:tblStylePr w:type="lastRow">
      <w:pPr>
        <w:spacing w:before="0" w:after="0" w:line="240" w:lineRule="auto"/>
      </w:pPr>
      <w:rPr>
        <w:b/>
        <w:bCs/>
      </w:rPr>
      <w:tblPr/>
      <w:tcPr>
        <w:tcBorders>
          <w:top w:val="single" w:sz="8" w:space="0" w:color="B68400" w:themeColor="accent2"/>
          <w:left w:val="nil"/>
          <w:bottom w:val="single" w:sz="8" w:space="0" w:color="B684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8AD" w:themeFill="accent2" w:themeFillTint="3F"/>
      </w:tcPr>
    </w:tblStylePr>
    <w:tblStylePr w:type="band1Horz">
      <w:tblPr/>
      <w:tcPr>
        <w:tcBorders>
          <w:left w:val="nil"/>
          <w:right w:val="nil"/>
          <w:insideH w:val="nil"/>
          <w:insideV w:val="nil"/>
        </w:tcBorders>
        <w:shd w:val="clear" w:color="auto" w:fill="FFE8AD" w:themeFill="accent2" w:themeFillTint="3F"/>
      </w:tcPr>
    </w:tblStylePr>
  </w:style>
  <w:style w:type="paragraph" w:styleId="Descripcin">
    <w:name w:val="caption"/>
    <w:basedOn w:val="Normal"/>
    <w:next w:val="Normal"/>
    <w:uiPriority w:val="35"/>
    <w:unhideWhenUsed/>
    <w:qFormat/>
    <w:rsid w:val="003E772D"/>
    <w:pPr>
      <w:spacing w:after="200"/>
    </w:pPr>
    <w:rPr>
      <w:b/>
      <w:bCs/>
      <w:color w:val="000000" w:themeColor="text1"/>
      <w:szCs w:val="18"/>
    </w:rPr>
  </w:style>
  <w:style w:type="paragraph" w:styleId="NormalWeb">
    <w:name w:val="Normal (Web)"/>
    <w:basedOn w:val="Normal"/>
    <w:uiPriority w:val="99"/>
    <w:semiHidden/>
    <w:unhideWhenUsed/>
    <w:rsid w:val="00AA74E8"/>
    <w:pPr>
      <w:spacing w:before="100" w:beforeAutospacing="1" w:after="100" w:afterAutospacing="1"/>
    </w:pPr>
    <w:rPr>
      <w:rFonts w:ascii="Times New Roman" w:hAnsi="Times New Roman"/>
      <w:lang w:val="es-MX" w:eastAsia="es-MX"/>
    </w:rPr>
  </w:style>
  <w:style w:type="paragraph" w:customStyle="1" w:styleId="paragraphsubtitle">
    <w:name w:val="paragraphsubtitle"/>
    <w:basedOn w:val="Normal"/>
    <w:rsid w:val="00AA74E8"/>
    <w:pPr>
      <w:spacing w:before="100" w:beforeAutospacing="1" w:after="100" w:afterAutospacing="1"/>
    </w:pPr>
    <w:rPr>
      <w:rFonts w:ascii="Times New Roman" w:hAnsi="Times New Roman"/>
      <w:lang w:val="es-MX" w:eastAsia="es-MX"/>
    </w:rPr>
  </w:style>
  <w:style w:type="character" w:styleId="Textoennegrita">
    <w:name w:val="Strong"/>
    <w:basedOn w:val="Fuentedeprrafopredeter"/>
    <w:uiPriority w:val="22"/>
    <w:qFormat/>
    <w:rsid w:val="00AA74E8"/>
    <w:rPr>
      <w:b/>
      <w:bCs/>
    </w:rPr>
  </w:style>
  <w:style w:type="character" w:styleId="Refdecomentario">
    <w:name w:val="annotation reference"/>
    <w:basedOn w:val="Fuentedeprrafopredeter"/>
    <w:uiPriority w:val="99"/>
    <w:semiHidden/>
    <w:unhideWhenUsed/>
    <w:rsid w:val="00B1025E"/>
    <w:rPr>
      <w:sz w:val="16"/>
      <w:szCs w:val="16"/>
    </w:rPr>
  </w:style>
  <w:style w:type="paragraph" w:styleId="Textocomentario">
    <w:name w:val="annotation text"/>
    <w:basedOn w:val="Normal"/>
    <w:link w:val="TextocomentarioCar"/>
    <w:uiPriority w:val="99"/>
    <w:unhideWhenUsed/>
    <w:rsid w:val="00B1025E"/>
    <w:rPr>
      <w:sz w:val="20"/>
      <w:szCs w:val="20"/>
    </w:rPr>
  </w:style>
  <w:style w:type="character" w:customStyle="1" w:styleId="TextocomentarioCar">
    <w:name w:val="Texto comentario Car"/>
    <w:basedOn w:val="Fuentedeprrafopredeter"/>
    <w:link w:val="Textocomentario"/>
    <w:uiPriority w:val="99"/>
    <w:rsid w:val="00B1025E"/>
    <w:rPr>
      <w:rFonts w:ascii="Futura Lt BT" w:eastAsia="Times New Roman" w:hAnsi="Futura Lt BT"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1025E"/>
    <w:rPr>
      <w:b/>
      <w:bCs/>
    </w:rPr>
  </w:style>
  <w:style w:type="character" w:customStyle="1" w:styleId="AsuntodelcomentarioCar">
    <w:name w:val="Asunto del comentario Car"/>
    <w:basedOn w:val="TextocomentarioCar"/>
    <w:link w:val="Asuntodelcomentario"/>
    <w:uiPriority w:val="99"/>
    <w:semiHidden/>
    <w:rsid w:val="00B1025E"/>
    <w:rPr>
      <w:rFonts w:ascii="Futura Lt BT" w:eastAsia="Times New Roman" w:hAnsi="Futura Lt BT" w:cs="Times New Roman"/>
      <w:b/>
      <w:bCs/>
      <w:sz w:val="20"/>
      <w:szCs w:val="20"/>
      <w:lang w:val="es-ES" w:eastAsia="es-ES"/>
    </w:rPr>
  </w:style>
  <w:style w:type="character" w:styleId="Textodelmarcadordeposicin">
    <w:name w:val="Placeholder Text"/>
    <w:basedOn w:val="Fuentedeprrafopredeter"/>
    <w:uiPriority w:val="99"/>
    <w:semiHidden/>
    <w:rsid w:val="009443B5"/>
    <w:rPr>
      <w:color w:val="80808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anormal"/>
    <w:tblPr>
      <w:tblInd w:w="0" w:type="nil"/>
      <w:tblCellMar>
        <w:left w:w="0" w:type="dxa"/>
        <w:right w:w="0" w:type="dxa"/>
      </w:tblCellMar>
    </w:tblPr>
  </w:style>
  <w:style w:type="table" w:customStyle="1" w:styleId="6">
    <w:name w:val="6"/>
    <w:basedOn w:val="Tablanormal"/>
    <w:tblPr>
      <w:tblInd w:w="0" w:type="nil"/>
      <w:tblCellMar>
        <w:left w:w="0" w:type="dxa"/>
        <w:right w:w="0" w:type="dxa"/>
      </w:tblCellMar>
    </w:tblPr>
  </w:style>
  <w:style w:type="table" w:customStyle="1" w:styleId="5">
    <w:name w:val="5"/>
    <w:basedOn w:val="Tablanormal"/>
    <w:tblPr>
      <w:tblInd w:w="0" w:type="nil"/>
      <w:tblCellMar>
        <w:left w:w="0" w:type="dxa"/>
        <w:right w:w="0" w:type="dxa"/>
      </w:tblCellMar>
    </w:tblPr>
  </w:style>
  <w:style w:type="table" w:customStyle="1" w:styleId="4">
    <w:name w:val="4"/>
    <w:basedOn w:val="Tablanormal"/>
    <w:rPr>
      <w:color w:val="398F98"/>
    </w:rPr>
    <w:tblPr>
      <w:tblInd w:w="0" w:type="nil"/>
      <w:tblCellMar>
        <w:left w:w="0" w:type="dxa"/>
        <w:right w:w="0" w:type="dxa"/>
      </w:tblCellMar>
    </w:tblPr>
  </w:style>
  <w:style w:type="table" w:customStyle="1" w:styleId="3">
    <w:name w:val="3"/>
    <w:basedOn w:val="Tablanormal"/>
    <w:rPr>
      <w:color w:val="398F98"/>
    </w:rPr>
    <w:tblPr>
      <w:tblInd w:w="0" w:type="nil"/>
      <w:tblCellMar>
        <w:left w:w="0" w:type="dxa"/>
        <w:right w:w="0" w:type="dxa"/>
      </w:tblCellMar>
    </w:tblPr>
  </w:style>
  <w:style w:type="table" w:customStyle="1" w:styleId="2">
    <w:name w:val="2"/>
    <w:basedOn w:val="Tablanormal"/>
    <w:rPr>
      <w:color w:val="398F98"/>
    </w:rPr>
    <w:tblPr>
      <w:tblInd w:w="0" w:type="nil"/>
      <w:tblCellMar>
        <w:left w:w="0" w:type="dxa"/>
        <w:right w:w="0" w:type="dxa"/>
      </w:tblCellMar>
    </w:tblPr>
  </w:style>
  <w:style w:type="table" w:customStyle="1" w:styleId="1">
    <w:name w:val="1"/>
    <w:basedOn w:val="Tablanormal"/>
    <w:rPr>
      <w:color w:val="398F98"/>
    </w:rPr>
    <w:tblPr>
      <w:tblInd w:w="0" w:type="nil"/>
      <w:tblCellMar>
        <w:left w:w="0" w:type="dxa"/>
        <w:right w:w="0" w:type="dxa"/>
      </w:tblCellMar>
    </w:tblPr>
  </w:style>
  <w:style w:type="character" w:customStyle="1" w:styleId="Ttulo7Car">
    <w:name w:val="Título 7 Car"/>
    <w:basedOn w:val="Fuentedeprrafopredeter"/>
    <w:link w:val="Ttulo7"/>
    <w:uiPriority w:val="9"/>
    <w:semiHidden/>
    <w:rsid w:val="00B55AE4"/>
    <w:rPr>
      <w:rFonts w:asciiTheme="majorHAnsi" w:eastAsiaTheme="majorEastAsia" w:hAnsiTheme="majorHAnsi" w:cstheme="majorBidi"/>
      <w:i/>
      <w:iCs/>
      <w:color w:val="55051E" w:themeColor="accent1" w:themeShade="7F"/>
      <w:lang w:eastAsia="es-ES"/>
    </w:rPr>
  </w:style>
  <w:style w:type="character" w:customStyle="1" w:styleId="Ttulo8Car">
    <w:name w:val="Título 8 Car"/>
    <w:basedOn w:val="Fuentedeprrafopredeter"/>
    <w:link w:val="Ttulo8"/>
    <w:uiPriority w:val="9"/>
    <w:semiHidden/>
    <w:rsid w:val="00B55AE4"/>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B55AE4"/>
    <w:rPr>
      <w:rFonts w:asciiTheme="majorHAnsi" w:eastAsiaTheme="majorEastAsia" w:hAnsiTheme="majorHAnsi" w:cstheme="majorBidi"/>
      <w:i/>
      <w:iCs/>
      <w:color w:val="272727" w:themeColor="text1" w:themeTint="D8"/>
      <w:sz w:val="21"/>
      <w:szCs w:val="21"/>
      <w:lang w:eastAsia="es-ES"/>
    </w:rPr>
  </w:style>
  <w:style w:type="table" w:customStyle="1" w:styleId="TableNormal1">
    <w:name w:val="Table Normal1"/>
    <w:rsid w:val="006845BD"/>
    <w:tblPr>
      <w:tblCellMar>
        <w:top w:w="0" w:type="dxa"/>
        <w:left w:w="0" w:type="dxa"/>
        <w:bottom w:w="0" w:type="dxa"/>
        <w:right w:w="0" w:type="dxa"/>
      </w:tblCellMar>
    </w:tblPr>
  </w:style>
  <w:style w:type="table" w:customStyle="1" w:styleId="Tablaconcuadrculaclara1">
    <w:name w:val="Tabla con cuadrícula clara1"/>
    <w:basedOn w:val="Tablanormal"/>
    <w:uiPriority w:val="40"/>
    <w:rsid w:val="00F113EC"/>
    <w:tblPr>
      <w:tblInd w:w="0" w:type="nil"/>
      <w:tblCellMar>
        <w:left w:w="0" w:type="dxa"/>
        <w:right w:w="0" w:type="dxa"/>
      </w:tblCellMar>
    </w:tblPr>
  </w:style>
  <w:style w:type="paragraph" w:styleId="Tabladeilustraciones">
    <w:name w:val="table of figures"/>
    <w:basedOn w:val="Normal"/>
    <w:next w:val="Normal"/>
    <w:uiPriority w:val="99"/>
    <w:unhideWhenUsed/>
    <w:rsid w:val="009425AF"/>
    <w:pPr>
      <w:spacing w:after="0"/>
    </w:pPr>
  </w:style>
  <w:style w:type="paragraph" w:styleId="Revisin">
    <w:name w:val="Revision"/>
    <w:hidden/>
    <w:uiPriority w:val="99"/>
    <w:semiHidden/>
    <w:rsid w:val="00237214"/>
    <w:rPr>
      <w:lang w:eastAsia="es-ES"/>
    </w:rPr>
  </w:style>
  <w:style w:type="character" w:customStyle="1" w:styleId="TtuloCar">
    <w:name w:val="Título Car"/>
    <w:basedOn w:val="Fuentedeprrafopredeter"/>
    <w:link w:val="Ttulo"/>
    <w:uiPriority w:val="10"/>
    <w:rsid w:val="00E76941"/>
    <w:rPr>
      <w:rFonts w:ascii="Arial" w:eastAsiaTheme="majorEastAsia" w:hAnsi="Arial" w:cs="Arial"/>
      <w:b/>
      <w:bCs/>
      <w:sz w:val="28"/>
      <w:szCs w:val="28"/>
      <w:lang w:eastAsia="es-ES"/>
    </w:rPr>
  </w:style>
  <w:style w:type="paragraph" w:styleId="Textoindependiente">
    <w:name w:val="Body Text"/>
    <w:basedOn w:val="Normal"/>
    <w:link w:val="TextoindependienteCar"/>
    <w:uiPriority w:val="1"/>
    <w:qFormat/>
    <w:rsid w:val="002C4EBC"/>
    <w:pPr>
      <w:widowControl w:val="0"/>
      <w:autoSpaceDE w:val="0"/>
      <w:autoSpaceDN w:val="0"/>
      <w:spacing w:after="0" w:line="240" w:lineRule="auto"/>
      <w:jc w:val="left"/>
    </w:pPr>
    <w:rPr>
      <w:rFonts w:ascii="Arial MT" w:eastAsia="Arial MT" w:hAnsi="Arial MT" w:cs="Arial MT"/>
      <w:lang w:eastAsia="en-US"/>
    </w:rPr>
  </w:style>
  <w:style w:type="character" w:customStyle="1" w:styleId="TextoindependienteCar">
    <w:name w:val="Texto independiente Car"/>
    <w:basedOn w:val="Fuentedeprrafopredeter"/>
    <w:link w:val="Textoindependiente"/>
    <w:uiPriority w:val="1"/>
    <w:rsid w:val="002C4EBC"/>
    <w:rPr>
      <w:rFonts w:ascii="Arial MT" w:eastAsia="Arial MT" w:hAnsi="Arial MT" w:cs="Arial MT"/>
      <w:lang w:eastAsia="en-US"/>
    </w:rPr>
  </w:style>
  <w:style w:type="character" w:customStyle="1" w:styleId="Mencinsinresolver1">
    <w:name w:val="Mención sin resolver1"/>
    <w:basedOn w:val="Fuentedeprrafopredeter"/>
    <w:uiPriority w:val="99"/>
    <w:semiHidden/>
    <w:unhideWhenUsed/>
    <w:rsid w:val="007871D5"/>
    <w:rPr>
      <w:color w:val="605E5C"/>
      <w:shd w:val="clear" w:color="auto" w:fill="E1DFDD"/>
    </w:rPr>
  </w:style>
  <w:style w:type="table" w:customStyle="1" w:styleId="a">
    <w:basedOn w:val="Tablanormal"/>
    <w:tblPr>
      <w:tblStyleRowBandSize w:val="1"/>
      <w:tblStyleColBandSize w:val="1"/>
      <w:tblInd w:w="0" w:type="nil"/>
      <w:tblCellMar>
        <w:left w:w="70" w:type="dxa"/>
        <w:right w:w="70" w:type="dxa"/>
      </w:tblCellMar>
    </w:tblPr>
  </w:style>
  <w:style w:type="table" w:customStyle="1" w:styleId="a0">
    <w:basedOn w:val="Tablanormal"/>
    <w:tblPr>
      <w:tblStyleRowBandSize w:val="1"/>
      <w:tblStyleColBandSize w:val="1"/>
      <w:tblInd w:w="0" w:type="nil"/>
      <w:tblCellMar>
        <w:left w:w="70" w:type="dxa"/>
        <w:right w:w="70" w:type="dxa"/>
      </w:tblCellMar>
    </w:tblPr>
  </w:style>
  <w:style w:type="table" w:customStyle="1" w:styleId="a1">
    <w:basedOn w:val="Tablanormal"/>
    <w:tblPr>
      <w:tblStyleRowBandSize w:val="1"/>
      <w:tblStyleColBandSize w:val="1"/>
      <w:tblInd w:w="0" w:type="nil"/>
      <w:tblCellMar>
        <w:left w:w="70" w:type="dxa"/>
        <w:right w:w="70" w:type="dxa"/>
      </w:tblCellMar>
    </w:tblPr>
  </w:style>
  <w:style w:type="table" w:customStyle="1" w:styleId="a2">
    <w:basedOn w:val="Tablanormal"/>
    <w:tblPr>
      <w:tblStyleRowBandSize w:val="1"/>
      <w:tblStyleColBandSize w:val="1"/>
      <w:tblInd w:w="0" w:type="nil"/>
      <w:tblCellMar>
        <w:left w:w="70" w:type="dxa"/>
        <w:right w:w="70" w:type="dxa"/>
      </w:tblCellMar>
    </w:tblPr>
  </w:style>
  <w:style w:type="table" w:customStyle="1" w:styleId="a3">
    <w:basedOn w:val="Tablanormal"/>
    <w:tblPr>
      <w:tblStyleRowBandSize w:val="1"/>
      <w:tblStyleColBandSize w:val="1"/>
      <w:tblInd w:w="0" w:type="nil"/>
      <w:tblCellMar>
        <w:left w:w="70" w:type="dxa"/>
        <w:right w:w="70" w:type="dxa"/>
      </w:tblCellMar>
    </w:tblPr>
  </w:style>
  <w:style w:type="table" w:customStyle="1" w:styleId="a4">
    <w:basedOn w:val="Tablanormal"/>
    <w:tblPr>
      <w:tblStyleRowBandSize w:val="1"/>
      <w:tblStyleColBandSize w:val="1"/>
      <w:tblInd w:w="0" w:type="nil"/>
      <w:tblCellMar>
        <w:left w:w="70" w:type="dxa"/>
        <w:right w:w="70" w:type="dxa"/>
      </w:tblCellMar>
    </w:tblPr>
  </w:style>
  <w:style w:type="table" w:customStyle="1" w:styleId="a5">
    <w:basedOn w:val="Tablanormal"/>
    <w:tblPr>
      <w:tblStyleRowBandSize w:val="1"/>
      <w:tblStyleColBandSize w:val="1"/>
      <w:tblInd w:w="0" w:type="nil"/>
      <w:tblCellMar>
        <w:left w:w="70" w:type="dxa"/>
        <w:right w:w="70" w:type="dxa"/>
      </w:tblCellMar>
    </w:tblPr>
  </w:style>
  <w:style w:type="table" w:customStyle="1" w:styleId="a6">
    <w:basedOn w:val="Tablanormal"/>
    <w:tblPr>
      <w:tblStyleRowBandSize w:val="1"/>
      <w:tblStyleColBandSize w:val="1"/>
      <w:tblInd w:w="0" w:type="nil"/>
      <w:tblCellMar>
        <w:left w:w="70" w:type="dxa"/>
        <w:right w:w="70" w:type="dxa"/>
      </w:tblCellMar>
    </w:tblPr>
  </w:style>
  <w:style w:type="table" w:customStyle="1" w:styleId="a7">
    <w:basedOn w:val="Tablanormal"/>
    <w:tblPr>
      <w:tblStyleRowBandSize w:val="1"/>
      <w:tblStyleColBandSize w:val="1"/>
      <w:tblInd w:w="0" w:type="nil"/>
      <w:tblCellMar>
        <w:left w:w="70" w:type="dxa"/>
        <w:right w:w="70" w:type="dxa"/>
      </w:tblCellMar>
    </w:tblPr>
  </w:style>
  <w:style w:type="table" w:customStyle="1" w:styleId="a8">
    <w:basedOn w:val="Tablanormal"/>
    <w:tblPr>
      <w:tblStyleRowBandSize w:val="1"/>
      <w:tblStyleColBandSize w:val="1"/>
      <w:tblInd w:w="0" w:type="nil"/>
      <w:tblCellMar>
        <w:left w:w="70" w:type="dxa"/>
        <w:right w:w="70" w:type="dxa"/>
      </w:tblCellMar>
    </w:tblPr>
  </w:style>
  <w:style w:type="table" w:customStyle="1" w:styleId="a9">
    <w:basedOn w:val="Tablanormal"/>
    <w:tblPr>
      <w:tblStyleRowBandSize w:val="1"/>
      <w:tblStyleColBandSize w:val="1"/>
      <w:tblInd w:w="0" w:type="nil"/>
      <w:tblCellMar>
        <w:left w:w="70" w:type="dxa"/>
        <w:right w:w="70" w:type="dxa"/>
      </w:tblCellMar>
    </w:tblPr>
  </w:style>
  <w:style w:type="table" w:customStyle="1" w:styleId="aa">
    <w:basedOn w:val="Tablanormal"/>
    <w:tblPr>
      <w:tblStyleRowBandSize w:val="1"/>
      <w:tblStyleColBandSize w:val="1"/>
      <w:tblInd w:w="0" w:type="nil"/>
      <w:tblCellMar>
        <w:left w:w="70" w:type="dxa"/>
        <w:right w:w="70" w:type="dxa"/>
      </w:tblCellMar>
    </w:tblPr>
  </w:style>
  <w:style w:type="table" w:customStyle="1" w:styleId="ab">
    <w:basedOn w:val="Tablanormal"/>
    <w:tblPr>
      <w:tblStyleRowBandSize w:val="1"/>
      <w:tblStyleColBandSize w:val="1"/>
      <w:tblInd w:w="0" w:type="nil"/>
      <w:tblCellMar>
        <w:left w:w="70" w:type="dxa"/>
        <w:right w:w="70" w:type="dxa"/>
      </w:tblCellMar>
    </w:tblPr>
  </w:style>
  <w:style w:type="table" w:customStyle="1" w:styleId="ac">
    <w:basedOn w:val="Tablanormal"/>
    <w:tblPr>
      <w:tblStyleRowBandSize w:val="1"/>
      <w:tblStyleColBandSize w:val="1"/>
      <w:tblInd w:w="0" w:type="nil"/>
      <w:tblCellMar>
        <w:left w:w="70" w:type="dxa"/>
        <w:right w:w="70" w:type="dxa"/>
      </w:tblCellMar>
    </w:tblPr>
  </w:style>
  <w:style w:type="table" w:customStyle="1" w:styleId="ad">
    <w:basedOn w:val="Tablanormal"/>
    <w:tblPr>
      <w:tblStyleRowBandSize w:val="1"/>
      <w:tblStyleColBandSize w:val="1"/>
      <w:tblInd w:w="0" w:type="nil"/>
      <w:tblCellMar>
        <w:left w:w="70" w:type="dxa"/>
        <w:right w:w="70" w:type="dxa"/>
      </w:tblCellMar>
    </w:tblPr>
  </w:style>
  <w:style w:type="table" w:customStyle="1" w:styleId="ae">
    <w:basedOn w:val="Tablanormal"/>
    <w:tblPr>
      <w:tblStyleRowBandSize w:val="1"/>
      <w:tblStyleColBandSize w:val="1"/>
      <w:tblInd w:w="0" w:type="nil"/>
      <w:tblCellMar>
        <w:left w:w="70" w:type="dxa"/>
        <w:right w:w="70" w:type="dxa"/>
      </w:tblCellMar>
    </w:tblPr>
  </w:style>
  <w:style w:type="table" w:customStyle="1" w:styleId="af">
    <w:basedOn w:val="Tablanormal"/>
    <w:tblPr>
      <w:tblStyleRowBandSize w:val="1"/>
      <w:tblStyleColBandSize w:val="1"/>
      <w:tblInd w:w="0" w:type="nil"/>
      <w:tblCellMar>
        <w:left w:w="70" w:type="dxa"/>
        <w:right w:w="70" w:type="dxa"/>
      </w:tblCellMar>
    </w:tblPr>
  </w:style>
  <w:style w:type="table" w:customStyle="1" w:styleId="af0">
    <w:basedOn w:val="Tablanormal"/>
    <w:tblPr>
      <w:tblStyleRowBandSize w:val="1"/>
      <w:tblStyleColBandSize w:val="1"/>
      <w:tblInd w:w="0" w:type="nil"/>
      <w:tblCellMar>
        <w:left w:w="0" w:type="dxa"/>
        <w:right w:w="0" w:type="dxa"/>
      </w:tblCellMar>
    </w:tblPr>
  </w:style>
  <w:style w:type="table" w:customStyle="1" w:styleId="af1">
    <w:basedOn w:val="Tablanormal"/>
    <w:tblPr>
      <w:tblStyleRowBandSize w:val="1"/>
      <w:tblStyleColBandSize w:val="1"/>
      <w:tblInd w:w="0" w:type="nil"/>
      <w:tblCellMar>
        <w:left w:w="70" w:type="dxa"/>
        <w:right w:w="70" w:type="dxa"/>
      </w:tblCellMar>
    </w:tblPr>
  </w:style>
  <w:style w:type="table" w:customStyle="1" w:styleId="af2">
    <w:basedOn w:val="Tablanormal"/>
    <w:tblPr>
      <w:tblStyleRowBandSize w:val="1"/>
      <w:tblStyleColBandSize w:val="1"/>
      <w:tblInd w:w="0" w:type="nil"/>
      <w:tblCellMar>
        <w:left w:w="70" w:type="dxa"/>
        <w:right w:w="70" w:type="dxa"/>
      </w:tblCellMar>
    </w:tblPr>
  </w:style>
  <w:style w:type="table" w:customStyle="1" w:styleId="af3">
    <w:basedOn w:val="Tablanormal"/>
    <w:rPr>
      <w:color w:val="398F98"/>
    </w:rPr>
    <w:tblPr>
      <w:tblStyleRowBandSize w:val="1"/>
      <w:tblStyleColBandSize w:val="1"/>
      <w:tblInd w:w="0" w:type="nil"/>
      <w:tblCellMar>
        <w:left w:w="70" w:type="dxa"/>
        <w:right w:w="70" w:type="dxa"/>
      </w:tblCellMar>
    </w:tblPr>
  </w:style>
  <w:style w:type="table" w:customStyle="1" w:styleId="af4">
    <w:basedOn w:val="Tablanormal"/>
    <w:rPr>
      <w:color w:val="398F98"/>
    </w:rPr>
    <w:tblPr>
      <w:tblStyleRowBandSize w:val="1"/>
      <w:tblStyleColBandSize w:val="1"/>
      <w:tblInd w:w="0" w:type="nil"/>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507138">
      <w:bodyDiv w:val="1"/>
      <w:marLeft w:val="0"/>
      <w:marRight w:val="0"/>
      <w:marTop w:val="0"/>
      <w:marBottom w:val="0"/>
      <w:divBdr>
        <w:top w:val="none" w:sz="0" w:space="0" w:color="auto"/>
        <w:left w:val="none" w:sz="0" w:space="0" w:color="auto"/>
        <w:bottom w:val="none" w:sz="0" w:space="0" w:color="auto"/>
        <w:right w:val="none" w:sz="0" w:space="0" w:color="auto"/>
      </w:divBdr>
    </w:div>
    <w:div w:id="837620144">
      <w:bodyDiv w:val="1"/>
      <w:marLeft w:val="0"/>
      <w:marRight w:val="0"/>
      <w:marTop w:val="0"/>
      <w:marBottom w:val="0"/>
      <w:divBdr>
        <w:top w:val="none" w:sz="0" w:space="0" w:color="auto"/>
        <w:left w:val="none" w:sz="0" w:space="0" w:color="auto"/>
        <w:bottom w:val="none" w:sz="0" w:space="0" w:color="auto"/>
        <w:right w:val="none" w:sz="0" w:space="0" w:color="auto"/>
      </w:divBdr>
    </w:div>
    <w:div w:id="11897616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chart" Target="charts/chart47.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chart" Target="charts/chart43.xml"/><Relationship Id="rId3" Type="http://schemas.openxmlformats.org/officeDocument/2006/relationships/numbering" Target="numbering.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footer" Target="footer2.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header" Target="header2.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header" Target="header3.xml"/><Relationship Id="rId4" Type="http://schemas.openxmlformats.org/officeDocument/2006/relationships/styles" Target="styles.xml"/><Relationship Id="rId9" Type="http://schemas.openxmlformats.org/officeDocument/2006/relationships/chart" Target="charts/chart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d.docs.live.net/184A152F34E8A072/SEFIPLAN/Entorno%20Econ&#243;mico%202026/Entorno%20Econ&#243;mico%202025%20SSAEF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'Crec. mundial'!$A$5</c:f>
              <c:strCache>
                <c:ptCount val="1"/>
                <c:pt idx="0">
                  <c:v>FMI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'Crec. mundial'!$B$4:$D$4</c:f>
              <c:strCache>
                <c:ptCount val="3"/>
                <c:pt idx="0">
                  <c:v>2024e</c:v>
                </c:pt>
                <c:pt idx="1">
                  <c:v>2025f</c:v>
                </c:pt>
                <c:pt idx="2">
                  <c:v>2026f</c:v>
                </c:pt>
              </c:strCache>
            </c:strRef>
          </c:cat>
          <c:val>
            <c:numRef>
              <c:f>'Crec. mundial'!$B$5:$D$5</c:f>
              <c:numCache>
                <c:formatCode>General</c:formatCode>
                <c:ptCount val="3"/>
                <c:pt idx="0">
                  <c:v>3.3</c:v>
                </c:pt>
                <c:pt idx="1">
                  <c:v>3</c:v>
                </c:pt>
                <c:pt idx="2">
                  <c:v>3.1</c:v>
                </c:pt>
              </c:numCache>
            </c:numRef>
          </c:val>
          <c:smooth val="0"/>
          <c:extLst>
            <c:ext xmlns:c16="http://schemas.microsoft.com/office/drawing/2014/chart" uri="{C3380CC4-5D6E-409C-BE32-E72D297353CC}">
              <c16:uniqueId val="{00000000-06E0-4BF9-9369-079E2BDED996}"/>
            </c:ext>
          </c:extLst>
        </c:ser>
        <c:ser>
          <c:idx val="1"/>
          <c:order val="1"/>
          <c:tx>
            <c:strRef>
              <c:f>'Crec. mundial'!$A$6</c:f>
              <c:strCache>
                <c:ptCount val="1"/>
                <c:pt idx="0">
                  <c:v>BM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'Crec. mundial'!$B$4:$D$4</c:f>
              <c:strCache>
                <c:ptCount val="3"/>
                <c:pt idx="0">
                  <c:v>2024e</c:v>
                </c:pt>
                <c:pt idx="1">
                  <c:v>2025f</c:v>
                </c:pt>
                <c:pt idx="2">
                  <c:v>2026f</c:v>
                </c:pt>
              </c:strCache>
            </c:strRef>
          </c:cat>
          <c:val>
            <c:numRef>
              <c:f>'Crec. mundial'!$B$6:$D$6</c:f>
              <c:numCache>
                <c:formatCode>General</c:formatCode>
                <c:ptCount val="3"/>
                <c:pt idx="0">
                  <c:v>2.8</c:v>
                </c:pt>
                <c:pt idx="1">
                  <c:v>2.2999999999999998</c:v>
                </c:pt>
                <c:pt idx="2">
                  <c:v>2.4</c:v>
                </c:pt>
              </c:numCache>
            </c:numRef>
          </c:val>
          <c:smooth val="0"/>
          <c:extLst>
            <c:ext xmlns:c16="http://schemas.microsoft.com/office/drawing/2014/chart" uri="{C3380CC4-5D6E-409C-BE32-E72D297353CC}">
              <c16:uniqueId val="{00000001-06E0-4BF9-9369-079E2BDED996}"/>
            </c:ext>
          </c:extLst>
        </c:ser>
        <c:dLbls>
          <c:showLegendKey val="0"/>
          <c:showVal val="0"/>
          <c:showCatName val="0"/>
          <c:showSerName val="0"/>
          <c:showPercent val="0"/>
          <c:showBubbleSize val="0"/>
        </c:dLbls>
        <c:marker val="1"/>
        <c:smooth val="0"/>
        <c:axId val="440487936"/>
        <c:axId val="371190592"/>
      </c:lineChart>
      <c:catAx>
        <c:axId val="44048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71190592"/>
        <c:crosses val="autoZero"/>
        <c:auto val="1"/>
        <c:lblAlgn val="ctr"/>
        <c:lblOffset val="100"/>
        <c:noMultiLvlLbl val="0"/>
      </c:catAx>
      <c:valAx>
        <c:axId val="371190592"/>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404879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2024</c:v>
          </c:tx>
          <c:spPr>
            <a:ln w="28575" cap="rnd">
              <a:solidFill>
                <a:schemeClr val="accent1"/>
              </a:solidFill>
              <a:round/>
            </a:ln>
            <a:effectLst/>
          </c:spPr>
          <c:marker>
            <c:symbol val="none"/>
          </c:marker>
          <c:cat>
            <c:strRef>
              <c:f>P!$F$7:$Q$7</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P!$B$12:$M$12</c:f>
              <c:numCache>
                <c:formatCode>#,##0.00</c:formatCode>
                <c:ptCount val="12"/>
                <c:pt idx="0">
                  <c:v>1829.318941</c:v>
                </c:pt>
                <c:pt idx="1">
                  <c:v>1819.398332</c:v>
                </c:pt>
                <c:pt idx="2">
                  <c:v>1810.5237629999999</c:v>
                </c:pt>
                <c:pt idx="3">
                  <c:v>1784.1294670000002</c:v>
                </c:pt>
                <c:pt idx="4">
                  <c:v>1785.295128</c:v>
                </c:pt>
                <c:pt idx="5">
                  <c:v>1781.529974</c:v>
                </c:pt>
                <c:pt idx="6">
                  <c:v>1772.1747969999999</c:v>
                </c:pt>
                <c:pt idx="7">
                  <c:v>1769.5924380000001</c:v>
                </c:pt>
                <c:pt idx="8">
                  <c:v>1748.9977570000001</c:v>
                </c:pt>
                <c:pt idx="9">
                  <c:v>1717.8522680000001</c:v>
                </c:pt>
                <c:pt idx="10">
                  <c:v>1673.3818079999999</c:v>
                </c:pt>
                <c:pt idx="11">
                  <c:v>1618.6892720000001</c:v>
                </c:pt>
              </c:numCache>
            </c:numRef>
          </c:val>
          <c:smooth val="0"/>
          <c:extLst>
            <c:ext xmlns:c16="http://schemas.microsoft.com/office/drawing/2014/chart" uri="{C3380CC4-5D6E-409C-BE32-E72D297353CC}">
              <c16:uniqueId val="{00000000-7A77-46F2-BD1D-A1782D8A33BE}"/>
            </c:ext>
          </c:extLst>
        </c:ser>
        <c:ser>
          <c:idx val="1"/>
          <c:order val="1"/>
          <c:tx>
            <c:v>2025</c:v>
          </c:tx>
          <c:spPr>
            <a:ln w="28575" cap="rnd">
              <a:solidFill>
                <a:schemeClr val="accent2"/>
              </a:solidFill>
              <a:round/>
            </a:ln>
            <a:effectLst/>
          </c:spPr>
          <c:marker>
            <c:symbol val="none"/>
          </c:marker>
          <c:cat>
            <c:strRef>
              <c:f>P!$F$7:$Q$7</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P!$N$12:$U$12</c:f>
              <c:numCache>
                <c:formatCode>#,##0.00</c:formatCode>
                <c:ptCount val="8"/>
                <c:pt idx="0">
                  <c:v>1616.929748</c:v>
                </c:pt>
                <c:pt idx="1">
                  <c:v>1620.5378240000002</c:v>
                </c:pt>
                <c:pt idx="2">
                  <c:v>1607.164663</c:v>
                </c:pt>
                <c:pt idx="3">
                  <c:v>1627.3463380000001</c:v>
                </c:pt>
                <c:pt idx="4">
                  <c:v>1635.6114170000001</c:v>
                </c:pt>
                <c:pt idx="5">
                  <c:v>1629.144172</c:v>
                </c:pt>
                <c:pt idx="6">
                  <c:v>1648.3027080000002</c:v>
                </c:pt>
                <c:pt idx="7">
                  <c:v>1644.7260000000001</c:v>
                </c:pt>
              </c:numCache>
            </c:numRef>
          </c:val>
          <c:smooth val="0"/>
          <c:extLst>
            <c:ext xmlns:c16="http://schemas.microsoft.com/office/drawing/2014/chart" uri="{C3380CC4-5D6E-409C-BE32-E72D297353CC}">
              <c16:uniqueId val="{00000001-7A77-46F2-BD1D-A1782D8A33BE}"/>
            </c:ext>
          </c:extLst>
        </c:ser>
        <c:dLbls>
          <c:showLegendKey val="0"/>
          <c:showVal val="0"/>
          <c:showCatName val="0"/>
          <c:showSerName val="0"/>
          <c:showPercent val="0"/>
          <c:showBubbleSize val="0"/>
        </c:dLbls>
        <c:smooth val="0"/>
        <c:axId val="412846080"/>
        <c:axId val="495609536"/>
      </c:lineChart>
      <c:catAx>
        <c:axId val="41284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5609536"/>
        <c:crosses val="autoZero"/>
        <c:auto val="1"/>
        <c:lblAlgn val="ctr"/>
        <c:lblOffset val="100"/>
        <c:noMultiLvlLbl val="0"/>
      </c:catAx>
      <c:valAx>
        <c:axId val="495609536"/>
        <c:scaling>
          <c:orientation val="minMax"/>
          <c:min val="155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28460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2024</c:v>
          </c:tx>
          <c:spPr>
            <a:ln w="28575" cap="rnd">
              <a:solidFill>
                <a:schemeClr val="accent1"/>
              </a:solidFill>
              <a:round/>
            </a:ln>
            <a:effectLst/>
          </c:spPr>
          <c:marker>
            <c:symbol val="none"/>
          </c:marker>
          <c:cat>
            <c:strRef>
              <c:f>P!$F$7:$Q$7</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P!$B$33:$M$33</c:f>
              <c:numCache>
                <c:formatCode>_(* #,##0.00_);_(* \(#,##0.00\);_(* "-"??_);_(@_)</c:formatCode>
                <c:ptCount val="12"/>
                <c:pt idx="0">
                  <c:v>70.94945613823252</c:v>
                </c:pt>
                <c:pt idx="1">
                  <c:v>73.434736250513794</c:v>
                </c:pt>
                <c:pt idx="2">
                  <c:v>73.774655273033048</c:v>
                </c:pt>
                <c:pt idx="3">
                  <c:v>75.901993782445061</c:v>
                </c:pt>
                <c:pt idx="4">
                  <c:v>74.504590817186923</c:v>
                </c:pt>
                <c:pt idx="5">
                  <c:v>72.342846302954598</c:v>
                </c:pt>
                <c:pt idx="6">
                  <c:v>71.358416618734381</c:v>
                </c:pt>
                <c:pt idx="7">
                  <c:v>70.663164621138094</c:v>
                </c:pt>
                <c:pt idx="8">
                  <c:v>65.598737256984677</c:v>
                </c:pt>
                <c:pt idx="9">
                  <c:v>65.371468211792873</c:v>
                </c:pt>
                <c:pt idx="10">
                  <c:v>64.932223992617523</c:v>
                </c:pt>
                <c:pt idx="11">
                  <c:v>64.808576956700179</c:v>
                </c:pt>
              </c:numCache>
            </c:numRef>
          </c:val>
          <c:smooth val="0"/>
          <c:extLst>
            <c:ext xmlns:c16="http://schemas.microsoft.com/office/drawing/2014/chart" uri="{C3380CC4-5D6E-409C-BE32-E72D297353CC}">
              <c16:uniqueId val="{00000000-7872-492B-89A9-7198AAF56E8B}"/>
            </c:ext>
          </c:extLst>
        </c:ser>
        <c:ser>
          <c:idx val="1"/>
          <c:order val="1"/>
          <c:tx>
            <c:v>2025</c:v>
          </c:tx>
          <c:spPr>
            <a:ln w="28575" cap="rnd">
              <a:solidFill>
                <a:schemeClr val="accent2"/>
              </a:solidFill>
              <a:round/>
            </a:ln>
            <a:effectLst/>
          </c:spPr>
          <c:marker>
            <c:symbol val="none"/>
          </c:marker>
          <c:val>
            <c:numRef>
              <c:f>P!$N$33:$U$33</c:f>
              <c:numCache>
                <c:formatCode>_(* #,##0.00_);_(* \(#,##0.00\);_(* "-"??_);_(@_)</c:formatCode>
                <c:ptCount val="8"/>
                <c:pt idx="0">
                  <c:v>66.208972637046173</c:v>
                </c:pt>
                <c:pt idx="1">
                  <c:v>65.794164903829653</c:v>
                </c:pt>
                <c:pt idx="2">
                  <c:v>62.63085824220677</c:v>
                </c:pt>
                <c:pt idx="3">
                  <c:v>61.152747659672386</c:v>
                </c:pt>
                <c:pt idx="4">
                  <c:v>59.071365326826367</c:v>
                </c:pt>
                <c:pt idx="5">
                  <c:v>62.714794812371025</c:v>
                </c:pt>
                <c:pt idx="6">
                  <c:v>62.498204614372092</c:v>
                </c:pt>
                <c:pt idx="7">
                  <c:v>62.228259567007825</c:v>
                </c:pt>
              </c:numCache>
            </c:numRef>
          </c:val>
          <c:smooth val="0"/>
          <c:extLst>
            <c:ext xmlns:c16="http://schemas.microsoft.com/office/drawing/2014/chart" uri="{C3380CC4-5D6E-409C-BE32-E72D297353CC}">
              <c16:uniqueId val="{00000001-7872-492B-89A9-7198AAF56E8B}"/>
            </c:ext>
          </c:extLst>
        </c:ser>
        <c:dLbls>
          <c:showLegendKey val="0"/>
          <c:showVal val="0"/>
          <c:showCatName val="0"/>
          <c:showSerName val="0"/>
          <c:showPercent val="0"/>
          <c:showBubbleSize val="0"/>
        </c:dLbls>
        <c:smooth val="0"/>
        <c:axId val="412845568"/>
        <c:axId val="495611264"/>
      </c:lineChart>
      <c:catAx>
        <c:axId val="41284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5611264"/>
        <c:crosses val="autoZero"/>
        <c:auto val="1"/>
        <c:lblAlgn val="ctr"/>
        <c:lblOffset val="100"/>
        <c:noMultiLvlLbl val="0"/>
      </c:catAx>
      <c:valAx>
        <c:axId val="495611264"/>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2845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I!$B$147</c:f>
              <c:strCache>
                <c:ptCount val="1"/>
                <c:pt idx="0">
                  <c:v>General</c:v>
                </c:pt>
              </c:strCache>
            </c:strRef>
          </c:tx>
          <c:spPr>
            <a:ln w="28575" cap="rnd">
              <a:solidFill>
                <a:schemeClr val="accent1"/>
              </a:solidFill>
              <a:round/>
            </a:ln>
            <a:effectLst/>
          </c:spPr>
          <c:marker>
            <c:symbol val="none"/>
          </c:marker>
          <c:cat>
            <c:strRef>
              <c:f>I!$A$148:$A$158</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I!$B$148:$B$158</c:f>
              <c:numCache>
                <c:formatCode>0.00%</c:formatCode>
                <c:ptCount val="11"/>
                <c:pt idx="0">
                  <c:v>2.1308127641446042E-2</c:v>
                </c:pt>
                <c:pt idx="1">
                  <c:v>3.360273917929326E-2</c:v>
                </c:pt>
                <c:pt idx="2">
                  <c:v>6.773047979044973E-2</c:v>
                </c:pt>
                <c:pt idx="3">
                  <c:v>4.8305461843426364E-2</c:v>
                </c:pt>
                <c:pt idx="4">
                  <c:v>2.8285769753445947E-2</c:v>
                </c:pt>
                <c:pt idx="5">
                  <c:v>3.1500745747352156E-2</c:v>
                </c:pt>
                <c:pt idx="6">
                  <c:v>7.3551079426380339E-2</c:v>
                </c:pt>
                <c:pt idx="7">
                  <c:v>7.8170286766460831E-2</c:v>
                </c:pt>
                <c:pt idx="8">
                  <c:v>4.6608896408861594E-2</c:v>
                </c:pt>
                <c:pt idx="9">
                  <c:v>4.2123393743437272E-2</c:v>
                </c:pt>
                <c:pt idx="10">
                  <c:v>3.5687765140096792E-2</c:v>
                </c:pt>
              </c:numCache>
            </c:numRef>
          </c:val>
          <c:smooth val="0"/>
          <c:extLst>
            <c:ext xmlns:c16="http://schemas.microsoft.com/office/drawing/2014/chart" uri="{C3380CC4-5D6E-409C-BE32-E72D297353CC}">
              <c16:uniqueId val="{00000000-6ADF-4088-9148-FE1E1169FE5B}"/>
            </c:ext>
          </c:extLst>
        </c:ser>
        <c:ser>
          <c:idx val="1"/>
          <c:order val="1"/>
          <c:tx>
            <c:strRef>
              <c:f>I!$C$147</c:f>
              <c:strCache>
                <c:ptCount val="1"/>
                <c:pt idx="0">
                  <c:v>Subyacente</c:v>
                </c:pt>
              </c:strCache>
            </c:strRef>
          </c:tx>
          <c:spPr>
            <a:ln w="28575" cap="rnd">
              <a:solidFill>
                <a:schemeClr val="accent2"/>
              </a:solidFill>
              <a:round/>
            </a:ln>
            <a:effectLst/>
          </c:spPr>
          <c:marker>
            <c:symbol val="none"/>
          </c:marker>
          <c:cat>
            <c:strRef>
              <c:f>I!$A$148:$A$158</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I!$C$148:$C$158</c:f>
              <c:numCache>
                <c:formatCode>0.00%</c:formatCode>
                <c:ptCount val="11"/>
                <c:pt idx="0">
                  <c:v>2.4119567181698602E-2</c:v>
                </c:pt>
                <c:pt idx="1">
                  <c:v>3.4373653513064921E-2</c:v>
                </c:pt>
                <c:pt idx="2">
                  <c:v>4.8687786939686763E-2</c:v>
                </c:pt>
                <c:pt idx="3">
                  <c:v>3.6830817948947471E-2</c:v>
                </c:pt>
                <c:pt idx="4">
                  <c:v>3.5944383267003284E-2</c:v>
                </c:pt>
                <c:pt idx="5">
                  <c:v>3.8038316585266629E-2</c:v>
                </c:pt>
                <c:pt idx="6">
                  <c:v>5.935728479934322E-2</c:v>
                </c:pt>
                <c:pt idx="7">
                  <c:v>8.3461020506626779E-2</c:v>
                </c:pt>
                <c:pt idx="8">
                  <c:v>5.0877036597271698E-2</c:v>
                </c:pt>
                <c:pt idx="9">
                  <c:v>3.6503900187256189E-2</c:v>
                </c:pt>
                <c:pt idx="10">
                  <c:v>4.2271189812477579E-2</c:v>
                </c:pt>
              </c:numCache>
            </c:numRef>
          </c:val>
          <c:smooth val="0"/>
          <c:extLst>
            <c:ext xmlns:c16="http://schemas.microsoft.com/office/drawing/2014/chart" uri="{C3380CC4-5D6E-409C-BE32-E72D297353CC}">
              <c16:uniqueId val="{00000001-6ADF-4088-9148-FE1E1169FE5B}"/>
            </c:ext>
          </c:extLst>
        </c:ser>
        <c:ser>
          <c:idx val="2"/>
          <c:order val="2"/>
          <c:tx>
            <c:strRef>
              <c:f>I!$D$147</c:f>
              <c:strCache>
                <c:ptCount val="1"/>
                <c:pt idx="0">
                  <c:v>No subyacente</c:v>
                </c:pt>
              </c:strCache>
            </c:strRef>
          </c:tx>
          <c:spPr>
            <a:ln w="28575" cap="rnd">
              <a:solidFill>
                <a:schemeClr val="accent3"/>
              </a:solidFill>
              <a:round/>
            </a:ln>
            <a:effectLst/>
          </c:spPr>
          <c:marker>
            <c:symbol val="none"/>
          </c:marker>
          <c:cat>
            <c:strRef>
              <c:f>I!$A$148:$A$158</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I!$D$148:$D$158</c:f>
              <c:numCache>
                <c:formatCode>0.00%</c:formatCode>
                <c:ptCount val="11"/>
                <c:pt idx="0">
                  <c:v>1.2762508055082045E-2</c:v>
                </c:pt>
                <c:pt idx="1">
                  <c:v>3.1263239971209222E-2</c:v>
                </c:pt>
                <c:pt idx="2">
                  <c:v>0.12621132011915617</c:v>
                </c:pt>
                <c:pt idx="3">
                  <c:v>8.3985012860587002E-2</c:v>
                </c:pt>
                <c:pt idx="4">
                  <c:v>5.88384494376217E-3</c:v>
                </c:pt>
                <c:pt idx="5">
                  <c:v>1.184126014510771E-2</c:v>
                </c:pt>
                <c:pt idx="6">
                  <c:v>0.11735457365964518</c:v>
                </c:pt>
                <c:pt idx="7">
                  <c:v>6.2696946417422295E-2</c:v>
                </c:pt>
                <c:pt idx="8">
                  <c:v>3.3870731353079504E-2</c:v>
                </c:pt>
                <c:pt idx="9">
                  <c:v>5.9456725681785914E-2</c:v>
                </c:pt>
                <c:pt idx="10">
                  <c:v>1.3752129568004251E-2</c:v>
                </c:pt>
              </c:numCache>
            </c:numRef>
          </c:val>
          <c:smooth val="0"/>
          <c:extLst>
            <c:ext xmlns:c16="http://schemas.microsoft.com/office/drawing/2014/chart" uri="{C3380CC4-5D6E-409C-BE32-E72D297353CC}">
              <c16:uniqueId val="{00000002-6ADF-4088-9148-FE1E1169FE5B}"/>
            </c:ext>
          </c:extLst>
        </c:ser>
        <c:dLbls>
          <c:showLegendKey val="0"/>
          <c:showVal val="0"/>
          <c:showCatName val="0"/>
          <c:showSerName val="0"/>
          <c:showPercent val="0"/>
          <c:showBubbleSize val="0"/>
        </c:dLbls>
        <c:smooth val="0"/>
        <c:axId val="414603264"/>
        <c:axId val="495613568"/>
      </c:lineChart>
      <c:catAx>
        <c:axId val="41460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5613568"/>
        <c:crosses val="autoZero"/>
        <c:auto val="1"/>
        <c:lblAlgn val="ctr"/>
        <c:lblOffset val="100"/>
        <c:noMultiLvlLbl val="0"/>
      </c:catAx>
      <c:valAx>
        <c:axId val="4956135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4603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dLbl>
              <c:idx val="8"/>
              <c:layout>
                <c:manualLayout>
                  <c:x val="-5.6034776902887141E-2"/>
                  <c:y val="-2.73388743073782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C0-4645-AD37-CA074DFE3C83}"/>
                </c:ext>
              </c:extLst>
            </c:dLbl>
            <c:dLbl>
              <c:idx val="9"/>
              <c:layout>
                <c:manualLayout>
                  <c:x val="-1.7145888013998148E-2"/>
                  <c:y val="-4.85407553222513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C0-4645-AD37-CA074DFE3C83}"/>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TI!$F$2:$F$12</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TI!$F$19:$F$29</c:f>
              <c:numCache>
                <c:formatCode>0.00</c:formatCode>
                <c:ptCount val="11"/>
                <c:pt idx="0">
                  <c:v>3.3166928286852611</c:v>
                </c:pt>
                <c:pt idx="1">
                  <c:v>4.473888888888891</c:v>
                </c:pt>
                <c:pt idx="2">
                  <c:v>7.0540633466135443</c:v>
                </c:pt>
                <c:pt idx="3">
                  <c:v>7.9959713147410261</c:v>
                </c:pt>
                <c:pt idx="4">
                  <c:v>8.3175250996015926</c:v>
                </c:pt>
                <c:pt idx="5">
                  <c:v>5.7054523809523818</c:v>
                </c:pt>
                <c:pt idx="6">
                  <c:v>4.6269122529644271</c:v>
                </c:pt>
                <c:pt idx="7">
                  <c:v>7.9057706349206303</c:v>
                </c:pt>
                <c:pt idx="8">
                  <c:v>11.399070119521918</c:v>
                </c:pt>
                <c:pt idx="9">
                  <c:v>11.098798007968099</c:v>
                </c:pt>
                <c:pt idx="10">
                  <c:v>9.0599679558011026</c:v>
                </c:pt>
              </c:numCache>
            </c:numRef>
          </c:val>
          <c:smooth val="0"/>
          <c:extLst>
            <c:ext xmlns:c16="http://schemas.microsoft.com/office/drawing/2014/chart" uri="{C3380CC4-5D6E-409C-BE32-E72D297353CC}">
              <c16:uniqueId val="{00000002-9DC0-4645-AD37-CA074DFE3C83}"/>
            </c:ext>
          </c:extLst>
        </c:ser>
        <c:dLbls>
          <c:dLblPos val="t"/>
          <c:showLegendKey val="0"/>
          <c:showVal val="1"/>
          <c:showCatName val="0"/>
          <c:showSerName val="0"/>
          <c:showPercent val="0"/>
          <c:showBubbleSize val="0"/>
        </c:dLbls>
        <c:smooth val="0"/>
        <c:axId val="412847616"/>
        <c:axId val="495615296"/>
      </c:lineChart>
      <c:catAx>
        <c:axId val="41284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5615296"/>
        <c:crosses val="autoZero"/>
        <c:auto val="1"/>
        <c:lblAlgn val="ctr"/>
        <c:lblOffset val="100"/>
        <c:noMultiLvlLbl val="0"/>
      </c:catAx>
      <c:valAx>
        <c:axId val="4956152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28476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2024</c:v>
          </c:tx>
          <c:spPr>
            <a:ln w="28575" cap="rnd">
              <a:solidFill>
                <a:schemeClr val="accent1"/>
              </a:solidFill>
              <a:round/>
            </a:ln>
            <a:effectLst/>
          </c:spPr>
          <c:marker>
            <c:symbol val="none"/>
          </c:marker>
          <c:cat>
            <c:strRef>
              <c:f>TC!$B$40:$B$51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TC!$B$19:$B$30</c:f>
              <c:numCache>
                <c:formatCode>#,##0.0000</c:formatCode>
                <c:ptCount val="12"/>
                <c:pt idx="0">
                  <c:v>17.087299999999999</c:v>
                </c:pt>
                <c:pt idx="1">
                  <c:v>17.0898</c:v>
                </c:pt>
                <c:pt idx="2">
                  <c:v>16.791799999999999</c:v>
                </c:pt>
                <c:pt idx="3">
                  <c:v>16.810400000000001</c:v>
                </c:pt>
                <c:pt idx="4">
                  <c:v>16.793600000000001</c:v>
                </c:pt>
                <c:pt idx="5">
                  <c:v>18.217400000000001</c:v>
                </c:pt>
                <c:pt idx="6">
                  <c:v>18.111699999999999</c:v>
                </c:pt>
                <c:pt idx="7">
                  <c:v>19.151499999999999</c:v>
                </c:pt>
                <c:pt idx="8">
                  <c:v>19.631599999999999</c:v>
                </c:pt>
                <c:pt idx="9">
                  <c:v>19.706199999999999</c:v>
                </c:pt>
                <c:pt idx="10">
                  <c:v>20.345500000000001</c:v>
                </c:pt>
                <c:pt idx="11">
                  <c:v>20.266100000000002</c:v>
                </c:pt>
              </c:numCache>
            </c:numRef>
          </c:val>
          <c:smooth val="0"/>
          <c:extLst>
            <c:ext xmlns:c16="http://schemas.microsoft.com/office/drawing/2014/chart" uri="{C3380CC4-5D6E-409C-BE32-E72D297353CC}">
              <c16:uniqueId val="{00000000-C956-469C-BE90-C5058B21BEB7}"/>
            </c:ext>
          </c:extLst>
        </c:ser>
        <c:ser>
          <c:idx val="1"/>
          <c:order val="1"/>
          <c:tx>
            <c:v>2025</c:v>
          </c:tx>
          <c:spPr>
            <a:ln w="28575" cap="rnd">
              <a:solidFill>
                <a:schemeClr val="accent2"/>
              </a:solidFill>
              <a:round/>
            </a:ln>
            <a:effectLst/>
          </c:spPr>
          <c:marker>
            <c:symbol val="none"/>
          </c:marker>
          <c:cat>
            <c:strRef>
              <c:f>TC!$B$40:$B$51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TC!$B$31:$B$39</c:f>
              <c:numCache>
                <c:formatCode>#,##0.0000</c:formatCode>
                <c:ptCount val="9"/>
                <c:pt idx="0">
                  <c:v>20.548999999999999</c:v>
                </c:pt>
                <c:pt idx="1">
                  <c:v>20.457100000000001</c:v>
                </c:pt>
                <c:pt idx="2">
                  <c:v>20.241700000000002</c:v>
                </c:pt>
                <c:pt idx="3">
                  <c:v>20.0564</c:v>
                </c:pt>
                <c:pt idx="4">
                  <c:v>19.435500000000001</c:v>
                </c:pt>
                <c:pt idx="5">
                  <c:v>19.03</c:v>
                </c:pt>
                <c:pt idx="6">
                  <c:v>18.690899999999999</c:v>
                </c:pt>
                <c:pt idx="7">
                  <c:v>18.706299999999999</c:v>
                </c:pt>
                <c:pt idx="8" formatCode="General">
                  <c:v>18.557392857142862</c:v>
                </c:pt>
              </c:numCache>
            </c:numRef>
          </c:val>
          <c:smooth val="0"/>
          <c:extLst>
            <c:ext xmlns:c16="http://schemas.microsoft.com/office/drawing/2014/chart" uri="{C3380CC4-5D6E-409C-BE32-E72D297353CC}">
              <c16:uniqueId val="{00000001-C956-469C-BE90-C5058B21BEB7}"/>
            </c:ext>
          </c:extLst>
        </c:ser>
        <c:dLbls>
          <c:showLegendKey val="0"/>
          <c:showVal val="0"/>
          <c:showCatName val="0"/>
          <c:showSerName val="0"/>
          <c:showPercent val="0"/>
          <c:showBubbleSize val="0"/>
        </c:dLbls>
        <c:smooth val="0"/>
        <c:axId val="414601216"/>
        <c:axId val="495928448"/>
      </c:lineChart>
      <c:catAx>
        <c:axId val="41460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5928448"/>
        <c:crossesAt val="16"/>
        <c:auto val="1"/>
        <c:lblAlgn val="ctr"/>
        <c:lblOffset val="100"/>
        <c:noMultiLvlLbl val="0"/>
      </c:catAx>
      <c:valAx>
        <c:axId val="495928448"/>
        <c:scaling>
          <c:orientation val="minMax"/>
          <c:min val="16"/>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4601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E!$C$5:$L$6</c:f>
              <c:multiLvlStrCache>
                <c:ptCount val="10"/>
                <c:lvl>
                  <c:pt idx="0">
                    <c:v>I</c:v>
                  </c:pt>
                  <c:pt idx="1">
                    <c:v>II</c:v>
                  </c:pt>
                  <c:pt idx="2">
                    <c:v>III</c:v>
                  </c:pt>
                  <c:pt idx="3">
                    <c:v>IV</c:v>
                  </c:pt>
                  <c:pt idx="4">
                    <c:v>I</c:v>
                  </c:pt>
                  <c:pt idx="5">
                    <c:v>II</c:v>
                  </c:pt>
                  <c:pt idx="6">
                    <c:v>III</c:v>
                  </c:pt>
                  <c:pt idx="7">
                    <c:v>IV</c:v>
                  </c:pt>
                  <c:pt idx="8">
                    <c:v>I</c:v>
                  </c:pt>
                  <c:pt idx="9">
                    <c:v>II</c:v>
                  </c:pt>
                </c:lvl>
                <c:lvl>
                  <c:pt idx="0">
                    <c:v>2023</c:v>
                  </c:pt>
                  <c:pt idx="4">
                    <c:v>2024</c:v>
                  </c:pt>
                  <c:pt idx="8">
                    <c:v>2025</c:v>
                  </c:pt>
                </c:lvl>
              </c:multiLvlStrCache>
            </c:multiLvlStrRef>
          </c:cat>
          <c:val>
            <c:numRef>
              <c:f>E!$C$7:$L$7</c:f>
              <c:numCache>
                <c:formatCode>_-* #,##0.0_-;\-* #,##0.0_-;_-* "-"??_-;_-@_-</c:formatCode>
                <c:ptCount val="10"/>
                <c:pt idx="0">
                  <c:v>2.6579999999999999</c:v>
                </c:pt>
                <c:pt idx="1">
                  <c:v>2.8140000000000001</c:v>
                </c:pt>
                <c:pt idx="2">
                  <c:v>2.9929999999999999</c:v>
                </c:pt>
                <c:pt idx="3">
                  <c:v>2.6850000000000001</c:v>
                </c:pt>
                <c:pt idx="4">
                  <c:v>2.5419999999999998</c:v>
                </c:pt>
                <c:pt idx="5">
                  <c:v>2.6680000000000001</c:v>
                </c:pt>
                <c:pt idx="6">
                  <c:v>3.0019999999999998</c:v>
                </c:pt>
                <c:pt idx="7">
                  <c:v>2.5680000000000001</c:v>
                </c:pt>
                <c:pt idx="8">
                  <c:v>2.464</c:v>
                </c:pt>
                <c:pt idx="9">
                  <c:v>2.66</c:v>
                </c:pt>
              </c:numCache>
            </c:numRef>
          </c:val>
          <c:smooth val="0"/>
          <c:extLst>
            <c:ext xmlns:c16="http://schemas.microsoft.com/office/drawing/2014/chart" uri="{C3380CC4-5D6E-409C-BE32-E72D297353CC}">
              <c16:uniqueId val="{00000000-B097-4065-8770-CC83EC1E731A}"/>
            </c:ext>
          </c:extLst>
        </c:ser>
        <c:dLbls>
          <c:dLblPos val="t"/>
          <c:showLegendKey val="0"/>
          <c:showVal val="1"/>
          <c:showCatName val="0"/>
          <c:showSerName val="0"/>
          <c:showPercent val="0"/>
          <c:showBubbleSize val="0"/>
        </c:dLbls>
        <c:smooth val="0"/>
        <c:axId val="414363648"/>
        <c:axId val="495930176"/>
      </c:lineChart>
      <c:catAx>
        <c:axId val="41436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5930176"/>
        <c:crosses val="autoZero"/>
        <c:auto val="1"/>
        <c:lblAlgn val="ctr"/>
        <c:lblOffset val="100"/>
        <c:noMultiLvlLbl val="0"/>
      </c:catAx>
      <c:valAx>
        <c:axId val="495930176"/>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43636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dLbl>
              <c:idx val="0"/>
              <c:layout>
                <c:manualLayout>
                  <c:x val="-6.1125109361329831E-2"/>
                  <c:y val="-5.63542578011081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2E-4582-AB06-EDF033B9A6A7}"/>
                </c:ext>
              </c:extLst>
            </c:dLbl>
            <c:dLbl>
              <c:idx val="4"/>
              <c:layout>
                <c:manualLayout>
                  <c:x val="-4.4458442694663168E-2"/>
                  <c:y val="-8.41320355788860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2E-4582-AB06-EDF033B9A6A7}"/>
                </c:ext>
              </c:extLst>
            </c:dLbl>
            <c:dLbl>
              <c:idx val="5"/>
              <c:layout>
                <c:manualLayout>
                  <c:x val="-5.834733158355216E-2"/>
                  <c:y val="-5.63542578011081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2E-4582-AB06-EDF033B9A6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E!$C$5:$L$6</c:f>
              <c:multiLvlStrCache>
                <c:ptCount val="10"/>
                <c:lvl>
                  <c:pt idx="0">
                    <c:v>I</c:v>
                  </c:pt>
                  <c:pt idx="1">
                    <c:v>II</c:v>
                  </c:pt>
                  <c:pt idx="2">
                    <c:v>III</c:v>
                  </c:pt>
                  <c:pt idx="3">
                    <c:v>IV</c:v>
                  </c:pt>
                  <c:pt idx="4">
                    <c:v>I</c:v>
                  </c:pt>
                  <c:pt idx="5">
                    <c:v>II</c:v>
                  </c:pt>
                  <c:pt idx="6">
                    <c:v>III</c:v>
                  </c:pt>
                  <c:pt idx="7">
                    <c:v>IV</c:v>
                  </c:pt>
                  <c:pt idx="8">
                    <c:v>I</c:v>
                  </c:pt>
                  <c:pt idx="9">
                    <c:v>II</c:v>
                  </c:pt>
                </c:lvl>
                <c:lvl>
                  <c:pt idx="0">
                    <c:v>2023</c:v>
                  </c:pt>
                  <c:pt idx="4">
                    <c:v>2024</c:v>
                  </c:pt>
                  <c:pt idx="8">
                    <c:v>2025</c:v>
                  </c:pt>
                </c:lvl>
              </c:multiLvlStrCache>
            </c:multiLvlStrRef>
          </c:cat>
          <c:val>
            <c:numRef>
              <c:f>E!$C$8:$L$8</c:f>
              <c:numCache>
                <c:formatCode>_-* #,##0.0_-;\-* #,##0.0_-;_-* "-"??_-;_-@_-</c:formatCode>
                <c:ptCount val="10"/>
                <c:pt idx="0">
                  <c:v>8.3249999999999993</c:v>
                </c:pt>
                <c:pt idx="1">
                  <c:v>8.9969999999999999</c:v>
                </c:pt>
                <c:pt idx="2">
                  <c:v>9.1189999999999998</c:v>
                </c:pt>
                <c:pt idx="3">
                  <c:v>9.1609999999999996</c:v>
                </c:pt>
                <c:pt idx="4">
                  <c:v>8.3130000000000006</c:v>
                </c:pt>
                <c:pt idx="5">
                  <c:v>8.9410000000000007</c:v>
                </c:pt>
                <c:pt idx="6">
                  <c:v>9.4339999999999993</c:v>
                </c:pt>
                <c:pt idx="7">
                  <c:v>9.1649999999999991</c:v>
                </c:pt>
                <c:pt idx="8">
                  <c:v>8.6630000000000003</c:v>
                </c:pt>
                <c:pt idx="9">
                  <c:v>9.0760000000000005</c:v>
                </c:pt>
              </c:numCache>
            </c:numRef>
          </c:val>
          <c:smooth val="0"/>
          <c:extLst>
            <c:ext xmlns:c16="http://schemas.microsoft.com/office/drawing/2014/chart" uri="{C3380CC4-5D6E-409C-BE32-E72D297353CC}">
              <c16:uniqueId val="{00000003-332E-4582-AB06-EDF033B9A6A7}"/>
            </c:ext>
          </c:extLst>
        </c:ser>
        <c:dLbls>
          <c:dLblPos val="t"/>
          <c:showLegendKey val="0"/>
          <c:showVal val="1"/>
          <c:showCatName val="0"/>
          <c:showSerName val="0"/>
          <c:showPercent val="0"/>
          <c:showBubbleSize val="0"/>
        </c:dLbls>
        <c:smooth val="0"/>
        <c:axId val="414603776"/>
        <c:axId val="495931904"/>
      </c:lineChart>
      <c:catAx>
        <c:axId val="414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5931904"/>
        <c:crosses val="autoZero"/>
        <c:auto val="1"/>
        <c:lblAlgn val="ctr"/>
        <c:lblOffset val="100"/>
        <c:noMultiLvlLbl val="0"/>
      </c:catAx>
      <c:valAx>
        <c:axId val="495931904"/>
        <c:scaling>
          <c:orientation val="minMax"/>
          <c:min val="8"/>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46037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722519504288619"/>
          <c:y val="5.4054054054054057E-2"/>
          <c:w val="0.69430247453756166"/>
          <c:h val="0.63862523941264093"/>
        </c:manualLayout>
      </c:layout>
      <c:barChart>
        <c:barDir val="col"/>
        <c:grouping val="stacked"/>
        <c:varyColors val="0"/>
        <c:ser>
          <c:idx val="1"/>
          <c:order val="1"/>
          <c:tx>
            <c:strRef>
              <c:f>IN!$A$3</c:f>
              <c:strCache>
                <c:ptCount val="1"/>
                <c:pt idx="0">
                  <c:v>Ingresos petroleros</c:v>
                </c:pt>
              </c:strCache>
            </c:strRef>
          </c:tx>
          <c:invertIfNegative val="0"/>
          <c:dLbls>
            <c:dLbl>
              <c:idx val="0"/>
              <c:tx>
                <c:rich>
                  <a:bodyPr/>
                  <a:lstStyle/>
                  <a:p>
                    <a:fld id="{2F79B249-4D35-483C-98A7-F01A9C998599}"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D8F-4A51-8D0E-D82D73573544}"/>
                </c:ext>
              </c:extLst>
            </c:dLbl>
            <c:dLbl>
              <c:idx val="1"/>
              <c:tx>
                <c:rich>
                  <a:bodyPr/>
                  <a:lstStyle/>
                  <a:p>
                    <a:fld id="{EC9EFA37-C66B-4DD8-8246-9625EDD3DA2C}"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D8F-4A51-8D0E-D82D73573544}"/>
                </c:ext>
              </c:extLst>
            </c:dLbl>
            <c:dLbl>
              <c:idx val="2"/>
              <c:tx>
                <c:rich>
                  <a:bodyPr/>
                  <a:lstStyle/>
                  <a:p>
                    <a:fld id="{DD55C242-BC66-4E3F-974F-92AA15E0762C}"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D8F-4A51-8D0E-D82D73573544}"/>
                </c:ext>
              </c:extLst>
            </c:dLbl>
            <c:dLbl>
              <c:idx val="3"/>
              <c:tx>
                <c:rich>
                  <a:bodyPr/>
                  <a:lstStyle/>
                  <a:p>
                    <a:fld id="{4D1987EC-4AF8-4EC4-B043-342C16B8C7E5}"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D8F-4A51-8D0E-D82D73573544}"/>
                </c:ext>
              </c:extLst>
            </c:dLbl>
            <c:dLbl>
              <c:idx val="4"/>
              <c:tx>
                <c:rich>
                  <a:bodyPr/>
                  <a:lstStyle/>
                  <a:p>
                    <a:fld id="{0CF83946-75A6-47CB-9E25-BD177ACE138D}"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D8F-4A51-8D0E-D82D73573544}"/>
                </c:ext>
              </c:extLst>
            </c:dLbl>
            <c:spPr>
              <a:noFill/>
              <a:ln>
                <a:noFill/>
              </a:ln>
              <a:effectLst/>
            </c:spPr>
            <c:txPr>
              <a:bodyPr rot="0" spcFirstLastPara="1" vertOverflow="ellipsis" vert="horz" wrap="square" lIns="90000" rIns="90000" anchor="ctr" anchorCtr="1"/>
              <a:lstStyle/>
              <a:p>
                <a:pPr>
                  <a:defRPr sz="900" b="0" i="0" u="none" strike="noStrike" kern="1200" baseline="0">
                    <a:solidFill>
                      <a:schemeClr val="tx1"/>
                    </a:solidFill>
                    <a:latin typeface="+mn-lt"/>
                    <a:ea typeface="+mn-ea"/>
                    <a:cs typeface="+mn-cs"/>
                  </a:defRPr>
                </a:pPr>
                <a:endParaRPr lang="es-MX"/>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DataLabelsRange val="1"/>
                <c15:showLeaderLines val="1"/>
                <c15:leaderLines>
                  <c:spPr>
                    <a:ln w="9525" cap="flat" cmpd="sng" algn="ctr">
                      <a:solidFill>
                        <a:schemeClr val="tx1">
                          <a:lumMod val="35000"/>
                          <a:lumOff val="65000"/>
                        </a:schemeClr>
                      </a:solidFill>
                      <a:round/>
                    </a:ln>
                    <a:effectLst/>
                  </c:spPr>
                </c15:leaderLines>
              </c:ext>
            </c:extLst>
          </c:dLbls>
          <c:cat>
            <c:strRef>
              <c:f>IN!$B$1:$F$1</c:f>
              <c:strCache>
                <c:ptCount val="5"/>
                <c:pt idx="0">
                  <c:v>2021</c:v>
                </c:pt>
                <c:pt idx="1">
                  <c:v>2022</c:v>
                </c:pt>
                <c:pt idx="2">
                  <c:v>2023</c:v>
                </c:pt>
                <c:pt idx="3">
                  <c:v>2024</c:v>
                </c:pt>
                <c:pt idx="4">
                  <c:v>2025*</c:v>
                </c:pt>
              </c:strCache>
            </c:strRef>
          </c:cat>
          <c:val>
            <c:numRef>
              <c:f>IN!$B$3:$F$3</c:f>
              <c:numCache>
                <c:formatCode>#,##0.00</c:formatCode>
                <c:ptCount val="5"/>
                <c:pt idx="0">
                  <c:v>1156487.01771</c:v>
                </c:pt>
                <c:pt idx="1">
                  <c:v>1481580.7523300003</c:v>
                </c:pt>
                <c:pt idx="2">
                  <c:v>1078964.1738</c:v>
                </c:pt>
                <c:pt idx="3">
                  <c:v>958914.68941999995</c:v>
                </c:pt>
                <c:pt idx="4">
                  <c:v>526247.14887999999</c:v>
                </c:pt>
              </c:numCache>
            </c:numRef>
          </c:val>
          <c:extLst>
            <c:ext xmlns:c15="http://schemas.microsoft.com/office/drawing/2012/chart" uri="{02D57815-91ED-43cb-92C2-25804820EDAC}">
              <c15:datalabelsRange>
                <c15:f>IN!$B$6:$F$6</c15:f>
                <c15:dlblRangeCache>
                  <c:ptCount val="5"/>
                  <c:pt idx="0">
                    <c:v>19.4%</c:v>
                  </c:pt>
                  <c:pt idx="1">
                    <c:v>22.4%</c:v>
                  </c:pt>
                  <c:pt idx="2">
                    <c:v>15.3%</c:v>
                  </c:pt>
                  <c:pt idx="3">
                    <c:v>12.8%</c:v>
                  </c:pt>
                  <c:pt idx="4">
                    <c:v>11.0%</c:v>
                  </c:pt>
                </c15:dlblRangeCache>
              </c15:datalabelsRange>
            </c:ext>
            <c:ext xmlns:c16="http://schemas.microsoft.com/office/drawing/2014/chart" uri="{C3380CC4-5D6E-409C-BE32-E72D297353CC}">
              <c16:uniqueId val="{00000005-8D8F-4A51-8D0E-D82D73573544}"/>
            </c:ext>
          </c:extLst>
        </c:ser>
        <c:ser>
          <c:idx val="2"/>
          <c:order val="2"/>
          <c:tx>
            <c:strRef>
              <c:f>IN!$A$4</c:f>
              <c:strCache>
                <c:ptCount val="1"/>
                <c:pt idx="0">
                  <c:v>Ingresos no petroleros</c:v>
                </c:pt>
              </c:strCache>
            </c:strRef>
          </c:tx>
          <c:invertIfNegative val="0"/>
          <c:dLbls>
            <c:dLbl>
              <c:idx val="0"/>
              <c:tx>
                <c:rich>
                  <a:bodyPr/>
                  <a:lstStyle/>
                  <a:p>
                    <a:fld id="{C7345F0C-CDE2-422F-BCD8-D9F92981A385}"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8D8F-4A51-8D0E-D82D73573544}"/>
                </c:ext>
              </c:extLst>
            </c:dLbl>
            <c:dLbl>
              <c:idx val="1"/>
              <c:tx>
                <c:rich>
                  <a:bodyPr/>
                  <a:lstStyle/>
                  <a:p>
                    <a:fld id="{C00ABD1A-9970-40EC-B64D-DAD7EACB55F8}"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D8F-4A51-8D0E-D82D73573544}"/>
                </c:ext>
              </c:extLst>
            </c:dLbl>
            <c:dLbl>
              <c:idx val="2"/>
              <c:tx>
                <c:rich>
                  <a:bodyPr/>
                  <a:lstStyle/>
                  <a:p>
                    <a:fld id="{1227B1E7-7640-45CB-A5E5-D3C157DAFA93}"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D8F-4A51-8D0E-D82D73573544}"/>
                </c:ext>
              </c:extLst>
            </c:dLbl>
            <c:dLbl>
              <c:idx val="3"/>
              <c:tx>
                <c:rich>
                  <a:bodyPr/>
                  <a:lstStyle/>
                  <a:p>
                    <a:fld id="{250851E0-B0B2-4D50-BE82-BE946D20400F}"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8D8F-4A51-8D0E-D82D73573544}"/>
                </c:ext>
              </c:extLst>
            </c:dLbl>
            <c:dLbl>
              <c:idx val="4"/>
              <c:tx>
                <c:rich>
                  <a:bodyPr/>
                  <a:lstStyle/>
                  <a:p>
                    <a:fld id="{0F094F16-5C02-4B38-9ABE-2C6F948EA446}"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8D8F-4A51-8D0E-D82D73573544}"/>
                </c:ext>
              </c:extLst>
            </c:dLbl>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IN!$B$1:$F$1</c:f>
              <c:strCache>
                <c:ptCount val="5"/>
                <c:pt idx="0">
                  <c:v>2021</c:v>
                </c:pt>
                <c:pt idx="1">
                  <c:v>2022</c:v>
                </c:pt>
                <c:pt idx="2">
                  <c:v>2023</c:v>
                </c:pt>
                <c:pt idx="3">
                  <c:v>2024</c:v>
                </c:pt>
                <c:pt idx="4">
                  <c:v>2025*</c:v>
                </c:pt>
              </c:strCache>
            </c:strRef>
          </c:cat>
          <c:val>
            <c:numRef>
              <c:f>IN!$B$4:$F$4</c:f>
              <c:numCache>
                <c:formatCode>#,##0.00</c:formatCode>
                <c:ptCount val="5"/>
                <c:pt idx="0">
                  <c:v>4804457.6028000005</c:v>
                </c:pt>
                <c:pt idx="1">
                  <c:v>5121248.8991999999</c:v>
                </c:pt>
                <c:pt idx="2">
                  <c:v>5960395.6210000003</c:v>
                </c:pt>
                <c:pt idx="3">
                  <c:v>6534014.2289999994</c:v>
                </c:pt>
                <c:pt idx="4">
                  <c:v>4238822.8535000011</c:v>
                </c:pt>
              </c:numCache>
            </c:numRef>
          </c:val>
          <c:extLst>
            <c:ext xmlns:c15="http://schemas.microsoft.com/office/drawing/2012/chart" uri="{02D57815-91ED-43cb-92C2-25804820EDAC}">
              <c15:datalabelsRange>
                <c15:f>IN!$B$7:$F$7</c15:f>
                <c15:dlblRangeCache>
                  <c:ptCount val="5"/>
                  <c:pt idx="0">
                    <c:v>80.6%</c:v>
                  </c:pt>
                  <c:pt idx="1">
                    <c:v>77.6%</c:v>
                  </c:pt>
                  <c:pt idx="2">
                    <c:v>84.7%</c:v>
                  </c:pt>
                  <c:pt idx="3">
                    <c:v>87.2%</c:v>
                  </c:pt>
                  <c:pt idx="4">
                    <c:v>89.0%</c:v>
                  </c:pt>
                </c15:dlblRangeCache>
              </c15:datalabelsRange>
            </c:ext>
            <c:ext xmlns:c16="http://schemas.microsoft.com/office/drawing/2014/chart" uri="{C3380CC4-5D6E-409C-BE32-E72D297353CC}">
              <c16:uniqueId val="{0000000B-8D8F-4A51-8D0E-D82D73573544}"/>
            </c:ext>
          </c:extLst>
        </c:ser>
        <c:dLbls>
          <c:showLegendKey val="0"/>
          <c:showVal val="1"/>
          <c:showCatName val="0"/>
          <c:showSerName val="0"/>
          <c:showPercent val="0"/>
          <c:showBubbleSize val="0"/>
        </c:dLbls>
        <c:gapWidth val="150"/>
        <c:overlap val="100"/>
        <c:axId val="416123904"/>
        <c:axId val="495933632"/>
      </c:barChart>
      <c:lineChart>
        <c:grouping val="standard"/>
        <c:varyColors val="0"/>
        <c:ser>
          <c:idx val="0"/>
          <c:order val="0"/>
          <c:tx>
            <c:strRef>
              <c:f>IN!$A$2</c:f>
              <c:strCache>
                <c:ptCount val="1"/>
                <c:pt idx="0">
                  <c:v>Ingresos presupuestarios</c:v>
                </c:pt>
              </c:strCache>
            </c:strRef>
          </c:tx>
          <c:spPr>
            <a:ln w="38100">
              <a:noFill/>
            </a:ln>
          </c:spPr>
          <c:marker>
            <c:symbol val="none"/>
          </c:marker>
          <c:dLbls>
            <c:delete val="1"/>
          </c:dLbls>
          <c:cat>
            <c:strRef>
              <c:f>Ingresos_Nac!$B$6:$F$6</c:f>
              <c:strCache>
                <c:ptCount val="5"/>
                <c:pt idx="0">
                  <c:v>2020</c:v>
                </c:pt>
                <c:pt idx="1">
                  <c:v>2021</c:v>
                </c:pt>
                <c:pt idx="2">
                  <c:v>2022</c:v>
                </c:pt>
                <c:pt idx="3">
                  <c:v>2023</c:v>
                </c:pt>
                <c:pt idx="4">
                  <c:v>2024*</c:v>
                </c:pt>
              </c:strCache>
            </c:strRef>
          </c:cat>
          <c:val>
            <c:numRef>
              <c:f>IN!$B$2:$F$2</c:f>
              <c:numCache>
                <c:formatCode>#,##0.00</c:formatCode>
                <c:ptCount val="5"/>
                <c:pt idx="0">
                  <c:v>5960944.6205999991</c:v>
                </c:pt>
                <c:pt idx="1">
                  <c:v>6602829.6514999997</c:v>
                </c:pt>
                <c:pt idx="2">
                  <c:v>7039359.7950999998</c:v>
                </c:pt>
                <c:pt idx="3">
                  <c:v>7492928.9183999998</c:v>
                </c:pt>
                <c:pt idx="4">
                  <c:v>4765070.0023999996</c:v>
                </c:pt>
              </c:numCache>
            </c:numRef>
          </c:val>
          <c:smooth val="0"/>
          <c:extLst>
            <c:ext xmlns:c16="http://schemas.microsoft.com/office/drawing/2014/chart" uri="{C3380CC4-5D6E-409C-BE32-E72D297353CC}">
              <c16:uniqueId val="{0000000C-8D8F-4A51-8D0E-D82D73573544}"/>
            </c:ext>
          </c:extLst>
        </c:ser>
        <c:dLbls>
          <c:showLegendKey val="0"/>
          <c:showVal val="1"/>
          <c:showCatName val="0"/>
          <c:showSerName val="0"/>
          <c:showPercent val="0"/>
          <c:showBubbleSize val="0"/>
        </c:dLbls>
        <c:marker val="1"/>
        <c:smooth val="0"/>
        <c:axId val="416124416"/>
        <c:axId val="495934208"/>
      </c:lineChart>
      <c:catAx>
        <c:axId val="41612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495933632"/>
        <c:crosses val="autoZero"/>
        <c:auto val="1"/>
        <c:lblAlgn val="ctr"/>
        <c:lblOffset val="100"/>
        <c:noMultiLvlLbl val="0"/>
      </c:catAx>
      <c:valAx>
        <c:axId val="495933632"/>
        <c:scaling>
          <c:orientation val="minMax"/>
          <c:max val="8000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416123904"/>
        <c:crosses val="autoZero"/>
        <c:crossBetween val="between"/>
      </c:valAx>
      <c:valAx>
        <c:axId val="495934208"/>
        <c:scaling>
          <c:orientation val="minMax"/>
        </c:scaling>
        <c:delete val="0"/>
        <c:axPos val="r"/>
        <c:numFmt formatCode="#,##0.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416124416"/>
        <c:crosses val="max"/>
        <c:crossBetween val="between"/>
      </c:valAx>
      <c:catAx>
        <c:axId val="416124416"/>
        <c:scaling>
          <c:orientation val="minMax"/>
        </c:scaling>
        <c:delete val="1"/>
        <c:axPos val="b"/>
        <c:numFmt formatCode="General" sourceLinked="1"/>
        <c:majorTickMark val="out"/>
        <c:minorTickMark val="none"/>
        <c:tickLblPos val="nextTo"/>
        <c:crossAx val="495934208"/>
        <c:crosses val="autoZero"/>
        <c:auto val="1"/>
        <c:lblAlgn val="ctr"/>
        <c:lblOffset val="100"/>
        <c:noMultiLvlLbl val="0"/>
      </c:catAx>
      <c:dTable>
        <c:showHorzBorder val="1"/>
        <c:showVertBorder val="1"/>
        <c:showOutline val="1"/>
        <c:showKeys val="1"/>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s-MX"/>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IN!$A$13</c:f>
              <c:strCache>
                <c:ptCount val="1"/>
                <c:pt idx="0">
                  <c:v>ISR</c:v>
                </c:pt>
              </c:strCache>
            </c:strRef>
          </c:tx>
          <c:spPr>
            <a:solidFill>
              <a:schemeClr val="accent2"/>
            </a:solidFill>
            <a:ln>
              <a:noFill/>
            </a:ln>
            <a:effectLst/>
          </c:spPr>
          <c:invertIfNegative val="0"/>
          <c:dLbls>
            <c:dLbl>
              <c:idx val="0"/>
              <c:tx>
                <c:rich>
                  <a:bodyPr/>
                  <a:lstStyle/>
                  <a:p>
                    <a:fld id="{1623E5CD-630D-4244-AB08-B4D335E608F0}"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222-4FB4-910C-BC8CAA76499F}"/>
                </c:ext>
              </c:extLst>
            </c:dLbl>
            <c:dLbl>
              <c:idx val="1"/>
              <c:tx>
                <c:rich>
                  <a:bodyPr/>
                  <a:lstStyle/>
                  <a:p>
                    <a:fld id="{EAB83E07-EC03-4D3E-AFE4-321DC0A3A910}"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222-4FB4-910C-BC8CAA76499F}"/>
                </c:ext>
              </c:extLst>
            </c:dLbl>
            <c:dLbl>
              <c:idx val="2"/>
              <c:tx>
                <c:rich>
                  <a:bodyPr/>
                  <a:lstStyle/>
                  <a:p>
                    <a:fld id="{9E869B54-06F9-4B30-9232-095353DD0C99}"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222-4FB4-910C-BC8CAA76499F}"/>
                </c:ext>
              </c:extLst>
            </c:dLbl>
            <c:dLbl>
              <c:idx val="3"/>
              <c:tx>
                <c:rich>
                  <a:bodyPr/>
                  <a:lstStyle/>
                  <a:p>
                    <a:fld id="{104061F9-B42F-464E-A285-24DCD9CDC6EF}"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222-4FB4-910C-BC8CAA76499F}"/>
                </c:ext>
              </c:extLst>
            </c:dLbl>
            <c:dLbl>
              <c:idx val="4"/>
              <c:tx>
                <c:rich>
                  <a:bodyPr/>
                  <a:lstStyle/>
                  <a:p>
                    <a:fld id="{9C48F7B3-BCFE-4052-A90A-186067FE9B42}"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222-4FB4-910C-BC8CAA7649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IN!$B$11:$F$11</c:f>
              <c:strCache>
                <c:ptCount val="5"/>
                <c:pt idx="0">
                  <c:v>2021</c:v>
                </c:pt>
                <c:pt idx="1">
                  <c:v>2022</c:v>
                </c:pt>
                <c:pt idx="2">
                  <c:v>2023</c:v>
                </c:pt>
                <c:pt idx="3">
                  <c:v>2024</c:v>
                </c:pt>
                <c:pt idx="4">
                  <c:v>2025*</c:v>
                </c:pt>
              </c:strCache>
            </c:strRef>
          </c:cat>
          <c:val>
            <c:numRef>
              <c:f>IN!$B$13:$F$13</c:f>
              <c:numCache>
                <c:formatCode>#,##0.00</c:formatCode>
                <c:ptCount val="5"/>
                <c:pt idx="0">
                  <c:v>1895442.8603000001</c:v>
                </c:pt>
                <c:pt idx="1">
                  <c:v>2270057.4753999999</c:v>
                </c:pt>
                <c:pt idx="2">
                  <c:v>2506528.8969000001</c:v>
                </c:pt>
                <c:pt idx="3">
                  <c:v>2682264.8358999994</c:v>
                </c:pt>
                <c:pt idx="4">
                  <c:v>1820076.3169</c:v>
                </c:pt>
              </c:numCache>
            </c:numRef>
          </c:val>
          <c:extLst>
            <c:ext xmlns:c15="http://schemas.microsoft.com/office/drawing/2012/chart" uri="{02D57815-91ED-43cb-92C2-25804820EDAC}">
              <c15:datalabelsRange>
                <c15:f>IN!$B$18:$F$18</c15:f>
                <c15:dlblRangeCache>
                  <c:ptCount val="5"/>
                  <c:pt idx="0">
                    <c:v>53.1%</c:v>
                  </c:pt>
                  <c:pt idx="1">
                    <c:v>59.6%</c:v>
                  </c:pt>
                  <c:pt idx="2">
                    <c:v>55.5%</c:v>
                  </c:pt>
                  <c:pt idx="3">
                    <c:v>54.2%</c:v>
                  </c:pt>
                  <c:pt idx="4">
                    <c:v>55.5%</c:v>
                  </c:pt>
                </c15:dlblRangeCache>
              </c15:datalabelsRange>
            </c:ext>
            <c:ext xmlns:c16="http://schemas.microsoft.com/office/drawing/2014/chart" uri="{C3380CC4-5D6E-409C-BE32-E72D297353CC}">
              <c16:uniqueId val="{00000005-6222-4FB4-910C-BC8CAA76499F}"/>
            </c:ext>
          </c:extLst>
        </c:ser>
        <c:ser>
          <c:idx val="2"/>
          <c:order val="2"/>
          <c:tx>
            <c:strRef>
              <c:f>IN!$A$14</c:f>
              <c:strCache>
                <c:ptCount val="1"/>
                <c:pt idx="0">
                  <c:v>IVA</c:v>
                </c:pt>
              </c:strCache>
            </c:strRef>
          </c:tx>
          <c:spPr>
            <a:solidFill>
              <a:schemeClr val="accent3"/>
            </a:solidFill>
            <a:ln>
              <a:noFill/>
            </a:ln>
            <a:effectLst/>
          </c:spPr>
          <c:invertIfNegative val="0"/>
          <c:dLbls>
            <c:dLbl>
              <c:idx val="0"/>
              <c:tx>
                <c:rich>
                  <a:bodyPr/>
                  <a:lstStyle/>
                  <a:p>
                    <a:fld id="{6E6CF9D2-6DAA-4AEF-894E-DCB82FCFF695}"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6222-4FB4-910C-BC8CAA76499F}"/>
                </c:ext>
              </c:extLst>
            </c:dLbl>
            <c:dLbl>
              <c:idx val="1"/>
              <c:tx>
                <c:rich>
                  <a:bodyPr/>
                  <a:lstStyle/>
                  <a:p>
                    <a:fld id="{801401B5-220B-4AD5-BBAB-4D405FA12F5E}"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6222-4FB4-910C-BC8CAA76499F}"/>
                </c:ext>
              </c:extLst>
            </c:dLbl>
            <c:dLbl>
              <c:idx val="2"/>
              <c:tx>
                <c:rich>
                  <a:bodyPr/>
                  <a:lstStyle/>
                  <a:p>
                    <a:fld id="{CE28610E-3140-435D-8A2A-7BE73BCC1356}"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6222-4FB4-910C-BC8CAA76499F}"/>
                </c:ext>
              </c:extLst>
            </c:dLbl>
            <c:dLbl>
              <c:idx val="3"/>
              <c:tx>
                <c:rich>
                  <a:bodyPr/>
                  <a:lstStyle/>
                  <a:p>
                    <a:fld id="{E88FB0E2-026D-4444-BCD4-0D7685596E37}"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6222-4FB4-910C-BC8CAA76499F}"/>
                </c:ext>
              </c:extLst>
            </c:dLbl>
            <c:dLbl>
              <c:idx val="4"/>
              <c:tx>
                <c:rich>
                  <a:bodyPr/>
                  <a:lstStyle/>
                  <a:p>
                    <a:fld id="{476B8289-7A69-43A5-B5F2-497F735FFBE5}"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6222-4FB4-910C-BC8CAA7649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IN!$B$11:$F$11</c:f>
              <c:strCache>
                <c:ptCount val="5"/>
                <c:pt idx="0">
                  <c:v>2021</c:v>
                </c:pt>
                <c:pt idx="1">
                  <c:v>2022</c:v>
                </c:pt>
                <c:pt idx="2">
                  <c:v>2023</c:v>
                </c:pt>
                <c:pt idx="3">
                  <c:v>2024</c:v>
                </c:pt>
                <c:pt idx="4">
                  <c:v>2025*</c:v>
                </c:pt>
              </c:strCache>
            </c:strRef>
          </c:cat>
          <c:val>
            <c:numRef>
              <c:f>IN!$B$14:$F$14</c:f>
              <c:numCache>
                <c:formatCode>#,##0.00</c:formatCode>
                <c:ptCount val="5"/>
                <c:pt idx="0">
                  <c:v>1123698.64381</c:v>
                </c:pt>
                <c:pt idx="1">
                  <c:v>1221802.6728000001</c:v>
                </c:pt>
                <c:pt idx="2">
                  <c:v>1366582.5681099999</c:v>
                </c:pt>
                <c:pt idx="3">
                  <c:v>1407982.5174899998</c:v>
                </c:pt>
                <c:pt idx="4">
                  <c:v>911351.86430000002</c:v>
                </c:pt>
              </c:numCache>
            </c:numRef>
          </c:val>
          <c:extLst>
            <c:ext xmlns:c15="http://schemas.microsoft.com/office/drawing/2012/chart" uri="{02D57815-91ED-43cb-92C2-25804820EDAC}">
              <c15:datalabelsRange>
                <c15:f>IN!$B$19:$F$19</c15:f>
                <c15:dlblRangeCache>
                  <c:ptCount val="5"/>
                  <c:pt idx="0">
                    <c:v>31.5%</c:v>
                  </c:pt>
                  <c:pt idx="1">
                    <c:v>32.1%</c:v>
                  </c:pt>
                  <c:pt idx="2">
                    <c:v>30.3%</c:v>
                  </c:pt>
                  <c:pt idx="3">
                    <c:v>28.4%</c:v>
                  </c:pt>
                  <c:pt idx="4">
                    <c:v>27.8%</c:v>
                  </c:pt>
                </c15:dlblRangeCache>
              </c15:datalabelsRange>
            </c:ext>
            <c:ext xmlns:c16="http://schemas.microsoft.com/office/drawing/2014/chart" uri="{C3380CC4-5D6E-409C-BE32-E72D297353CC}">
              <c16:uniqueId val="{0000000B-6222-4FB4-910C-BC8CAA76499F}"/>
            </c:ext>
          </c:extLst>
        </c:ser>
        <c:ser>
          <c:idx val="3"/>
          <c:order val="3"/>
          <c:tx>
            <c:strRef>
              <c:f>IN!$A$15</c:f>
              <c:strCache>
                <c:ptCount val="1"/>
                <c:pt idx="0">
                  <c:v>IEPS</c:v>
                </c:pt>
              </c:strCache>
            </c:strRef>
          </c:tx>
          <c:spPr>
            <a:solidFill>
              <a:schemeClr val="accent4"/>
            </a:solidFill>
            <a:ln>
              <a:noFill/>
            </a:ln>
            <a:effectLst/>
          </c:spPr>
          <c:invertIfNegative val="0"/>
          <c:dLbls>
            <c:dLbl>
              <c:idx val="0"/>
              <c:tx>
                <c:rich>
                  <a:bodyPr/>
                  <a:lstStyle/>
                  <a:p>
                    <a:fld id="{463305FA-6C43-4419-82DB-1DD0C976F895}"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6222-4FB4-910C-BC8CAA76499F}"/>
                </c:ext>
              </c:extLst>
            </c:dLbl>
            <c:dLbl>
              <c:idx val="1"/>
              <c:tx>
                <c:rich>
                  <a:bodyPr/>
                  <a:lstStyle/>
                  <a:p>
                    <a:fld id="{E233C70E-2C80-4FE4-B6C1-2EA0E014ECA9}"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6222-4FB4-910C-BC8CAA76499F}"/>
                </c:ext>
              </c:extLst>
            </c:dLbl>
            <c:dLbl>
              <c:idx val="2"/>
              <c:tx>
                <c:rich>
                  <a:bodyPr/>
                  <a:lstStyle/>
                  <a:p>
                    <a:fld id="{9324E836-0B53-495A-AB77-59CE257CA52D}"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6222-4FB4-910C-BC8CAA76499F}"/>
                </c:ext>
              </c:extLst>
            </c:dLbl>
            <c:dLbl>
              <c:idx val="3"/>
              <c:tx>
                <c:rich>
                  <a:bodyPr/>
                  <a:lstStyle/>
                  <a:p>
                    <a:fld id="{EBC71D05-F2CD-4EC1-8E7F-F1A9383B2A2B}"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6222-4FB4-910C-BC8CAA76499F}"/>
                </c:ext>
              </c:extLst>
            </c:dLbl>
            <c:dLbl>
              <c:idx val="4"/>
              <c:tx>
                <c:rich>
                  <a:bodyPr/>
                  <a:lstStyle/>
                  <a:p>
                    <a:fld id="{7D8428F1-775E-4D41-B9BF-3AC7CEBE6010}"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6222-4FB4-910C-BC8CAA7649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MX"/>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IN!$B$11:$F$11</c:f>
              <c:strCache>
                <c:ptCount val="5"/>
                <c:pt idx="0">
                  <c:v>2021</c:v>
                </c:pt>
                <c:pt idx="1">
                  <c:v>2022</c:v>
                </c:pt>
                <c:pt idx="2">
                  <c:v>2023</c:v>
                </c:pt>
                <c:pt idx="3">
                  <c:v>2024</c:v>
                </c:pt>
                <c:pt idx="4">
                  <c:v>2025*</c:v>
                </c:pt>
              </c:strCache>
            </c:strRef>
          </c:cat>
          <c:val>
            <c:numRef>
              <c:f>IN!$B$15:$F$15</c:f>
              <c:numCache>
                <c:formatCode>#,##0.00</c:formatCode>
                <c:ptCount val="5"/>
                <c:pt idx="0">
                  <c:v>399154.15401</c:v>
                </c:pt>
                <c:pt idx="1">
                  <c:v>117532.90518099999</c:v>
                </c:pt>
                <c:pt idx="2">
                  <c:v>445101.94296999997</c:v>
                </c:pt>
                <c:pt idx="3">
                  <c:v>628364.09164999996</c:v>
                </c:pt>
                <c:pt idx="4">
                  <c:v>379084.18258000002</c:v>
                </c:pt>
              </c:numCache>
            </c:numRef>
          </c:val>
          <c:extLst>
            <c:ext xmlns:c15="http://schemas.microsoft.com/office/drawing/2012/chart" uri="{02D57815-91ED-43cb-92C2-25804820EDAC}">
              <c15:datalabelsRange>
                <c15:f>IN!$B$20:$F$20</c15:f>
                <c15:dlblRangeCache>
                  <c:ptCount val="5"/>
                  <c:pt idx="0">
                    <c:v>11.2%</c:v>
                  </c:pt>
                  <c:pt idx="1">
                    <c:v>3.1%</c:v>
                  </c:pt>
                  <c:pt idx="2">
                    <c:v>9.9%</c:v>
                  </c:pt>
                  <c:pt idx="3">
                    <c:v>12.7%</c:v>
                  </c:pt>
                  <c:pt idx="4">
                    <c:v>11.6%</c:v>
                  </c:pt>
                </c15:dlblRangeCache>
              </c15:datalabelsRange>
            </c:ext>
            <c:ext xmlns:c16="http://schemas.microsoft.com/office/drawing/2014/chart" uri="{C3380CC4-5D6E-409C-BE32-E72D297353CC}">
              <c16:uniqueId val="{00000011-6222-4FB4-910C-BC8CAA76499F}"/>
            </c:ext>
          </c:extLst>
        </c:ser>
        <c:ser>
          <c:idx val="4"/>
          <c:order val="4"/>
          <c:tx>
            <c:strRef>
              <c:f>IN!$A$16</c:f>
              <c:strCache>
                <c:ptCount val="1"/>
                <c:pt idx="0">
                  <c:v>Otros</c:v>
                </c:pt>
              </c:strCache>
            </c:strRef>
          </c:tx>
          <c:spPr>
            <a:solidFill>
              <a:schemeClr val="accent5"/>
            </a:solidFill>
            <a:ln>
              <a:noFill/>
            </a:ln>
            <a:effectLst/>
          </c:spPr>
          <c:invertIfNegative val="0"/>
          <c:dLbls>
            <c:dLbl>
              <c:idx val="0"/>
              <c:tx>
                <c:rich>
                  <a:bodyPr/>
                  <a:lstStyle/>
                  <a:p>
                    <a:fld id="{8E1B5E1B-C6EF-428A-B33F-F9B206FDFCEB}"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6222-4FB4-910C-BC8CAA76499F}"/>
                </c:ext>
              </c:extLst>
            </c:dLbl>
            <c:dLbl>
              <c:idx val="1"/>
              <c:tx>
                <c:rich>
                  <a:bodyPr/>
                  <a:lstStyle/>
                  <a:p>
                    <a:fld id="{7A36C518-7B64-48C4-8CB0-4484C2A07082}"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6222-4FB4-910C-BC8CAA76499F}"/>
                </c:ext>
              </c:extLst>
            </c:dLbl>
            <c:dLbl>
              <c:idx val="2"/>
              <c:tx>
                <c:rich>
                  <a:bodyPr/>
                  <a:lstStyle/>
                  <a:p>
                    <a:fld id="{DFEB724D-D7BC-4E4F-8041-398ABA31DA5F}"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6222-4FB4-910C-BC8CAA76499F}"/>
                </c:ext>
              </c:extLst>
            </c:dLbl>
            <c:dLbl>
              <c:idx val="3"/>
              <c:tx>
                <c:rich>
                  <a:bodyPr/>
                  <a:lstStyle/>
                  <a:p>
                    <a:fld id="{F13F42D4-0D22-4163-B0E3-F0CBD103C4C8}"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6222-4FB4-910C-BC8CAA76499F}"/>
                </c:ext>
              </c:extLst>
            </c:dLbl>
            <c:dLbl>
              <c:idx val="4"/>
              <c:tx>
                <c:rich>
                  <a:bodyPr/>
                  <a:lstStyle/>
                  <a:p>
                    <a:fld id="{2FE9C7BA-B475-44AA-AA11-83B71AE65AEE}"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6222-4FB4-910C-BC8CAA7649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MX"/>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IN!$B$11:$F$11</c:f>
              <c:strCache>
                <c:ptCount val="5"/>
                <c:pt idx="0">
                  <c:v>2021</c:v>
                </c:pt>
                <c:pt idx="1">
                  <c:v>2022</c:v>
                </c:pt>
                <c:pt idx="2">
                  <c:v>2023</c:v>
                </c:pt>
                <c:pt idx="3">
                  <c:v>2024</c:v>
                </c:pt>
                <c:pt idx="4">
                  <c:v>2025*</c:v>
                </c:pt>
              </c:strCache>
            </c:strRef>
          </c:cat>
          <c:val>
            <c:numRef>
              <c:f>IN!$B$16:$F$16</c:f>
              <c:numCache>
                <c:formatCode>#,##0.00</c:formatCode>
                <c:ptCount val="5"/>
                <c:pt idx="0">
                  <c:v>148452.64159800005</c:v>
                </c:pt>
                <c:pt idx="1">
                  <c:v>199314.11252000002</c:v>
                </c:pt>
                <c:pt idx="2">
                  <c:v>198967.45069500001</c:v>
                </c:pt>
                <c:pt idx="3">
                  <c:v>234712.74724599998</c:v>
                </c:pt>
                <c:pt idx="4">
                  <c:v>168330.64935500006</c:v>
                </c:pt>
              </c:numCache>
            </c:numRef>
          </c:val>
          <c:extLst>
            <c:ext xmlns:c15="http://schemas.microsoft.com/office/drawing/2012/chart" uri="{02D57815-91ED-43cb-92C2-25804820EDAC}">
              <c15:datalabelsRange>
                <c15:f>IN!$B$21:$F$21</c15:f>
                <c15:dlblRangeCache>
                  <c:ptCount val="5"/>
                  <c:pt idx="0">
                    <c:v>4.2%</c:v>
                  </c:pt>
                  <c:pt idx="1">
                    <c:v>5.2%</c:v>
                  </c:pt>
                  <c:pt idx="2">
                    <c:v>4.4%</c:v>
                  </c:pt>
                  <c:pt idx="3">
                    <c:v>4.7%</c:v>
                  </c:pt>
                  <c:pt idx="4">
                    <c:v>5.1%</c:v>
                  </c:pt>
                </c15:dlblRangeCache>
              </c15:datalabelsRange>
            </c:ext>
            <c:ext xmlns:c16="http://schemas.microsoft.com/office/drawing/2014/chart" uri="{C3380CC4-5D6E-409C-BE32-E72D297353CC}">
              <c16:uniqueId val="{00000017-6222-4FB4-910C-BC8CAA76499F}"/>
            </c:ext>
          </c:extLst>
        </c:ser>
        <c:dLbls>
          <c:showLegendKey val="0"/>
          <c:showVal val="1"/>
          <c:showCatName val="0"/>
          <c:showSerName val="0"/>
          <c:showPercent val="0"/>
          <c:showBubbleSize val="0"/>
        </c:dLbls>
        <c:gapWidth val="150"/>
        <c:overlap val="100"/>
        <c:axId val="418025984"/>
        <c:axId val="433578560"/>
      </c:barChart>
      <c:lineChart>
        <c:grouping val="standard"/>
        <c:varyColors val="0"/>
        <c:ser>
          <c:idx val="0"/>
          <c:order val="0"/>
          <c:tx>
            <c:strRef>
              <c:f>IN!$A$12</c:f>
              <c:strCache>
                <c:ptCount val="1"/>
                <c:pt idx="0">
                  <c:v>Total</c:v>
                </c:pt>
              </c:strCache>
            </c:strRef>
          </c:tx>
          <c:spPr>
            <a:ln w="25400" cap="rnd">
              <a:noFill/>
              <a:round/>
            </a:ln>
            <a:effectLst/>
          </c:spPr>
          <c:marker>
            <c:symbol val="none"/>
          </c:marker>
          <c:dLbls>
            <c:delete val="1"/>
          </c:dLbls>
          <c:cat>
            <c:strRef>
              <c:f>Ingresos_Nac!$B$26:$F$26</c:f>
              <c:strCache>
                <c:ptCount val="5"/>
                <c:pt idx="0">
                  <c:v>2020</c:v>
                </c:pt>
                <c:pt idx="1">
                  <c:v>2021</c:v>
                </c:pt>
                <c:pt idx="2">
                  <c:v>2022</c:v>
                </c:pt>
                <c:pt idx="3">
                  <c:v>2023</c:v>
                </c:pt>
                <c:pt idx="4">
                  <c:v>2024*</c:v>
                </c:pt>
              </c:strCache>
            </c:strRef>
          </c:cat>
          <c:val>
            <c:numRef>
              <c:f>IN!$B$12:$F$12</c:f>
              <c:numCache>
                <c:formatCode>#,##0.00</c:formatCode>
                <c:ptCount val="5"/>
                <c:pt idx="0">
                  <c:v>3566748.2996</c:v>
                </c:pt>
                <c:pt idx="1">
                  <c:v>3808707.1657999996</c:v>
                </c:pt>
                <c:pt idx="2">
                  <c:v>4517180.8584000003</c:v>
                </c:pt>
                <c:pt idx="3">
                  <c:v>4953324.1921999995</c:v>
                </c:pt>
                <c:pt idx="4">
                  <c:v>3278843.0129000004</c:v>
                </c:pt>
              </c:numCache>
            </c:numRef>
          </c:val>
          <c:smooth val="0"/>
          <c:extLst>
            <c:ext xmlns:c16="http://schemas.microsoft.com/office/drawing/2014/chart" uri="{C3380CC4-5D6E-409C-BE32-E72D297353CC}">
              <c16:uniqueId val="{00000018-6222-4FB4-910C-BC8CAA76499F}"/>
            </c:ext>
          </c:extLst>
        </c:ser>
        <c:dLbls>
          <c:showLegendKey val="0"/>
          <c:showVal val="1"/>
          <c:showCatName val="0"/>
          <c:showSerName val="0"/>
          <c:showPercent val="0"/>
          <c:showBubbleSize val="0"/>
        </c:dLbls>
        <c:marker val="1"/>
        <c:smooth val="0"/>
        <c:axId val="418026496"/>
        <c:axId val="433579136"/>
      </c:lineChart>
      <c:catAx>
        <c:axId val="41802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33578560"/>
        <c:crosses val="autoZero"/>
        <c:auto val="1"/>
        <c:lblAlgn val="ctr"/>
        <c:lblOffset val="100"/>
        <c:noMultiLvlLbl val="0"/>
      </c:catAx>
      <c:valAx>
        <c:axId val="433578560"/>
        <c:scaling>
          <c:orientation val="minMax"/>
          <c:max val="5000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8025984"/>
        <c:crosses val="autoZero"/>
        <c:crossBetween val="between"/>
      </c:valAx>
      <c:valAx>
        <c:axId val="433579136"/>
        <c:scaling>
          <c:orientation val="minMax"/>
          <c:max val="4500000"/>
        </c:scaling>
        <c:delete val="0"/>
        <c:axPos val="r"/>
        <c:numFmt formatCode="#,##0.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8026496"/>
        <c:crosses val="max"/>
        <c:crossBetween val="between"/>
      </c:valAx>
      <c:catAx>
        <c:axId val="418026496"/>
        <c:scaling>
          <c:orientation val="minMax"/>
        </c:scaling>
        <c:delete val="1"/>
        <c:axPos val="b"/>
        <c:numFmt formatCode="General" sourceLinked="1"/>
        <c:majorTickMark val="out"/>
        <c:minorTickMark val="none"/>
        <c:tickLblPos val="nextTo"/>
        <c:crossAx val="43357913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mn-lt"/>
        </a:defRPr>
      </a:pPr>
      <a:endParaRPr lang="es-MX"/>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850341607147124"/>
          <c:y val="5.0925925925925923E-2"/>
          <c:w val="0.70149658392852876"/>
          <c:h val="0.68037073490813649"/>
        </c:manualLayout>
      </c:layout>
      <c:barChart>
        <c:barDir val="col"/>
        <c:grouping val="stacked"/>
        <c:varyColors val="0"/>
        <c:ser>
          <c:idx val="1"/>
          <c:order val="1"/>
          <c:tx>
            <c:strRef>
              <c:f>EN!$A$3</c:f>
              <c:strCache>
                <c:ptCount val="1"/>
                <c:pt idx="0">
                  <c:v>Gasto Programable</c:v>
                </c:pt>
              </c:strCache>
            </c:strRef>
          </c:tx>
          <c:spPr>
            <a:solidFill>
              <a:schemeClr val="accent2"/>
            </a:solidFill>
            <a:ln>
              <a:noFill/>
            </a:ln>
            <a:effectLst/>
          </c:spPr>
          <c:invertIfNegative val="0"/>
          <c:dLbls>
            <c:dLbl>
              <c:idx val="0"/>
              <c:tx>
                <c:rich>
                  <a:bodyPr/>
                  <a:lstStyle/>
                  <a:p>
                    <a:fld id="{79C6B789-D566-460F-844F-899016195B67}"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EA3-4E26-AC99-8028985B9E02}"/>
                </c:ext>
              </c:extLst>
            </c:dLbl>
            <c:dLbl>
              <c:idx val="1"/>
              <c:tx>
                <c:rich>
                  <a:bodyPr/>
                  <a:lstStyle/>
                  <a:p>
                    <a:fld id="{C866357B-10A4-4D12-83CD-4A842CA41E34}"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EA3-4E26-AC99-8028985B9E02}"/>
                </c:ext>
              </c:extLst>
            </c:dLbl>
            <c:dLbl>
              <c:idx val="2"/>
              <c:tx>
                <c:rich>
                  <a:bodyPr/>
                  <a:lstStyle/>
                  <a:p>
                    <a:fld id="{C5BDF310-2EA4-4247-B85A-2AA5A2CFDC13}"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EA3-4E26-AC99-8028985B9E02}"/>
                </c:ext>
              </c:extLst>
            </c:dLbl>
            <c:dLbl>
              <c:idx val="3"/>
              <c:tx>
                <c:rich>
                  <a:bodyPr/>
                  <a:lstStyle/>
                  <a:p>
                    <a:fld id="{79E6365A-5B3B-4968-96AC-D432AD9DB643}"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EA3-4E26-AC99-8028985B9E02}"/>
                </c:ext>
              </c:extLst>
            </c:dLbl>
            <c:dLbl>
              <c:idx val="4"/>
              <c:tx>
                <c:rich>
                  <a:bodyPr/>
                  <a:lstStyle/>
                  <a:p>
                    <a:fld id="{4263906D-6882-4BA7-8A86-20D079170453}"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EA3-4E26-AC99-8028985B9E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EN!$B$1:$F$1</c:f>
              <c:strCache>
                <c:ptCount val="5"/>
                <c:pt idx="0">
                  <c:v>2021</c:v>
                </c:pt>
                <c:pt idx="1">
                  <c:v>2022</c:v>
                </c:pt>
                <c:pt idx="2">
                  <c:v>2023</c:v>
                </c:pt>
                <c:pt idx="3">
                  <c:v>2024</c:v>
                </c:pt>
                <c:pt idx="4">
                  <c:v>2025*</c:v>
                </c:pt>
              </c:strCache>
            </c:strRef>
          </c:cat>
          <c:val>
            <c:numRef>
              <c:f>EN!$B$3:$F$3</c:f>
              <c:numCache>
                <c:formatCode>#,##0.00</c:formatCode>
                <c:ptCount val="5"/>
                <c:pt idx="0">
                  <c:v>5125610.1926999995</c:v>
                </c:pt>
                <c:pt idx="1">
                  <c:v>5673323.0992000001</c:v>
                </c:pt>
                <c:pt idx="2">
                  <c:v>5903441.7140999995</c:v>
                </c:pt>
                <c:pt idx="3">
                  <c:v>6730580.6344000008</c:v>
                </c:pt>
                <c:pt idx="4">
                  <c:v>3684934.7555000004</c:v>
                </c:pt>
              </c:numCache>
            </c:numRef>
          </c:val>
          <c:extLst>
            <c:ext xmlns:c15="http://schemas.microsoft.com/office/drawing/2012/chart" uri="{02D57815-91ED-43cb-92C2-25804820EDAC}">
              <c15:datalabelsRange>
                <c15:f>EN!$B$6:$F$6</c15:f>
                <c15:dlblRangeCache>
                  <c:ptCount val="5"/>
                  <c:pt idx="0">
                    <c:v>76.1%</c:v>
                  </c:pt>
                  <c:pt idx="1">
                    <c:v>75.1%</c:v>
                  </c:pt>
                  <c:pt idx="2">
                    <c:v>72.7%</c:v>
                  </c:pt>
                  <c:pt idx="3">
                    <c:v>73.4%</c:v>
                  </c:pt>
                  <c:pt idx="4">
                    <c:v>69.0%</c:v>
                  </c:pt>
                </c15:dlblRangeCache>
              </c15:datalabelsRange>
            </c:ext>
            <c:ext xmlns:c16="http://schemas.microsoft.com/office/drawing/2014/chart" uri="{C3380CC4-5D6E-409C-BE32-E72D297353CC}">
              <c16:uniqueId val="{00000005-7EA3-4E26-AC99-8028985B9E02}"/>
            </c:ext>
          </c:extLst>
        </c:ser>
        <c:ser>
          <c:idx val="2"/>
          <c:order val="2"/>
          <c:tx>
            <c:strRef>
              <c:f>EN!$A$4</c:f>
              <c:strCache>
                <c:ptCount val="1"/>
                <c:pt idx="0">
                  <c:v>Gasto No Programable</c:v>
                </c:pt>
              </c:strCache>
            </c:strRef>
          </c:tx>
          <c:spPr>
            <a:solidFill>
              <a:schemeClr val="accent3"/>
            </a:solidFill>
            <a:ln>
              <a:noFill/>
            </a:ln>
            <a:effectLst/>
          </c:spPr>
          <c:invertIfNegative val="0"/>
          <c:dLbls>
            <c:dLbl>
              <c:idx val="0"/>
              <c:tx>
                <c:rich>
                  <a:bodyPr/>
                  <a:lstStyle/>
                  <a:p>
                    <a:fld id="{AB3298B6-5549-4894-AD4A-71DE13CED684}"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7EA3-4E26-AC99-8028985B9E02}"/>
                </c:ext>
              </c:extLst>
            </c:dLbl>
            <c:dLbl>
              <c:idx val="1"/>
              <c:tx>
                <c:rich>
                  <a:bodyPr/>
                  <a:lstStyle/>
                  <a:p>
                    <a:fld id="{1C5EA791-EDEC-424D-A8FB-AB12CFBC9212}"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7EA3-4E26-AC99-8028985B9E02}"/>
                </c:ext>
              </c:extLst>
            </c:dLbl>
            <c:dLbl>
              <c:idx val="2"/>
              <c:tx>
                <c:rich>
                  <a:bodyPr/>
                  <a:lstStyle/>
                  <a:p>
                    <a:fld id="{8B612D24-F5A6-41E8-B34B-3229B50670D0}"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7EA3-4E26-AC99-8028985B9E02}"/>
                </c:ext>
              </c:extLst>
            </c:dLbl>
            <c:dLbl>
              <c:idx val="3"/>
              <c:tx>
                <c:rich>
                  <a:bodyPr/>
                  <a:lstStyle/>
                  <a:p>
                    <a:fld id="{C30B1D0E-AABF-4B67-AB33-5921A6795DCB}"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7EA3-4E26-AC99-8028985B9E02}"/>
                </c:ext>
              </c:extLst>
            </c:dLbl>
            <c:dLbl>
              <c:idx val="4"/>
              <c:tx>
                <c:rich>
                  <a:bodyPr/>
                  <a:lstStyle/>
                  <a:p>
                    <a:fld id="{82F5F8BF-1C42-420F-B320-59575DC7343E}"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EA3-4E26-AC99-8028985B9E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EN!$B$1:$F$1</c:f>
              <c:strCache>
                <c:ptCount val="5"/>
                <c:pt idx="0">
                  <c:v>2021</c:v>
                </c:pt>
                <c:pt idx="1">
                  <c:v>2022</c:v>
                </c:pt>
                <c:pt idx="2">
                  <c:v>2023</c:v>
                </c:pt>
                <c:pt idx="3">
                  <c:v>2024</c:v>
                </c:pt>
                <c:pt idx="4">
                  <c:v>2025*</c:v>
                </c:pt>
              </c:strCache>
            </c:strRef>
          </c:cat>
          <c:val>
            <c:numRef>
              <c:f>EN!$B$4:$F$4</c:f>
              <c:numCache>
                <c:formatCode>#,##0.00</c:formatCode>
                <c:ptCount val="5"/>
                <c:pt idx="0">
                  <c:v>1610209.4493099998</c:v>
                </c:pt>
                <c:pt idx="1">
                  <c:v>1880810.1588000001</c:v>
                </c:pt>
                <c:pt idx="2">
                  <c:v>2218506.5625999998</c:v>
                </c:pt>
                <c:pt idx="3">
                  <c:v>2433604.9389999998</c:v>
                </c:pt>
                <c:pt idx="4">
                  <c:v>1653056.7750000001</c:v>
                </c:pt>
              </c:numCache>
            </c:numRef>
          </c:val>
          <c:extLst>
            <c:ext xmlns:c15="http://schemas.microsoft.com/office/drawing/2012/chart" uri="{02D57815-91ED-43cb-92C2-25804820EDAC}">
              <c15:datalabelsRange>
                <c15:f>EN!$B$7:$F$7</c15:f>
                <c15:dlblRangeCache>
                  <c:ptCount val="5"/>
                  <c:pt idx="0">
                    <c:v>23.9%</c:v>
                  </c:pt>
                  <c:pt idx="1">
                    <c:v>24.9%</c:v>
                  </c:pt>
                  <c:pt idx="2">
                    <c:v>27.3%</c:v>
                  </c:pt>
                  <c:pt idx="3">
                    <c:v>26.6%</c:v>
                  </c:pt>
                  <c:pt idx="4">
                    <c:v>31.0%</c:v>
                  </c:pt>
                </c15:dlblRangeCache>
              </c15:datalabelsRange>
            </c:ext>
            <c:ext xmlns:c16="http://schemas.microsoft.com/office/drawing/2014/chart" uri="{C3380CC4-5D6E-409C-BE32-E72D297353CC}">
              <c16:uniqueId val="{0000000B-7EA3-4E26-AC99-8028985B9E02}"/>
            </c:ext>
          </c:extLst>
        </c:ser>
        <c:dLbls>
          <c:showLegendKey val="0"/>
          <c:showVal val="1"/>
          <c:showCatName val="0"/>
          <c:showSerName val="0"/>
          <c:showPercent val="0"/>
          <c:showBubbleSize val="0"/>
        </c:dLbls>
        <c:gapWidth val="100"/>
        <c:overlap val="100"/>
        <c:axId val="418028032"/>
        <c:axId val="433580864"/>
      </c:barChart>
      <c:lineChart>
        <c:grouping val="standard"/>
        <c:varyColors val="0"/>
        <c:ser>
          <c:idx val="0"/>
          <c:order val="0"/>
          <c:tx>
            <c:strRef>
              <c:f>EN!$A$2</c:f>
              <c:strCache>
                <c:ptCount val="1"/>
                <c:pt idx="0">
                  <c:v>Gasto Público</c:v>
                </c:pt>
              </c:strCache>
            </c:strRef>
          </c:tx>
          <c:spPr>
            <a:ln w="25400" cap="rnd">
              <a:noFill/>
              <a:round/>
            </a:ln>
            <a:effectLst/>
          </c:spPr>
          <c:marker>
            <c:symbol val="none"/>
          </c:marker>
          <c:dLbls>
            <c:delete val="1"/>
          </c:dLbls>
          <c:cat>
            <c:strRef>
              <c:f>EN!$B$1:$F$1</c:f>
              <c:strCache>
                <c:ptCount val="5"/>
                <c:pt idx="0">
                  <c:v>2021</c:v>
                </c:pt>
                <c:pt idx="1">
                  <c:v>2022</c:v>
                </c:pt>
                <c:pt idx="2">
                  <c:v>2023</c:v>
                </c:pt>
                <c:pt idx="3">
                  <c:v>2024</c:v>
                </c:pt>
                <c:pt idx="4">
                  <c:v>2025*</c:v>
                </c:pt>
              </c:strCache>
            </c:strRef>
          </c:cat>
          <c:val>
            <c:numRef>
              <c:f>EN!$B$2:$F$2</c:f>
              <c:numCache>
                <c:formatCode>#,##0.00</c:formatCode>
                <c:ptCount val="5"/>
                <c:pt idx="0">
                  <c:v>6735819.6416999996</c:v>
                </c:pt>
                <c:pt idx="1">
                  <c:v>7554133.2580000004</c:v>
                </c:pt>
                <c:pt idx="2">
                  <c:v>8121948.2766999993</c:v>
                </c:pt>
                <c:pt idx="3">
                  <c:v>9164185.5733000003</c:v>
                </c:pt>
                <c:pt idx="4">
                  <c:v>5337991.5306000002</c:v>
                </c:pt>
              </c:numCache>
            </c:numRef>
          </c:val>
          <c:smooth val="0"/>
          <c:extLst>
            <c:ext xmlns:c16="http://schemas.microsoft.com/office/drawing/2014/chart" uri="{C3380CC4-5D6E-409C-BE32-E72D297353CC}">
              <c16:uniqueId val="{0000000C-7EA3-4E26-AC99-8028985B9E02}"/>
            </c:ext>
          </c:extLst>
        </c:ser>
        <c:dLbls>
          <c:showLegendKey val="0"/>
          <c:showVal val="1"/>
          <c:showCatName val="0"/>
          <c:showSerName val="0"/>
          <c:showPercent val="0"/>
          <c:showBubbleSize val="0"/>
        </c:dLbls>
        <c:marker val="1"/>
        <c:smooth val="0"/>
        <c:axId val="418028544"/>
        <c:axId val="433581440"/>
      </c:lineChart>
      <c:catAx>
        <c:axId val="41802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33580864"/>
        <c:crosses val="autoZero"/>
        <c:auto val="1"/>
        <c:lblAlgn val="ctr"/>
        <c:lblOffset val="100"/>
        <c:noMultiLvlLbl val="0"/>
      </c:catAx>
      <c:valAx>
        <c:axId val="4335808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8028032"/>
        <c:crosses val="autoZero"/>
        <c:crossBetween val="between"/>
      </c:valAx>
      <c:valAx>
        <c:axId val="433581440"/>
        <c:scaling>
          <c:orientation val="minMax"/>
        </c:scaling>
        <c:delete val="0"/>
        <c:axPos val="r"/>
        <c:numFmt formatCode="#,##0.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8028544"/>
        <c:crosses val="max"/>
        <c:crossBetween val="between"/>
      </c:valAx>
      <c:catAx>
        <c:axId val="418028544"/>
        <c:scaling>
          <c:orientation val="minMax"/>
        </c:scaling>
        <c:delete val="1"/>
        <c:axPos val="b"/>
        <c:numFmt formatCode="General" sourceLinked="1"/>
        <c:majorTickMark val="out"/>
        <c:minorTickMark val="none"/>
        <c:tickLblPos val="nextTo"/>
        <c:crossAx val="43358144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'Crec. mundial'!$A$10</c:f>
              <c:strCache>
                <c:ptCount val="1"/>
                <c:pt idx="0">
                  <c:v>FMI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'Crec. mundial'!$B$9:$D$9</c:f>
              <c:strCache>
                <c:ptCount val="3"/>
                <c:pt idx="0">
                  <c:v>2024e</c:v>
                </c:pt>
                <c:pt idx="1">
                  <c:v>2025f</c:v>
                </c:pt>
                <c:pt idx="2">
                  <c:v>2026f</c:v>
                </c:pt>
              </c:strCache>
            </c:strRef>
          </c:cat>
          <c:val>
            <c:numRef>
              <c:f>'Crec. mundial'!$B$10:$D$10</c:f>
              <c:numCache>
                <c:formatCode>General</c:formatCode>
                <c:ptCount val="3"/>
                <c:pt idx="0">
                  <c:v>4.3</c:v>
                </c:pt>
                <c:pt idx="1">
                  <c:v>4.0999999999999996</c:v>
                </c:pt>
                <c:pt idx="2">
                  <c:v>4</c:v>
                </c:pt>
              </c:numCache>
            </c:numRef>
          </c:val>
          <c:smooth val="0"/>
          <c:extLst>
            <c:ext xmlns:c16="http://schemas.microsoft.com/office/drawing/2014/chart" uri="{C3380CC4-5D6E-409C-BE32-E72D297353CC}">
              <c16:uniqueId val="{00000000-87AD-4ECA-AA5B-74A05E64CA0C}"/>
            </c:ext>
          </c:extLst>
        </c:ser>
        <c:ser>
          <c:idx val="1"/>
          <c:order val="1"/>
          <c:tx>
            <c:strRef>
              <c:f>'Crec. mundial'!$A$11</c:f>
              <c:strCache>
                <c:ptCount val="1"/>
                <c:pt idx="0">
                  <c:v>BM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'Crec. mundial'!$B$9:$D$9</c:f>
              <c:strCache>
                <c:ptCount val="3"/>
                <c:pt idx="0">
                  <c:v>2024e</c:v>
                </c:pt>
                <c:pt idx="1">
                  <c:v>2025f</c:v>
                </c:pt>
                <c:pt idx="2">
                  <c:v>2026f</c:v>
                </c:pt>
              </c:strCache>
            </c:strRef>
          </c:cat>
          <c:val>
            <c:numRef>
              <c:f>'Crec. mundial'!$B$11:$D$11</c:f>
              <c:numCache>
                <c:formatCode>General</c:formatCode>
                <c:ptCount val="3"/>
                <c:pt idx="0">
                  <c:v>4.2</c:v>
                </c:pt>
                <c:pt idx="1">
                  <c:v>3.8</c:v>
                </c:pt>
                <c:pt idx="2">
                  <c:v>3.8</c:v>
                </c:pt>
              </c:numCache>
            </c:numRef>
          </c:val>
          <c:smooth val="0"/>
          <c:extLst>
            <c:ext xmlns:c16="http://schemas.microsoft.com/office/drawing/2014/chart" uri="{C3380CC4-5D6E-409C-BE32-E72D297353CC}">
              <c16:uniqueId val="{00000001-87AD-4ECA-AA5B-74A05E64CA0C}"/>
            </c:ext>
          </c:extLst>
        </c:ser>
        <c:dLbls>
          <c:showLegendKey val="0"/>
          <c:showVal val="0"/>
          <c:showCatName val="0"/>
          <c:showSerName val="0"/>
          <c:showPercent val="0"/>
          <c:showBubbleSize val="0"/>
        </c:dLbls>
        <c:marker val="1"/>
        <c:smooth val="0"/>
        <c:axId val="440488448"/>
        <c:axId val="371191744"/>
      </c:lineChart>
      <c:catAx>
        <c:axId val="44048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71191744"/>
        <c:crosses val="autoZero"/>
        <c:auto val="1"/>
        <c:lblAlgn val="ctr"/>
        <c:lblOffset val="100"/>
        <c:noMultiLvlLbl val="0"/>
      </c:catAx>
      <c:valAx>
        <c:axId val="371191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404884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1"/>
          <c:tx>
            <c:strRef>
              <c:f>EN!$A$17</c:f>
              <c:strCache>
                <c:ptCount val="1"/>
                <c:pt idx="0">
                  <c:v>Administración Central</c:v>
                </c:pt>
              </c:strCache>
            </c:strRef>
          </c:tx>
          <c:spPr>
            <a:solidFill>
              <a:schemeClr val="accent3"/>
            </a:solidFill>
            <a:ln>
              <a:noFill/>
            </a:ln>
            <a:effectLst/>
          </c:spPr>
          <c:invertIfNegative val="0"/>
          <c:dLbls>
            <c:dLbl>
              <c:idx val="0"/>
              <c:tx>
                <c:rich>
                  <a:bodyPr/>
                  <a:lstStyle/>
                  <a:p>
                    <a:fld id="{831D1F02-D2BC-4BCC-B1A0-DC894E40C6E8}"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A2FD-4E7E-9C9B-4A4D5E582AFC}"/>
                </c:ext>
              </c:extLst>
            </c:dLbl>
            <c:dLbl>
              <c:idx val="1"/>
              <c:tx>
                <c:rich>
                  <a:bodyPr/>
                  <a:lstStyle/>
                  <a:p>
                    <a:fld id="{B12B5121-A71A-4BE5-A2F9-2E737CF30C69}"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2FD-4E7E-9C9B-4A4D5E582AFC}"/>
                </c:ext>
              </c:extLst>
            </c:dLbl>
            <c:dLbl>
              <c:idx val="2"/>
              <c:tx>
                <c:rich>
                  <a:bodyPr/>
                  <a:lstStyle/>
                  <a:p>
                    <a:fld id="{0BB15CF2-380B-4CEC-B838-1274378C399A}"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2FD-4E7E-9C9B-4A4D5E582AFC}"/>
                </c:ext>
              </c:extLst>
            </c:dLbl>
            <c:dLbl>
              <c:idx val="3"/>
              <c:tx>
                <c:rich>
                  <a:bodyPr/>
                  <a:lstStyle/>
                  <a:p>
                    <a:fld id="{94730A9A-0C0A-4E13-9EEE-D5FF0A4F11CD}"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2FD-4E7E-9C9B-4A4D5E582AFC}"/>
                </c:ext>
              </c:extLst>
            </c:dLbl>
            <c:dLbl>
              <c:idx val="4"/>
              <c:tx>
                <c:rich>
                  <a:bodyPr/>
                  <a:lstStyle/>
                  <a:p>
                    <a:fld id="{CB15468D-F450-4914-9CE6-9BA3F1674CA9}"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2FD-4E7E-9C9B-4A4D5E582A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EN!$B$14:$F$14</c:f>
              <c:strCache>
                <c:ptCount val="5"/>
                <c:pt idx="0">
                  <c:v>2021</c:v>
                </c:pt>
                <c:pt idx="1">
                  <c:v>2022</c:v>
                </c:pt>
                <c:pt idx="2">
                  <c:v>2023</c:v>
                </c:pt>
                <c:pt idx="3">
                  <c:v>2024</c:v>
                </c:pt>
                <c:pt idx="4">
                  <c:v>2025*</c:v>
                </c:pt>
              </c:strCache>
            </c:strRef>
          </c:cat>
          <c:val>
            <c:numRef>
              <c:f>EN!$B$17:$F$17</c:f>
              <c:numCache>
                <c:formatCode>#,##0.00</c:formatCode>
                <c:ptCount val="5"/>
                <c:pt idx="0">
                  <c:v>3551791.8325000005</c:v>
                </c:pt>
                <c:pt idx="1">
                  <c:v>3904510.6592000001</c:v>
                </c:pt>
                <c:pt idx="2">
                  <c:v>4236976.6164999995</c:v>
                </c:pt>
                <c:pt idx="3">
                  <c:v>4920696.7129999995</c:v>
                </c:pt>
                <c:pt idx="4">
                  <c:v>2833419.4997</c:v>
                </c:pt>
              </c:numCache>
            </c:numRef>
          </c:val>
          <c:extLst>
            <c:ext xmlns:c15="http://schemas.microsoft.com/office/drawing/2012/chart" uri="{02D57815-91ED-43cb-92C2-25804820EDAC}">
              <c15:datalabelsRange>
                <c15:f>EN!$B$22:$F$22</c15:f>
                <c15:dlblRangeCache>
                  <c:ptCount val="5"/>
                  <c:pt idx="0">
                    <c:v>69.3%</c:v>
                  </c:pt>
                  <c:pt idx="1">
                    <c:v>68.8%</c:v>
                  </c:pt>
                  <c:pt idx="2">
                    <c:v>71.8%</c:v>
                  </c:pt>
                  <c:pt idx="3">
                    <c:v>73.1%</c:v>
                  </c:pt>
                  <c:pt idx="4">
                    <c:v>76.9%</c:v>
                  </c:pt>
                </c15:dlblRangeCache>
              </c15:datalabelsRange>
            </c:ext>
            <c:ext xmlns:c16="http://schemas.microsoft.com/office/drawing/2014/chart" uri="{C3380CC4-5D6E-409C-BE32-E72D297353CC}">
              <c16:uniqueId val="{00000005-A2FD-4E7E-9C9B-4A4D5E582AFC}"/>
            </c:ext>
          </c:extLst>
        </c:ser>
        <c:ser>
          <c:idx val="3"/>
          <c:order val="2"/>
          <c:tx>
            <c:strRef>
              <c:f>EN!$A$18</c:f>
              <c:strCache>
                <c:ptCount val="1"/>
                <c:pt idx="0">
                  <c:v>Entidades de control directo</c:v>
                </c:pt>
              </c:strCache>
            </c:strRef>
          </c:tx>
          <c:spPr>
            <a:solidFill>
              <a:schemeClr val="accent4"/>
            </a:solidFill>
            <a:ln>
              <a:noFill/>
            </a:ln>
            <a:effectLst/>
          </c:spPr>
          <c:invertIfNegative val="0"/>
          <c:dLbls>
            <c:dLbl>
              <c:idx val="0"/>
              <c:tx>
                <c:rich>
                  <a:bodyPr/>
                  <a:lstStyle/>
                  <a:p>
                    <a:fld id="{A2A7312F-3BDC-450B-B730-5242609D4996}"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A2FD-4E7E-9C9B-4A4D5E582AFC}"/>
                </c:ext>
              </c:extLst>
            </c:dLbl>
            <c:dLbl>
              <c:idx val="1"/>
              <c:tx>
                <c:rich>
                  <a:bodyPr/>
                  <a:lstStyle/>
                  <a:p>
                    <a:fld id="{E81203C8-F967-4406-82BD-F02010A4DD70}"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2FD-4E7E-9C9B-4A4D5E582AFC}"/>
                </c:ext>
              </c:extLst>
            </c:dLbl>
            <c:dLbl>
              <c:idx val="2"/>
              <c:tx>
                <c:rich>
                  <a:bodyPr/>
                  <a:lstStyle/>
                  <a:p>
                    <a:fld id="{3E569E75-3789-44EE-A281-280877A63C18}"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2FD-4E7E-9C9B-4A4D5E582AFC}"/>
                </c:ext>
              </c:extLst>
            </c:dLbl>
            <c:dLbl>
              <c:idx val="3"/>
              <c:tx>
                <c:rich>
                  <a:bodyPr/>
                  <a:lstStyle/>
                  <a:p>
                    <a:fld id="{B674404A-48AD-4034-8162-A2B38B548AE2}"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A2FD-4E7E-9C9B-4A4D5E582AFC}"/>
                </c:ext>
              </c:extLst>
            </c:dLbl>
            <c:dLbl>
              <c:idx val="4"/>
              <c:tx>
                <c:rich>
                  <a:bodyPr/>
                  <a:lstStyle/>
                  <a:p>
                    <a:fld id="{400C0A54-AA74-40A1-A7F8-143C8FCDBD85}"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2FD-4E7E-9C9B-4A4D5E582AF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s-MX"/>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EN!$B$14:$F$14</c:f>
              <c:strCache>
                <c:ptCount val="5"/>
                <c:pt idx="0">
                  <c:v>2021</c:v>
                </c:pt>
                <c:pt idx="1">
                  <c:v>2022</c:v>
                </c:pt>
                <c:pt idx="2">
                  <c:v>2023</c:v>
                </c:pt>
                <c:pt idx="3">
                  <c:v>2024</c:v>
                </c:pt>
                <c:pt idx="4">
                  <c:v>2025*</c:v>
                </c:pt>
              </c:strCache>
            </c:strRef>
          </c:cat>
          <c:val>
            <c:numRef>
              <c:f>EN!$B$18:$F$18</c:f>
              <c:numCache>
                <c:formatCode>#,##0.00</c:formatCode>
                <c:ptCount val="5"/>
                <c:pt idx="0">
                  <c:v>2354144.0350000001</c:v>
                </c:pt>
                <c:pt idx="1">
                  <c:v>2667336.8057999997</c:v>
                </c:pt>
                <c:pt idx="2">
                  <c:v>2683895.8666000003</c:v>
                </c:pt>
                <c:pt idx="3">
                  <c:v>2963087.8574999995</c:v>
                </c:pt>
                <c:pt idx="4">
                  <c:v>1673039.3284999998</c:v>
                </c:pt>
              </c:numCache>
            </c:numRef>
          </c:val>
          <c:extLst>
            <c:ext xmlns:c15="http://schemas.microsoft.com/office/drawing/2012/chart" uri="{02D57815-91ED-43cb-92C2-25804820EDAC}">
              <c15:datalabelsRange>
                <c15:f>EN!$B$23:$F$23</c15:f>
                <c15:dlblRangeCache>
                  <c:ptCount val="5"/>
                  <c:pt idx="0">
                    <c:v>45.9%</c:v>
                  </c:pt>
                  <c:pt idx="1">
                    <c:v>47.0%</c:v>
                  </c:pt>
                  <c:pt idx="2">
                    <c:v>45.5%</c:v>
                  </c:pt>
                  <c:pt idx="3">
                    <c:v>44.0%</c:v>
                  </c:pt>
                  <c:pt idx="4">
                    <c:v>45.4%</c:v>
                  </c:pt>
                </c15:dlblRangeCache>
              </c15:datalabelsRange>
            </c:ext>
            <c:ext xmlns:c16="http://schemas.microsoft.com/office/drawing/2014/chart" uri="{C3380CC4-5D6E-409C-BE32-E72D297353CC}">
              <c16:uniqueId val="{0000000B-A2FD-4E7E-9C9B-4A4D5E582AFC}"/>
            </c:ext>
          </c:extLst>
        </c:ser>
        <c:ser>
          <c:idx val="1"/>
          <c:order val="3"/>
          <c:tx>
            <c:strRef>
              <c:f>EN!$A$16</c:f>
              <c:strCache>
                <c:ptCount val="1"/>
                <c:pt idx="0">
                  <c:v>Ramos Autónomos</c:v>
                </c:pt>
              </c:strCache>
            </c:strRef>
          </c:tx>
          <c:spPr>
            <a:solidFill>
              <a:schemeClr val="accent2"/>
            </a:solidFill>
            <a:ln>
              <a:noFill/>
            </a:ln>
            <a:effectLst/>
          </c:spPr>
          <c:invertIfNegative val="0"/>
          <c:dLbls>
            <c:dLbl>
              <c:idx val="0"/>
              <c:layout>
                <c:manualLayout>
                  <c:x val="2.0202020202020202E-3"/>
                  <c:y val="-3.1669413416346215E-2"/>
                </c:manualLayout>
              </c:layout>
              <c:tx>
                <c:rich>
                  <a:bodyPr/>
                  <a:lstStyle/>
                  <a:p>
                    <a:fld id="{A600C84D-84D4-4F24-87DA-EB1399381992}"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A2FD-4E7E-9C9B-4A4D5E582AFC}"/>
                </c:ext>
              </c:extLst>
            </c:dLbl>
            <c:dLbl>
              <c:idx val="1"/>
              <c:layout>
                <c:manualLayout>
                  <c:x val="0"/>
                  <c:y val="-2.5386079966151914E-2"/>
                </c:manualLayout>
              </c:layout>
              <c:tx>
                <c:rich>
                  <a:bodyPr/>
                  <a:lstStyle/>
                  <a:p>
                    <a:fld id="{D74BBA3A-DE08-4576-BCF1-993C9FEFDAAD}"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A2FD-4E7E-9C9B-4A4D5E582AFC}"/>
                </c:ext>
              </c:extLst>
            </c:dLbl>
            <c:dLbl>
              <c:idx val="2"/>
              <c:layout>
                <c:manualLayout>
                  <c:x val="0"/>
                  <c:y val="-2.115506663845992E-2"/>
                </c:manualLayout>
              </c:layout>
              <c:tx>
                <c:rich>
                  <a:bodyPr/>
                  <a:lstStyle/>
                  <a:p>
                    <a:fld id="{8B93A9BD-6637-43F0-B081-C1BFFFF35BBA}"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A2FD-4E7E-9C9B-4A4D5E582AFC}"/>
                </c:ext>
              </c:extLst>
            </c:dLbl>
            <c:dLbl>
              <c:idx val="3"/>
              <c:layout>
                <c:manualLayout>
                  <c:x val="-1.6079922418637245E-16"/>
                  <c:y val="-2.5386079966151893E-2"/>
                </c:manualLayout>
              </c:layout>
              <c:tx>
                <c:rich>
                  <a:bodyPr/>
                  <a:lstStyle/>
                  <a:p>
                    <a:fld id="{06EAA559-3D40-4827-8952-CF562022585B}"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A2FD-4E7E-9C9B-4A4D5E582AFC}"/>
                </c:ext>
              </c:extLst>
            </c:dLbl>
            <c:dLbl>
              <c:idx val="4"/>
              <c:layout>
                <c:manualLayout>
                  <c:x val="0"/>
                  <c:y val="-2.5386079966151932E-2"/>
                </c:manualLayout>
              </c:layout>
              <c:tx>
                <c:rich>
                  <a:bodyPr/>
                  <a:lstStyle/>
                  <a:p>
                    <a:fld id="{3E93EFC1-523E-422E-B18C-81A8FE52D2B1}"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A2FD-4E7E-9C9B-4A4D5E582A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EN!$B$14:$F$14</c:f>
              <c:strCache>
                <c:ptCount val="5"/>
                <c:pt idx="0">
                  <c:v>2021</c:v>
                </c:pt>
                <c:pt idx="1">
                  <c:v>2022</c:v>
                </c:pt>
                <c:pt idx="2">
                  <c:v>2023</c:v>
                </c:pt>
                <c:pt idx="3">
                  <c:v>2024</c:v>
                </c:pt>
                <c:pt idx="4">
                  <c:v>2025*</c:v>
                </c:pt>
              </c:strCache>
            </c:strRef>
          </c:cat>
          <c:val>
            <c:numRef>
              <c:f>EN!$B$16:$F$16</c:f>
              <c:numCache>
                <c:formatCode>#,##0.00</c:formatCode>
                <c:ptCount val="5"/>
                <c:pt idx="0">
                  <c:v>141243.75824299999</c:v>
                </c:pt>
                <c:pt idx="1">
                  <c:v>140575.898697</c:v>
                </c:pt>
                <c:pt idx="2">
                  <c:v>147541.520663</c:v>
                </c:pt>
                <c:pt idx="3">
                  <c:v>166461.41990099999</c:v>
                </c:pt>
                <c:pt idx="4">
                  <c:v>78716.849056000006</c:v>
                </c:pt>
              </c:numCache>
            </c:numRef>
          </c:val>
          <c:extLst>
            <c:ext xmlns:c15="http://schemas.microsoft.com/office/drawing/2012/chart" uri="{02D57815-91ED-43cb-92C2-25804820EDAC}">
              <c15:datalabelsRange>
                <c15:f>EN!$B$21:$F$21</c15:f>
                <c15:dlblRangeCache>
                  <c:ptCount val="5"/>
                  <c:pt idx="0">
                    <c:v>2.8%</c:v>
                  </c:pt>
                  <c:pt idx="1">
                    <c:v>2.5%</c:v>
                  </c:pt>
                  <c:pt idx="2">
                    <c:v>2.5%</c:v>
                  </c:pt>
                  <c:pt idx="3">
                    <c:v>2.5%</c:v>
                  </c:pt>
                  <c:pt idx="4">
                    <c:v>2.1%</c:v>
                  </c:pt>
                </c15:dlblRangeCache>
              </c15:datalabelsRange>
            </c:ext>
            <c:ext xmlns:c16="http://schemas.microsoft.com/office/drawing/2014/chart" uri="{C3380CC4-5D6E-409C-BE32-E72D297353CC}">
              <c16:uniqueId val="{00000011-A2FD-4E7E-9C9B-4A4D5E582AFC}"/>
            </c:ext>
          </c:extLst>
        </c:ser>
        <c:ser>
          <c:idx val="4"/>
          <c:order val="4"/>
          <c:tx>
            <c:strRef>
              <c:f>EN!$A$19</c:f>
              <c:strCache>
                <c:ptCount val="1"/>
                <c:pt idx="0">
                  <c:v>Operaciones compensadas</c:v>
                </c:pt>
              </c:strCache>
            </c:strRef>
          </c:tx>
          <c:spPr>
            <a:solidFill>
              <a:schemeClr val="accent5"/>
            </a:solidFill>
            <a:ln>
              <a:noFill/>
            </a:ln>
            <a:effectLst/>
          </c:spPr>
          <c:invertIfNegative val="0"/>
          <c:dLbls>
            <c:dLbl>
              <c:idx val="0"/>
              <c:tx>
                <c:rich>
                  <a:bodyPr/>
                  <a:lstStyle/>
                  <a:p>
                    <a:fld id="{E2F1D7C5-7D85-4634-AD22-589E952CE4A0}"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A2FD-4E7E-9C9B-4A4D5E582AFC}"/>
                </c:ext>
              </c:extLst>
            </c:dLbl>
            <c:dLbl>
              <c:idx val="1"/>
              <c:tx>
                <c:rich>
                  <a:bodyPr/>
                  <a:lstStyle/>
                  <a:p>
                    <a:fld id="{1393AEE8-FF9B-4B94-B4D6-FDB3131664C3}"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A2FD-4E7E-9C9B-4A4D5E582AFC}"/>
                </c:ext>
              </c:extLst>
            </c:dLbl>
            <c:dLbl>
              <c:idx val="2"/>
              <c:tx>
                <c:rich>
                  <a:bodyPr/>
                  <a:lstStyle/>
                  <a:p>
                    <a:fld id="{2E965958-45F0-400F-9558-069B51997DE2}"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A2FD-4E7E-9C9B-4A4D5E582AFC}"/>
                </c:ext>
              </c:extLst>
            </c:dLbl>
            <c:dLbl>
              <c:idx val="3"/>
              <c:tx>
                <c:rich>
                  <a:bodyPr/>
                  <a:lstStyle/>
                  <a:p>
                    <a:fld id="{C4BC3EFE-0D2A-4E83-9AD0-C9F59F76B5FD}"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A2FD-4E7E-9C9B-4A4D5E582AFC}"/>
                </c:ext>
              </c:extLst>
            </c:dLbl>
            <c:dLbl>
              <c:idx val="4"/>
              <c:tx>
                <c:rich>
                  <a:bodyPr/>
                  <a:lstStyle/>
                  <a:p>
                    <a:fld id="{DDA9078C-8CA9-441D-BAD9-9E700B29D555}"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A2FD-4E7E-9C9B-4A4D5E582AF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s-MX"/>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EN!$B$14:$F$14</c:f>
              <c:strCache>
                <c:ptCount val="5"/>
                <c:pt idx="0">
                  <c:v>2021</c:v>
                </c:pt>
                <c:pt idx="1">
                  <c:v>2022</c:v>
                </c:pt>
                <c:pt idx="2">
                  <c:v>2023</c:v>
                </c:pt>
                <c:pt idx="3">
                  <c:v>2024</c:v>
                </c:pt>
                <c:pt idx="4">
                  <c:v>2025*</c:v>
                </c:pt>
              </c:strCache>
            </c:strRef>
          </c:cat>
          <c:val>
            <c:numRef>
              <c:f>EN!$B$19:$F$19</c:f>
              <c:numCache>
                <c:formatCode>#,##0.00</c:formatCode>
                <c:ptCount val="5"/>
                <c:pt idx="0">
                  <c:v>-921569.43295000005</c:v>
                </c:pt>
                <c:pt idx="1">
                  <c:v>-1039100.26457</c:v>
                </c:pt>
                <c:pt idx="2">
                  <c:v>-1164972.2897299998</c:v>
                </c:pt>
                <c:pt idx="3">
                  <c:v>-1319665.35567</c:v>
                </c:pt>
                <c:pt idx="4">
                  <c:v>-900240.92169999995</c:v>
                </c:pt>
              </c:numCache>
            </c:numRef>
          </c:val>
          <c:extLst>
            <c:ext xmlns:c15="http://schemas.microsoft.com/office/drawing/2012/chart" uri="{02D57815-91ED-43cb-92C2-25804820EDAC}">
              <c15:datalabelsRange>
                <c15:f>EN!$B$24:$F$24</c15:f>
                <c15:dlblRangeCache>
                  <c:ptCount val="5"/>
                  <c:pt idx="0">
                    <c:v>-18.0%</c:v>
                  </c:pt>
                  <c:pt idx="1">
                    <c:v>-18.3%</c:v>
                  </c:pt>
                  <c:pt idx="2">
                    <c:v>-19.7%</c:v>
                  </c:pt>
                  <c:pt idx="3">
                    <c:v>-19.6%</c:v>
                  </c:pt>
                  <c:pt idx="4">
                    <c:v>-24.4%</c:v>
                  </c:pt>
                </c15:dlblRangeCache>
              </c15:datalabelsRange>
            </c:ext>
            <c:ext xmlns:c16="http://schemas.microsoft.com/office/drawing/2014/chart" uri="{C3380CC4-5D6E-409C-BE32-E72D297353CC}">
              <c16:uniqueId val="{00000017-A2FD-4E7E-9C9B-4A4D5E582AFC}"/>
            </c:ext>
          </c:extLst>
        </c:ser>
        <c:dLbls>
          <c:showLegendKey val="0"/>
          <c:showVal val="1"/>
          <c:showCatName val="0"/>
          <c:showSerName val="0"/>
          <c:showPercent val="0"/>
          <c:showBubbleSize val="0"/>
        </c:dLbls>
        <c:gapWidth val="219"/>
        <c:overlap val="100"/>
        <c:axId val="421970432"/>
        <c:axId val="433583168"/>
      </c:barChart>
      <c:lineChart>
        <c:grouping val="standard"/>
        <c:varyColors val="0"/>
        <c:ser>
          <c:idx val="0"/>
          <c:order val="0"/>
          <c:tx>
            <c:strRef>
              <c:f>EN!$A$15</c:f>
              <c:strCache>
                <c:ptCount val="1"/>
                <c:pt idx="0">
                  <c:v>Gasto Programable</c:v>
                </c:pt>
              </c:strCache>
            </c:strRef>
          </c:tx>
          <c:spPr>
            <a:ln w="25400" cap="rnd">
              <a:noFill/>
              <a:round/>
            </a:ln>
            <a:effectLst/>
          </c:spPr>
          <c:marker>
            <c:symbol val="none"/>
          </c:marker>
          <c:dLbls>
            <c:delete val="1"/>
          </c:dLbls>
          <c:cat>
            <c:strRef>
              <c:f>EN!$B$14:$F$14</c:f>
              <c:strCache>
                <c:ptCount val="5"/>
                <c:pt idx="0">
                  <c:v>2021</c:v>
                </c:pt>
                <c:pt idx="1">
                  <c:v>2022</c:v>
                </c:pt>
                <c:pt idx="2">
                  <c:v>2023</c:v>
                </c:pt>
                <c:pt idx="3">
                  <c:v>2024</c:v>
                </c:pt>
                <c:pt idx="4">
                  <c:v>2025*</c:v>
                </c:pt>
              </c:strCache>
            </c:strRef>
          </c:cat>
          <c:val>
            <c:numRef>
              <c:f>EN!$B$15:$F$15</c:f>
              <c:numCache>
                <c:formatCode>#,##0.00</c:formatCode>
                <c:ptCount val="5"/>
                <c:pt idx="0">
                  <c:v>5125610.1926999995</c:v>
                </c:pt>
                <c:pt idx="1">
                  <c:v>5673323.0992000001</c:v>
                </c:pt>
                <c:pt idx="2">
                  <c:v>5903441.7140999995</c:v>
                </c:pt>
                <c:pt idx="3">
                  <c:v>6730580.6344000008</c:v>
                </c:pt>
                <c:pt idx="4">
                  <c:v>3684934.7555000004</c:v>
                </c:pt>
              </c:numCache>
            </c:numRef>
          </c:val>
          <c:smooth val="0"/>
          <c:extLst>
            <c:ext xmlns:c16="http://schemas.microsoft.com/office/drawing/2014/chart" uri="{C3380CC4-5D6E-409C-BE32-E72D297353CC}">
              <c16:uniqueId val="{00000018-A2FD-4E7E-9C9B-4A4D5E582AFC}"/>
            </c:ext>
          </c:extLst>
        </c:ser>
        <c:dLbls>
          <c:showLegendKey val="0"/>
          <c:showVal val="1"/>
          <c:showCatName val="0"/>
          <c:showSerName val="0"/>
          <c:showPercent val="0"/>
          <c:showBubbleSize val="0"/>
        </c:dLbls>
        <c:marker val="1"/>
        <c:smooth val="0"/>
        <c:axId val="421970944"/>
        <c:axId val="433583744"/>
      </c:lineChart>
      <c:catAx>
        <c:axId val="42197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33583168"/>
        <c:crosses val="autoZero"/>
        <c:auto val="1"/>
        <c:lblAlgn val="ctr"/>
        <c:lblOffset val="100"/>
        <c:noMultiLvlLbl val="0"/>
      </c:catAx>
      <c:valAx>
        <c:axId val="433583168"/>
        <c:scaling>
          <c:orientation val="minMax"/>
          <c:max val="8500000"/>
          <c:min val="-1000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21970432"/>
        <c:crosses val="autoZero"/>
        <c:crossBetween val="between"/>
      </c:valAx>
      <c:valAx>
        <c:axId val="433583744"/>
        <c:scaling>
          <c:orientation val="minMax"/>
        </c:scaling>
        <c:delete val="0"/>
        <c:axPos val="r"/>
        <c:numFmt formatCode="#,##0.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21970944"/>
        <c:crosses val="max"/>
        <c:crossBetween val="between"/>
      </c:valAx>
      <c:catAx>
        <c:axId val="421970944"/>
        <c:scaling>
          <c:orientation val="minMax"/>
        </c:scaling>
        <c:delete val="1"/>
        <c:axPos val="b"/>
        <c:numFmt formatCode="General" sourceLinked="1"/>
        <c:majorTickMark val="out"/>
        <c:minorTickMark val="none"/>
        <c:tickLblPos val="nextTo"/>
        <c:crossAx val="43358374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es-MX"/>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EN!$A$32</c:f>
              <c:strCache>
                <c:ptCount val="1"/>
                <c:pt idx="0">
                  <c:v>Gobierno</c:v>
                </c:pt>
              </c:strCache>
            </c:strRef>
          </c:tx>
          <c:spPr>
            <a:solidFill>
              <a:schemeClr val="accent2"/>
            </a:solidFill>
            <a:ln>
              <a:noFill/>
            </a:ln>
            <a:effectLst/>
          </c:spPr>
          <c:invertIfNegative val="0"/>
          <c:dLbls>
            <c:dLbl>
              <c:idx val="0"/>
              <c:tx>
                <c:rich>
                  <a:bodyPr/>
                  <a:lstStyle/>
                  <a:p>
                    <a:fld id="{EF91D51F-18EE-492F-AAFF-590184AF27DC}"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318-4B16-88EF-84D10706A8AB}"/>
                </c:ext>
              </c:extLst>
            </c:dLbl>
            <c:dLbl>
              <c:idx val="1"/>
              <c:tx>
                <c:rich>
                  <a:bodyPr/>
                  <a:lstStyle/>
                  <a:p>
                    <a:fld id="{D758F6B8-8A0A-4A08-9706-4438C36D03D7}"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318-4B16-88EF-84D10706A8AB}"/>
                </c:ext>
              </c:extLst>
            </c:dLbl>
            <c:dLbl>
              <c:idx val="2"/>
              <c:tx>
                <c:rich>
                  <a:bodyPr/>
                  <a:lstStyle/>
                  <a:p>
                    <a:fld id="{010D8C25-CB3E-4F74-AB49-24AFFDA83D26}"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318-4B16-88EF-84D10706A8AB}"/>
                </c:ext>
              </c:extLst>
            </c:dLbl>
            <c:dLbl>
              <c:idx val="3"/>
              <c:tx>
                <c:rich>
                  <a:bodyPr/>
                  <a:lstStyle/>
                  <a:p>
                    <a:fld id="{9C2FCD05-3B72-4436-9882-87DCA3104092}"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318-4B16-88EF-84D10706A8AB}"/>
                </c:ext>
              </c:extLst>
            </c:dLbl>
            <c:dLbl>
              <c:idx val="4"/>
              <c:tx>
                <c:rich>
                  <a:bodyPr/>
                  <a:lstStyle/>
                  <a:p>
                    <a:fld id="{8C56FA9C-C524-4ADF-8BC8-EBD605DB7CA4}"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318-4B16-88EF-84D10706A8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EN!$B$30:$F$30</c:f>
              <c:strCache>
                <c:ptCount val="5"/>
                <c:pt idx="0">
                  <c:v>2021</c:v>
                </c:pt>
                <c:pt idx="1">
                  <c:v>2022</c:v>
                </c:pt>
                <c:pt idx="2">
                  <c:v>2023</c:v>
                </c:pt>
                <c:pt idx="3">
                  <c:v>2024</c:v>
                </c:pt>
                <c:pt idx="4">
                  <c:v>2025*</c:v>
                </c:pt>
              </c:strCache>
            </c:strRef>
          </c:cat>
          <c:val>
            <c:numRef>
              <c:f>EN!$B$32:$F$32</c:f>
              <c:numCache>
                <c:formatCode>#,##0.00</c:formatCode>
                <c:ptCount val="5"/>
                <c:pt idx="0">
                  <c:v>447033.19887000002</c:v>
                </c:pt>
                <c:pt idx="1">
                  <c:v>457253.66200000001</c:v>
                </c:pt>
                <c:pt idx="2">
                  <c:v>468488.58522000007</c:v>
                </c:pt>
                <c:pt idx="3">
                  <c:v>562992.16146000009</c:v>
                </c:pt>
                <c:pt idx="4">
                  <c:v>242199.41945000002</c:v>
                </c:pt>
              </c:numCache>
            </c:numRef>
          </c:val>
          <c:extLst>
            <c:ext xmlns:c15="http://schemas.microsoft.com/office/drawing/2012/chart" uri="{02D57815-91ED-43cb-92C2-25804820EDAC}">
              <c15:datalabelsRange>
                <c15:f>EN!$B$37:$F$37</c15:f>
                <c15:dlblRangeCache>
                  <c:ptCount val="5"/>
                  <c:pt idx="0">
                    <c:v>8.7%</c:v>
                  </c:pt>
                  <c:pt idx="1">
                    <c:v>8.1%</c:v>
                  </c:pt>
                  <c:pt idx="2">
                    <c:v>7.9%</c:v>
                  </c:pt>
                  <c:pt idx="3">
                    <c:v>8.4%</c:v>
                  </c:pt>
                  <c:pt idx="4">
                    <c:v>6.6%</c:v>
                  </c:pt>
                </c15:dlblRangeCache>
              </c15:datalabelsRange>
            </c:ext>
            <c:ext xmlns:c16="http://schemas.microsoft.com/office/drawing/2014/chart" uri="{C3380CC4-5D6E-409C-BE32-E72D297353CC}">
              <c16:uniqueId val="{00000005-D318-4B16-88EF-84D10706A8AB}"/>
            </c:ext>
          </c:extLst>
        </c:ser>
        <c:ser>
          <c:idx val="2"/>
          <c:order val="2"/>
          <c:tx>
            <c:strRef>
              <c:f>EN!$A$33</c:f>
              <c:strCache>
                <c:ptCount val="1"/>
                <c:pt idx="0">
                  <c:v>Desarrollo Social</c:v>
                </c:pt>
              </c:strCache>
            </c:strRef>
          </c:tx>
          <c:spPr>
            <a:solidFill>
              <a:schemeClr val="accent3"/>
            </a:solidFill>
            <a:ln>
              <a:noFill/>
            </a:ln>
            <a:effectLst/>
          </c:spPr>
          <c:invertIfNegative val="0"/>
          <c:dLbls>
            <c:dLbl>
              <c:idx val="0"/>
              <c:tx>
                <c:rich>
                  <a:bodyPr/>
                  <a:lstStyle/>
                  <a:p>
                    <a:fld id="{CBC0BABE-054C-4B2C-97F3-FA3827309D54}"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D318-4B16-88EF-84D10706A8AB}"/>
                </c:ext>
              </c:extLst>
            </c:dLbl>
            <c:dLbl>
              <c:idx val="1"/>
              <c:tx>
                <c:rich>
                  <a:bodyPr/>
                  <a:lstStyle/>
                  <a:p>
                    <a:fld id="{01DC7DA2-5744-49B3-9D00-66BE217A41B6}"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318-4B16-88EF-84D10706A8AB}"/>
                </c:ext>
              </c:extLst>
            </c:dLbl>
            <c:dLbl>
              <c:idx val="2"/>
              <c:tx>
                <c:rich>
                  <a:bodyPr/>
                  <a:lstStyle/>
                  <a:p>
                    <a:fld id="{2D59EDC1-7688-4E4C-9152-0A6F9910D397}"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318-4B16-88EF-84D10706A8AB}"/>
                </c:ext>
              </c:extLst>
            </c:dLbl>
            <c:dLbl>
              <c:idx val="3"/>
              <c:tx>
                <c:rich>
                  <a:bodyPr/>
                  <a:lstStyle/>
                  <a:p>
                    <a:fld id="{6CEA8CEB-21E1-4185-A636-3D32E25BA989}"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318-4B16-88EF-84D10706A8AB}"/>
                </c:ext>
              </c:extLst>
            </c:dLbl>
            <c:dLbl>
              <c:idx val="4"/>
              <c:tx>
                <c:rich>
                  <a:bodyPr/>
                  <a:lstStyle/>
                  <a:p>
                    <a:fld id="{FFC823D7-B213-4CC9-9784-600F27905FDD}"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D318-4B16-88EF-84D10706A8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EN!$B$30:$F$30</c:f>
              <c:strCache>
                <c:ptCount val="5"/>
                <c:pt idx="0">
                  <c:v>2021</c:v>
                </c:pt>
                <c:pt idx="1">
                  <c:v>2022</c:v>
                </c:pt>
                <c:pt idx="2">
                  <c:v>2023</c:v>
                </c:pt>
                <c:pt idx="3">
                  <c:v>2024</c:v>
                </c:pt>
                <c:pt idx="4">
                  <c:v>2025*</c:v>
                </c:pt>
              </c:strCache>
            </c:strRef>
          </c:cat>
          <c:val>
            <c:numRef>
              <c:f>EN!$B$33:$F$33</c:f>
              <c:numCache>
                <c:formatCode>#,##0.00</c:formatCode>
                <c:ptCount val="5"/>
                <c:pt idx="0">
                  <c:v>3073744.5691000004</c:v>
                </c:pt>
                <c:pt idx="1">
                  <c:v>3453509.0284000002</c:v>
                </c:pt>
                <c:pt idx="2">
                  <c:v>3857664.7562000006</c:v>
                </c:pt>
                <c:pt idx="3">
                  <c:v>4336861.5350000001</c:v>
                </c:pt>
                <c:pt idx="4">
                  <c:v>2563875.1199000003</c:v>
                </c:pt>
              </c:numCache>
            </c:numRef>
          </c:val>
          <c:extLst>
            <c:ext xmlns:c15="http://schemas.microsoft.com/office/drawing/2012/chart" uri="{02D57815-91ED-43cb-92C2-25804820EDAC}">
              <c15:datalabelsRange>
                <c15:f>EN!$B$38:$F$38</c15:f>
                <c15:dlblRangeCache>
                  <c:ptCount val="5"/>
                  <c:pt idx="0">
                    <c:v>60.0%</c:v>
                  </c:pt>
                  <c:pt idx="1">
                    <c:v>60.9%</c:v>
                  </c:pt>
                  <c:pt idx="2">
                    <c:v>65.3%</c:v>
                  </c:pt>
                  <c:pt idx="3">
                    <c:v>64.4%</c:v>
                  </c:pt>
                  <c:pt idx="4">
                    <c:v>69.6%</c:v>
                  </c:pt>
                </c15:dlblRangeCache>
              </c15:datalabelsRange>
            </c:ext>
            <c:ext xmlns:c16="http://schemas.microsoft.com/office/drawing/2014/chart" uri="{C3380CC4-5D6E-409C-BE32-E72D297353CC}">
              <c16:uniqueId val="{0000000B-D318-4B16-88EF-84D10706A8AB}"/>
            </c:ext>
          </c:extLst>
        </c:ser>
        <c:ser>
          <c:idx val="3"/>
          <c:order val="3"/>
          <c:tx>
            <c:strRef>
              <c:f>EN!$A$34</c:f>
              <c:strCache>
                <c:ptCount val="1"/>
                <c:pt idx="0">
                  <c:v>Desarrollo Económico</c:v>
                </c:pt>
              </c:strCache>
            </c:strRef>
          </c:tx>
          <c:spPr>
            <a:solidFill>
              <a:schemeClr val="accent4"/>
            </a:solidFill>
            <a:ln>
              <a:noFill/>
            </a:ln>
            <a:effectLst/>
          </c:spPr>
          <c:invertIfNegative val="0"/>
          <c:dLbls>
            <c:dLbl>
              <c:idx val="0"/>
              <c:tx>
                <c:rich>
                  <a:bodyPr/>
                  <a:lstStyle/>
                  <a:p>
                    <a:fld id="{1253161B-1C9D-4803-AD02-C781BB174F6D}"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D318-4B16-88EF-84D10706A8AB}"/>
                </c:ext>
              </c:extLst>
            </c:dLbl>
            <c:dLbl>
              <c:idx val="1"/>
              <c:tx>
                <c:rich>
                  <a:bodyPr/>
                  <a:lstStyle/>
                  <a:p>
                    <a:fld id="{5763B069-9081-46B0-A874-FCDAC397AB81}"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D318-4B16-88EF-84D10706A8AB}"/>
                </c:ext>
              </c:extLst>
            </c:dLbl>
            <c:dLbl>
              <c:idx val="2"/>
              <c:tx>
                <c:rich>
                  <a:bodyPr/>
                  <a:lstStyle/>
                  <a:p>
                    <a:fld id="{93410D1E-E9B6-4092-95D9-AC19C997AB63}"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D318-4B16-88EF-84D10706A8AB}"/>
                </c:ext>
              </c:extLst>
            </c:dLbl>
            <c:dLbl>
              <c:idx val="3"/>
              <c:tx>
                <c:rich>
                  <a:bodyPr/>
                  <a:lstStyle/>
                  <a:p>
                    <a:fld id="{E770B5CA-01B2-4C22-875F-E45412FED88C}"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D318-4B16-88EF-84D10706A8AB}"/>
                </c:ext>
              </c:extLst>
            </c:dLbl>
            <c:dLbl>
              <c:idx val="4"/>
              <c:tx>
                <c:rich>
                  <a:bodyPr/>
                  <a:lstStyle/>
                  <a:p>
                    <a:fld id="{C14152CE-5C01-4B45-811B-4F36CD17B1C5}"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D318-4B16-88EF-84D10706A8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MX"/>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EN!$B$30:$F$30</c:f>
              <c:strCache>
                <c:ptCount val="5"/>
                <c:pt idx="0">
                  <c:v>2021</c:v>
                </c:pt>
                <c:pt idx="1">
                  <c:v>2022</c:v>
                </c:pt>
                <c:pt idx="2">
                  <c:v>2023</c:v>
                </c:pt>
                <c:pt idx="3">
                  <c:v>2024</c:v>
                </c:pt>
                <c:pt idx="4">
                  <c:v>2025*</c:v>
                </c:pt>
              </c:strCache>
            </c:strRef>
          </c:cat>
          <c:val>
            <c:numRef>
              <c:f>EN!$B$34:$F$34</c:f>
              <c:numCache>
                <c:formatCode>#,##0.00</c:formatCode>
                <c:ptCount val="5"/>
                <c:pt idx="0">
                  <c:v>1595090.1176400001</c:v>
                </c:pt>
                <c:pt idx="1">
                  <c:v>1752026.0508699999</c:v>
                </c:pt>
                <c:pt idx="2">
                  <c:v>1563436.4831800002</c:v>
                </c:pt>
                <c:pt idx="3">
                  <c:v>1777838.1479800001</c:v>
                </c:pt>
                <c:pt idx="4">
                  <c:v>870914.83911000006</c:v>
                </c:pt>
              </c:numCache>
            </c:numRef>
          </c:val>
          <c:extLst>
            <c:ext xmlns:c15="http://schemas.microsoft.com/office/drawing/2012/chart" uri="{02D57815-91ED-43cb-92C2-25804820EDAC}">
              <c15:datalabelsRange>
                <c15:f>EN!$B$39:$F$39</c15:f>
                <c15:dlblRangeCache>
                  <c:ptCount val="5"/>
                  <c:pt idx="0">
                    <c:v>31.1%</c:v>
                  </c:pt>
                  <c:pt idx="1">
                    <c:v>30.9%</c:v>
                  </c:pt>
                  <c:pt idx="2">
                    <c:v>26.5%</c:v>
                  </c:pt>
                  <c:pt idx="3">
                    <c:v>26.4%</c:v>
                  </c:pt>
                  <c:pt idx="4">
                    <c:v>23.6%</c:v>
                  </c:pt>
                </c15:dlblRangeCache>
              </c15:datalabelsRange>
            </c:ext>
            <c:ext xmlns:c16="http://schemas.microsoft.com/office/drawing/2014/chart" uri="{C3380CC4-5D6E-409C-BE32-E72D297353CC}">
              <c16:uniqueId val="{00000011-D318-4B16-88EF-84D10706A8AB}"/>
            </c:ext>
          </c:extLst>
        </c:ser>
        <c:ser>
          <c:idx val="4"/>
          <c:order val="4"/>
          <c:tx>
            <c:strRef>
              <c:f>EN!$A$35</c:f>
              <c:strCache>
                <c:ptCount val="1"/>
                <c:pt idx="0">
                  <c:v>Fondos y Fideicomisos</c:v>
                </c:pt>
              </c:strCache>
            </c:strRef>
          </c:tx>
          <c:spPr>
            <a:solidFill>
              <a:schemeClr val="accent5"/>
            </a:solidFill>
            <a:ln>
              <a:noFill/>
            </a:ln>
            <a:effectLst/>
          </c:spPr>
          <c:invertIfNegative val="0"/>
          <c:dLbls>
            <c:dLbl>
              <c:idx val="0"/>
              <c:layout>
                <c:manualLayout>
                  <c:x val="0"/>
                  <c:y val="-2.3391812865497075E-2"/>
                </c:manualLayout>
              </c:layout>
              <c:tx>
                <c:rich>
                  <a:bodyPr/>
                  <a:lstStyle/>
                  <a:p>
                    <a:fld id="{F1F61041-677E-4C7A-89A2-A82EE6038B8E}"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D318-4B16-88EF-84D10706A8AB}"/>
                </c:ext>
              </c:extLst>
            </c:dLbl>
            <c:dLbl>
              <c:idx val="1"/>
              <c:layout>
                <c:manualLayout>
                  <c:x val="0"/>
                  <c:y val="-3.5087719298245612E-2"/>
                </c:manualLayout>
              </c:layout>
              <c:tx>
                <c:rich>
                  <a:bodyPr/>
                  <a:lstStyle/>
                  <a:p>
                    <a:fld id="{A987CA20-5A3C-4C10-A1A1-F3189E2C1ECE}"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D318-4B16-88EF-84D10706A8AB}"/>
                </c:ext>
              </c:extLst>
            </c:dLbl>
            <c:dLbl>
              <c:idx val="2"/>
              <c:layout>
                <c:manualLayout>
                  <c:x val="-7.9235533430788936E-17"/>
                  <c:y val="-3.5087719298245612E-2"/>
                </c:manualLayout>
              </c:layout>
              <c:tx>
                <c:rich>
                  <a:bodyPr/>
                  <a:lstStyle/>
                  <a:p>
                    <a:fld id="{57EE650E-AE58-4F70-ACDA-E21B9A0D1472}"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D318-4B16-88EF-84D10706A8AB}"/>
                </c:ext>
              </c:extLst>
            </c:dLbl>
            <c:dLbl>
              <c:idx val="3"/>
              <c:layout>
                <c:manualLayout>
                  <c:x val="0"/>
                  <c:y val="-3.5087719298245626E-2"/>
                </c:manualLayout>
              </c:layout>
              <c:tx>
                <c:rich>
                  <a:bodyPr/>
                  <a:lstStyle/>
                  <a:p>
                    <a:fld id="{4A944672-CC9C-421A-9CBB-617DD2FE0BE8}"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D318-4B16-88EF-84D10706A8AB}"/>
                </c:ext>
              </c:extLst>
            </c:dLbl>
            <c:dLbl>
              <c:idx val="4"/>
              <c:layout>
                <c:manualLayout>
                  <c:x val="0"/>
                  <c:y val="-3.5087719298245647E-2"/>
                </c:manualLayout>
              </c:layout>
              <c:tx>
                <c:rich>
                  <a:bodyPr/>
                  <a:lstStyle/>
                  <a:p>
                    <a:fld id="{2DAE32DB-43B7-4D27-93E5-AF98E9487BE6}"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D318-4B16-88EF-84D10706A8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EN!$B$30:$F$30</c:f>
              <c:strCache>
                <c:ptCount val="5"/>
                <c:pt idx="0">
                  <c:v>2021</c:v>
                </c:pt>
                <c:pt idx="1">
                  <c:v>2022</c:v>
                </c:pt>
                <c:pt idx="2">
                  <c:v>2023</c:v>
                </c:pt>
                <c:pt idx="3">
                  <c:v>2024</c:v>
                </c:pt>
                <c:pt idx="4">
                  <c:v>2025*</c:v>
                </c:pt>
              </c:strCache>
            </c:strRef>
          </c:cat>
          <c:val>
            <c:numRef>
              <c:f>EN!$B$35:$F$35</c:f>
              <c:numCache>
                <c:formatCode>#,##0.00</c:formatCode>
                <c:ptCount val="5"/>
                <c:pt idx="0">
                  <c:v>9742.3072950000005</c:v>
                </c:pt>
                <c:pt idx="1">
                  <c:v>10534.358039999999</c:v>
                </c:pt>
                <c:pt idx="2">
                  <c:v>13851.88984</c:v>
                </c:pt>
                <c:pt idx="3">
                  <c:v>52888.790119999998</c:v>
                </c:pt>
                <c:pt idx="4">
                  <c:v>7945.3771200000001</c:v>
                </c:pt>
              </c:numCache>
            </c:numRef>
          </c:val>
          <c:extLst>
            <c:ext xmlns:c15="http://schemas.microsoft.com/office/drawing/2012/chart" uri="{02D57815-91ED-43cb-92C2-25804820EDAC}">
              <c15:datalabelsRange>
                <c15:f>EN!$B$40:$F$40</c15:f>
                <c15:dlblRangeCache>
                  <c:ptCount val="5"/>
                  <c:pt idx="0">
                    <c:v>0.2%</c:v>
                  </c:pt>
                  <c:pt idx="1">
                    <c:v>0.2%</c:v>
                  </c:pt>
                  <c:pt idx="2">
                    <c:v>0.2%</c:v>
                  </c:pt>
                  <c:pt idx="3">
                    <c:v>0.8%</c:v>
                  </c:pt>
                  <c:pt idx="4">
                    <c:v>0.2%</c:v>
                  </c:pt>
                </c15:dlblRangeCache>
              </c15:datalabelsRange>
            </c:ext>
            <c:ext xmlns:c16="http://schemas.microsoft.com/office/drawing/2014/chart" uri="{C3380CC4-5D6E-409C-BE32-E72D297353CC}">
              <c16:uniqueId val="{00000017-D318-4B16-88EF-84D10706A8AB}"/>
            </c:ext>
          </c:extLst>
        </c:ser>
        <c:dLbls>
          <c:showLegendKey val="0"/>
          <c:showVal val="1"/>
          <c:showCatName val="0"/>
          <c:showSerName val="0"/>
          <c:showPercent val="0"/>
          <c:showBubbleSize val="0"/>
        </c:dLbls>
        <c:gapWidth val="150"/>
        <c:overlap val="100"/>
        <c:axId val="421972992"/>
        <c:axId val="433585472"/>
      </c:barChart>
      <c:lineChart>
        <c:grouping val="standard"/>
        <c:varyColors val="0"/>
        <c:ser>
          <c:idx val="0"/>
          <c:order val="0"/>
          <c:tx>
            <c:strRef>
              <c:f>EN!$A$31</c:f>
              <c:strCache>
                <c:ptCount val="1"/>
                <c:pt idx="0">
                  <c:v>Gasto Programable</c:v>
                </c:pt>
              </c:strCache>
            </c:strRef>
          </c:tx>
          <c:spPr>
            <a:ln w="25400" cap="rnd">
              <a:noFill/>
              <a:round/>
            </a:ln>
            <a:effectLst/>
          </c:spPr>
          <c:marker>
            <c:symbol val="none"/>
          </c:marker>
          <c:dLbls>
            <c:delete val="1"/>
          </c:dLbls>
          <c:cat>
            <c:strRef>
              <c:f>EN!$B$30:$F$30</c:f>
              <c:strCache>
                <c:ptCount val="5"/>
                <c:pt idx="0">
                  <c:v>2021</c:v>
                </c:pt>
                <c:pt idx="1">
                  <c:v>2022</c:v>
                </c:pt>
                <c:pt idx="2">
                  <c:v>2023</c:v>
                </c:pt>
                <c:pt idx="3">
                  <c:v>2024</c:v>
                </c:pt>
                <c:pt idx="4">
                  <c:v>2025*</c:v>
                </c:pt>
              </c:strCache>
            </c:strRef>
          </c:cat>
          <c:val>
            <c:numRef>
              <c:f>EN!$B$31:$F$31</c:f>
              <c:numCache>
                <c:formatCode>#,##0.00</c:formatCode>
                <c:ptCount val="5"/>
                <c:pt idx="0">
                  <c:v>5125610.1926999995</c:v>
                </c:pt>
                <c:pt idx="1">
                  <c:v>5673323.0992000001</c:v>
                </c:pt>
                <c:pt idx="2">
                  <c:v>5903441.7140999995</c:v>
                </c:pt>
                <c:pt idx="3">
                  <c:v>6730580.6344000008</c:v>
                </c:pt>
                <c:pt idx="4">
                  <c:v>3684934.7555000004</c:v>
                </c:pt>
              </c:numCache>
            </c:numRef>
          </c:val>
          <c:smooth val="0"/>
          <c:extLst>
            <c:ext xmlns:c16="http://schemas.microsoft.com/office/drawing/2014/chart" uri="{C3380CC4-5D6E-409C-BE32-E72D297353CC}">
              <c16:uniqueId val="{00000018-D318-4B16-88EF-84D10706A8AB}"/>
            </c:ext>
          </c:extLst>
        </c:ser>
        <c:dLbls>
          <c:showLegendKey val="0"/>
          <c:showVal val="1"/>
          <c:showCatName val="0"/>
          <c:showSerName val="0"/>
          <c:showPercent val="0"/>
          <c:showBubbleSize val="0"/>
        </c:dLbls>
        <c:marker val="1"/>
        <c:smooth val="0"/>
        <c:axId val="421973504"/>
        <c:axId val="367509504"/>
      </c:lineChart>
      <c:catAx>
        <c:axId val="42197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33585472"/>
        <c:crosses val="autoZero"/>
        <c:auto val="1"/>
        <c:lblAlgn val="ctr"/>
        <c:lblOffset val="100"/>
        <c:noMultiLvlLbl val="0"/>
      </c:catAx>
      <c:valAx>
        <c:axId val="433585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21972992"/>
        <c:crosses val="autoZero"/>
        <c:crossBetween val="between"/>
      </c:valAx>
      <c:valAx>
        <c:axId val="367509504"/>
        <c:scaling>
          <c:orientation val="minMax"/>
        </c:scaling>
        <c:delete val="0"/>
        <c:axPos val="r"/>
        <c:numFmt formatCode="#,##0.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21973504"/>
        <c:crosses val="max"/>
        <c:crossBetween val="between"/>
      </c:valAx>
      <c:catAx>
        <c:axId val="421973504"/>
        <c:scaling>
          <c:orientation val="minMax"/>
        </c:scaling>
        <c:delete val="1"/>
        <c:axPos val="b"/>
        <c:numFmt formatCode="General" sourceLinked="1"/>
        <c:majorTickMark val="out"/>
        <c:minorTickMark val="none"/>
        <c:tickLblPos val="nextTo"/>
        <c:crossAx val="36750950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DN!$B$2:$F$2</c:f>
              <c:strCache>
                <c:ptCount val="5"/>
                <c:pt idx="0">
                  <c:v> 2021 </c:v>
                </c:pt>
                <c:pt idx="1">
                  <c:v> 2022 </c:v>
                </c:pt>
                <c:pt idx="2">
                  <c:v> 2023 </c:v>
                </c:pt>
                <c:pt idx="3">
                  <c:v> 2024 </c:v>
                </c:pt>
                <c:pt idx="4">
                  <c:v> 2025*</c:v>
                </c:pt>
              </c:strCache>
            </c:strRef>
          </c:cat>
          <c:val>
            <c:numRef>
              <c:f>DN!$B$3:$F$3</c:f>
              <c:numCache>
                <c:formatCode>#,##0.0</c:formatCode>
                <c:ptCount val="5"/>
                <c:pt idx="0">
                  <c:v>13103963.945</c:v>
                </c:pt>
                <c:pt idx="1">
                  <c:v>14065536.722999999</c:v>
                </c:pt>
                <c:pt idx="2">
                  <c:v>14865962.575999999</c:v>
                </c:pt>
                <c:pt idx="3">
                  <c:v>17423222.197000001</c:v>
                </c:pt>
                <c:pt idx="4">
                  <c:v>17840000.993000001</c:v>
                </c:pt>
              </c:numCache>
            </c:numRef>
          </c:val>
          <c:extLst>
            <c:ext xmlns:c16="http://schemas.microsoft.com/office/drawing/2014/chart" uri="{C3380CC4-5D6E-409C-BE32-E72D297353CC}">
              <c16:uniqueId val="{00000000-40BC-4E6A-8FFF-1C1E4B763F14}"/>
            </c:ext>
          </c:extLst>
        </c:ser>
        <c:dLbls>
          <c:dLblPos val="outEnd"/>
          <c:showLegendKey val="0"/>
          <c:showVal val="1"/>
          <c:showCatName val="0"/>
          <c:showSerName val="0"/>
          <c:showPercent val="0"/>
          <c:showBubbleSize val="0"/>
        </c:dLbls>
        <c:gapWidth val="219"/>
        <c:overlap val="-27"/>
        <c:axId val="421969920"/>
        <c:axId val="367511232"/>
      </c:barChart>
      <c:catAx>
        <c:axId val="42196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67511232"/>
        <c:crosses val="autoZero"/>
        <c:auto val="1"/>
        <c:lblAlgn val="ctr"/>
        <c:lblOffset val="100"/>
        <c:noMultiLvlLbl val="0"/>
      </c:catAx>
      <c:valAx>
        <c:axId val="3675112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219699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BN!$A$4</c:f>
              <c:strCache>
                <c:ptCount val="1"/>
                <c:pt idx="0">
                  <c:v>Balance público</c:v>
                </c:pt>
              </c:strCache>
            </c:strRef>
          </c:tx>
          <c:spPr>
            <a:solidFill>
              <a:schemeClr val="accent1"/>
            </a:solidFill>
            <a:ln>
              <a:noFill/>
            </a:ln>
            <a:effectLst/>
          </c:spPr>
          <c:invertIfNegative val="0"/>
          <c:cat>
            <c:strRef>
              <c:f>BN!$B$3:$F$3</c:f>
              <c:strCache>
                <c:ptCount val="5"/>
                <c:pt idx="0">
                  <c:v> 2021 </c:v>
                </c:pt>
                <c:pt idx="1">
                  <c:v> 2022 </c:v>
                </c:pt>
                <c:pt idx="2">
                  <c:v> 2023 </c:v>
                </c:pt>
                <c:pt idx="3">
                  <c:v> 2024 </c:v>
                </c:pt>
                <c:pt idx="4">
                  <c:v> 2025*</c:v>
                </c:pt>
              </c:strCache>
            </c:strRef>
          </c:cat>
          <c:val>
            <c:numRef>
              <c:f>BN!$B$4:$F$4</c:f>
              <c:numCache>
                <c:formatCode>#,##0.0</c:formatCode>
                <c:ptCount val="5"/>
                <c:pt idx="0">
                  <c:v>-752496.37042100006</c:v>
                </c:pt>
                <c:pt idx="1">
                  <c:v>-950891.99283999996</c:v>
                </c:pt>
                <c:pt idx="2">
                  <c:v>-1053340.4779660001</c:v>
                </c:pt>
                <c:pt idx="3">
                  <c:v>-1667445.99327</c:v>
                </c:pt>
                <c:pt idx="4">
                  <c:v>-519556.091747</c:v>
                </c:pt>
              </c:numCache>
            </c:numRef>
          </c:val>
          <c:extLst>
            <c:ext xmlns:c16="http://schemas.microsoft.com/office/drawing/2014/chart" uri="{C3380CC4-5D6E-409C-BE32-E72D297353CC}">
              <c16:uniqueId val="{00000000-5B4A-43A3-A0B7-A5A9EFE0B033}"/>
            </c:ext>
          </c:extLst>
        </c:ser>
        <c:ser>
          <c:idx val="1"/>
          <c:order val="1"/>
          <c:tx>
            <c:strRef>
              <c:f>BN!$A$17</c:f>
              <c:strCache>
                <c:ptCount val="1"/>
                <c:pt idx="0">
                  <c:v>Balance primario</c:v>
                </c:pt>
              </c:strCache>
            </c:strRef>
          </c:tx>
          <c:spPr>
            <a:solidFill>
              <a:schemeClr val="accent2"/>
            </a:solidFill>
            <a:ln>
              <a:noFill/>
            </a:ln>
            <a:effectLst/>
          </c:spPr>
          <c:invertIfNegative val="0"/>
          <c:cat>
            <c:strRef>
              <c:f>BN!$B$3:$F$3</c:f>
              <c:strCache>
                <c:ptCount val="5"/>
                <c:pt idx="0">
                  <c:v> 2021 </c:v>
                </c:pt>
                <c:pt idx="1">
                  <c:v> 2022 </c:v>
                </c:pt>
                <c:pt idx="2">
                  <c:v> 2023 </c:v>
                </c:pt>
                <c:pt idx="3">
                  <c:v> 2024 </c:v>
                </c:pt>
                <c:pt idx="4">
                  <c:v> 2025*</c:v>
                </c:pt>
              </c:strCache>
            </c:strRef>
          </c:cat>
          <c:val>
            <c:numRef>
              <c:f>BN!$B$17:$F$17</c:f>
              <c:numCache>
                <c:formatCode>#,##0.0</c:formatCode>
                <c:ptCount val="5"/>
                <c:pt idx="0">
                  <c:v>-73182.357019999996</c:v>
                </c:pt>
                <c:pt idx="1">
                  <c:v>-131987.93036599999</c:v>
                </c:pt>
                <c:pt idx="2">
                  <c:v>-36131.643771000003</c:v>
                </c:pt>
                <c:pt idx="3">
                  <c:v>-499618.35044000001</c:v>
                </c:pt>
                <c:pt idx="4">
                  <c:v>211015.85076</c:v>
                </c:pt>
              </c:numCache>
            </c:numRef>
          </c:val>
          <c:extLst>
            <c:ext xmlns:c16="http://schemas.microsoft.com/office/drawing/2014/chart" uri="{C3380CC4-5D6E-409C-BE32-E72D297353CC}">
              <c16:uniqueId val="{00000001-5B4A-43A3-A0B7-A5A9EFE0B033}"/>
            </c:ext>
          </c:extLst>
        </c:ser>
        <c:dLbls>
          <c:showLegendKey val="0"/>
          <c:showVal val="0"/>
          <c:showCatName val="0"/>
          <c:showSerName val="0"/>
          <c:showPercent val="0"/>
          <c:showBubbleSize val="0"/>
        </c:dLbls>
        <c:gapWidth val="75"/>
        <c:overlap val="-25"/>
        <c:axId val="422880768"/>
        <c:axId val="367512384"/>
      </c:barChart>
      <c:catAx>
        <c:axId val="42288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67512384"/>
        <c:crosses val="autoZero"/>
        <c:auto val="1"/>
        <c:lblAlgn val="ctr"/>
        <c:lblOffset val="100"/>
        <c:noMultiLvlLbl val="0"/>
      </c:catAx>
      <c:valAx>
        <c:axId val="3675123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22880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'PIB Q.Roo 2025'!$Y$4</c:f>
              <c:strCache>
                <c:ptCount val="1"/>
                <c:pt idx="0">
                  <c:v>PIB</c:v>
                </c:pt>
              </c:strCache>
            </c:strRef>
          </c:tx>
          <c:spPr>
            <a:solidFill>
              <a:schemeClr val="accent1"/>
            </a:solidFill>
            <a:ln>
              <a:noFill/>
            </a:ln>
            <a:effectLst/>
          </c:spPr>
          <c:invertIfNegative val="0"/>
          <c:cat>
            <c:strRef>
              <c:f>'PIB Q.Roo 2025'!$X$6:$X$15</c:f>
              <c:strCache>
                <c:ptCount val="10"/>
                <c:pt idx="0">
                  <c:v>2016</c:v>
                </c:pt>
                <c:pt idx="1">
                  <c:v>2017</c:v>
                </c:pt>
                <c:pt idx="2">
                  <c:v>2018</c:v>
                </c:pt>
                <c:pt idx="3">
                  <c:v>2019</c:v>
                </c:pt>
                <c:pt idx="4">
                  <c:v>2020</c:v>
                </c:pt>
                <c:pt idx="5">
                  <c:v>2021</c:v>
                </c:pt>
                <c:pt idx="6">
                  <c:v>2022</c:v>
                </c:pt>
                <c:pt idx="7">
                  <c:v>2023</c:v>
                </c:pt>
                <c:pt idx="8">
                  <c:v>2024E</c:v>
                </c:pt>
                <c:pt idx="9">
                  <c:v>2025P</c:v>
                </c:pt>
              </c:strCache>
            </c:strRef>
          </c:cat>
          <c:val>
            <c:numRef>
              <c:f>'PIB Q.Roo 2025'!$Y$6:$Y$15</c:f>
              <c:numCache>
                <c:formatCode>_(* #,##0.00_);_(* \(#,##0.00\);_(* "-"??_);_(@_)</c:formatCode>
                <c:ptCount val="10"/>
                <c:pt idx="0">
                  <c:v>339.73343699999998</c:v>
                </c:pt>
                <c:pt idx="1">
                  <c:v>357.11677100000003</c:v>
                </c:pt>
                <c:pt idx="2">
                  <c:v>377.340667</c:v>
                </c:pt>
                <c:pt idx="3">
                  <c:v>376.75726799999995</c:v>
                </c:pt>
                <c:pt idx="4">
                  <c:v>292.73343199999999</c:v>
                </c:pt>
                <c:pt idx="5">
                  <c:v>332.542125</c:v>
                </c:pt>
                <c:pt idx="6">
                  <c:v>356.72757299999995</c:v>
                </c:pt>
                <c:pt idx="7">
                  <c:v>406.18643500000002</c:v>
                </c:pt>
                <c:pt idx="8">
                  <c:v>390.26330240542683</c:v>
                </c:pt>
                <c:pt idx="9">
                  <c:v>354.38304705616008</c:v>
                </c:pt>
              </c:numCache>
            </c:numRef>
          </c:val>
          <c:extLst>
            <c:ext xmlns:c16="http://schemas.microsoft.com/office/drawing/2014/chart" uri="{C3380CC4-5D6E-409C-BE32-E72D297353CC}">
              <c16:uniqueId val="{00000000-2254-4CA6-B0AD-3E43AE7C0ABF}"/>
            </c:ext>
          </c:extLst>
        </c:ser>
        <c:dLbls>
          <c:showLegendKey val="0"/>
          <c:showVal val="0"/>
          <c:showCatName val="0"/>
          <c:showSerName val="0"/>
          <c:showPercent val="0"/>
          <c:showBubbleSize val="0"/>
        </c:dLbls>
        <c:gapWidth val="219"/>
        <c:overlap val="-27"/>
        <c:axId val="416122368"/>
        <c:axId val="367514112"/>
      </c:barChart>
      <c:lineChart>
        <c:grouping val="standard"/>
        <c:varyColors val="0"/>
        <c:ser>
          <c:idx val="1"/>
          <c:order val="1"/>
          <c:tx>
            <c:strRef>
              <c:f>'PIB Q.Roo 2025'!$Z$4</c:f>
              <c:strCache>
                <c:ptCount val="1"/>
                <c:pt idx="0">
                  <c:v>TC</c:v>
                </c:pt>
              </c:strCache>
            </c:strRef>
          </c:tx>
          <c:spPr>
            <a:ln w="28575" cap="rnd">
              <a:solidFill>
                <a:schemeClr val="accent2"/>
              </a:solidFill>
              <a:round/>
            </a:ln>
            <a:effectLst/>
          </c:spPr>
          <c:marker>
            <c:symbol val="none"/>
          </c:marker>
          <c:cat>
            <c:strRef>
              <c:f>'PIB Q.Roo 2025'!$X$6:$X$15</c:f>
              <c:strCache>
                <c:ptCount val="10"/>
                <c:pt idx="0">
                  <c:v>2016</c:v>
                </c:pt>
                <c:pt idx="1">
                  <c:v>2017</c:v>
                </c:pt>
                <c:pt idx="2">
                  <c:v>2018</c:v>
                </c:pt>
                <c:pt idx="3">
                  <c:v>2019</c:v>
                </c:pt>
                <c:pt idx="4">
                  <c:v>2020</c:v>
                </c:pt>
                <c:pt idx="5">
                  <c:v>2021</c:v>
                </c:pt>
                <c:pt idx="6">
                  <c:v>2022</c:v>
                </c:pt>
                <c:pt idx="7">
                  <c:v>2023</c:v>
                </c:pt>
                <c:pt idx="8">
                  <c:v>2024E</c:v>
                </c:pt>
                <c:pt idx="9">
                  <c:v>2025P</c:v>
                </c:pt>
              </c:strCache>
            </c:strRef>
          </c:cat>
          <c:val>
            <c:numRef>
              <c:f>'PIB Q.Roo 2025'!$Z$6:$Z$15</c:f>
              <c:numCache>
                <c:formatCode>0.00%</c:formatCode>
                <c:ptCount val="10"/>
                <c:pt idx="0">
                  <c:v>6.6306024962930005E-2</c:v>
                </c:pt>
                <c:pt idx="1">
                  <c:v>5.1167568766569999E-2</c:v>
                </c:pt>
                <c:pt idx="2">
                  <c:v>5.6631045199499998E-2</c:v>
                </c:pt>
                <c:pt idx="3">
                  <c:v>-1.5460803751599999E-3</c:v>
                </c:pt>
                <c:pt idx="4">
                  <c:v>-0.22301848733015001</c:v>
                </c:pt>
                <c:pt idx="5">
                  <c:v>0.13598956814745</c:v>
                </c:pt>
                <c:pt idx="6">
                  <c:v>7.2728975314029998E-2</c:v>
                </c:pt>
                <c:pt idx="7">
                  <c:v>0.13864603059433001</c:v>
                </c:pt>
                <c:pt idx="8">
                  <c:v>-3.9201537083761062E-2</c:v>
                </c:pt>
                <c:pt idx="9">
                  <c:v>-9.1938583843562016E-2</c:v>
                </c:pt>
              </c:numCache>
            </c:numRef>
          </c:val>
          <c:smooth val="0"/>
          <c:extLst>
            <c:ext xmlns:c16="http://schemas.microsoft.com/office/drawing/2014/chart" uri="{C3380CC4-5D6E-409C-BE32-E72D297353CC}">
              <c16:uniqueId val="{00000001-2254-4CA6-B0AD-3E43AE7C0ABF}"/>
            </c:ext>
          </c:extLst>
        </c:ser>
        <c:dLbls>
          <c:showLegendKey val="0"/>
          <c:showVal val="0"/>
          <c:showCatName val="0"/>
          <c:showSerName val="0"/>
          <c:showPercent val="0"/>
          <c:showBubbleSize val="0"/>
        </c:dLbls>
        <c:marker val="1"/>
        <c:smooth val="0"/>
        <c:axId val="422882816"/>
        <c:axId val="367514688"/>
      </c:lineChart>
      <c:catAx>
        <c:axId val="41612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67514112"/>
        <c:crosses val="autoZero"/>
        <c:auto val="1"/>
        <c:lblAlgn val="ctr"/>
        <c:lblOffset val="100"/>
        <c:noMultiLvlLbl val="0"/>
      </c:catAx>
      <c:valAx>
        <c:axId val="367514112"/>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16122368"/>
        <c:crosses val="autoZero"/>
        <c:crossBetween val="between"/>
      </c:valAx>
      <c:valAx>
        <c:axId val="36751468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22882816"/>
        <c:crosses val="max"/>
        <c:crossBetween val="between"/>
      </c:valAx>
      <c:catAx>
        <c:axId val="422882816"/>
        <c:scaling>
          <c:orientation val="minMax"/>
        </c:scaling>
        <c:delete val="1"/>
        <c:axPos val="b"/>
        <c:numFmt formatCode="General" sourceLinked="1"/>
        <c:majorTickMark val="none"/>
        <c:minorTickMark val="none"/>
        <c:tickLblPos val="nextTo"/>
        <c:crossAx val="36751468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'PIB Q.Roo 2025'!$Y$26</c:f>
              <c:strCache>
                <c:ptCount val="1"/>
                <c:pt idx="0">
                  <c:v>Impuestos sobre los productos, netos</c:v>
                </c:pt>
              </c:strCache>
            </c:strRef>
          </c:tx>
          <c:spPr>
            <a:solidFill>
              <a:schemeClr val="accent2"/>
            </a:solidFill>
            <a:ln>
              <a:noFill/>
            </a:ln>
            <a:effectLst/>
          </c:spPr>
          <c:invertIfNegative val="0"/>
          <c:cat>
            <c:strRef>
              <c:f>'PIB Q.Roo 2025'!$AA$24:$AM$24</c:f>
              <c:strCache>
                <c:ptCount val="13"/>
                <c:pt idx="0">
                  <c:v>2013</c:v>
                </c:pt>
                <c:pt idx="1">
                  <c:v>2014</c:v>
                </c:pt>
                <c:pt idx="2">
                  <c:v>2015</c:v>
                </c:pt>
                <c:pt idx="3">
                  <c:v>2016</c:v>
                </c:pt>
                <c:pt idx="4">
                  <c:v>2017</c:v>
                </c:pt>
                <c:pt idx="5">
                  <c:v>2018</c:v>
                </c:pt>
                <c:pt idx="6">
                  <c:v>2019</c:v>
                </c:pt>
                <c:pt idx="7">
                  <c:v>2020</c:v>
                </c:pt>
                <c:pt idx="8">
                  <c:v>2021</c:v>
                </c:pt>
                <c:pt idx="9">
                  <c:v>2022</c:v>
                </c:pt>
                <c:pt idx="10">
                  <c:v>2023</c:v>
                </c:pt>
                <c:pt idx="11">
                  <c:v>2024E</c:v>
                </c:pt>
                <c:pt idx="12">
                  <c:v>2025P</c:v>
                </c:pt>
              </c:strCache>
            </c:strRef>
          </c:cat>
          <c:val>
            <c:numRef>
              <c:f>'PIB Q.Roo 2025'!$AA$26:$AM$26</c:f>
              <c:numCache>
                <c:formatCode>_-* #,##0.0_-;\-* #,##0.0_-;_-* "-"??_-;_-@_-</c:formatCode>
                <c:ptCount val="13"/>
                <c:pt idx="0">
                  <c:v>19.725651999999997</c:v>
                </c:pt>
                <c:pt idx="1">
                  <c:v>20.436040000000002</c:v>
                </c:pt>
                <c:pt idx="2">
                  <c:v>22.674858</c:v>
                </c:pt>
                <c:pt idx="3">
                  <c:v>24.769341000000001</c:v>
                </c:pt>
                <c:pt idx="4">
                  <c:v>25.837289999999999</c:v>
                </c:pt>
                <c:pt idx="5">
                  <c:v>26.558173999999998</c:v>
                </c:pt>
                <c:pt idx="6">
                  <c:v>26.157666000000003</c:v>
                </c:pt>
                <c:pt idx="7">
                  <c:v>17.289217000000001</c:v>
                </c:pt>
                <c:pt idx="8">
                  <c:v>22.550361000000002</c:v>
                </c:pt>
                <c:pt idx="9">
                  <c:v>26.037800999999998</c:v>
                </c:pt>
                <c:pt idx="10">
                  <c:v>24.924779999999998</c:v>
                </c:pt>
                <c:pt idx="11">
                  <c:v>25.777160225426805</c:v>
                </c:pt>
                <c:pt idx="12">
                  <c:v>23.337508165481452</c:v>
                </c:pt>
              </c:numCache>
            </c:numRef>
          </c:val>
          <c:extLst>
            <c:ext xmlns:c16="http://schemas.microsoft.com/office/drawing/2014/chart" uri="{C3380CC4-5D6E-409C-BE32-E72D297353CC}">
              <c16:uniqueId val="{00000000-97D6-48DD-9CEF-A5FCD0DB1E3A}"/>
            </c:ext>
          </c:extLst>
        </c:ser>
        <c:ser>
          <c:idx val="2"/>
          <c:order val="2"/>
          <c:tx>
            <c:strRef>
              <c:f>'PIB Q.Roo 2025'!$Y$27</c:f>
              <c:strCache>
                <c:ptCount val="1"/>
                <c:pt idx="0">
                  <c:v>Actividades primarias</c:v>
                </c:pt>
              </c:strCache>
            </c:strRef>
          </c:tx>
          <c:spPr>
            <a:solidFill>
              <a:schemeClr val="accent3"/>
            </a:solidFill>
            <a:ln>
              <a:noFill/>
            </a:ln>
            <a:effectLst/>
          </c:spPr>
          <c:invertIfNegative val="0"/>
          <c:cat>
            <c:strRef>
              <c:f>'PIB Q.Roo 2025'!$AA$24:$AM$24</c:f>
              <c:strCache>
                <c:ptCount val="13"/>
                <c:pt idx="0">
                  <c:v>2013</c:v>
                </c:pt>
                <c:pt idx="1">
                  <c:v>2014</c:v>
                </c:pt>
                <c:pt idx="2">
                  <c:v>2015</c:v>
                </c:pt>
                <c:pt idx="3">
                  <c:v>2016</c:v>
                </c:pt>
                <c:pt idx="4">
                  <c:v>2017</c:v>
                </c:pt>
                <c:pt idx="5">
                  <c:v>2018</c:v>
                </c:pt>
                <c:pt idx="6">
                  <c:v>2019</c:v>
                </c:pt>
                <c:pt idx="7">
                  <c:v>2020</c:v>
                </c:pt>
                <c:pt idx="8">
                  <c:v>2021</c:v>
                </c:pt>
                <c:pt idx="9">
                  <c:v>2022</c:v>
                </c:pt>
                <c:pt idx="10">
                  <c:v>2023</c:v>
                </c:pt>
                <c:pt idx="11">
                  <c:v>2024E</c:v>
                </c:pt>
                <c:pt idx="12">
                  <c:v>2025P</c:v>
                </c:pt>
              </c:strCache>
            </c:strRef>
          </c:cat>
          <c:val>
            <c:numRef>
              <c:f>'PIB Q.Roo 2025'!$AA$27:$AM$27</c:f>
              <c:numCache>
                <c:formatCode>_-* #,##0.0_-;\-* #,##0.0_-;_-* "-"??_-;_-@_-</c:formatCode>
                <c:ptCount val="13"/>
                <c:pt idx="0">
                  <c:v>2.6977099999999998</c:v>
                </c:pt>
                <c:pt idx="1">
                  <c:v>2.5030619999999999</c:v>
                </c:pt>
                <c:pt idx="2">
                  <c:v>2.5258949999999998</c:v>
                </c:pt>
                <c:pt idx="3">
                  <c:v>2.5087440000000001</c:v>
                </c:pt>
                <c:pt idx="4">
                  <c:v>2.733616</c:v>
                </c:pt>
                <c:pt idx="5">
                  <c:v>3.3490489999999999</c:v>
                </c:pt>
                <c:pt idx="6">
                  <c:v>2.7443149999999998</c:v>
                </c:pt>
                <c:pt idx="7">
                  <c:v>2.5610759999999999</c:v>
                </c:pt>
                <c:pt idx="8">
                  <c:v>3.5727579999999999</c:v>
                </c:pt>
                <c:pt idx="9">
                  <c:v>3.540648</c:v>
                </c:pt>
                <c:pt idx="10">
                  <c:v>3.2939609999999999</c:v>
                </c:pt>
                <c:pt idx="11">
                  <c:v>2.6808030660000002</c:v>
                </c:pt>
                <c:pt idx="12">
                  <c:v>2.2703279096712312</c:v>
                </c:pt>
              </c:numCache>
            </c:numRef>
          </c:val>
          <c:extLst>
            <c:ext xmlns:c16="http://schemas.microsoft.com/office/drawing/2014/chart" uri="{C3380CC4-5D6E-409C-BE32-E72D297353CC}">
              <c16:uniqueId val="{00000001-97D6-48DD-9CEF-A5FCD0DB1E3A}"/>
            </c:ext>
          </c:extLst>
        </c:ser>
        <c:ser>
          <c:idx val="3"/>
          <c:order val="3"/>
          <c:tx>
            <c:strRef>
              <c:f>'PIB Q.Roo 2025'!$Y$28</c:f>
              <c:strCache>
                <c:ptCount val="1"/>
                <c:pt idx="0">
                  <c:v>Actividades secundarias</c:v>
                </c:pt>
              </c:strCache>
            </c:strRef>
          </c:tx>
          <c:spPr>
            <a:solidFill>
              <a:schemeClr val="accent4"/>
            </a:solidFill>
            <a:ln>
              <a:noFill/>
            </a:ln>
            <a:effectLst/>
          </c:spPr>
          <c:invertIfNegative val="0"/>
          <c:cat>
            <c:strRef>
              <c:f>'PIB Q.Roo 2025'!$AA$24:$AM$24</c:f>
              <c:strCache>
                <c:ptCount val="13"/>
                <c:pt idx="0">
                  <c:v>2013</c:v>
                </c:pt>
                <c:pt idx="1">
                  <c:v>2014</c:v>
                </c:pt>
                <c:pt idx="2">
                  <c:v>2015</c:v>
                </c:pt>
                <c:pt idx="3">
                  <c:v>2016</c:v>
                </c:pt>
                <c:pt idx="4">
                  <c:v>2017</c:v>
                </c:pt>
                <c:pt idx="5">
                  <c:v>2018</c:v>
                </c:pt>
                <c:pt idx="6">
                  <c:v>2019</c:v>
                </c:pt>
                <c:pt idx="7">
                  <c:v>2020</c:v>
                </c:pt>
                <c:pt idx="8">
                  <c:v>2021</c:v>
                </c:pt>
                <c:pt idx="9">
                  <c:v>2022</c:v>
                </c:pt>
                <c:pt idx="10">
                  <c:v>2023</c:v>
                </c:pt>
                <c:pt idx="11">
                  <c:v>2024E</c:v>
                </c:pt>
                <c:pt idx="12">
                  <c:v>2025P</c:v>
                </c:pt>
              </c:strCache>
            </c:strRef>
          </c:cat>
          <c:val>
            <c:numRef>
              <c:f>'PIB Q.Roo 2025'!$AA$28:$AM$28</c:f>
              <c:numCache>
                <c:formatCode>_-* #,##0.0_-;\-* #,##0.0_-;_-* "-"??_-;_-@_-</c:formatCode>
                <c:ptCount val="13"/>
                <c:pt idx="0">
                  <c:v>33.971478000000005</c:v>
                </c:pt>
                <c:pt idx="1">
                  <c:v>38.344859999999997</c:v>
                </c:pt>
                <c:pt idx="2">
                  <c:v>37.836785000000006</c:v>
                </c:pt>
                <c:pt idx="3">
                  <c:v>40.124999000000003</c:v>
                </c:pt>
                <c:pt idx="4">
                  <c:v>37.812315000000005</c:v>
                </c:pt>
                <c:pt idx="5">
                  <c:v>40.207635000000003</c:v>
                </c:pt>
                <c:pt idx="6">
                  <c:v>42.461261</c:v>
                </c:pt>
                <c:pt idx="7">
                  <c:v>33.450932999999999</c:v>
                </c:pt>
                <c:pt idx="8">
                  <c:v>28.661977</c:v>
                </c:pt>
                <c:pt idx="9">
                  <c:v>31.607254000000001</c:v>
                </c:pt>
                <c:pt idx="10">
                  <c:v>88.493141000000008</c:v>
                </c:pt>
                <c:pt idx="11">
                  <c:v>69.321810259999992</c:v>
                </c:pt>
                <c:pt idx="12">
                  <c:v>35.735202552341875</c:v>
                </c:pt>
              </c:numCache>
            </c:numRef>
          </c:val>
          <c:extLst>
            <c:ext xmlns:c16="http://schemas.microsoft.com/office/drawing/2014/chart" uri="{C3380CC4-5D6E-409C-BE32-E72D297353CC}">
              <c16:uniqueId val="{00000002-97D6-48DD-9CEF-A5FCD0DB1E3A}"/>
            </c:ext>
          </c:extLst>
        </c:ser>
        <c:ser>
          <c:idx val="4"/>
          <c:order val="4"/>
          <c:tx>
            <c:strRef>
              <c:f>'PIB Q.Roo 2025'!$Y$29</c:f>
              <c:strCache>
                <c:ptCount val="1"/>
                <c:pt idx="0">
                  <c:v>Actividades terciarias</c:v>
                </c:pt>
              </c:strCache>
            </c:strRef>
          </c:tx>
          <c:spPr>
            <a:solidFill>
              <a:schemeClr val="accent5"/>
            </a:solidFill>
            <a:ln>
              <a:noFill/>
            </a:ln>
            <a:effectLst/>
          </c:spPr>
          <c:invertIfNegative val="0"/>
          <c:cat>
            <c:strRef>
              <c:f>'PIB Q.Roo 2025'!$AA$24:$AM$24</c:f>
              <c:strCache>
                <c:ptCount val="13"/>
                <c:pt idx="0">
                  <c:v>2013</c:v>
                </c:pt>
                <c:pt idx="1">
                  <c:v>2014</c:v>
                </c:pt>
                <c:pt idx="2">
                  <c:v>2015</c:v>
                </c:pt>
                <c:pt idx="3">
                  <c:v>2016</c:v>
                </c:pt>
                <c:pt idx="4">
                  <c:v>2017</c:v>
                </c:pt>
                <c:pt idx="5">
                  <c:v>2018</c:v>
                </c:pt>
                <c:pt idx="6">
                  <c:v>2019</c:v>
                </c:pt>
                <c:pt idx="7">
                  <c:v>2020</c:v>
                </c:pt>
                <c:pt idx="8">
                  <c:v>2021</c:v>
                </c:pt>
                <c:pt idx="9">
                  <c:v>2022</c:v>
                </c:pt>
                <c:pt idx="10">
                  <c:v>2023</c:v>
                </c:pt>
                <c:pt idx="11">
                  <c:v>2024E</c:v>
                </c:pt>
                <c:pt idx="12">
                  <c:v>2025P</c:v>
                </c:pt>
              </c:strCache>
            </c:strRef>
          </c:cat>
          <c:val>
            <c:numRef>
              <c:f>'PIB Q.Roo 2025'!$AA$29:$AM$29</c:f>
              <c:numCache>
                <c:formatCode>_-* #,##0.0_-;\-* #,##0.0_-;_-* "-"??_-;_-@_-</c:formatCode>
                <c:ptCount val="13"/>
                <c:pt idx="0">
                  <c:v>232.78754900000001</c:v>
                </c:pt>
                <c:pt idx="1">
                  <c:v>238.72197599999998</c:v>
                </c:pt>
                <c:pt idx="2">
                  <c:v>255.57028099999999</c:v>
                </c:pt>
                <c:pt idx="3">
                  <c:v>272.330353</c:v>
                </c:pt>
                <c:pt idx="4">
                  <c:v>290.73354999999998</c:v>
                </c:pt>
                <c:pt idx="5">
                  <c:v>307.22580900000003</c:v>
                </c:pt>
                <c:pt idx="6">
                  <c:v>305.394026</c:v>
                </c:pt>
                <c:pt idx="7">
                  <c:v>239.43220600000001</c:v>
                </c:pt>
                <c:pt idx="8">
                  <c:v>277.75702899999999</c:v>
                </c:pt>
                <c:pt idx="9">
                  <c:v>295.54187000000002</c:v>
                </c:pt>
                <c:pt idx="10">
                  <c:v>289.47455300000001</c:v>
                </c:pt>
                <c:pt idx="11">
                  <c:v>292.48352885400004</c:v>
                </c:pt>
                <c:pt idx="12">
                  <c:v>293.04000842866549</c:v>
                </c:pt>
              </c:numCache>
            </c:numRef>
          </c:val>
          <c:extLst>
            <c:ext xmlns:c16="http://schemas.microsoft.com/office/drawing/2014/chart" uri="{C3380CC4-5D6E-409C-BE32-E72D297353CC}">
              <c16:uniqueId val="{00000003-97D6-48DD-9CEF-A5FCD0DB1E3A}"/>
            </c:ext>
          </c:extLst>
        </c:ser>
        <c:dLbls>
          <c:showLegendKey val="0"/>
          <c:showVal val="0"/>
          <c:showCatName val="0"/>
          <c:showSerName val="0"/>
          <c:showPercent val="0"/>
          <c:showBubbleSize val="0"/>
        </c:dLbls>
        <c:gapWidth val="150"/>
        <c:overlap val="100"/>
        <c:axId val="433751040"/>
        <c:axId val="367516416"/>
      </c:barChart>
      <c:lineChart>
        <c:grouping val="standard"/>
        <c:varyColors val="0"/>
        <c:ser>
          <c:idx val="0"/>
          <c:order val="0"/>
          <c:tx>
            <c:strRef>
              <c:f>'PIB Q.Roo 2025'!$Y$25</c:f>
              <c:strCache>
                <c:ptCount val="1"/>
                <c:pt idx="0">
                  <c:v>Total</c:v>
                </c:pt>
              </c:strCache>
            </c:strRef>
          </c:tx>
          <c:spPr>
            <a:ln w="28575" cap="rnd">
              <a:solidFill>
                <a:schemeClr val="accent1"/>
              </a:solidFill>
              <a:round/>
            </a:ln>
            <a:effectLst/>
          </c:spPr>
          <c:marker>
            <c:symbol val="none"/>
          </c:marker>
          <c:cat>
            <c:strRef>
              <c:f>'PIB Q.Roo 2025'!$AA$24:$AM$24</c:f>
              <c:strCache>
                <c:ptCount val="13"/>
                <c:pt idx="0">
                  <c:v>2013</c:v>
                </c:pt>
                <c:pt idx="1">
                  <c:v>2014</c:v>
                </c:pt>
                <c:pt idx="2">
                  <c:v>2015</c:v>
                </c:pt>
                <c:pt idx="3">
                  <c:v>2016</c:v>
                </c:pt>
                <c:pt idx="4">
                  <c:v>2017</c:v>
                </c:pt>
                <c:pt idx="5">
                  <c:v>2018</c:v>
                </c:pt>
                <c:pt idx="6">
                  <c:v>2019</c:v>
                </c:pt>
                <c:pt idx="7">
                  <c:v>2020</c:v>
                </c:pt>
                <c:pt idx="8">
                  <c:v>2021</c:v>
                </c:pt>
                <c:pt idx="9">
                  <c:v>2022</c:v>
                </c:pt>
                <c:pt idx="10">
                  <c:v>2023</c:v>
                </c:pt>
                <c:pt idx="11">
                  <c:v>2024E</c:v>
                </c:pt>
                <c:pt idx="12">
                  <c:v>2025P</c:v>
                </c:pt>
              </c:strCache>
            </c:strRef>
          </c:cat>
          <c:val>
            <c:numRef>
              <c:f>'PIB Q.Roo 2025'!$AA$25:$AM$25</c:f>
              <c:numCache>
                <c:formatCode>_-* #,##0.0_-;\-* #,##0.0_-;_-* "-"??_-;_-@_-</c:formatCode>
                <c:ptCount val="13"/>
                <c:pt idx="0">
                  <c:v>289.182389</c:v>
                </c:pt>
                <c:pt idx="1">
                  <c:v>300.00593800000001</c:v>
                </c:pt>
                <c:pt idx="2">
                  <c:v>318.60781900000001</c:v>
                </c:pt>
                <c:pt idx="3">
                  <c:v>339.73343699999998</c:v>
                </c:pt>
                <c:pt idx="4">
                  <c:v>357.11677100000003</c:v>
                </c:pt>
                <c:pt idx="5">
                  <c:v>377.340667</c:v>
                </c:pt>
                <c:pt idx="6">
                  <c:v>376.75726799999995</c:v>
                </c:pt>
                <c:pt idx="7">
                  <c:v>292.73343199999999</c:v>
                </c:pt>
                <c:pt idx="8">
                  <c:v>332.542125</c:v>
                </c:pt>
                <c:pt idx="9">
                  <c:v>356.72757299999995</c:v>
                </c:pt>
                <c:pt idx="10">
                  <c:v>406.18643500000002</c:v>
                </c:pt>
                <c:pt idx="11">
                  <c:v>390.26330240542683</c:v>
                </c:pt>
                <c:pt idx="12">
                  <c:v>354.38304705616008</c:v>
                </c:pt>
              </c:numCache>
            </c:numRef>
          </c:val>
          <c:smooth val="0"/>
          <c:extLst>
            <c:ext xmlns:c16="http://schemas.microsoft.com/office/drawing/2014/chart" uri="{C3380CC4-5D6E-409C-BE32-E72D297353CC}">
              <c16:uniqueId val="{00000004-97D6-48DD-9CEF-A5FCD0DB1E3A}"/>
            </c:ext>
          </c:extLst>
        </c:ser>
        <c:dLbls>
          <c:showLegendKey val="0"/>
          <c:showVal val="0"/>
          <c:showCatName val="0"/>
          <c:showSerName val="0"/>
          <c:showPercent val="0"/>
          <c:showBubbleSize val="0"/>
        </c:dLbls>
        <c:marker val="1"/>
        <c:smooth val="0"/>
        <c:axId val="433751552"/>
        <c:axId val="367516992"/>
      </c:lineChart>
      <c:catAx>
        <c:axId val="43375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67516416"/>
        <c:crosses val="autoZero"/>
        <c:auto val="1"/>
        <c:lblAlgn val="ctr"/>
        <c:lblOffset val="100"/>
        <c:noMultiLvlLbl val="0"/>
      </c:catAx>
      <c:valAx>
        <c:axId val="367516416"/>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33751040"/>
        <c:crosses val="autoZero"/>
        <c:crossBetween val="between"/>
      </c:valAx>
      <c:valAx>
        <c:axId val="367516992"/>
        <c:scaling>
          <c:orientation val="minMax"/>
        </c:scaling>
        <c:delete val="0"/>
        <c:axPos val="r"/>
        <c:numFmt formatCode="_-* #,##0.0_-;\-* #,##0.0_-;_-* &quot;-&quot;??_-;_-@_-"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33751552"/>
        <c:crosses val="max"/>
        <c:crossBetween val="between"/>
      </c:valAx>
      <c:catAx>
        <c:axId val="433751552"/>
        <c:scaling>
          <c:orientation val="minMax"/>
        </c:scaling>
        <c:delete val="1"/>
        <c:axPos val="b"/>
        <c:numFmt formatCode="General" sourceLinked="1"/>
        <c:majorTickMark val="out"/>
        <c:minorTickMark val="none"/>
        <c:tickLblPos val="nextTo"/>
        <c:crossAx val="367516992"/>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'PASAJEROS-VUELOS 2025'!$I$5</c:f>
              <c:strCache>
                <c:ptCount val="1"/>
                <c:pt idx="0">
                  <c:v>2023</c:v>
                </c:pt>
              </c:strCache>
            </c:strRef>
          </c:tx>
          <c:spPr>
            <a:solidFill>
              <a:schemeClr val="accent1"/>
            </a:solidFill>
            <a:ln>
              <a:noFill/>
            </a:ln>
            <a:effectLst/>
          </c:spPr>
          <c:invertIfNegative val="0"/>
          <c:cat>
            <c:strRef>
              <c:f>'PASAJEROS-VUELOS 2025'!$J$3:$L$3</c:f>
              <c:strCache>
                <c:ptCount val="3"/>
                <c:pt idx="0">
                  <c:v>Nacional</c:v>
                </c:pt>
                <c:pt idx="1">
                  <c:v>Internacional</c:v>
                </c:pt>
                <c:pt idx="2">
                  <c:v>Total</c:v>
                </c:pt>
              </c:strCache>
            </c:strRef>
          </c:cat>
          <c:val>
            <c:numRef>
              <c:f>'PASAJEROS-VUELOS 2025'!$J$5:$L$5</c:f>
              <c:numCache>
                <c:formatCode>_-* #,##0_-;\-* #,##0_-;_-* "-"??_-;_-@_-</c:formatCode>
                <c:ptCount val="3"/>
                <c:pt idx="0">
                  <c:v>11842217</c:v>
                </c:pt>
                <c:pt idx="1">
                  <c:v>20908196</c:v>
                </c:pt>
                <c:pt idx="2">
                  <c:v>32750413</c:v>
                </c:pt>
              </c:numCache>
            </c:numRef>
          </c:val>
          <c:extLst>
            <c:ext xmlns:c16="http://schemas.microsoft.com/office/drawing/2014/chart" uri="{C3380CC4-5D6E-409C-BE32-E72D297353CC}">
              <c16:uniqueId val="{00000000-BF3A-4E9E-A707-9DE3026A739B}"/>
            </c:ext>
          </c:extLst>
        </c:ser>
        <c:ser>
          <c:idx val="1"/>
          <c:order val="1"/>
          <c:tx>
            <c:strRef>
              <c:f>'PASAJEROS-VUELOS 2025'!$I$6</c:f>
              <c:strCache>
                <c:ptCount val="1"/>
                <c:pt idx="0">
                  <c:v>2024</c:v>
                </c:pt>
              </c:strCache>
            </c:strRef>
          </c:tx>
          <c:spPr>
            <a:solidFill>
              <a:schemeClr val="accent2"/>
            </a:solidFill>
            <a:ln>
              <a:noFill/>
            </a:ln>
            <a:effectLst/>
          </c:spPr>
          <c:invertIfNegative val="0"/>
          <c:cat>
            <c:strRef>
              <c:f>'PASAJEROS-VUELOS 2025'!$J$3:$L$3</c:f>
              <c:strCache>
                <c:ptCount val="3"/>
                <c:pt idx="0">
                  <c:v>Nacional</c:v>
                </c:pt>
                <c:pt idx="1">
                  <c:v>Internacional</c:v>
                </c:pt>
                <c:pt idx="2">
                  <c:v>Total</c:v>
                </c:pt>
              </c:strCache>
            </c:strRef>
          </c:cat>
          <c:val>
            <c:numRef>
              <c:f>'PASAJEROS-VUELOS 2025'!$J$6:$L$6</c:f>
              <c:numCache>
                <c:formatCode>_-* #,##0_-;\-* #,##0_-;_-* "-"??_-;_-@_-</c:formatCode>
                <c:ptCount val="3"/>
                <c:pt idx="0">
                  <c:v>10236245</c:v>
                </c:pt>
                <c:pt idx="1">
                  <c:v>20175568</c:v>
                </c:pt>
                <c:pt idx="2">
                  <c:v>30411813</c:v>
                </c:pt>
              </c:numCache>
            </c:numRef>
          </c:val>
          <c:extLst>
            <c:ext xmlns:c16="http://schemas.microsoft.com/office/drawing/2014/chart" uri="{C3380CC4-5D6E-409C-BE32-E72D297353CC}">
              <c16:uniqueId val="{00000001-BF3A-4E9E-A707-9DE3026A739B}"/>
            </c:ext>
          </c:extLst>
        </c:ser>
        <c:ser>
          <c:idx val="2"/>
          <c:order val="2"/>
          <c:tx>
            <c:strRef>
              <c:f>'PASAJEROS-VUELOS 2025'!$I$7</c:f>
              <c:strCache>
                <c:ptCount val="1"/>
                <c:pt idx="0">
                  <c:v>2025</c:v>
                </c:pt>
              </c:strCache>
            </c:strRef>
          </c:tx>
          <c:spPr>
            <a:solidFill>
              <a:schemeClr val="accent3"/>
            </a:solidFill>
            <a:ln>
              <a:noFill/>
            </a:ln>
            <a:effectLst/>
          </c:spPr>
          <c:invertIfNegative val="0"/>
          <c:cat>
            <c:strRef>
              <c:f>'PASAJEROS-VUELOS 2025'!$J$3:$L$3</c:f>
              <c:strCache>
                <c:ptCount val="3"/>
                <c:pt idx="0">
                  <c:v>Nacional</c:v>
                </c:pt>
                <c:pt idx="1">
                  <c:v>Internacional</c:v>
                </c:pt>
                <c:pt idx="2">
                  <c:v>Total</c:v>
                </c:pt>
              </c:strCache>
            </c:strRef>
          </c:cat>
          <c:val>
            <c:numRef>
              <c:f>'PASAJEROS-VUELOS 2025'!$J$7:$L$7</c:f>
              <c:numCache>
                <c:formatCode>_-* #,##0_-;\-* #,##0_-;_-* "-"??_-;_-@_-</c:formatCode>
                <c:ptCount val="3"/>
                <c:pt idx="0">
                  <c:v>6662046</c:v>
                </c:pt>
                <c:pt idx="1">
                  <c:v>13776406</c:v>
                </c:pt>
                <c:pt idx="2">
                  <c:v>20438452</c:v>
                </c:pt>
              </c:numCache>
            </c:numRef>
          </c:val>
          <c:extLst>
            <c:ext xmlns:c16="http://schemas.microsoft.com/office/drawing/2014/chart" uri="{C3380CC4-5D6E-409C-BE32-E72D297353CC}">
              <c16:uniqueId val="{00000002-BF3A-4E9E-A707-9DE3026A739B}"/>
            </c:ext>
          </c:extLst>
        </c:ser>
        <c:dLbls>
          <c:showLegendKey val="0"/>
          <c:showVal val="0"/>
          <c:showCatName val="0"/>
          <c:showSerName val="0"/>
          <c:showPercent val="0"/>
          <c:showBubbleSize val="0"/>
        </c:dLbls>
        <c:gapWidth val="219"/>
        <c:overlap val="-27"/>
        <c:axId val="418025472"/>
        <c:axId val="368477312"/>
      </c:barChart>
      <c:catAx>
        <c:axId val="41802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68477312"/>
        <c:crosses val="autoZero"/>
        <c:auto val="1"/>
        <c:lblAlgn val="ctr"/>
        <c:lblOffset val="100"/>
        <c:noMultiLvlLbl val="0"/>
      </c:catAx>
      <c:valAx>
        <c:axId val="36847731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180254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'PASAJEROS-VUELOS 2025'!$I$19</c:f>
              <c:strCache>
                <c:ptCount val="1"/>
                <c:pt idx="0">
                  <c:v>2023</c:v>
                </c:pt>
              </c:strCache>
            </c:strRef>
          </c:tx>
          <c:spPr>
            <a:solidFill>
              <a:schemeClr val="accent1"/>
            </a:solidFill>
            <a:ln>
              <a:noFill/>
            </a:ln>
            <a:effectLst/>
          </c:spPr>
          <c:invertIfNegative val="0"/>
          <c:cat>
            <c:strRef>
              <c:f>'PASAJEROS-VUELOS 2025'!$J$17:$L$17</c:f>
              <c:strCache>
                <c:ptCount val="3"/>
                <c:pt idx="0">
                  <c:v>Nacional</c:v>
                </c:pt>
                <c:pt idx="1">
                  <c:v>Internacional</c:v>
                </c:pt>
                <c:pt idx="2">
                  <c:v>Total</c:v>
                </c:pt>
              </c:strCache>
            </c:strRef>
          </c:cat>
          <c:val>
            <c:numRef>
              <c:f>'PASAJEROS-VUELOS 2025'!$J$19:$L$19</c:f>
              <c:numCache>
                <c:formatCode>_-* #,##0_-;\-* #,##0_-;_-* "-"??_-;_-@_-</c:formatCode>
                <c:ptCount val="3"/>
                <c:pt idx="0">
                  <c:v>203999</c:v>
                </c:pt>
                <c:pt idx="1">
                  <c:v>473504</c:v>
                </c:pt>
                <c:pt idx="2">
                  <c:v>667503</c:v>
                </c:pt>
              </c:numCache>
            </c:numRef>
          </c:val>
          <c:extLst>
            <c:ext xmlns:c16="http://schemas.microsoft.com/office/drawing/2014/chart" uri="{C3380CC4-5D6E-409C-BE32-E72D297353CC}">
              <c16:uniqueId val="{00000000-8ABD-4419-BF3D-A45A6AD3677E}"/>
            </c:ext>
          </c:extLst>
        </c:ser>
        <c:ser>
          <c:idx val="1"/>
          <c:order val="1"/>
          <c:tx>
            <c:strRef>
              <c:f>'PASAJEROS-VUELOS 2025'!$I$20</c:f>
              <c:strCache>
                <c:ptCount val="1"/>
                <c:pt idx="0">
                  <c:v>2024</c:v>
                </c:pt>
              </c:strCache>
            </c:strRef>
          </c:tx>
          <c:spPr>
            <a:solidFill>
              <a:schemeClr val="accent2"/>
            </a:solidFill>
            <a:ln>
              <a:noFill/>
            </a:ln>
            <a:effectLst/>
          </c:spPr>
          <c:invertIfNegative val="0"/>
          <c:cat>
            <c:strRef>
              <c:f>'PASAJEROS-VUELOS 2025'!$J$17:$L$17</c:f>
              <c:strCache>
                <c:ptCount val="3"/>
                <c:pt idx="0">
                  <c:v>Nacional</c:v>
                </c:pt>
                <c:pt idx="1">
                  <c:v>Internacional</c:v>
                </c:pt>
                <c:pt idx="2">
                  <c:v>Total</c:v>
                </c:pt>
              </c:strCache>
            </c:strRef>
          </c:cat>
          <c:val>
            <c:numRef>
              <c:f>'PASAJEROS-VUELOS 2025'!$J$20:$L$20</c:f>
              <c:numCache>
                <c:formatCode>_-* #,##0_-;\-* #,##0_-;_-* "-"??_-;_-@_-</c:formatCode>
                <c:ptCount val="3"/>
                <c:pt idx="0">
                  <c:v>250593</c:v>
                </c:pt>
                <c:pt idx="1">
                  <c:v>462365</c:v>
                </c:pt>
                <c:pt idx="2">
                  <c:v>712958</c:v>
                </c:pt>
              </c:numCache>
            </c:numRef>
          </c:val>
          <c:extLst>
            <c:ext xmlns:c16="http://schemas.microsoft.com/office/drawing/2014/chart" uri="{C3380CC4-5D6E-409C-BE32-E72D297353CC}">
              <c16:uniqueId val="{00000001-8ABD-4419-BF3D-A45A6AD3677E}"/>
            </c:ext>
          </c:extLst>
        </c:ser>
        <c:ser>
          <c:idx val="2"/>
          <c:order val="2"/>
          <c:tx>
            <c:strRef>
              <c:f>'PASAJEROS-VUELOS 2025'!$I$21</c:f>
              <c:strCache>
                <c:ptCount val="1"/>
                <c:pt idx="0">
                  <c:v>2025</c:v>
                </c:pt>
              </c:strCache>
            </c:strRef>
          </c:tx>
          <c:spPr>
            <a:solidFill>
              <a:schemeClr val="accent3"/>
            </a:solidFill>
            <a:ln>
              <a:noFill/>
            </a:ln>
            <a:effectLst/>
          </c:spPr>
          <c:invertIfNegative val="0"/>
          <c:cat>
            <c:strRef>
              <c:f>'PASAJEROS-VUELOS 2025'!$J$17:$L$17</c:f>
              <c:strCache>
                <c:ptCount val="3"/>
                <c:pt idx="0">
                  <c:v>Nacional</c:v>
                </c:pt>
                <c:pt idx="1">
                  <c:v>Internacional</c:v>
                </c:pt>
                <c:pt idx="2">
                  <c:v>Total</c:v>
                </c:pt>
              </c:strCache>
            </c:strRef>
          </c:cat>
          <c:val>
            <c:numRef>
              <c:f>'PASAJEROS-VUELOS 2025'!$J$21:$L$21</c:f>
              <c:numCache>
                <c:formatCode>_-* #,##0_-;\-* #,##0_-;_-* "-"??_-;_-@_-</c:formatCode>
                <c:ptCount val="3"/>
                <c:pt idx="0">
                  <c:v>174704</c:v>
                </c:pt>
                <c:pt idx="1">
                  <c:v>283973</c:v>
                </c:pt>
                <c:pt idx="2">
                  <c:v>458677</c:v>
                </c:pt>
              </c:numCache>
            </c:numRef>
          </c:val>
          <c:extLst>
            <c:ext xmlns:c16="http://schemas.microsoft.com/office/drawing/2014/chart" uri="{C3380CC4-5D6E-409C-BE32-E72D297353CC}">
              <c16:uniqueId val="{00000002-8ABD-4419-BF3D-A45A6AD3677E}"/>
            </c:ext>
          </c:extLst>
        </c:ser>
        <c:dLbls>
          <c:showLegendKey val="0"/>
          <c:showVal val="0"/>
          <c:showCatName val="0"/>
          <c:showSerName val="0"/>
          <c:showPercent val="0"/>
          <c:showBubbleSize val="0"/>
        </c:dLbls>
        <c:gapWidth val="219"/>
        <c:overlap val="-27"/>
        <c:axId val="418027520"/>
        <c:axId val="368479040"/>
      </c:barChart>
      <c:catAx>
        <c:axId val="41802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68479040"/>
        <c:crosses val="autoZero"/>
        <c:auto val="1"/>
        <c:lblAlgn val="ctr"/>
        <c:lblOffset val="100"/>
        <c:noMultiLvlLbl val="0"/>
      </c:catAx>
      <c:valAx>
        <c:axId val="36847904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18027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'CRUCEROS 2025'!$L$4</c:f>
              <c:strCache>
                <c:ptCount val="1"/>
                <c:pt idx="0">
                  <c:v>2023</c:v>
                </c:pt>
              </c:strCache>
            </c:strRef>
          </c:tx>
          <c:spPr>
            <a:solidFill>
              <a:schemeClr val="accent1"/>
            </a:solidFill>
            <a:ln>
              <a:noFill/>
            </a:ln>
            <a:effectLst/>
          </c:spPr>
          <c:invertIfNegative val="0"/>
          <c:cat>
            <c:strRef>
              <c:f>'CRUCEROS 2025'!$M$2:$O$2</c:f>
              <c:strCache>
                <c:ptCount val="3"/>
                <c:pt idx="0">
                  <c:v>Visitantes de crucero</c:v>
                </c:pt>
                <c:pt idx="1">
                  <c:v>Tripulación marítima</c:v>
                </c:pt>
                <c:pt idx="2">
                  <c:v>Total</c:v>
                </c:pt>
              </c:strCache>
            </c:strRef>
          </c:cat>
          <c:val>
            <c:numRef>
              <c:f>'CRUCEROS 2025'!$M$4:$O$4</c:f>
              <c:numCache>
                <c:formatCode>_-* #,##0_-;\-* #,##0_-;_-* "-"??_-;_-@_-</c:formatCode>
                <c:ptCount val="3"/>
                <c:pt idx="0">
                  <c:v>3168292</c:v>
                </c:pt>
                <c:pt idx="1">
                  <c:v>1114711</c:v>
                </c:pt>
                <c:pt idx="2">
                  <c:v>4283003</c:v>
                </c:pt>
              </c:numCache>
            </c:numRef>
          </c:val>
          <c:extLst>
            <c:ext xmlns:c16="http://schemas.microsoft.com/office/drawing/2014/chart" uri="{C3380CC4-5D6E-409C-BE32-E72D297353CC}">
              <c16:uniqueId val="{00000000-99B6-497F-B56E-D83AD55C33C0}"/>
            </c:ext>
          </c:extLst>
        </c:ser>
        <c:ser>
          <c:idx val="1"/>
          <c:order val="1"/>
          <c:tx>
            <c:strRef>
              <c:f>'CRUCEROS 2025'!$L$5</c:f>
              <c:strCache>
                <c:ptCount val="1"/>
                <c:pt idx="0">
                  <c:v>2024</c:v>
                </c:pt>
              </c:strCache>
            </c:strRef>
          </c:tx>
          <c:spPr>
            <a:solidFill>
              <a:schemeClr val="accent2"/>
            </a:solidFill>
            <a:ln>
              <a:noFill/>
            </a:ln>
            <a:effectLst/>
          </c:spPr>
          <c:invertIfNegative val="0"/>
          <c:cat>
            <c:strRef>
              <c:f>'CRUCEROS 2025'!$M$2:$O$2</c:f>
              <c:strCache>
                <c:ptCount val="3"/>
                <c:pt idx="0">
                  <c:v>Visitantes de crucero</c:v>
                </c:pt>
                <c:pt idx="1">
                  <c:v>Tripulación marítima</c:v>
                </c:pt>
                <c:pt idx="2">
                  <c:v>Total</c:v>
                </c:pt>
              </c:strCache>
            </c:strRef>
          </c:cat>
          <c:val>
            <c:numRef>
              <c:f>'CRUCEROS 2025'!$M$5:$O$5</c:f>
              <c:numCache>
                <c:formatCode>_-* #,##0_-;\-* #,##0_-;_-* "-"??_-;_-@_-</c:formatCode>
                <c:ptCount val="3"/>
                <c:pt idx="0">
                  <c:v>3397484</c:v>
                </c:pt>
                <c:pt idx="1">
                  <c:v>1201434</c:v>
                </c:pt>
                <c:pt idx="2">
                  <c:v>4598918</c:v>
                </c:pt>
              </c:numCache>
            </c:numRef>
          </c:val>
          <c:extLst>
            <c:ext xmlns:c16="http://schemas.microsoft.com/office/drawing/2014/chart" uri="{C3380CC4-5D6E-409C-BE32-E72D297353CC}">
              <c16:uniqueId val="{00000001-99B6-497F-B56E-D83AD55C33C0}"/>
            </c:ext>
          </c:extLst>
        </c:ser>
        <c:ser>
          <c:idx val="2"/>
          <c:order val="2"/>
          <c:tx>
            <c:strRef>
              <c:f>'CRUCEROS 2025'!$L$6</c:f>
              <c:strCache>
                <c:ptCount val="1"/>
                <c:pt idx="0">
                  <c:v>ene-ago 2025</c:v>
                </c:pt>
              </c:strCache>
            </c:strRef>
          </c:tx>
          <c:spPr>
            <a:solidFill>
              <a:schemeClr val="accent3"/>
            </a:solidFill>
            <a:ln>
              <a:noFill/>
            </a:ln>
            <a:effectLst/>
          </c:spPr>
          <c:invertIfNegative val="0"/>
          <c:cat>
            <c:strRef>
              <c:f>'CRUCEROS 2025'!$M$2:$O$2</c:f>
              <c:strCache>
                <c:ptCount val="3"/>
                <c:pt idx="0">
                  <c:v>Visitantes de crucero</c:v>
                </c:pt>
                <c:pt idx="1">
                  <c:v>Tripulación marítima</c:v>
                </c:pt>
                <c:pt idx="2">
                  <c:v>Total</c:v>
                </c:pt>
              </c:strCache>
            </c:strRef>
          </c:cat>
          <c:val>
            <c:numRef>
              <c:f>'CRUCEROS 2025'!$M$6:$O$6</c:f>
              <c:numCache>
                <c:formatCode>_-* #,##0_-;\-* #,##0_-;_-* "-"??_-;_-@_-</c:formatCode>
                <c:ptCount val="3"/>
                <c:pt idx="0">
                  <c:v>2290343</c:v>
                </c:pt>
                <c:pt idx="1">
                  <c:v>803089</c:v>
                </c:pt>
                <c:pt idx="2">
                  <c:v>3093432</c:v>
                </c:pt>
              </c:numCache>
            </c:numRef>
          </c:val>
          <c:extLst>
            <c:ext xmlns:c16="http://schemas.microsoft.com/office/drawing/2014/chart" uri="{C3380CC4-5D6E-409C-BE32-E72D297353CC}">
              <c16:uniqueId val="{00000002-99B6-497F-B56E-D83AD55C33C0}"/>
            </c:ext>
          </c:extLst>
        </c:ser>
        <c:dLbls>
          <c:showLegendKey val="0"/>
          <c:showVal val="0"/>
          <c:showCatName val="0"/>
          <c:showSerName val="0"/>
          <c:showPercent val="0"/>
          <c:showBubbleSize val="0"/>
        </c:dLbls>
        <c:gapWidth val="219"/>
        <c:overlap val="-27"/>
        <c:axId val="435107328"/>
        <c:axId val="368480768"/>
      </c:barChart>
      <c:catAx>
        <c:axId val="43510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68480768"/>
        <c:crosses val="autoZero"/>
        <c:auto val="1"/>
        <c:lblAlgn val="ctr"/>
        <c:lblOffset val="100"/>
        <c:noMultiLvlLbl val="0"/>
      </c:catAx>
      <c:valAx>
        <c:axId val="36848076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351073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'CRUCEROS 2025'!$L$11</c:f>
              <c:strCache>
                <c:ptCount val="1"/>
                <c:pt idx="0">
                  <c:v>2023</c:v>
                </c:pt>
              </c:strCache>
            </c:strRef>
          </c:tx>
          <c:spPr>
            <a:solidFill>
              <a:schemeClr val="accent1"/>
            </a:solidFill>
            <a:ln>
              <a:noFill/>
            </a:ln>
            <a:effectLst/>
          </c:spPr>
          <c:invertIfNegative val="0"/>
          <c:cat>
            <c:strRef>
              <c:f>'CRUCEROS 2025'!$M$9:$O$9</c:f>
              <c:strCache>
                <c:ptCount val="3"/>
                <c:pt idx="0">
                  <c:v>Visitantes de crucero</c:v>
                </c:pt>
                <c:pt idx="1">
                  <c:v>Tripulación marítima</c:v>
                </c:pt>
                <c:pt idx="2">
                  <c:v>Total</c:v>
                </c:pt>
              </c:strCache>
            </c:strRef>
          </c:cat>
          <c:val>
            <c:numRef>
              <c:f>'CRUCEROS 2025'!$M$11:$O$11</c:f>
              <c:numCache>
                <c:formatCode>_-* #,##0_-;\-* #,##0_-;_-* "-"??_-;_-@_-</c:formatCode>
                <c:ptCount val="3"/>
                <c:pt idx="0">
                  <c:v>1513958</c:v>
                </c:pt>
                <c:pt idx="1">
                  <c:v>528649</c:v>
                </c:pt>
                <c:pt idx="2">
                  <c:v>2042607</c:v>
                </c:pt>
              </c:numCache>
            </c:numRef>
          </c:val>
          <c:extLst>
            <c:ext xmlns:c16="http://schemas.microsoft.com/office/drawing/2014/chart" uri="{C3380CC4-5D6E-409C-BE32-E72D297353CC}">
              <c16:uniqueId val="{00000000-2EF0-4CB0-A134-B7945CC9DD58}"/>
            </c:ext>
          </c:extLst>
        </c:ser>
        <c:ser>
          <c:idx val="1"/>
          <c:order val="1"/>
          <c:tx>
            <c:strRef>
              <c:f>'CRUCEROS 2025'!$L$12</c:f>
              <c:strCache>
                <c:ptCount val="1"/>
                <c:pt idx="0">
                  <c:v>2024</c:v>
                </c:pt>
              </c:strCache>
            </c:strRef>
          </c:tx>
          <c:spPr>
            <a:solidFill>
              <a:schemeClr val="accent2"/>
            </a:solidFill>
            <a:ln>
              <a:noFill/>
            </a:ln>
            <a:effectLst/>
          </c:spPr>
          <c:invertIfNegative val="0"/>
          <c:cat>
            <c:strRef>
              <c:f>'CRUCEROS 2025'!$M$9:$O$9</c:f>
              <c:strCache>
                <c:ptCount val="3"/>
                <c:pt idx="0">
                  <c:v>Visitantes de crucero</c:v>
                </c:pt>
                <c:pt idx="1">
                  <c:v>Tripulación marítima</c:v>
                </c:pt>
                <c:pt idx="2">
                  <c:v>Total</c:v>
                </c:pt>
              </c:strCache>
            </c:strRef>
          </c:cat>
          <c:val>
            <c:numRef>
              <c:f>'CRUCEROS 2025'!$M$12:$O$12</c:f>
              <c:numCache>
                <c:formatCode>_-* #,##0_-;\-* #,##0_-;_-* "-"??_-;_-@_-</c:formatCode>
                <c:ptCount val="3"/>
                <c:pt idx="0">
                  <c:v>1913446</c:v>
                </c:pt>
                <c:pt idx="1">
                  <c:v>655133</c:v>
                </c:pt>
                <c:pt idx="2">
                  <c:v>2568579</c:v>
                </c:pt>
              </c:numCache>
            </c:numRef>
          </c:val>
          <c:extLst>
            <c:ext xmlns:c16="http://schemas.microsoft.com/office/drawing/2014/chart" uri="{C3380CC4-5D6E-409C-BE32-E72D297353CC}">
              <c16:uniqueId val="{00000001-2EF0-4CB0-A134-B7945CC9DD58}"/>
            </c:ext>
          </c:extLst>
        </c:ser>
        <c:ser>
          <c:idx val="2"/>
          <c:order val="2"/>
          <c:tx>
            <c:strRef>
              <c:f>'CRUCEROS 2025'!$L$13</c:f>
              <c:strCache>
                <c:ptCount val="1"/>
                <c:pt idx="0">
                  <c:v>ene-ago 2025</c:v>
                </c:pt>
              </c:strCache>
            </c:strRef>
          </c:tx>
          <c:spPr>
            <a:solidFill>
              <a:schemeClr val="accent3"/>
            </a:solidFill>
            <a:ln>
              <a:noFill/>
            </a:ln>
            <a:effectLst/>
          </c:spPr>
          <c:invertIfNegative val="0"/>
          <c:cat>
            <c:strRef>
              <c:f>'CRUCEROS 2025'!$M$9:$O$9</c:f>
              <c:strCache>
                <c:ptCount val="3"/>
                <c:pt idx="0">
                  <c:v>Visitantes de crucero</c:v>
                </c:pt>
                <c:pt idx="1">
                  <c:v>Tripulación marítima</c:v>
                </c:pt>
                <c:pt idx="2">
                  <c:v>Total</c:v>
                </c:pt>
              </c:strCache>
            </c:strRef>
          </c:cat>
          <c:val>
            <c:numRef>
              <c:f>'CRUCEROS 2025'!$M$13:$O$13</c:f>
              <c:numCache>
                <c:formatCode>_-* #,##0_-;\-* #,##0_-;_-* "-"??_-;_-@_-</c:formatCode>
                <c:ptCount val="3"/>
                <c:pt idx="0">
                  <c:v>1384365</c:v>
                </c:pt>
                <c:pt idx="1">
                  <c:v>472161</c:v>
                </c:pt>
                <c:pt idx="2">
                  <c:v>1856526</c:v>
                </c:pt>
              </c:numCache>
            </c:numRef>
          </c:val>
          <c:extLst>
            <c:ext xmlns:c16="http://schemas.microsoft.com/office/drawing/2014/chart" uri="{C3380CC4-5D6E-409C-BE32-E72D297353CC}">
              <c16:uniqueId val="{00000002-2EF0-4CB0-A134-B7945CC9DD58}"/>
            </c:ext>
          </c:extLst>
        </c:ser>
        <c:dLbls>
          <c:showLegendKey val="0"/>
          <c:showVal val="0"/>
          <c:showCatName val="0"/>
          <c:showSerName val="0"/>
          <c:showPercent val="0"/>
          <c:showBubbleSize val="0"/>
        </c:dLbls>
        <c:gapWidth val="219"/>
        <c:overlap val="-27"/>
        <c:axId val="421972480"/>
        <c:axId val="368482496"/>
      </c:barChart>
      <c:catAx>
        <c:axId val="42197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68482496"/>
        <c:crosses val="autoZero"/>
        <c:auto val="1"/>
        <c:lblAlgn val="ctr"/>
        <c:lblOffset val="100"/>
        <c:noMultiLvlLbl val="0"/>
      </c:catAx>
      <c:valAx>
        <c:axId val="36848249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219724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'Crec. mundial'!$A$15</c:f>
              <c:strCache>
                <c:ptCount val="1"/>
                <c:pt idx="0">
                  <c:v>FMI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'Crec. mundial'!$B$14:$D$14</c:f>
              <c:strCache>
                <c:ptCount val="3"/>
                <c:pt idx="0">
                  <c:v>2024e</c:v>
                </c:pt>
                <c:pt idx="1">
                  <c:v>2025f</c:v>
                </c:pt>
                <c:pt idx="2">
                  <c:v>2026f</c:v>
                </c:pt>
              </c:strCache>
            </c:strRef>
          </c:cat>
          <c:val>
            <c:numRef>
              <c:f>'Crec. mundial'!$B$15:$D$15</c:f>
              <c:numCache>
                <c:formatCode>General</c:formatCode>
                <c:ptCount val="3"/>
                <c:pt idx="0">
                  <c:v>1.8</c:v>
                </c:pt>
                <c:pt idx="1">
                  <c:v>1.5</c:v>
                </c:pt>
                <c:pt idx="2">
                  <c:v>1.6</c:v>
                </c:pt>
              </c:numCache>
            </c:numRef>
          </c:val>
          <c:smooth val="0"/>
          <c:extLst>
            <c:ext xmlns:c16="http://schemas.microsoft.com/office/drawing/2014/chart" uri="{C3380CC4-5D6E-409C-BE32-E72D297353CC}">
              <c16:uniqueId val="{00000000-03AF-4D49-A96B-EDB272A6F21C}"/>
            </c:ext>
          </c:extLst>
        </c:ser>
        <c:ser>
          <c:idx val="1"/>
          <c:order val="1"/>
          <c:tx>
            <c:strRef>
              <c:f>'Crec. mundial'!$A$16</c:f>
              <c:strCache>
                <c:ptCount val="1"/>
                <c:pt idx="0">
                  <c:v>BM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'Crec. mundial'!$B$14:$D$14</c:f>
              <c:strCache>
                <c:ptCount val="3"/>
                <c:pt idx="0">
                  <c:v>2024e</c:v>
                </c:pt>
                <c:pt idx="1">
                  <c:v>2025f</c:v>
                </c:pt>
                <c:pt idx="2">
                  <c:v>2026f</c:v>
                </c:pt>
              </c:strCache>
            </c:strRef>
          </c:cat>
          <c:val>
            <c:numRef>
              <c:f>'Crec. mundial'!$B$16:$D$16</c:f>
              <c:numCache>
                <c:formatCode>General</c:formatCode>
                <c:ptCount val="3"/>
                <c:pt idx="0">
                  <c:v>1.7</c:v>
                </c:pt>
                <c:pt idx="1">
                  <c:v>1.2</c:v>
                </c:pt>
                <c:pt idx="2">
                  <c:v>1.4</c:v>
                </c:pt>
              </c:numCache>
            </c:numRef>
          </c:val>
          <c:smooth val="0"/>
          <c:extLst>
            <c:ext xmlns:c16="http://schemas.microsoft.com/office/drawing/2014/chart" uri="{C3380CC4-5D6E-409C-BE32-E72D297353CC}">
              <c16:uniqueId val="{00000001-03AF-4D49-A96B-EDB272A6F21C}"/>
            </c:ext>
          </c:extLst>
        </c:ser>
        <c:dLbls>
          <c:showLegendKey val="0"/>
          <c:showVal val="0"/>
          <c:showCatName val="0"/>
          <c:showSerName val="0"/>
          <c:showPercent val="0"/>
          <c:showBubbleSize val="0"/>
        </c:dLbls>
        <c:marker val="1"/>
        <c:smooth val="0"/>
        <c:axId val="390638080"/>
        <c:axId val="371193472"/>
      </c:lineChart>
      <c:catAx>
        <c:axId val="39063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71193472"/>
        <c:crosses val="autoZero"/>
        <c:auto val="1"/>
        <c:lblAlgn val="ctr"/>
        <c:lblOffset val="100"/>
        <c:noMultiLvlLbl val="0"/>
      </c:catAx>
      <c:valAx>
        <c:axId val="371193472"/>
        <c:scaling>
          <c:orientation val="minMax"/>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906380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'INPC 2025'!$B$133</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'INPC 2025'!$C$131:$F$131</c:f>
              <c:strCache>
                <c:ptCount val="4"/>
                <c:pt idx="0">
                  <c:v>Cancún</c:v>
                </c:pt>
                <c:pt idx="1">
                  <c:v>Chetumal</c:v>
                </c:pt>
                <c:pt idx="2">
                  <c:v>Quintana Roo</c:v>
                </c:pt>
                <c:pt idx="3">
                  <c:v>Nacional</c:v>
                </c:pt>
              </c:strCache>
            </c:strRef>
          </c:cat>
          <c:val>
            <c:numRef>
              <c:f>'INPC 2025'!$C$133:$F$133</c:f>
              <c:numCache>
                <c:formatCode>0.0%</c:formatCode>
                <c:ptCount val="4"/>
                <c:pt idx="0">
                  <c:v>4.9307426086817596E-2</c:v>
                </c:pt>
                <c:pt idx="1">
                  <c:v>4.6387644836874076E-2</c:v>
                </c:pt>
                <c:pt idx="2">
                  <c:v>4.8332361841947558E-2</c:v>
                </c:pt>
                <c:pt idx="3">
                  <c:v>4.6608896408861566E-2</c:v>
                </c:pt>
              </c:numCache>
            </c:numRef>
          </c:val>
          <c:extLst>
            <c:ext xmlns:c16="http://schemas.microsoft.com/office/drawing/2014/chart" uri="{C3380CC4-5D6E-409C-BE32-E72D297353CC}">
              <c16:uniqueId val="{00000000-02C7-4FAC-880C-0C1A5299637B}"/>
            </c:ext>
          </c:extLst>
        </c:ser>
        <c:ser>
          <c:idx val="1"/>
          <c:order val="1"/>
          <c:tx>
            <c:strRef>
              <c:f>'INPC 2025'!$B$134</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'INPC 2025'!$C$131:$F$131</c:f>
              <c:strCache>
                <c:ptCount val="4"/>
                <c:pt idx="0">
                  <c:v>Cancún</c:v>
                </c:pt>
                <c:pt idx="1">
                  <c:v>Chetumal</c:v>
                </c:pt>
                <c:pt idx="2">
                  <c:v>Quintana Roo</c:v>
                </c:pt>
                <c:pt idx="3">
                  <c:v>Nacional</c:v>
                </c:pt>
              </c:strCache>
            </c:strRef>
          </c:cat>
          <c:val>
            <c:numRef>
              <c:f>'INPC 2025'!$C$134:$F$134</c:f>
              <c:numCache>
                <c:formatCode>0.0%</c:formatCode>
                <c:ptCount val="4"/>
                <c:pt idx="0">
                  <c:v>5.2383418899772938E-2</c:v>
                </c:pt>
                <c:pt idx="1">
                  <c:v>3.6342312291043344E-2</c:v>
                </c:pt>
                <c:pt idx="2">
                  <c:v>4.7033285094066679E-2</c:v>
                </c:pt>
                <c:pt idx="3">
                  <c:v>4.2130948154079695E-2</c:v>
                </c:pt>
              </c:numCache>
            </c:numRef>
          </c:val>
          <c:extLst>
            <c:ext xmlns:c16="http://schemas.microsoft.com/office/drawing/2014/chart" uri="{C3380CC4-5D6E-409C-BE32-E72D297353CC}">
              <c16:uniqueId val="{00000001-02C7-4FAC-880C-0C1A5299637B}"/>
            </c:ext>
          </c:extLst>
        </c:ser>
        <c:ser>
          <c:idx val="2"/>
          <c:order val="2"/>
          <c:tx>
            <c:strRef>
              <c:f>'INPC 2025'!$B$135</c:f>
              <c:strCache>
                <c:ptCount val="1"/>
                <c:pt idx="0">
                  <c:v>Ago 2025 (interanual)</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'INPC 2025'!$C$131:$F$131</c:f>
              <c:strCache>
                <c:ptCount val="4"/>
                <c:pt idx="0">
                  <c:v>Cancún</c:v>
                </c:pt>
                <c:pt idx="1">
                  <c:v>Chetumal</c:v>
                </c:pt>
                <c:pt idx="2">
                  <c:v>Quintana Roo</c:v>
                </c:pt>
                <c:pt idx="3">
                  <c:v>Nacional</c:v>
                </c:pt>
              </c:strCache>
            </c:strRef>
          </c:cat>
          <c:val>
            <c:numRef>
              <c:f>'INPC 2025'!$C$135:$F$135</c:f>
              <c:numCache>
                <c:formatCode>0.0%</c:formatCode>
                <c:ptCount val="4"/>
                <c:pt idx="0">
                  <c:v>3.89196196424757E-2</c:v>
                </c:pt>
                <c:pt idx="1">
                  <c:v>4.8118893422677944E-2</c:v>
                </c:pt>
                <c:pt idx="2">
                  <c:v>4.2094349403836162E-2</c:v>
                </c:pt>
                <c:pt idx="3">
                  <c:v>3.5687765140096861E-2</c:v>
                </c:pt>
              </c:numCache>
            </c:numRef>
          </c:val>
          <c:extLst>
            <c:ext xmlns:c16="http://schemas.microsoft.com/office/drawing/2014/chart" uri="{C3380CC4-5D6E-409C-BE32-E72D297353CC}">
              <c16:uniqueId val="{00000002-02C7-4FAC-880C-0C1A5299637B}"/>
            </c:ext>
          </c:extLst>
        </c:ser>
        <c:dLbls>
          <c:showLegendKey val="0"/>
          <c:showVal val="0"/>
          <c:showCatName val="0"/>
          <c:showSerName val="0"/>
          <c:showPercent val="0"/>
          <c:showBubbleSize val="0"/>
        </c:dLbls>
        <c:gapWidth val="219"/>
        <c:overlap val="-27"/>
        <c:axId val="422880256"/>
        <c:axId val="368533504"/>
      </c:barChart>
      <c:catAx>
        <c:axId val="42288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68533504"/>
        <c:crosses val="autoZero"/>
        <c:auto val="1"/>
        <c:lblAlgn val="ctr"/>
        <c:lblOffset val="100"/>
        <c:noMultiLvlLbl val="0"/>
      </c:catAx>
      <c:valAx>
        <c:axId val="368533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22880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s-MX"/>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'INPC 2025'!$C$143</c:f>
              <c:strCache>
                <c:ptCount val="1"/>
                <c:pt idx="0">
                  <c:v>Ago 2025 (interanual)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'INPC 2025'!$B$144:$B$152</c:f>
              <c:strCache>
                <c:ptCount val="9"/>
                <c:pt idx="0">
                  <c:v>8. Otros servicios</c:v>
                </c:pt>
                <c:pt idx="1">
                  <c:v>7. Educación y esparcimiento</c:v>
                </c:pt>
                <c:pt idx="2">
                  <c:v>6. Transporte</c:v>
                </c:pt>
                <c:pt idx="3">
                  <c:v>5. Salud y cuidado personal</c:v>
                </c:pt>
                <c:pt idx="4">
                  <c:v>4. Muebles, aparatos y accesorios domésticos</c:v>
                </c:pt>
                <c:pt idx="5">
                  <c:v> 3. Vivienda </c:v>
                </c:pt>
                <c:pt idx="6">
                  <c:v> 2. Ropa, calzado y accesorios </c:v>
                </c:pt>
                <c:pt idx="7">
                  <c:v> 1. Alimentos, bebidas y tabaco </c:v>
                </c:pt>
                <c:pt idx="8">
                  <c:v> Índice general </c:v>
                </c:pt>
              </c:strCache>
            </c:strRef>
          </c:cat>
          <c:val>
            <c:numRef>
              <c:f>'INPC 2025'!$C$144:$C$152</c:f>
              <c:numCache>
                <c:formatCode>0.00%</c:formatCode>
                <c:ptCount val="9"/>
                <c:pt idx="0">
                  <c:v>8.9156642662697294E-2</c:v>
                </c:pt>
                <c:pt idx="1">
                  <c:v>3.026622127745715E-2</c:v>
                </c:pt>
                <c:pt idx="2">
                  <c:v>2.4690009683784542E-2</c:v>
                </c:pt>
                <c:pt idx="3">
                  <c:v>4.314632985855793E-2</c:v>
                </c:pt>
                <c:pt idx="4">
                  <c:v>1.6367038151793523E-2</c:v>
                </c:pt>
                <c:pt idx="5">
                  <c:v>4.2859432871835024E-2</c:v>
                </c:pt>
                <c:pt idx="6">
                  <c:v>4.9205381332057208E-2</c:v>
                </c:pt>
                <c:pt idx="7">
                  <c:v>3.6857563395143567E-2</c:v>
                </c:pt>
                <c:pt idx="8">
                  <c:v>4.2094349403836162E-2</c:v>
                </c:pt>
              </c:numCache>
            </c:numRef>
          </c:val>
          <c:extLst>
            <c:ext xmlns:c16="http://schemas.microsoft.com/office/drawing/2014/chart" uri="{C3380CC4-5D6E-409C-BE32-E72D297353CC}">
              <c16:uniqueId val="{00000000-35A7-4DF8-8A24-94D841647796}"/>
            </c:ext>
          </c:extLst>
        </c:ser>
        <c:ser>
          <c:idx val="1"/>
          <c:order val="1"/>
          <c:tx>
            <c:strRef>
              <c:f>'INPC 2025'!$D$143</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'INPC 2025'!$B$144:$B$152</c:f>
              <c:strCache>
                <c:ptCount val="9"/>
                <c:pt idx="0">
                  <c:v>8. Otros servicios</c:v>
                </c:pt>
                <c:pt idx="1">
                  <c:v>7. Educación y esparcimiento</c:v>
                </c:pt>
                <c:pt idx="2">
                  <c:v>6. Transporte</c:v>
                </c:pt>
                <c:pt idx="3">
                  <c:v>5. Salud y cuidado personal</c:v>
                </c:pt>
                <c:pt idx="4">
                  <c:v>4. Muebles, aparatos y accesorios domésticos</c:v>
                </c:pt>
                <c:pt idx="5">
                  <c:v> 3. Vivienda </c:v>
                </c:pt>
                <c:pt idx="6">
                  <c:v> 2. Ropa, calzado y accesorios </c:v>
                </c:pt>
                <c:pt idx="7">
                  <c:v> 1. Alimentos, bebidas y tabaco </c:v>
                </c:pt>
                <c:pt idx="8">
                  <c:v> Índice general </c:v>
                </c:pt>
              </c:strCache>
            </c:strRef>
          </c:cat>
          <c:val>
            <c:numRef>
              <c:f>'INPC 2025'!$D$144:$D$152</c:f>
              <c:numCache>
                <c:formatCode>0.00%</c:formatCode>
                <c:ptCount val="9"/>
                <c:pt idx="0">
                  <c:v>7.3444486172029366E-2</c:v>
                </c:pt>
                <c:pt idx="1">
                  <c:v>2.0280178734709997E-2</c:v>
                </c:pt>
                <c:pt idx="2">
                  <c:v>5.439267308477036E-2</c:v>
                </c:pt>
                <c:pt idx="3">
                  <c:v>3.8015741601832742E-2</c:v>
                </c:pt>
                <c:pt idx="4">
                  <c:v>1.4492991767586227E-2</c:v>
                </c:pt>
                <c:pt idx="5">
                  <c:v>3.0931836010073877E-2</c:v>
                </c:pt>
                <c:pt idx="6">
                  <c:v>3.5802725544390013E-2</c:v>
                </c:pt>
                <c:pt idx="7">
                  <c:v>5.7222202692726709E-2</c:v>
                </c:pt>
                <c:pt idx="8">
                  <c:v>4.7033285094066679E-2</c:v>
                </c:pt>
              </c:numCache>
            </c:numRef>
          </c:val>
          <c:extLst>
            <c:ext xmlns:c16="http://schemas.microsoft.com/office/drawing/2014/chart" uri="{C3380CC4-5D6E-409C-BE32-E72D297353CC}">
              <c16:uniqueId val="{00000001-35A7-4DF8-8A24-94D841647796}"/>
            </c:ext>
          </c:extLst>
        </c:ser>
        <c:dLbls>
          <c:showLegendKey val="0"/>
          <c:showVal val="0"/>
          <c:showCatName val="0"/>
          <c:showSerName val="0"/>
          <c:showPercent val="0"/>
          <c:showBubbleSize val="0"/>
        </c:dLbls>
        <c:gapWidth val="182"/>
        <c:axId val="439191040"/>
        <c:axId val="368535232"/>
      </c:barChart>
      <c:catAx>
        <c:axId val="43919104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68535232"/>
        <c:crosses val="autoZero"/>
        <c:auto val="1"/>
        <c:lblAlgn val="ctr"/>
        <c:lblOffset val="100"/>
        <c:noMultiLvlLbl val="0"/>
      </c:catAx>
      <c:valAx>
        <c:axId val="3685352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3919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'EMPLEO 2025'!$D$65</c:f>
              <c:strCache>
                <c:ptCount val="1"/>
                <c:pt idx="0">
                  <c:v>Quintana Roo</c:v>
                </c:pt>
              </c:strCache>
            </c:strRef>
          </c:tx>
          <c:spPr>
            <a:ln w="28575" cap="rnd">
              <a:solidFill>
                <a:schemeClr val="accent1"/>
              </a:solidFill>
              <a:round/>
            </a:ln>
            <a:effectLst/>
          </c:spPr>
          <c:marker>
            <c:symbol val="none"/>
          </c:marker>
          <c:cat>
            <c:multiLvlStrRef>
              <c:f>'EMPLEO 2025'!$B$70:$C$79</c:f>
              <c:multiLvlStrCache>
                <c:ptCount val="10"/>
                <c:lvl>
                  <c:pt idx="0">
                    <c:v>I</c:v>
                  </c:pt>
                  <c:pt idx="1">
                    <c:v>II</c:v>
                  </c:pt>
                  <c:pt idx="2">
                    <c:v>III</c:v>
                  </c:pt>
                  <c:pt idx="3">
                    <c:v>IV</c:v>
                  </c:pt>
                  <c:pt idx="4">
                    <c:v>I</c:v>
                  </c:pt>
                  <c:pt idx="5">
                    <c:v>II</c:v>
                  </c:pt>
                  <c:pt idx="6">
                    <c:v>III</c:v>
                  </c:pt>
                  <c:pt idx="7">
                    <c:v>IV</c:v>
                  </c:pt>
                  <c:pt idx="8">
                    <c:v>I</c:v>
                  </c:pt>
                  <c:pt idx="9">
                    <c:v>II</c:v>
                  </c:pt>
                </c:lvl>
                <c:lvl>
                  <c:pt idx="0">
                    <c:v>2023</c:v>
                  </c:pt>
                  <c:pt idx="4">
                    <c:v>2024</c:v>
                  </c:pt>
                  <c:pt idx="8">
                    <c:v>2025</c:v>
                  </c:pt>
                </c:lvl>
              </c:multiLvlStrCache>
            </c:multiLvlStrRef>
          </c:cat>
          <c:val>
            <c:numRef>
              <c:f>'EMPLEO 2025'!$D$70:$D$79</c:f>
              <c:numCache>
                <c:formatCode>General</c:formatCode>
                <c:ptCount val="10"/>
                <c:pt idx="0">
                  <c:v>2.5</c:v>
                </c:pt>
                <c:pt idx="1">
                  <c:v>2.4</c:v>
                </c:pt>
                <c:pt idx="2">
                  <c:v>2.7</c:v>
                </c:pt>
                <c:pt idx="3">
                  <c:v>2.6</c:v>
                </c:pt>
                <c:pt idx="4">
                  <c:v>2.2000000000000002</c:v>
                </c:pt>
                <c:pt idx="5">
                  <c:v>2.6</c:v>
                </c:pt>
                <c:pt idx="6">
                  <c:v>2.6</c:v>
                </c:pt>
                <c:pt idx="7">
                  <c:v>2.7</c:v>
                </c:pt>
                <c:pt idx="8">
                  <c:v>2.4</c:v>
                </c:pt>
                <c:pt idx="9">
                  <c:v>2.8</c:v>
                </c:pt>
              </c:numCache>
            </c:numRef>
          </c:val>
          <c:smooth val="0"/>
          <c:extLst>
            <c:ext xmlns:c16="http://schemas.microsoft.com/office/drawing/2014/chart" uri="{C3380CC4-5D6E-409C-BE32-E72D297353CC}">
              <c16:uniqueId val="{00000000-DAC7-483E-83B6-71361802CE06}"/>
            </c:ext>
          </c:extLst>
        </c:ser>
        <c:ser>
          <c:idx val="1"/>
          <c:order val="1"/>
          <c:tx>
            <c:strRef>
              <c:f>'EMPLEO 2025'!$E$65</c:f>
              <c:strCache>
                <c:ptCount val="1"/>
                <c:pt idx="0">
                  <c:v>Nacional</c:v>
                </c:pt>
              </c:strCache>
            </c:strRef>
          </c:tx>
          <c:spPr>
            <a:ln w="28575" cap="rnd">
              <a:solidFill>
                <a:schemeClr val="accent2"/>
              </a:solidFill>
              <a:round/>
            </a:ln>
            <a:effectLst/>
          </c:spPr>
          <c:marker>
            <c:symbol val="none"/>
          </c:marker>
          <c:cat>
            <c:multiLvlStrRef>
              <c:f>'EMPLEO 2025'!$B$70:$C$79</c:f>
              <c:multiLvlStrCache>
                <c:ptCount val="10"/>
                <c:lvl>
                  <c:pt idx="0">
                    <c:v>I</c:v>
                  </c:pt>
                  <c:pt idx="1">
                    <c:v>II</c:v>
                  </c:pt>
                  <c:pt idx="2">
                    <c:v>III</c:v>
                  </c:pt>
                  <c:pt idx="3">
                    <c:v>IV</c:v>
                  </c:pt>
                  <c:pt idx="4">
                    <c:v>I</c:v>
                  </c:pt>
                  <c:pt idx="5">
                    <c:v>II</c:v>
                  </c:pt>
                  <c:pt idx="6">
                    <c:v>III</c:v>
                  </c:pt>
                  <c:pt idx="7">
                    <c:v>IV</c:v>
                  </c:pt>
                  <c:pt idx="8">
                    <c:v>I</c:v>
                  </c:pt>
                  <c:pt idx="9">
                    <c:v>II</c:v>
                  </c:pt>
                </c:lvl>
                <c:lvl>
                  <c:pt idx="0">
                    <c:v>2023</c:v>
                  </c:pt>
                  <c:pt idx="4">
                    <c:v>2024</c:v>
                  </c:pt>
                  <c:pt idx="8">
                    <c:v>2025</c:v>
                  </c:pt>
                </c:lvl>
              </c:multiLvlStrCache>
            </c:multiLvlStrRef>
          </c:cat>
          <c:val>
            <c:numRef>
              <c:f>'EMPLEO 2025'!$E$70:$E$79</c:f>
              <c:numCache>
                <c:formatCode>General</c:formatCode>
                <c:ptCount val="10"/>
                <c:pt idx="0">
                  <c:v>2.7</c:v>
                </c:pt>
                <c:pt idx="1">
                  <c:v>2.8</c:v>
                </c:pt>
                <c:pt idx="2">
                  <c:v>3</c:v>
                </c:pt>
                <c:pt idx="3">
                  <c:v>2.7</c:v>
                </c:pt>
                <c:pt idx="4">
                  <c:v>2.5</c:v>
                </c:pt>
                <c:pt idx="5">
                  <c:v>2.7</c:v>
                </c:pt>
                <c:pt idx="6">
                  <c:v>3</c:v>
                </c:pt>
                <c:pt idx="7">
                  <c:v>2.6</c:v>
                </c:pt>
                <c:pt idx="8">
                  <c:v>2.5</c:v>
                </c:pt>
                <c:pt idx="9">
                  <c:v>2.7</c:v>
                </c:pt>
              </c:numCache>
            </c:numRef>
          </c:val>
          <c:smooth val="0"/>
          <c:extLst>
            <c:ext xmlns:c16="http://schemas.microsoft.com/office/drawing/2014/chart" uri="{C3380CC4-5D6E-409C-BE32-E72D297353CC}">
              <c16:uniqueId val="{00000001-DAC7-483E-83B6-71361802CE06}"/>
            </c:ext>
          </c:extLst>
        </c:ser>
        <c:dLbls>
          <c:showLegendKey val="0"/>
          <c:showVal val="0"/>
          <c:showCatName val="0"/>
          <c:showSerName val="0"/>
          <c:showPercent val="0"/>
          <c:showBubbleSize val="0"/>
        </c:dLbls>
        <c:smooth val="0"/>
        <c:axId val="422881280"/>
        <c:axId val="368536960"/>
      </c:lineChart>
      <c:catAx>
        <c:axId val="42288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68536960"/>
        <c:crosses val="autoZero"/>
        <c:auto val="1"/>
        <c:lblAlgn val="ctr"/>
        <c:lblOffset val="100"/>
        <c:noMultiLvlLbl val="0"/>
      </c:catAx>
      <c:valAx>
        <c:axId val="36853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228812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'EMPLEO 2025'!$B$99</c:f>
              <c:strCache>
                <c:ptCount val="1"/>
                <c:pt idx="0">
                  <c:v>      Primario</c:v>
                </c:pt>
              </c:strCache>
            </c:strRef>
          </c:tx>
          <c:spPr>
            <a:solidFill>
              <a:schemeClr val="accent1"/>
            </a:solidFill>
            <a:ln>
              <a:noFill/>
            </a:ln>
            <a:effectLst/>
          </c:spPr>
          <c:invertIfNegative val="0"/>
          <c:dLbls>
            <c:dLbl>
              <c:idx val="0"/>
              <c:tx>
                <c:rich>
                  <a:bodyPr/>
                  <a:lstStyle/>
                  <a:p>
                    <a:fld id="{59CDF9AC-8E7E-481F-8122-3D7018DD7216}"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8E1-4D81-9C5D-FF56E44DBEB9}"/>
                </c:ext>
              </c:extLst>
            </c:dLbl>
            <c:dLbl>
              <c:idx val="1"/>
              <c:tx>
                <c:rich>
                  <a:bodyPr/>
                  <a:lstStyle/>
                  <a:p>
                    <a:fld id="{B16BEEF1-CD9F-4525-837C-D3F049B49B94}"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8E1-4D81-9C5D-FF56E44DBEB9}"/>
                </c:ext>
              </c:extLst>
            </c:dLbl>
            <c:dLbl>
              <c:idx val="2"/>
              <c:tx>
                <c:rich>
                  <a:bodyPr/>
                  <a:lstStyle/>
                  <a:p>
                    <a:fld id="{836EB8C9-65CC-473C-B325-83BF1E00A210}"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8E1-4D81-9C5D-FF56E44DBEB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'EMPLEO 2025'!$D$97:$F$98</c:f>
              <c:multiLvlStrCache>
                <c:ptCount val="3"/>
                <c:lvl>
                  <c:pt idx="0">
                    <c:v>IV</c:v>
                  </c:pt>
                  <c:pt idx="1">
                    <c:v>IV</c:v>
                  </c:pt>
                  <c:pt idx="2">
                    <c:v>II</c:v>
                  </c:pt>
                </c:lvl>
                <c:lvl>
                  <c:pt idx="0">
                    <c:v>2023</c:v>
                  </c:pt>
                  <c:pt idx="1">
                    <c:v>2024</c:v>
                  </c:pt>
                  <c:pt idx="2">
                    <c:v>2025</c:v>
                  </c:pt>
                </c:lvl>
              </c:multiLvlStrCache>
            </c:multiLvlStrRef>
          </c:cat>
          <c:val>
            <c:numRef>
              <c:f>'EMPLEO 2025'!$D$99:$F$99</c:f>
              <c:numCache>
                <c:formatCode>_-* #,##0_-;\-* #,##0_-;_-* "-"??_-;_-@_-</c:formatCode>
                <c:ptCount val="3"/>
                <c:pt idx="0">
                  <c:v>47416</c:v>
                </c:pt>
                <c:pt idx="1">
                  <c:v>37064</c:v>
                </c:pt>
                <c:pt idx="2">
                  <c:v>38934</c:v>
                </c:pt>
              </c:numCache>
            </c:numRef>
          </c:val>
          <c:extLst>
            <c:ext xmlns:c15="http://schemas.microsoft.com/office/drawing/2012/chart" uri="{02D57815-91ED-43cb-92C2-25804820EDAC}">
              <c15:datalabelsRange>
                <c15:f>'EMPLEO 2025'!$D$103:$F$103</c15:f>
                <c15:dlblRangeCache>
                  <c:ptCount val="3"/>
                  <c:pt idx="0">
                    <c:v>4.89%</c:v>
                  </c:pt>
                  <c:pt idx="1">
                    <c:v>3.80%</c:v>
                  </c:pt>
                  <c:pt idx="2">
                    <c:v>3.94%</c:v>
                  </c:pt>
                </c15:dlblRangeCache>
              </c15:datalabelsRange>
            </c:ext>
            <c:ext xmlns:c16="http://schemas.microsoft.com/office/drawing/2014/chart" uri="{C3380CC4-5D6E-409C-BE32-E72D297353CC}">
              <c16:uniqueId val="{00000003-D8E1-4D81-9C5D-FF56E44DBEB9}"/>
            </c:ext>
          </c:extLst>
        </c:ser>
        <c:ser>
          <c:idx val="1"/>
          <c:order val="1"/>
          <c:tx>
            <c:strRef>
              <c:f>'EMPLEO 2025'!$B$100</c:f>
              <c:strCache>
                <c:ptCount val="1"/>
                <c:pt idx="0">
                  <c:v>      Secundario</c:v>
                </c:pt>
              </c:strCache>
            </c:strRef>
          </c:tx>
          <c:spPr>
            <a:solidFill>
              <a:schemeClr val="accent2"/>
            </a:solidFill>
            <a:ln>
              <a:noFill/>
            </a:ln>
            <a:effectLst/>
          </c:spPr>
          <c:invertIfNegative val="0"/>
          <c:dLbls>
            <c:dLbl>
              <c:idx val="0"/>
              <c:tx>
                <c:rich>
                  <a:bodyPr/>
                  <a:lstStyle/>
                  <a:p>
                    <a:fld id="{F4D60CB1-C1CD-4F82-B517-0B5B5A13FB2A}"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8E1-4D81-9C5D-FF56E44DBEB9}"/>
                </c:ext>
              </c:extLst>
            </c:dLbl>
            <c:dLbl>
              <c:idx val="1"/>
              <c:tx>
                <c:rich>
                  <a:bodyPr/>
                  <a:lstStyle/>
                  <a:p>
                    <a:fld id="{54AA0D1D-6285-4A02-B670-BA4845D05497}"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8E1-4D81-9C5D-FF56E44DBEB9}"/>
                </c:ext>
              </c:extLst>
            </c:dLbl>
            <c:dLbl>
              <c:idx val="2"/>
              <c:tx>
                <c:rich>
                  <a:bodyPr/>
                  <a:lstStyle/>
                  <a:p>
                    <a:fld id="{DEA08EB6-B176-4A26-A3EE-B5E55B484CEE}"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D8E1-4D81-9C5D-FF56E44DBEB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'EMPLEO 2025'!$D$97:$F$98</c:f>
              <c:multiLvlStrCache>
                <c:ptCount val="3"/>
                <c:lvl>
                  <c:pt idx="0">
                    <c:v>IV</c:v>
                  </c:pt>
                  <c:pt idx="1">
                    <c:v>IV</c:v>
                  </c:pt>
                  <c:pt idx="2">
                    <c:v>II</c:v>
                  </c:pt>
                </c:lvl>
                <c:lvl>
                  <c:pt idx="0">
                    <c:v>2023</c:v>
                  </c:pt>
                  <c:pt idx="1">
                    <c:v>2024</c:v>
                  </c:pt>
                  <c:pt idx="2">
                    <c:v>2025</c:v>
                  </c:pt>
                </c:lvl>
              </c:multiLvlStrCache>
            </c:multiLvlStrRef>
          </c:cat>
          <c:val>
            <c:numRef>
              <c:f>'EMPLEO 2025'!$D$100:$F$100</c:f>
              <c:numCache>
                <c:formatCode>_-* #,##0_-;\-* #,##0_-;_-* "-"??_-;_-@_-</c:formatCode>
                <c:ptCount val="3"/>
                <c:pt idx="0">
                  <c:v>149443</c:v>
                </c:pt>
                <c:pt idx="1">
                  <c:v>173594</c:v>
                </c:pt>
                <c:pt idx="2">
                  <c:v>161701</c:v>
                </c:pt>
              </c:numCache>
            </c:numRef>
          </c:val>
          <c:extLst>
            <c:ext xmlns:c15="http://schemas.microsoft.com/office/drawing/2012/chart" uri="{02D57815-91ED-43cb-92C2-25804820EDAC}">
              <c15:datalabelsRange>
                <c15:f>'EMPLEO 2025'!$D$104:$F$104</c15:f>
                <c15:dlblRangeCache>
                  <c:ptCount val="3"/>
                  <c:pt idx="0">
                    <c:v>15.41%</c:v>
                  </c:pt>
                  <c:pt idx="1">
                    <c:v>17.80%</c:v>
                  </c:pt>
                  <c:pt idx="2">
                    <c:v>16.37%</c:v>
                  </c:pt>
                </c15:dlblRangeCache>
              </c15:datalabelsRange>
            </c:ext>
            <c:ext xmlns:c16="http://schemas.microsoft.com/office/drawing/2014/chart" uri="{C3380CC4-5D6E-409C-BE32-E72D297353CC}">
              <c16:uniqueId val="{00000007-D8E1-4D81-9C5D-FF56E44DBEB9}"/>
            </c:ext>
          </c:extLst>
        </c:ser>
        <c:ser>
          <c:idx val="2"/>
          <c:order val="2"/>
          <c:tx>
            <c:strRef>
              <c:f>'EMPLEO 2025'!$B$101</c:f>
              <c:strCache>
                <c:ptCount val="1"/>
                <c:pt idx="0">
                  <c:v>      Terciario</c:v>
                </c:pt>
              </c:strCache>
            </c:strRef>
          </c:tx>
          <c:spPr>
            <a:solidFill>
              <a:schemeClr val="accent3"/>
            </a:solidFill>
            <a:ln>
              <a:noFill/>
            </a:ln>
            <a:effectLst/>
          </c:spPr>
          <c:invertIfNegative val="0"/>
          <c:dLbls>
            <c:dLbl>
              <c:idx val="0"/>
              <c:tx>
                <c:rich>
                  <a:bodyPr/>
                  <a:lstStyle/>
                  <a:p>
                    <a:fld id="{0FA320AE-A35E-4D00-AE26-2702EAE3AFF9}"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8E1-4D81-9C5D-FF56E44DBEB9}"/>
                </c:ext>
              </c:extLst>
            </c:dLbl>
            <c:dLbl>
              <c:idx val="1"/>
              <c:tx>
                <c:rich>
                  <a:bodyPr/>
                  <a:lstStyle/>
                  <a:p>
                    <a:fld id="{1EFD4B53-9736-4748-909E-F7D2FA32067F}"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8E1-4D81-9C5D-FF56E44DBEB9}"/>
                </c:ext>
              </c:extLst>
            </c:dLbl>
            <c:dLbl>
              <c:idx val="2"/>
              <c:tx>
                <c:rich>
                  <a:bodyPr/>
                  <a:lstStyle/>
                  <a:p>
                    <a:fld id="{010EE4AE-4020-4957-9076-A4E5885C983B}"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D8E1-4D81-9C5D-FF56E44DBEB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'EMPLEO 2025'!$D$97:$F$98</c:f>
              <c:multiLvlStrCache>
                <c:ptCount val="3"/>
                <c:lvl>
                  <c:pt idx="0">
                    <c:v>IV</c:v>
                  </c:pt>
                  <c:pt idx="1">
                    <c:v>IV</c:v>
                  </c:pt>
                  <c:pt idx="2">
                    <c:v>II</c:v>
                  </c:pt>
                </c:lvl>
                <c:lvl>
                  <c:pt idx="0">
                    <c:v>2023</c:v>
                  </c:pt>
                  <c:pt idx="1">
                    <c:v>2024</c:v>
                  </c:pt>
                  <c:pt idx="2">
                    <c:v>2025</c:v>
                  </c:pt>
                </c:lvl>
              </c:multiLvlStrCache>
            </c:multiLvlStrRef>
          </c:cat>
          <c:val>
            <c:numRef>
              <c:f>'EMPLEO 2025'!$D$101:$F$101</c:f>
              <c:numCache>
                <c:formatCode>_-* #,##0_-;\-* #,##0_-;_-* "-"??_-;_-@_-</c:formatCode>
                <c:ptCount val="3"/>
                <c:pt idx="0">
                  <c:v>770688</c:v>
                </c:pt>
                <c:pt idx="1">
                  <c:v>763022</c:v>
                </c:pt>
                <c:pt idx="2">
                  <c:v>784122</c:v>
                </c:pt>
              </c:numCache>
            </c:numRef>
          </c:val>
          <c:extLst>
            <c:ext xmlns:c15="http://schemas.microsoft.com/office/drawing/2012/chart" uri="{02D57815-91ED-43cb-92C2-25804820EDAC}">
              <c15:datalabelsRange>
                <c15:f>'EMPLEO 2025'!$D$105:$F$105</c15:f>
                <c15:dlblRangeCache>
                  <c:ptCount val="3"/>
                  <c:pt idx="0">
                    <c:v>79.46%</c:v>
                  </c:pt>
                  <c:pt idx="1">
                    <c:v>78.23%</c:v>
                  </c:pt>
                  <c:pt idx="2">
                    <c:v>79.39%</c:v>
                  </c:pt>
                </c15:dlblRangeCache>
              </c15:datalabelsRange>
            </c:ext>
            <c:ext xmlns:c16="http://schemas.microsoft.com/office/drawing/2014/chart" uri="{C3380CC4-5D6E-409C-BE32-E72D297353CC}">
              <c16:uniqueId val="{0000000B-D8E1-4D81-9C5D-FF56E44DBEB9}"/>
            </c:ext>
          </c:extLst>
        </c:ser>
        <c:ser>
          <c:idx val="3"/>
          <c:order val="3"/>
          <c:tx>
            <c:strRef>
              <c:f>'EMPLEO 2025'!$B$102</c:f>
              <c:strCache>
                <c:ptCount val="1"/>
                <c:pt idx="0">
                  <c:v>      No especificado</c:v>
                </c:pt>
              </c:strCache>
            </c:strRef>
          </c:tx>
          <c:spPr>
            <a:solidFill>
              <a:schemeClr val="accent4"/>
            </a:solidFill>
            <a:ln>
              <a:noFill/>
            </a:ln>
            <a:effectLst/>
          </c:spPr>
          <c:invertIfNegative val="0"/>
          <c:dLbls>
            <c:dLbl>
              <c:idx val="0"/>
              <c:tx>
                <c:rich>
                  <a:bodyPr/>
                  <a:lstStyle/>
                  <a:p>
                    <a:fld id="{4DB02723-8FD8-4125-A96C-C7827E25AFF7}"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D8E1-4D81-9C5D-FF56E44DBEB9}"/>
                </c:ext>
              </c:extLst>
            </c:dLbl>
            <c:dLbl>
              <c:idx val="1"/>
              <c:tx>
                <c:rich>
                  <a:bodyPr/>
                  <a:lstStyle/>
                  <a:p>
                    <a:fld id="{9D1A1B9B-15F0-47F0-82EF-22089E73E167}"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D8E1-4D81-9C5D-FF56E44DBEB9}"/>
                </c:ext>
              </c:extLst>
            </c:dLbl>
            <c:dLbl>
              <c:idx val="2"/>
              <c:tx>
                <c:rich>
                  <a:bodyPr/>
                  <a:lstStyle/>
                  <a:p>
                    <a:fld id="{7F630C74-69C2-4507-A01D-93823AA6CCBA}"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D8E1-4D81-9C5D-FF56E44DBEB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'EMPLEO 2025'!$D$97:$F$98</c:f>
              <c:multiLvlStrCache>
                <c:ptCount val="3"/>
                <c:lvl>
                  <c:pt idx="0">
                    <c:v>IV</c:v>
                  </c:pt>
                  <c:pt idx="1">
                    <c:v>IV</c:v>
                  </c:pt>
                  <c:pt idx="2">
                    <c:v>II</c:v>
                  </c:pt>
                </c:lvl>
                <c:lvl>
                  <c:pt idx="0">
                    <c:v>2023</c:v>
                  </c:pt>
                  <c:pt idx="1">
                    <c:v>2024</c:v>
                  </c:pt>
                  <c:pt idx="2">
                    <c:v>2025</c:v>
                  </c:pt>
                </c:lvl>
              </c:multiLvlStrCache>
            </c:multiLvlStrRef>
          </c:cat>
          <c:val>
            <c:numRef>
              <c:f>'EMPLEO 2025'!$D$102:$F$102</c:f>
              <c:numCache>
                <c:formatCode>_-* #,##0_-;\-* #,##0_-;_-* "-"??_-;_-@_-</c:formatCode>
                <c:ptCount val="3"/>
                <c:pt idx="0">
                  <c:v>2371</c:v>
                </c:pt>
                <c:pt idx="1">
                  <c:v>1669</c:v>
                </c:pt>
                <c:pt idx="2">
                  <c:v>2971</c:v>
                </c:pt>
              </c:numCache>
            </c:numRef>
          </c:val>
          <c:extLst>
            <c:ext xmlns:c15="http://schemas.microsoft.com/office/drawing/2012/chart" uri="{02D57815-91ED-43cb-92C2-25804820EDAC}">
              <c15:datalabelsRange>
                <c15:f>'EMPLEO 2025'!$D$106:$F$106</c15:f>
                <c15:dlblRangeCache>
                  <c:ptCount val="3"/>
                  <c:pt idx="0">
                    <c:v>0.24%</c:v>
                  </c:pt>
                  <c:pt idx="1">
                    <c:v>0.17%</c:v>
                  </c:pt>
                  <c:pt idx="2">
                    <c:v>0.30%</c:v>
                  </c:pt>
                </c15:dlblRangeCache>
              </c15:datalabelsRange>
            </c:ext>
            <c:ext xmlns:c16="http://schemas.microsoft.com/office/drawing/2014/chart" uri="{C3380CC4-5D6E-409C-BE32-E72D297353CC}">
              <c16:uniqueId val="{0000000F-D8E1-4D81-9C5D-FF56E44DBEB9}"/>
            </c:ext>
          </c:extLst>
        </c:ser>
        <c:dLbls>
          <c:showLegendKey val="0"/>
          <c:showVal val="0"/>
          <c:showCatName val="0"/>
          <c:showSerName val="0"/>
          <c:showPercent val="0"/>
          <c:showBubbleSize val="0"/>
        </c:dLbls>
        <c:gapWidth val="50"/>
        <c:overlap val="100"/>
        <c:axId val="439193088"/>
        <c:axId val="368538688"/>
      </c:barChart>
      <c:catAx>
        <c:axId val="439193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68538688"/>
        <c:crosses val="autoZero"/>
        <c:auto val="1"/>
        <c:lblAlgn val="ctr"/>
        <c:lblOffset val="100"/>
        <c:noMultiLvlLbl val="0"/>
      </c:catAx>
      <c:valAx>
        <c:axId val="368538688"/>
        <c:scaling>
          <c:orientation val="minMax"/>
          <c:max val="1000000"/>
        </c:scaling>
        <c:delete val="0"/>
        <c:axPos val="b"/>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391930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'EMPLEO 2025'!$B$121</c:f>
              <c:strCache>
                <c:ptCount val="1"/>
                <c:pt idx="0">
                  <c:v>      Hasta un salario mínimo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'EMPLEO 2025'!$D$119:$F$120</c:f>
              <c:multiLvlStrCache>
                <c:ptCount val="3"/>
                <c:lvl>
                  <c:pt idx="0">
                    <c:v>IV</c:v>
                  </c:pt>
                  <c:pt idx="1">
                    <c:v>IV</c:v>
                  </c:pt>
                  <c:pt idx="2">
                    <c:v>II</c:v>
                  </c:pt>
                </c:lvl>
                <c:lvl>
                  <c:pt idx="0">
                    <c:v>2023</c:v>
                  </c:pt>
                  <c:pt idx="1">
                    <c:v>2024</c:v>
                  </c:pt>
                  <c:pt idx="2">
                    <c:v>2025</c:v>
                  </c:pt>
                </c:lvl>
              </c:multiLvlStrCache>
            </c:multiLvlStrRef>
          </c:cat>
          <c:val>
            <c:numRef>
              <c:f>'EMPLEO 2025'!$D$121:$F$121</c:f>
              <c:numCache>
                <c:formatCode>0.0%</c:formatCode>
                <c:ptCount val="3"/>
                <c:pt idx="0">
                  <c:v>0.26586371219010269</c:v>
                </c:pt>
                <c:pt idx="1">
                  <c:v>0.30220977311710989</c:v>
                </c:pt>
                <c:pt idx="2">
                  <c:v>0.33422156707109651</c:v>
                </c:pt>
              </c:numCache>
            </c:numRef>
          </c:val>
          <c:extLst>
            <c:ext xmlns:c16="http://schemas.microsoft.com/office/drawing/2014/chart" uri="{C3380CC4-5D6E-409C-BE32-E72D297353CC}">
              <c16:uniqueId val="{00000000-6B79-4C8F-9AFB-3CFE44FAB128}"/>
            </c:ext>
          </c:extLst>
        </c:ser>
        <c:ser>
          <c:idx val="1"/>
          <c:order val="1"/>
          <c:tx>
            <c:strRef>
              <c:f>'EMPLEO 2025'!$B$122</c:f>
              <c:strCache>
                <c:ptCount val="1"/>
                <c:pt idx="0">
                  <c:v>      Más de 1 hasta 2 salarios mínimos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'EMPLEO 2025'!$D$119:$F$120</c:f>
              <c:multiLvlStrCache>
                <c:ptCount val="3"/>
                <c:lvl>
                  <c:pt idx="0">
                    <c:v>IV</c:v>
                  </c:pt>
                  <c:pt idx="1">
                    <c:v>IV</c:v>
                  </c:pt>
                  <c:pt idx="2">
                    <c:v>II</c:v>
                  </c:pt>
                </c:lvl>
                <c:lvl>
                  <c:pt idx="0">
                    <c:v>2023</c:v>
                  </c:pt>
                  <c:pt idx="1">
                    <c:v>2024</c:v>
                  </c:pt>
                  <c:pt idx="2">
                    <c:v>2025</c:v>
                  </c:pt>
                </c:lvl>
              </c:multiLvlStrCache>
            </c:multiLvlStrRef>
          </c:cat>
          <c:val>
            <c:numRef>
              <c:f>'EMPLEO 2025'!$D$122:$F$122</c:f>
              <c:numCache>
                <c:formatCode>0.0%</c:formatCode>
                <c:ptCount val="3"/>
                <c:pt idx="0">
                  <c:v>0.41426697927041256</c:v>
                </c:pt>
                <c:pt idx="1">
                  <c:v>0.38600029322837259</c:v>
                </c:pt>
                <c:pt idx="2">
                  <c:v>0.39908659064033825</c:v>
                </c:pt>
              </c:numCache>
            </c:numRef>
          </c:val>
          <c:extLst>
            <c:ext xmlns:c16="http://schemas.microsoft.com/office/drawing/2014/chart" uri="{C3380CC4-5D6E-409C-BE32-E72D297353CC}">
              <c16:uniqueId val="{00000001-6B79-4C8F-9AFB-3CFE44FAB128}"/>
            </c:ext>
          </c:extLst>
        </c:ser>
        <c:ser>
          <c:idx val="2"/>
          <c:order val="2"/>
          <c:tx>
            <c:strRef>
              <c:f>'EMPLEO 2025'!$B$123</c:f>
              <c:strCache>
                <c:ptCount val="1"/>
                <c:pt idx="0">
                  <c:v>      Más de 2 hasta 3 salarios mínimos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'EMPLEO 2025'!$D$119:$F$120</c:f>
              <c:multiLvlStrCache>
                <c:ptCount val="3"/>
                <c:lvl>
                  <c:pt idx="0">
                    <c:v>IV</c:v>
                  </c:pt>
                  <c:pt idx="1">
                    <c:v>IV</c:v>
                  </c:pt>
                  <c:pt idx="2">
                    <c:v>II</c:v>
                  </c:pt>
                </c:lvl>
                <c:lvl>
                  <c:pt idx="0">
                    <c:v>2023</c:v>
                  </c:pt>
                  <c:pt idx="1">
                    <c:v>2024</c:v>
                  </c:pt>
                  <c:pt idx="2">
                    <c:v>2025</c:v>
                  </c:pt>
                </c:lvl>
              </c:multiLvlStrCache>
            </c:multiLvlStrRef>
          </c:cat>
          <c:val>
            <c:numRef>
              <c:f>'EMPLEO 2025'!$D$123:$F$123</c:f>
              <c:numCache>
                <c:formatCode>0.0%</c:formatCode>
                <c:ptCount val="3"/>
                <c:pt idx="0">
                  <c:v>0.14908683002068215</c:v>
                </c:pt>
                <c:pt idx="1">
                  <c:v>0.14337124454938693</c:v>
                </c:pt>
                <c:pt idx="2">
                  <c:v>0.10521520094600943</c:v>
                </c:pt>
              </c:numCache>
            </c:numRef>
          </c:val>
          <c:extLst>
            <c:ext xmlns:c16="http://schemas.microsoft.com/office/drawing/2014/chart" uri="{C3380CC4-5D6E-409C-BE32-E72D297353CC}">
              <c16:uniqueId val="{00000002-6B79-4C8F-9AFB-3CFE44FAB128}"/>
            </c:ext>
          </c:extLst>
        </c:ser>
        <c:ser>
          <c:idx val="3"/>
          <c:order val="3"/>
          <c:tx>
            <c:strRef>
              <c:f>'EMPLEO 2025'!$B$124</c:f>
              <c:strCache>
                <c:ptCount val="1"/>
                <c:pt idx="0">
                  <c:v>      Más de 3 hasta 5 salarios mínimos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'EMPLEO 2025'!$D$119:$F$120</c:f>
              <c:multiLvlStrCache>
                <c:ptCount val="3"/>
                <c:lvl>
                  <c:pt idx="0">
                    <c:v>IV</c:v>
                  </c:pt>
                  <c:pt idx="1">
                    <c:v>IV</c:v>
                  </c:pt>
                  <c:pt idx="2">
                    <c:v>II</c:v>
                  </c:pt>
                </c:lvl>
                <c:lvl>
                  <c:pt idx="0">
                    <c:v>2023</c:v>
                  </c:pt>
                  <c:pt idx="1">
                    <c:v>2024</c:v>
                  </c:pt>
                  <c:pt idx="2">
                    <c:v>2025</c:v>
                  </c:pt>
                </c:lvl>
              </c:multiLvlStrCache>
            </c:multiLvlStrRef>
          </c:cat>
          <c:val>
            <c:numRef>
              <c:f>'EMPLEO 2025'!$D$124:$F$124</c:f>
              <c:numCache>
                <c:formatCode>0.0%</c:formatCode>
                <c:ptCount val="3"/>
                <c:pt idx="0">
                  <c:v>4.7616396437636994E-2</c:v>
                </c:pt>
                <c:pt idx="1">
                  <c:v>4.6496177265778711E-2</c:v>
                </c:pt>
                <c:pt idx="2">
                  <c:v>4.0352202225713965E-2</c:v>
                </c:pt>
              </c:numCache>
            </c:numRef>
          </c:val>
          <c:extLst>
            <c:ext xmlns:c16="http://schemas.microsoft.com/office/drawing/2014/chart" uri="{C3380CC4-5D6E-409C-BE32-E72D297353CC}">
              <c16:uniqueId val="{00000003-6B79-4C8F-9AFB-3CFE44FAB128}"/>
            </c:ext>
          </c:extLst>
        </c:ser>
        <c:ser>
          <c:idx val="4"/>
          <c:order val="4"/>
          <c:tx>
            <c:strRef>
              <c:f>'EMPLEO 2025'!$B$125</c:f>
              <c:strCache>
                <c:ptCount val="1"/>
                <c:pt idx="0">
                  <c:v>      Más de 5 salarios mínimos</c:v>
                </c:pt>
              </c:strCache>
            </c:strRef>
          </c:tx>
          <c:spPr>
            <a:solidFill>
              <a:schemeClr val="accent5"/>
            </a:solidFill>
            <a:ln>
              <a:noFill/>
            </a:ln>
            <a:effectLst/>
          </c:spPr>
          <c:invertIfNegative val="0"/>
          <c:dLbls>
            <c:delete val="1"/>
          </c:dLbls>
          <c:cat>
            <c:multiLvlStrRef>
              <c:f>'EMPLEO 2025'!$D$119:$F$120</c:f>
              <c:multiLvlStrCache>
                <c:ptCount val="3"/>
                <c:lvl>
                  <c:pt idx="0">
                    <c:v>IV</c:v>
                  </c:pt>
                  <c:pt idx="1">
                    <c:v>IV</c:v>
                  </c:pt>
                  <c:pt idx="2">
                    <c:v>II</c:v>
                  </c:pt>
                </c:lvl>
                <c:lvl>
                  <c:pt idx="0">
                    <c:v>2023</c:v>
                  </c:pt>
                  <c:pt idx="1">
                    <c:v>2024</c:v>
                  </c:pt>
                  <c:pt idx="2">
                    <c:v>2025</c:v>
                  </c:pt>
                </c:lvl>
              </c:multiLvlStrCache>
            </c:multiLvlStrRef>
          </c:cat>
          <c:val>
            <c:numRef>
              <c:f>'EMPLEO 2025'!$D$125:$F$125</c:f>
              <c:numCache>
                <c:formatCode>0.0%</c:formatCode>
                <c:ptCount val="3"/>
                <c:pt idx="0">
                  <c:v>1.8532494499535011E-2</c:v>
                </c:pt>
                <c:pt idx="1">
                  <c:v>1.2973817577092917E-2</c:v>
                </c:pt>
                <c:pt idx="2">
                  <c:v>1.0697276983137058E-2</c:v>
                </c:pt>
              </c:numCache>
            </c:numRef>
          </c:val>
          <c:extLst>
            <c:ext xmlns:c16="http://schemas.microsoft.com/office/drawing/2014/chart" uri="{C3380CC4-5D6E-409C-BE32-E72D297353CC}">
              <c16:uniqueId val="{00000004-6B79-4C8F-9AFB-3CFE44FAB128}"/>
            </c:ext>
          </c:extLst>
        </c:ser>
        <c:ser>
          <c:idx val="5"/>
          <c:order val="5"/>
          <c:tx>
            <c:strRef>
              <c:f>'EMPLEO 2025'!$B$126</c:f>
              <c:strCache>
                <c:ptCount val="1"/>
                <c:pt idx="0">
                  <c:v>      No recibe ingresos</c:v>
                </c:pt>
              </c:strCache>
            </c:strRef>
          </c:tx>
          <c:spPr>
            <a:solidFill>
              <a:schemeClr val="accent6"/>
            </a:solidFill>
            <a:ln>
              <a:noFill/>
            </a:ln>
            <a:effectLst/>
          </c:spPr>
          <c:invertIfNegative val="0"/>
          <c:dLbls>
            <c:delete val="1"/>
          </c:dLbls>
          <c:cat>
            <c:multiLvlStrRef>
              <c:f>'EMPLEO 2025'!$D$119:$F$120</c:f>
              <c:multiLvlStrCache>
                <c:ptCount val="3"/>
                <c:lvl>
                  <c:pt idx="0">
                    <c:v>IV</c:v>
                  </c:pt>
                  <c:pt idx="1">
                    <c:v>IV</c:v>
                  </c:pt>
                  <c:pt idx="2">
                    <c:v>II</c:v>
                  </c:pt>
                </c:lvl>
                <c:lvl>
                  <c:pt idx="0">
                    <c:v>2023</c:v>
                  </c:pt>
                  <c:pt idx="1">
                    <c:v>2024</c:v>
                  </c:pt>
                  <c:pt idx="2">
                    <c:v>2025</c:v>
                  </c:pt>
                </c:lvl>
              </c:multiLvlStrCache>
            </c:multiLvlStrRef>
          </c:cat>
          <c:val>
            <c:numRef>
              <c:f>'EMPLEO 2025'!$D$126:$F$126</c:f>
              <c:numCache>
                <c:formatCode>0.0%</c:formatCode>
                <c:ptCount val="3"/>
                <c:pt idx="0">
                  <c:v>4.4127441701257222E-2</c:v>
                </c:pt>
                <c:pt idx="1">
                  <c:v>2.6065541667649222E-2</c:v>
                </c:pt>
                <c:pt idx="2">
                  <c:v>2.7560219007662028E-2</c:v>
                </c:pt>
              </c:numCache>
            </c:numRef>
          </c:val>
          <c:extLst>
            <c:ext xmlns:c16="http://schemas.microsoft.com/office/drawing/2014/chart" uri="{C3380CC4-5D6E-409C-BE32-E72D297353CC}">
              <c16:uniqueId val="{00000005-6B79-4C8F-9AFB-3CFE44FAB128}"/>
            </c:ext>
          </c:extLst>
        </c:ser>
        <c:ser>
          <c:idx val="6"/>
          <c:order val="6"/>
          <c:tx>
            <c:strRef>
              <c:f>'EMPLEO 2025'!$B$127</c:f>
              <c:strCache>
                <c:ptCount val="1"/>
                <c:pt idx="0">
                  <c:v>      No especificado</c:v>
                </c:pt>
              </c:strCache>
            </c:strRef>
          </c:tx>
          <c:spPr>
            <a:solidFill>
              <a:schemeClr val="accent1">
                <a:lumMod val="60000"/>
              </a:schemeClr>
            </a:solidFill>
            <a:ln>
              <a:noFill/>
            </a:ln>
            <a:effectLst/>
          </c:spPr>
          <c:invertIfNegative val="0"/>
          <c:dLbls>
            <c:delete val="1"/>
          </c:dLbls>
          <c:cat>
            <c:multiLvlStrRef>
              <c:f>'EMPLEO 2025'!$D$119:$F$120</c:f>
              <c:multiLvlStrCache>
                <c:ptCount val="3"/>
                <c:lvl>
                  <c:pt idx="0">
                    <c:v>IV</c:v>
                  </c:pt>
                  <c:pt idx="1">
                    <c:v>IV</c:v>
                  </c:pt>
                  <c:pt idx="2">
                    <c:v>II</c:v>
                  </c:pt>
                </c:lvl>
                <c:lvl>
                  <c:pt idx="0">
                    <c:v>2023</c:v>
                  </c:pt>
                  <c:pt idx="1">
                    <c:v>2024</c:v>
                  </c:pt>
                  <c:pt idx="2">
                    <c:v>2025</c:v>
                  </c:pt>
                </c:lvl>
              </c:multiLvlStrCache>
            </c:multiLvlStrRef>
          </c:cat>
          <c:val>
            <c:numRef>
              <c:f>'EMPLEO 2025'!$D$127:$F$127</c:f>
              <c:numCache>
                <c:formatCode>0.0%</c:formatCode>
                <c:ptCount val="3"/>
                <c:pt idx="0">
                  <c:v>6.050614588037339E-2</c:v>
                </c:pt>
                <c:pt idx="1">
                  <c:v>8.2883152594609724E-2</c:v>
                </c:pt>
                <c:pt idx="2">
                  <c:v>8.28669431260428E-2</c:v>
                </c:pt>
              </c:numCache>
            </c:numRef>
          </c:val>
          <c:extLst>
            <c:ext xmlns:c16="http://schemas.microsoft.com/office/drawing/2014/chart" uri="{C3380CC4-5D6E-409C-BE32-E72D297353CC}">
              <c16:uniqueId val="{00000006-6B79-4C8F-9AFB-3CFE44FAB128}"/>
            </c:ext>
          </c:extLst>
        </c:ser>
        <c:dLbls>
          <c:showLegendKey val="0"/>
          <c:showVal val="1"/>
          <c:showCatName val="0"/>
          <c:showSerName val="0"/>
          <c:showPercent val="0"/>
          <c:showBubbleSize val="0"/>
        </c:dLbls>
        <c:gapWidth val="150"/>
        <c:overlap val="100"/>
        <c:axId val="439821312"/>
        <c:axId val="368540416"/>
      </c:barChart>
      <c:catAx>
        <c:axId val="439821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68540416"/>
        <c:crosses val="autoZero"/>
        <c:auto val="1"/>
        <c:lblAlgn val="ctr"/>
        <c:lblOffset val="100"/>
        <c:noMultiLvlLbl val="0"/>
      </c:catAx>
      <c:valAx>
        <c:axId val="368540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3982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s-MX"/>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'EMPLEO 2025'!$B$133</c:f>
              <c:strCache>
                <c:ptCount val="1"/>
                <c:pt idx="0">
                  <c:v>      Con acceso</c:v>
                </c:pt>
              </c:strCache>
            </c:strRef>
          </c:tx>
          <c:spPr>
            <a:solidFill>
              <a:schemeClr val="accent1"/>
            </a:solidFill>
            <a:ln>
              <a:noFill/>
            </a:ln>
            <a:effectLst/>
          </c:spPr>
          <c:invertIfNegative val="0"/>
          <c:dLbls>
            <c:dLbl>
              <c:idx val="0"/>
              <c:tx>
                <c:rich>
                  <a:bodyPr/>
                  <a:lstStyle/>
                  <a:p>
                    <a:fld id="{1D587B20-9316-4E51-8F76-CCB57E17C016}"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F1EF-4DE5-9079-BF79CAB7EB40}"/>
                </c:ext>
              </c:extLst>
            </c:dLbl>
            <c:dLbl>
              <c:idx val="1"/>
              <c:tx>
                <c:rich>
                  <a:bodyPr/>
                  <a:lstStyle/>
                  <a:p>
                    <a:fld id="{3B723010-4952-4E38-9D1C-7E07B09E5809}"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1EF-4DE5-9079-BF79CAB7EB40}"/>
                </c:ext>
              </c:extLst>
            </c:dLbl>
            <c:dLbl>
              <c:idx val="2"/>
              <c:tx>
                <c:rich>
                  <a:bodyPr/>
                  <a:lstStyle/>
                  <a:p>
                    <a:fld id="{1965ED67-24A3-48CC-8B25-789C02FCDC46}"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F1EF-4DE5-9079-BF79CAB7EB4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'EMPLEO 2025'!$D$131:$F$132</c:f>
              <c:multiLvlStrCache>
                <c:ptCount val="3"/>
                <c:lvl>
                  <c:pt idx="0">
                    <c:v>IV</c:v>
                  </c:pt>
                  <c:pt idx="1">
                    <c:v>IV</c:v>
                  </c:pt>
                  <c:pt idx="2">
                    <c:v>II</c:v>
                  </c:pt>
                </c:lvl>
                <c:lvl>
                  <c:pt idx="0">
                    <c:v>2023</c:v>
                  </c:pt>
                  <c:pt idx="1">
                    <c:v>2024</c:v>
                  </c:pt>
                  <c:pt idx="2">
                    <c:v>2025</c:v>
                  </c:pt>
                </c:lvl>
              </c:multiLvlStrCache>
            </c:multiLvlStrRef>
          </c:cat>
          <c:val>
            <c:numRef>
              <c:f>'EMPLEO 2025'!$D$133:$F$133</c:f>
              <c:numCache>
                <c:formatCode>_-* #,##0_-;\-* #,##0_-;_-* "-"??_-;_-@_-</c:formatCode>
                <c:ptCount val="3"/>
                <c:pt idx="0">
                  <c:v>462111</c:v>
                </c:pt>
                <c:pt idx="1">
                  <c:v>496971</c:v>
                </c:pt>
                <c:pt idx="2">
                  <c:v>494829</c:v>
                </c:pt>
              </c:numCache>
            </c:numRef>
          </c:val>
          <c:extLst>
            <c:ext xmlns:c15="http://schemas.microsoft.com/office/drawing/2012/chart" uri="{02D57815-91ED-43cb-92C2-25804820EDAC}">
              <c15:datalabelsRange>
                <c15:f>'EMPLEO 2025'!$D$137:$F$137</c15:f>
                <c15:dlblRangeCache>
                  <c:ptCount val="3"/>
                  <c:pt idx="0">
                    <c:v>47.64%</c:v>
                  </c:pt>
                  <c:pt idx="1">
                    <c:v>50.95%</c:v>
                  </c:pt>
                  <c:pt idx="2">
                    <c:v>50.10%</c:v>
                  </c:pt>
                </c15:dlblRangeCache>
              </c15:datalabelsRange>
            </c:ext>
            <c:ext xmlns:c16="http://schemas.microsoft.com/office/drawing/2014/chart" uri="{C3380CC4-5D6E-409C-BE32-E72D297353CC}">
              <c16:uniqueId val="{00000003-F1EF-4DE5-9079-BF79CAB7EB40}"/>
            </c:ext>
          </c:extLst>
        </c:ser>
        <c:ser>
          <c:idx val="1"/>
          <c:order val="1"/>
          <c:tx>
            <c:strRef>
              <c:f>'EMPLEO 2025'!$B$134</c:f>
              <c:strCache>
                <c:ptCount val="1"/>
                <c:pt idx="0">
                  <c:v>      Sin acceso</c:v>
                </c:pt>
              </c:strCache>
            </c:strRef>
          </c:tx>
          <c:spPr>
            <a:solidFill>
              <a:schemeClr val="accent2"/>
            </a:solidFill>
            <a:ln>
              <a:noFill/>
            </a:ln>
            <a:effectLst/>
          </c:spPr>
          <c:invertIfNegative val="0"/>
          <c:dLbls>
            <c:dLbl>
              <c:idx val="0"/>
              <c:tx>
                <c:rich>
                  <a:bodyPr/>
                  <a:lstStyle/>
                  <a:p>
                    <a:fld id="{C93731BE-C4CE-4005-9B49-56564C259F19}"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1EF-4DE5-9079-BF79CAB7EB40}"/>
                </c:ext>
              </c:extLst>
            </c:dLbl>
            <c:dLbl>
              <c:idx val="1"/>
              <c:tx>
                <c:rich>
                  <a:bodyPr/>
                  <a:lstStyle/>
                  <a:p>
                    <a:fld id="{E7F978B6-0317-4D05-8F36-D51CE6A129AB}"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1EF-4DE5-9079-BF79CAB7EB40}"/>
                </c:ext>
              </c:extLst>
            </c:dLbl>
            <c:dLbl>
              <c:idx val="2"/>
              <c:tx>
                <c:rich>
                  <a:bodyPr/>
                  <a:lstStyle/>
                  <a:p>
                    <a:fld id="{8A6236F8-75D9-4A77-BF54-06803F22A2E8}"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F1EF-4DE5-9079-BF79CAB7EB4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'EMPLEO 2025'!$D$131:$F$132</c:f>
              <c:multiLvlStrCache>
                <c:ptCount val="3"/>
                <c:lvl>
                  <c:pt idx="0">
                    <c:v>IV</c:v>
                  </c:pt>
                  <c:pt idx="1">
                    <c:v>IV</c:v>
                  </c:pt>
                  <c:pt idx="2">
                    <c:v>II</c:v>
                  </c:pt>
                </c:lvl>
                <c:lvl>
                  <c:pt idx="0">
                    <c:v>2023</c:v>
                  </c:pt>
                  <c:pt idx="1">
                    <c:v>2024</c:v>
                  </c:pt>
                  <c:pt idx="2">
                    <c:v>2025</c:v>
                  </c:pt>
                </c:lvl>
              </c:multiLvlStrCache>
            </c:multiLvlStrRef>
          </c:cat>
          <c:val>
            <c:numRef>
              <c:f>'EMPLEO 2025'!$D$134:$F$134</c:f>
              <c:numCache>
                <c:formatCode>_-* #,##0_-;\-* #,##0_-;_-* "-"??_-;_-@_-</c:formatCode>
                <c:ptCount val="3"/>
                <c:pt idx="0">
                  <c:v>503865</c:v>
                </c:pt>
                <c:pt idx="1">
                  <c:v>471691</c:v>
                </c:pt>
                <c:pt idx="2">
                  <c:v>486780</c:v>
                </c:pt>
              </c:numCache>
            </c:numRef>
          </c:val>
          <c:extLst>
            <c:ext xmlns:c15="http://schemas.microsoft.com/office/drawing/2012/chart" uri="{02D57815-91ED-43cb-92C2-25804820EDAC}">
              <c15:datalabelsRange>
                <c15:f>'EMPLEO 2025'!$D$138:$F$138</c15:f>
                <c15:dlblRangeCache>
                  <c:ptCount val="3"/>
                  <c:pt idx="0">
                    <c:v>51.95%</c:v>
                  </c:pt>
                  <c:pt idx="1">
                    <c:v>48.36%</c:v>
                  </c:pt>
                  <c:pt idx="2">
                    <c:v>49.28%</c:v>
                  </c:pt>
                </c15:dlblRangeCache>
              </c15:datalabelsRange>
            </c:ext>
            <c:ext xmlns:c16="http://schemas.microsoft.com/office/drawing/2014/chart" uri="{C3380CC4-5D6E-409C-BE32-E72D297353CC}">
              <c16:uniqueId val="{00000007-F1EF-4DE5-9079-BF79CAB7EB40}"/>
            </c:ext>
          </c:extLst>
        </c:ser>
        <c:ser>
          <c:idx val="2"/>
          <c:order val="2"/>
          <c:tx>
            <c:strRef>
              <c:f>'EMPLEO 2025'!$B$135</c:f>
              <c:strCache>
                <c:ptCount val="1"/>
                <c:pt idx="0">
                  <c:v>      No especificado</c:v>
                </c:pt>
              </c:strCache>
            </c:strRef>
          </c:tx>
          <c:spPr>
            <a:solidFill>
              <a:schemeClr val="accent3"/>
            </a:solidFill>
            <a:ln>
              <a:noFill/>
            </a:ln>
            <a:effectLst/>
          </c:spPr>
          <c:invertIfNegative val="0"/>
          <c:dLbls>
            <c:dLbl>
              <c:idx val="0"/>
              <c:tx>
                <c:rich>
                  <a:bodyPr/>
                  <a:lstStyle/>
                  <a:p>
                    <a:fld id="{7D18534A-2602-4F66-89D2-C0DA4288A004}"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F1EF-4DE5-9079-BF79CAB7EB40}"/>
                </c:ext>
              </c:extLst>
            </c:dLbl>
            <c:dLbl>
              <c:idx val="1"/>
              <c:tx>
                <c:rich>
                  <a:bodyPr/>
                  <a:lstStyle/>
                  <a:p>
                    <a:fld id="{8BD4D840-F837-4AE4-86C2-D9B83296F2B9}"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F1EF-4DE5-9079-BF79CAB7EB40}"/>
                </c:ext>
              </c:extLst>
            </c:dLbl>
            <c:dLbl>
              <c:idx val="2"/>
              <c:tx>
                <c:rich>
                  <a:bodyPr/>
                  <a:lstStyle/>
                  <a:p>
                    <a:fld id="{374E105D-43DA-408F-B79F-5841EF9322CA}"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1EF-4DE5-9079-BF79CAB7EB4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'EMPLEO 2025'!$D$131:$F$132</c:f>
              <c:multiLvlStrCache>
                <c:ptCount val="3"/>
                <c:lvl>
                  <c:pt idx="0">
                    <c:v>IV</c:v>
                  </c:pt>
                  <c:pt idx="1">
                    <c:v>IV</c:v>
                  </c:pt>
                  <c:pt idx="2">
                    <c:v>II</c:v>
                  </c:pt>
                </c:lvl>
                <c:lvl>
                  <c:pt idx="0">
                    <c:v>2023</c:v>
                  </c:pt>
                  <c:pt idx="1">
                    <c:v>2024</c:v>
                  </c:pt>
                  <c:pt idx="2">
                    <c:v>2025</c:v>
                  </c:pt>
                </c:lvl>
              </c:multiLvlStrCache>
            </c:multiLvlStrRef>
          </c:cat>
          <c:val>
            <c:numRef>
              <c:f>'EMPLEO 2025'!$D$135:$F$135</c:f>
              <c:numCache>
                <c:formatCode>_-* #,##0_-;\-* #,##0_-;_-* "-"??_-;_-@_-</c:formatCode>
                <c:ptCount val="3"/>
                <c:pt idx="0">
                  <c:v>3942</c:v>
                </c:pt>
                <c:pt idx="1">
                  <c:v>6687</c:v>
                </c:pt>
                <c:pt idx="2">
                  <c:v>6119</c:v>
                </c:pt>
              </c:numCache>
            </c:numRef>
          </c:val>
          <c:extLst>
            <c:ext xmlns:c15="http://schemas.microsoft.com/office/drawing/2012/chart" uri="{02D57815-91ED-43cb-92C2-25804820EDAC}">
              <c15:datalabelsRange>
                <c15:f>'EMPLEO 2025'!$D$139:$F$139</c15:f>
                <c15:dlblRangeCache>
                  <c:ptCount val="3"/>
                  <c:pt idx="0">
                    <c:v>0.41%</c:v>
                  </c:pt>
                  <c:pt idx="1">
                    <c:v>0.69%</c:v>
                  </c:pt>
                  <c:pt idx="2">
                    <c:v>0.62%</c:v>
                  </c:pt>
                </c15:dlblRangeCache>
              </c15:datalabelsRange>
            </c:ext>
            <c:ext xmlns:c16="http://schemas.microsoft.com/office/drawing/2014/chart" uri="{C3380CC4-5D6E-409C-BE32-E72D297353CC}">
              <c16:uniqueId val="{0000000B-F1EF-4DE5-9079-BF79CAB7EB40}"/>
            </c:ext>
          </c:extLst>
        </c:ser>
        <c:dLbls>
          <c:dLblPos val="ctr"/>
          <c:showLegendKey val="0"/>
          <c:showVal val="1"/>
          <c:showCatName val="0"/>
          <c:showSerName val="0"/>
          <c:showPercent val="0"/>
          <c:showBubbleSize val="0"/>
        </c:dLbls>
        <c:gapWidth val="150"/>
        <c:overlap val="100"/>
        <c:axId val="439821824"/>
        <c:axId val="389579328"/>
      </c:barChart>
      <c:catAx>
        <c:axId val="43982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89579328"/>
        <c:crosses val="autoZero"/>
        <c:auto val="1"/>
        <c:lblAlgn val="ctr"/>
        <c:lblOffset val="100"/>
        <c:noMultiLvlLbl val="0"/>
      </c:catAx>
      <c:valAx>
        <c:axId val="38957932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398218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'EMPLEO 2025'!$B$149</c:f>
              <c:strCache>
                <c:ptCount val="1"/>
                <c:pt idx="0">
                  <c:v>Nacional TIL</c:v>
                </c:pt>
              </c:strCache>
            </c:strRef>
          </c:tx>
          <c:spPr>
            <a:ln w="28575" cap="rnd">
              <a:solidFill>
                <a:schemeClr val="accent1"/>
              </a:solidFill>
              <a:round/>
            </a:ln>
            <a:effectLst/>
          </c:spPr>
          <c:marker>
            <c:symbol val="none"/>
          </c:marker>
          <c:cat>
            <c:multiLvlStrRef>
              <c:f>'EMPLEO 2025'!$G$147:$P$148</c:f>
              <c:multiLvlStrCache>
                <c:ptCount val="10"/>
                <c:lvl>
                  <c:pt idx="0">
                    <c:v>I</c:v>
                  </c:pt>
                  <c:pt idx="1">
                    <c:v>II</c:v>
                  </c:pt>
                  <c:pt idx="2">
                    <c:v>III</c:v>
                  </c:pt>
                  <c:pt idx="3">
                    <c:v>IV</c:v>
                  </c:pt>
                  <c:pt idx="4">
                    <c:v>I</c:v>
                  </c:pt>
                  <c:pt idx="5">
                    <c:v>II</c:v>
                  </c:pt>
                  <c:pt idx="6">
                    <c:v>III</c:v>
                  </c:pt>
                  <c:pt idx="7">
                    <c:v>IV</c:v>
                  </c:pt>
                  <c:pt idx="8">
                    <c:v>I</c:v>
                  </c:pt>
                  <c:pt idx="9">
                    <c:v>II</c:v>
                  </c:pt>
                </c:lvl>
                <c:lvl>
                  <c:pt idx="0">
                    <c:v>2023</c:v>
                  </c:pt>
                  <c:pt idx="4">
                    <c:v>2024</c:v>
                  </c:pt>
                  <c:pt idx="8">
                    <c:v>2025</c:v>
                  </c:pt>
                </c:lvl>
              </c:multiLvlStrCache>
            </c:multiLvlStrRef>
          </c:cat>
          <c:val>
            <c:numRef>
              <c:f>'EMPLEO 2025'!$G$149:$P$149</c:f>
              <c:numCache>
                <c:formatCode>General</c:formatCode>
                <c:ptCount val="10"/>
                <c:pt idx="0">
                  <c:v>55.1</c:v>
                </c:pt>
                <c:pt idx="1">
                  <c:v>55.2</c:v>
                </c:pt>
                <c:pt idx="2">
                  <c:v>55.1</c:v>
                </c:pt>
                <c:pt idx="3">
                  <c:v>54.8</c:v>
                </c:pt>
                <c:pt idx="4">
                  <c:v>54.3</c:v>
                </c:pt>
                <c:pt idx="5">
                  <c:v>54.3</c:v>
                </c:pt>
                <c:pt idx="6">
                  <c:v>54.6</c:v>
                </c:pt>
                <c:pt idx="7">
                  <c:v>54.5</c:v>
                </c:pt>
                <c:pt idx="8">
                  <c:v>54.3</c:v>
                </c:pt>
                <c:pt idx="9">
                  <c:v>54.8</c:v>
                </c:pt>
              </c:numCache>
            </c:numRef>
          </c:val>
          <c:smooth val="0"/>
          <c:extLst>
            <c:ext xmlns:c16="http://schemas.microsoft.com/office/drawing/2014/chart" uri="{C3380CC4-5D6E-409C-BE32-E72D297353CC}">
              <c16:uniqueId val="{00000000-8F29-475D-8550-BDADF7CACA22}"/>
            </c:ext>
          </c:extLst>
        </c:ser>
        <c:ser>
          <c:idx val="1"/>
          <c:order val="1"/>
          <c:tx>
            <c:strRef>
              <c:f>'EMPLEO 2025'!$B$150</c:f>
              <c:strCache>
                <c:ptCount val="1"/>
                <c:pt idx="0">
                  <c:v>Nacional TOSI</c:v>
                </c:pt>
              </c:strCache>
            </c:strRef>
          </c:tx>
          <c:spPr>
            <a:ln w="28575" cap="rnd">
              <a:solidFill>
                <a:schemeClr val="accent2"/>
              </a:solidFill>
              <a:round/>
            </a:ln>
            <a:effectLst/>
          </c:spPr>
          <c:marker>
            <c:symbol val="none"/>
          </c:marker>
          <c:cat>
            <c:multiLvlStrRef>
              <c:f>'EMPLEO 2025'!$G$147:$P$148</c:f>
              <c:multiLvlStrCache>
                <c:ptCount val="10"/>
                <c:lvl>
                  <c:pt idx="0">
                    <c:v>I</c:v>
                  </c:pt>
                  <c:pt idx="1">
                    <c:v>II</c:v>
                  </c:pt>
                  <c:pt idx="2">
                    <c:v>III</c:v>
                  </c:pt>
                  <c:pt idx="3">
                    <c:v>IV</c:v>
                  </c:pt>
                  <c:pt idx="4">
                    <c:v>I</c:v>
                  </c:pt>
                  <c:pt idx="5">
                    <c:v>II</c:v>
                  </c:pt>
                  <c:pt idx="6">
                    <c:v>III</c:v>
                  </c:pt>
                  <c:pt idx="7">
                    <c:v>IV</c:v>
                  </c:pt>
                  <c:pt idx="8">
                    <c:v>I</c:v>
                  </c:pt>
                  <c:pt idx="9">
                    <c:v>II</c:v>
                  </c:pt>
                </c:lvl>
                <c:lvl>
                  <c:pt idx="0">
                    <c:v>2023</c:v>
                  </c:pt>
                  <c:pt idx="4">
                    <c:v>2024</c:v>
                  </c:pt>
                  <c:pt idx="8">
                    <c:v>2025</c:v>
                  </c:pt>
                </c:lvl>
              </c:multiLvlStrCache>
            </c:multiLvlStrRef>
          </c:cat>
          <c:val>
            <c:numRef>
              <c:f>'EMPLEO 2025'!$G$150:$P$150</c:f>
              <c:numCache>
                <c:formatCode>General</c:formatCode>
                <c:ptCount val="10"/>
                <c:pt idx="0">
                  <c:v>28.2</c:v>
                </c:pt>
                <c:pt idx="1">
                  <c:v>28.3</c:v>
                </c:pt>
                <c:pt idx="2">
                  <c:v>28.2</c:v>
                </c:pt>
                <c:pt idx="3">
                  <c:v>28.3</c:v>
                </c:pt>
                <c:pt idx="4">
                  <c:v>27.8</c:v>
                </c:pt>
                <c:pt idx="5">
                  <c:v>28.1</c:v>
                </c:pt>
                <c:pt idx="6">
                  <c:v>28.1</c:v>
                </c:pt>
                <c:pt idx="7">
                  <c:v>28.6</c:v>
                </c:pt>
                <c:pt idx="8">
                  <c:v>28.8</c:v>
                </c:pt>
                <c:pt idx="9">
                  <c:v>29</c:v>
                </c:pt>
              </c:numCache>
            </c:numRef>
          </c:val>
          <c:smooth val="0"/>
          <c:extLst>
            <c:ext xmlns:c16="http://schemas.microsoft.com/office/drawing/2014/chart" uri="{C3380CC4-5D6E-409C-BE32-E72D297353CC}">
              <c16:uniqueId val="{00000001-8F29-475D-8550-BDADF7CACA22}"/>
            </c:ext>
          </c:extLst>
        </c:ser>
        <c:ser>
          <c:idx val="2"/>
          <c:order val="2"/>
          <c:tx>
            <c:strRef>
              <c:f>'EMPLEO 2025'!$B$151</c:f>
              <c:strCache>
                <c:ptCount val="1"/>
                <c:pt idx="0">
                  <c:v>Quintana Roo TIL</c:v>
                </c:pt>
              </c:strCache>
            </c:strRef>
          </c:tx>
          <c:spPr>
            <a:ln w="28575" cap="rnd">
              <a:solidFill>
                <a:schemeClr val="accent3"/>
              </a:solidFill>
              <a:round/>
            </a:ln>
            <a:effectLst/>
          </c:spPr>
          <c:marker>
            <c:symbol val="none"/>
          </c:marker>
          <c:cat>
            <c:multiLvlStrRef>
              <c:f>'EMPLEO 2025'!$G$147:$P$148</c:f>
              <c:multiLvlStrCache>
                <c:ptCount val="10"/>
                <c:lvl>
                  <c:pt idx="0">
                    <c:v>I</c:v>
                  </c:pt>
                  <c:pt idx="1">
                    <c:v>II</c:v>
                  </c:pt>
                  <c:pt idx="2">
                    <c:v>III</c:v>
                  </c:pt>
                  <c:pt idx="3">
                    <c:v>IV</c:v>
                  </c:pt>
                  <c:pt idx="4">
                    <c:v>I</c:v>
                  </c:pt>
                  <c:pt idx="5">
                    <c:v>II</c:v>
                  </c:pt>
                  <c:pt idx="6">
                    <c:v>III</c:v>
                  </c:pt>
                  <c:pt idx="7">
                    <c:v>IV</c:v>
                  </c:pt>
                  <c:pt idx="8">
                    <c:v>I</c:v>
                  </c:pt>
                  <c:pt idx="9">
                    <c:v>II</c:v>
                  </c:pt>
                </c:lvl>
                <c:lvl>
                  <c:pt idx="0">
                    <c:v>2023</c:v>
                  </c:pt>
                  <c:pt idx="4">
                    <c:v>2024</c:v>
                  </c:pt>
                  <c:pt idx="8">
                    <c:v>2025</c:v>
                  </c:pt>
                </c:lvl>
              </c:multiLvlStrCache>
            </c:multiLvlStrRef>
          </c:cat>
          <c:val>
            <c:numRef>
              <c:f>'EMPLEO 2025'!$G$151:$P$151</c:f>
              <c:numCache>
                <c:formatCode>General</c:formatCode>
                <c:ptCount val="10"/>
                <c:pt idx="0">
                  <c:v>46.8</c:v>
                </c:pt>
                <c:pt idx="1">
                  <c:v>46</c:v>
                </c:pt>
                <c:pt idx="2">
                  <c:v>45.3</c:v>
                </c:pt>
                <c:pt idx="3">
                  <c:v>45.4</c:v>
                </c:pt>
                <c:pt idx="4">
                  <c:v>46</c:v>
                </c:pt>
                <c:pt idx="5">
                  <c:v>44.8</c:v>
                </c:pt>
                <c:pt idx="6">
                  <c:v>43.8</c:v>
                </c:pt>
                <c:pt idx="7">
                  <c:v>44.2</c:v>
                </c:pt>
                <c:pt idx="8">
                  <c:v>42.7</c:v>
                </c:pt>
                <c:pt idx="9">
                  <c:v>43.9</c:v>
                </c:pt>
              </c:numCache>
            </c:numRef>
          </c:val>
          <c:smooth val="0"/>
          <c:extLst>
            <c:ext xmlns:c16="http://schemas.microsoft.com/office/drawing/2014/chart" uri="{C3380CC4-5D6E-409C-BE32-E72D297353CC}">
              <c16:uniqueId val="{00000002-8F29-475D-8550-BDADF7CACA22}"/>
            </c:ext>
          </c:extLst>
        </c:ser>
        <c:ser>
          <c:idx val="3"/>
          <c:order val="3"/>
          <c:tx>
            <c:strRef>
              <c:f>'EMPLEO 2025'!$B$152</c:f>
              <c:strCache>
                <c:ptCount val="1"/>
                <c:pt idx="0">
                  <c:v>Quintana Roo TOSI</c:v>
                </c:pt>
              </c:strCache>
            </c:strRef>
          </c:tx>
          <c:spPr>
            <a:ln w="28575" cap="rnd">
              <a:solidFill>
                <a:schemeClr val="accent4"/>
              </a:solidFill>
              <a:round/>
            </a:ln>
            <a:effectLst/>
          </c:spPr>
          <c:marker>
            <c:symbol val="none"/>
          </c:marker>
          <c:cat>
            <c:multiLvlStrRef>
              <c:f>'EMPLEO 2025'!$G$147:$P$148</c:f>
              <c:multiLvlStrCache>
                <c:ptCount val="10"/>
                <c:lvl>
                  <c:pt idx="0">
                    <c:v>I</c:v>
                  </c:pt>
                  <c:pt idx="1">
                    <c:v>II</c:v>
                  </c:pt>
                  <c:pt idx="2">
                    <c:v>III</c:v>
                  </c:pt>
                  <c:pt idx="3">
                    <c:v>IV</c:v>
                  </c:pt>
                  <c:pt idx="4">
                    <c:v>I</c:v>
                  </c:pt>
                  <c:pt idx="5">
                    <c:v>II</c:v>
                  </c:pt>
                  <c:pt idx="6">
                    <c:v>III</c:v>
                  </c:pt>
                  <c:pt idx="7">
                    <c:v>IV</c:v>
                  </c:pt>
                  <c:pt idx="8">
                    <c:v>I</c:v>
                  </c:pt>
                  <c:pt idx="9">
                    <c:v>II</c:v>
                  </c:pt>
                </c:lvl>
                <c:lvl>
                  <c:pt idx="0">
                    <c:v>2023</c:v>
                  </c:pt>
                  <c:pt idx="4">
                    <c:v>2024</c:v>
                  </c:pt>
                  <c:pt idx="8">
                    <c:v>2025</c:v>
                  </c:pt>
                </c:lvl>
              </c:multiLvlStrCache>
            </c:multiLvlStrRef>
          </c:cat>
          <c:val>
            <c:numRef>
              <c:f>'EMPLEO 2025'!$G$152:$P$152</c:f>
              <c:numCache>
                <c:formatCode>General</c:formatCode>
                <c:ptCount val="10"/>
                <c:pt idx="0">
                  <c:v>22.1</c:v>
                </c:pt>
                <c:pt idx="1">
                  <c:v>21.4</c:v>
                </c:pt>
                <c:pt idx="2">
                  <c:v>21.2</c:v>
                </c:pt>
                <c:pt idx="3">
                  <c:v>22.2</c:v>
                </c:pt>
                <c:pt idx="4">
                  <c:v>22.7</c:v>
                </c:pt>
                <c:pt idx="5">
                  <c:v>21.1</c:v>
                </c:pt>
                <c:pt idx="6">
                  <c:v>22.6</c:v>
                </c:pt>
                <c:pt idx="7">
                  <c:v>22.9</c:v>
                </c:pt>
                <c:pt idx="8">
                  <c:v>23.4</c:v>
                </c:pt>
                <c:pt idx="9">
                  <c:v>21.6</c:v>
                </c:pt>
              </c:numCache>
            </c:numRef>
          </c:val>
          <c:smooth val="0"/>
          <c:extLst>
            <c:ext xmlns:c16="http://schemas.microsoft.com/office/drawing/2014/chart" uri="{C3380CC4-5D6E-409C-BE32-E72D297353CC}">
              <c16:uniqueId val="{00000003-8F29-475D-8550-BDADF7CACA22}"/>
            </c:ext>
          </c:extLst>
        </c:ser>
        <c:dLbls>
          <c:showLegendKey val="0"/>
          <c:showVal val="0"/>
          <c:showCatName val="0"/>
          <c:showSerName val="0"/>
          <c:showPercent val="0"/>
          <c:showBubbleSize val="0"/>
        </c:dLbls>
        <c:smooth val="0"/>
        <c:axId val="435105792"/>
        <c:axId val="389581056"/>
      </c:lineChart>
      <c:catAx>
        <c:axId val="43510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89581056"/>
        <c:crosses val="autoZero"/>
        <c:auto val="1"/>
        <c:lblAlgn val="ctr"/>
        <c:lblOffset val="100"/>
        <c:noMultiLvlLbl val="0"/>
      </c:catAx>
      <c:valAx>
        <c:axId val="389581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35105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s-MX"/>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'TRANSFERENCIAS 2025'!$M$3</c:f>
              <c:strCache>
                <c:ptCount val="1"/>
                <c:pt idx="0">
                  <c:v>Ingresos totales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'TRANSFERENCIAS 2025'!$A$5:$B$7</c:f>
              <c:strCache>
                <c:ptCount val="3"/>
                <c:pt idx="0">
                  <c:v>2023</c:v>
                </c:pt>
                <c:pt idx="1">
                  <c:v>2024</c:v>
                </c:pt>
                <c:pt idx="2">
                  <c:v>2025*</c:v>
                </c:pt>
              </c:strCache>
            </c:strRef>
          </c:cat>
          <c:val>
            <c:numRef>
              <c:f>'TRANSFERENCIAS 2025'!$M$5:$M$7</c:f>
              <c:numCache>
                <c:formatCode>_(* #,##0.00_);_(* \(#,##0.00\);_(* "-"??_);_(@_)</c:formatCode>
                <c:ptCount val="3"/>
                <c:pt idx="0">
                  <c:v>48214415492.830002</c:v>
                </c:pt>
                <c:pt idx="1">
                  <c:v>48900261244.600006</c:v>
                </c:pt>
                <c:pt idx="2">
                  <c:v>27957765404.389999</c:v>
                </c:pt>
              </c:numCache>
            </c:numRef>
          </c:val>
          <c:extLst>
            <c:ext xmlns:c16="http://schemas.microsoft.com/office/drawing/2014/chart" uri="{C3380CC4-5D6E-409C-BE32-E72D297353CC}">
              <c16:uniqueId val="{00000000-2222-4418-B0B1-EC2B200EA211}"/>
            </c:ext>
          </c:extLst>
        </c:ser>
        <c:dLbls>
          <c:showLegendKey val="0"/>
          <c:showVal val="0"/>
          <c:showCatName val="0"/>
          <c:showSerName val="0"/>
          <c:showPercent val="0"/>
          <c:showBubbleSize val="0"/>
        </c:dLbls>
        <c:gapWidth val="219"/>
        <c:overlap val="-27"/>
        <c:axId val="435107840"/>
        <c:axId val="389582784"/>
      </c:barChart>
      <c:catAx>
        <c:axId val="43510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89582784"/>
        <c:crosses val="autoZero"/>
        <c:auto val="1"/>
        <c:lblAlgn val="ctr"/>
        <c:lblOffset val="100"/>
        <c:noMultiLvlLbl val="0"/>
      </c:catAx>
      <c:valAx>
        <c:axId val="38958278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35107840"/>
        <c:crosses val="autoZero"/>
        <c:crossBetween val="between"/>
        <c:dispUnits>
          <c:builtInUnit val="million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'TRANSFERENCIAS 2025'!$C$17</c:f>
              <c:strCache>
                <c:ptCount val="1"/>
                <c:pt idx="0">
                  <c:v>Recaudación total</c:v>
                </c:pt>
              </c:strCache>
            </c:strRef>
          </c:tx>
          <c:spPr>
            <a:solidFill>
              <a:schemeClr val="accent1"/>
            </a:solidFill>
            <a:ln>
              <a:noFill/>
            </a:ln>
            <a:effectLst/>
          </c:spPr>
          <c:invertIfNegative val="0"/>
          <c:dLbls>
            <c:dLbl>
              <c:idx val="0"/>
              <c:tx>
                <c:rich>
                  <a:bodyPr/>
                  <a:lstStyle/>
                  <a:p>
                    <a:fld id="{DC0DA268-8FF1-4F61-AEB3-12433F0CEFB3}"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A18-4BE9-A54A-0D8AF45FF491}"/>
                </c:ext>
              </c:extLst>
            </c:dLbl>
            <c:dLbl>
              <c:idx val="1"/>
              <c:tx>
                <c:rich>
                  <a:bodyPr/>
                  <a:lstStyle/>
                  <a:p>
                    <a:fld id="{950213B3-EC13-4A41-B391-E4D1E0F0C2B9}"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A18-4BE9-A54A-0D8AF45FF491}"/>
                </c:ext>
              </c:extLst>
            </c:dLbl>
            <c:dLbl>
              <c:idx val="2"/>
              <c:tx>
                <c:rich>
                  <a:bodyPr/>
                  <a:lstStyle/>
                  <a:p>
                    <a:fld id="{4080F1CE-2F73-4F2C-95D6-A4EF52EC2875}"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A18-4BE9-A54A-0D8AF45FF49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'TRANSFERENCIAS 2025'!$B$19:$B$21</c:f>
              <c:strCache>
                <c:ptCount val="3"/>
                <c:pt idx="0">
                  <c:v>2023</c:v>
                </c:pt>
                <c:pt idx="1">
                  <c:v>2024</c:v>
                </c:pt>
                <c:pt idx="2">
                  <c:v>2025*</c:v>
                </c:pt>
              </c:strCache>
            </c:strRef>
          </c:cat>
          <c:val>
            <c:numRef>
              <c:f>'TRANSFERENCIAS 2025'!$C$19:$C$21</c:f>
              <c:numCache>
                <c:formatCode>_(* #,##0.00_);_(* \(#,##0.00\);_(* "-"??_);_(@_)</c:formatCode>
                <c:ptCount val="3"/>
                <c:pt idx="0">
                  <c:v>11403.5314395</c:v>
                </c:pt>
                <c:pt idx="1">
                  <c:v>13608.491632770001</c:v>
                </c:pt>
                <c:pt idx="2">
                  <c:v>7831.088657979999</c:v>
                </c:pt>
              </c:numCache>
            </c:numRef>
          </c:val>
          <c:extLst>
            <c:ext xmlns:c15="http://schemas.microsoft.com/office/drawing/2012/chart" uri="{02D57815-91ED-43cb-92C2-25804820EDAC}">
              <c15:datalabelsRange>
                <c15:f>'TRANSFERENCIAS 2025'!$C$23:$C$25</c15:f>
                <c15:dlblRangeCache>
                  <c:ptCount val="3"/>
                  <c:pt idx="0">
                    <c:v>24%</c:v>
                  </c:pt>
                  <c:pt idx="1">
                    <c:v>28%</c:v>
                  </c:pt>
                  <c:pt idx="2">
                    <c:v>28%</c:v>
                  </c:pt>
                </c15:dlblRangeCache>
              </c15:datalabelsRange>
            </c:ext>
            <c:ext xmlns:c16="http://schemas.microsoft.com/office/drawing/2014/chart" uri="{C3380CC4-5D6E-409C-BE32-E72D297353CC}">
              <c16:uniqueId val="{00000003-9A18-4BE9-A54A-0D8AF45FF491}"/>
            </c:ext>
          </c:extLst>
        </c:ser>
        <c:ser>
          <c:idx val="1"/>
          <c:order val="1"/>
          <c:tx>
            <c:strRef>
              <c:f>'TRANSFERENCIAS 2025'!$D$17</c:f>
              <c:strCache>
                <c:ptCount val="1"/>
                <c:pt idx="0">
                  <c:v>Transferencias</c:v>
                </c:pt>
              </c:strCache>
            </c:strRef>
          </c:tx>
          <c:spPr>
            <a:solidFill>
              <a:schemeClr val="accent2"/>
            </a:solidFill>
            <a:ln>
              <a:noFill/>
            </a:ln>
            <a:effectLst/>
          </c:spPr>
          <c:invertIfNegative val="0"/>
          <c:dLbls>
            <c:dLbl>
              <c:idx val="0"/>
              <c:tx>
                <c:rich>
                  <a:bodyPr/>
                  <a:lstStyle/>
                  <a:p>
                    <a:fld id="{54991842-F4D3-4D48-B202-BF55106AB24E}" type="CELLRANGE">
                      <a:rPr lang="en-US"/>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E04-4420-AB57-7B14229D0458}"/>
                </c:ext>
              </c:extLst>
            </c:dLbl>
            <c:dLbl>
              <c:idx val="1"/>
              <c:tx>
                <c:rich>
                  <a:bodyPr/>
                  <a:lstStyle/>
                  <a:p>
                    <a:fld id="{AA3418EF-DE16-4688-AF13-391D887E27B2}"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A18-4BE9-A54A-0D8AF45FF491}"/>
                </c:ext>
              </c:extLst>
            </c:dLbl>
            <c:dLbl>
              <c:idx val="2"/>
              <c:tx>
                <c:rich>
                  <a:bodyPr/>
                  <a:lstStyle/>
                  <a:p>
                    <a:fld id="{ABDE60C8-0E66-4208-8A9F-1D9C769A5F53}"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A18-4BE9-A54A-0D8AF45FF49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'TRANSFERENCIAS 2025'!$B$19:$B$21</c:f>
              <c:strCache>
                <c:ptCount val="3"/>
                <c:pt idx="0">
                  <c:v>2023</c:v>
                </c:pt>
                <c:pt idx="1">
                  <c:v>2024</c:v>
                </c:pt>
                <c:pt idx="2">
                  <c:v>2025*</c:v>
                </c:pt>
              </c:strCache>
            </c:strRef>
          </c:cat>
          <c:val>
            <c:numRef>
              <c:f>'TRANSFERENCIAS 2025'!$D$19:$D$21</c:f>
              <c:numCache>
                <c:formatCode>_(* #,##0.00_);_(* \(#,##0.00\);_(* "-"??_);_(@_)</c:formatCode>
                <c:ptCount val="3"/>
                <c:pt idx="0">
                  <c:v>36810.884053330003</c:v>
                </c:pt>
                <c:pt idx="1">
                  <c:v>35291.769611830001</c:v>
                </c:pt>
                <c:pt idx="2">
                  <c:v>20126.676746410001</c:v>
                </c:pt>
              </c:numCache>
            </c:numRef>
          </c:val>
          <c:extLst>
            <c:ext xmlns:c15="http://schemas.microsoft.com/office/drawing/2012/chart" uri="{02D57815-91ED-43cb-92C2-25804820EDAC}">
              <c15:datalabelsRange>
                <c15:f>'TRANSFERENCIAS 2025'!$D$23:$D$25</c15:f>
                <c15:dlblRangeCache>
                  <c:ptCount val="3"/>
                  <c:pt idx="0">
                    <c:v>76%</c:v>
                  </c:pt>
                  <c:pt idx="1">
                    <c:v>72%</c:v>
                  </c:pt>
                  <c:pt idx="2">
                    <c:v>72%</c:v>
                  </c:pt>
                </c15:dlblRangeCache>
              </c15:datalabelsRange>
            </c:ext>
            <c:ext xmlns:c16="http://schemas.microsoft.com/office/drawing/2014/chart" uri="{C3380CC4-5D6E-409C-BE32-E72D297353CC}">
              <c16:uniqueId val="{00000007-9A18-4BE9-A54A-0D8AF45FF491}"/>
            </c:ext>
          </c:extLst>
        </c:ser>
        <c:dLbls>
          <c:dLblPos val="ctr"/>
          <c:showLegendKey val="0"/>
          <c:showVal val="1"/>
          <c:showCatName val="0"/>
          <c:showSerName val="0"/>
          <c:showPercent val="0"/>
          <c:showBubbleSize val="0"/>
        </c:dLbls>
        <c:gapWidth val="150"/>
        <c:overlap val="100"/>
        <c:axId val="439822336"/>
        <c:axId val="389584512"/>
      </c:barChart>
      <c:catAx>
        <c:axId val="43982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89584512"/>
        <c:crosses val="autoZero"/>
        <c:auto val="1"/>
        <c:lblAlgn val="ctr"/>
        <c:lblOffset val="100"/>
        <c:noMultiLvlLbl val="0"/>
      </c:catAx>
      <c:valAx>
        <c:axId val="38958451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398223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'RECAUDACIÓN 2025'!$C$26</c:f>
              <c:strCache>
                <c:ptCount val="1"/>
                <c:pt idx="0">
                  <c:v>Impuestos</c:v>
                </c:pt>
              </c:strCache>
            </c:strRef>
          </c:tx>
          <c:spPr>
            <a:solidFill>
              <a:schemeClr val="accent1"/>
            </a:solidFill>
            <a:ln>
              <a:noFill/>
            </a:ln>
            <a:effectLst/>
          </c:spPr>
          <c:invertIfNegative val="0"/>
          <c:dLbls>
            <c:dLbl>
              <c:idx val="0"/>
              <c:tx>
                <c:rich>
                  <a:bodyPr/>
                  <a:lstStyle/>
                  <a:p>
                    <a:fld id="{22F05B8E-E828-48B4-ACD6-6318BC6A1AB8}"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0F25-43F9-BF16-CC3DB3A22599}"/>
                </c:ext>
              </c:extLst>
            </c:dLbl>
            <c:dLbl>
              <c:idx val="1"/>
              <c:tx>
                <c:rich>
                  <a:bodyPr/>
                  <a:lstStyle/>
                  <a:p>
                    <a:fld id="{803AA9A2-8C71-4166-820B-665A2B323CA9}"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0F25-43F9-BF16-CC3DB3A22599}"/>
                </c:ext>
              </c:extLst>
            </c:dLbl>
            <c:dLbl>
              <c:idx val="2"/>
              <c:tx>
                <c:rich>
                  <a:bodyPr/>
                  <a:lstStyle/>
                  <a:p>
                    <a:fld id="{50DABF5A-B2F9-43E1-8570-3B5D3E5022D9}"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0F25-43F9-BF16-CC3DB3A2259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'RECAUDACIÓN 2025'!$B$28:$B$30</c:f>
              <c:strCache>
                <c:ptCount val="3"/>
                <c:pt idx="0">
                  <c:v>2023</c:v>
                </c:pt>
                <c:pt idx="1">
                  <c:v>2024</c:v>
                </c:pt>
                <c:pt idx="2">
                  <c:v>2025*</c:v>
                </c:pt>
              </c:strCache>
            </c:strRef>
          </c:cat>
          <c:val>
            <c:numRef>
              <c:f>'RECAUDACIÓN 2025'!$C$28:$C$30</c:f>
              <c:numCache>
                <c:formatCode>_-* #,##0_-;\-* #,##0_-;_-* "-"??_-;_-@_-</c:formatCode>
                <c:ptCount val="3"/>
                <c:pt idx="0">
                  <c:v>8340.4567802099991</c:v>
                </c:pt>
                <c:pt idx="1">
                  <c:v>10086.781440549999</c:v>
                </c:pt>
                <c:pt idx="2">
                  <c:v>5894.3125524099996</c:v>
                </c:pt>
              </c:numCache>
            </c:numRef>
          </c:val>
          <c:extLst>
            <c:ext xmlns:c15="http://schemas.microsoft.com/office/drawing/2012/chart" uri="{02D57815-91ED-43cb-92C2-25804820EDAC}">
              <c15:datalabelsRange>
                <c15:f>'RECAUDACIÓN 2025'!$C$32:$C$34</c15:f>
                <c15:dlblRangeCache>
                  <c:ptCount val="3"/>
                  <c:pt idx="0">
                    <c:v>73.1%</c:v>
                  </c:pt>
                  <c:pt idx="1">
                    <c:v>74.1%</c:v>
                  </c:pt>
                  <c:pt idx="2">
                    <c:v>75.3%</c:v>
                  </c:pt>
                </c15:dlblRangeCache>
              </c15:datalabelsRange>
            </c:ext>
            <c:ext xmlns:c16="http://schemas.microsoft.com/office/drawing/2014/chart" uri="{C3380CC4-5D6E-409C-BE32-E72D297353CC}">
              <c16:uniqueId val="{00000003-0F25-43F9-BF16-CC3DB3A22599}"/>
            </c:ext>
          </c:extLst>
        </c:ser>
        <c:ser>
          <c:idx val="1"/>
          <c:order val="1"/>
          <c:tx>
            <c:strRef>
              <c:f>'RECAUDACIÓN 2025'!$D$26</c:f>
              <c:strCache>
                <c:ptCount val="1"/>
                <c:pt idx="0">
                  <c:v>Derechos</c:v>
                </c:pt>
              </c:strCache>
            </c:strRef>
          </c:tx>
          <c:spPr>
            <a:solidFill>
              <a:schemeClr val="accent2"/>
            </a:solidFill>
            <a:ln>
              <a:noFill/>
            </a:ln>
            <a:effectLst/>
          </c:spPr>
          <c:invertIfNegative val="0"/>
          <c:dLbls>
            <c:dLbl>
              <c:idx val="0"/>
              <c:tx>
                <c:rich>
                  <a:bodyPr/>
                  <a:lstStyle/>
                  <a:p>
                    <a:fld id="{8934B856-F72C-47BB-86E4-AE6B3C56249A}"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F25-43F9-BF16-CC3DB3A22599}"/>
                </c:ext>
              </c:extLst>
            </c:dLbl>
            <c:dLbl>
              <c:idx val="1"/>
              <c:tx>
                <c:rich>
                  <a:bodyPr/>
                  <a:lstStyle/>
                  <a:p>
                    <a:fld id="{325279D8-2FBA-4359-9576-9799C159F68E}"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0F25-43F9-BF16-CC3DB3A22599}"/>
                </c:ext>
              </c:extLst>
            </c:dLbl>
            <c:dLbl>
              <c:idx val="2"/>
              <c:tx>
                <c:rich>
                  <a:bodyPr/>
                  <a:lstStyle/>
                  <a:p>
                    <a:fld id="{9C7E72BE-F0E9-4BE6-AF47-C4E0BC72D593}"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0F25-43F9-BF16-CC3DB3A2259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'RECAUDACIÓN 2025'!$B$28:$B$30</c:f>
              <c:strCache>
                <c:ptCount val="3"/>
                <c:pt idx="0">
                  <c:v>2023</c:v>
                </c:pt>
                <c:pt idx="1">
                  <c:v>2024</c:v>
                </c:pt>
                <c:pt idx="2">
                  <c:v>2025*</c:v>
                </c:pt>
              </c:strCache>
            </c:strRef>
          </c:cat>
          <c:val>
            <c:numRef>
              <c:f>'RECAUDACIÓN 2025'!$D$28:$D$30</c:f>
              <c:numCache>
                <c:formatCode>_-* #,##0_-;\-* #,##0_-;_-* "-"??_-;_-@_-</c:formatCode>
                <c:ptCount val="3"/>
                <c:pt idx="0">
                  <c:v>2427.7943529999998</c:v>
                </c:pt>
                <c:pt idx="1">
                  <c:v>2321.9696700300001</c:v>
                </c:pt>
                <c:pt idx="2">
                  <c:v>1610.0807083099999</c:v>
                </c:pt>
              </c:numCache>
            </c:numRef>
          </c:val>
          <c:extLst>
            <c:ext xmlns:c15="http://schemas.microsoft.com/office/drawing/2012/chart" uri="{02D57815-91ED-43cb-92C2-25804820EDAC}">
              <c15:datalabelsRange>
                <c15:f>'RECAUDACIÓN 2025'!$D$32:$D$34</c15:f>
                <c15:dlblRangeCache>
                  <c:ptCount val="3"/>
                  <c:pt idx="0">
                    <c:v>21.3%</c:v>
                  </c:pt>
                  <c:pt idx="1">
                    <c:v>17.1%</c:v>
                  </c:pt>
                  <c:pt idx="2">
                    <c:v>20.6%</c:v>
                  </c:pt>
                </c15:dlblRangeCache>
              </c15:datalabelsRange>
            </c:ext>
            <c:ext xmlns:c16="http://schemas.microsoft.com/office/drawing/2014/chart" uri="{C3380CC4-5D6E-409C-BE32-E72D297353CC}">
              <c16:uniqueId val="{00000007-0F25-43F9-BF16-CC3DB3A22599}"/>
            </c:ext>
          </c:extLst>
        </c:ser>
        <c:ser>
          <c:idx val="2"/>
          <c:order val="2"/>
          <c:tx>
            <c:strRef>
              <c:f>'RECAUDACIÓN 2025'!$E$26</c:f>
              <c:strCache>
                <c:ptCount val="1"/>
                <c:pt idx="0">
                  <c:v>Productos</c:v>
                </c:pt>
              </c:strCache>
            </c:strRef>
          </c:tx>
          <c:spPr>
            <a:solidFill>
              <a:schemeClr val="accent3"/>
            </a:solidFill>
            <a:ln>
              <a:noFill/>
            </a:ln>
            <a:effectLst/>
          </c:spPr>
          <c:invertIfNegative val="0"/>
          <c:dLbls>
            <c:dLbl>
              <c:idx val="0"/>
              <c:layout>
                <c:manualLayout>
                  <c:x val="2.7777777777777779E-3"/>
                  <c:y val="9.2592592592592587E-3"/>
                </c:manualLayout>
              </c:layout>
              <c:tx>
                <c:rich>
                  <a:bodyPr/>
                  <a:lstStyle/>
                  <a:p>
                    <a:fld id="{13782135-51CD-429B-92D2-A11965885DDC}"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0F25-43F9-BF16-CC3DB3A22599}"/>
                </c:ext>
              </c:extLst>
            </c:dLbl>
            <c:dLbl>
              <c:idx val="1"/>
              <c:tx>
                <c:rich>
                  <a:bodyPr/>
                  <a:lstStyle/>
                  <a:p>
                    <a:fld id="{10FB180D-3E27-4FD2-BFBC-39C2AB97CE95}"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0F25-43F9-BF16-CC3DB3A22599}"/>
                </c:ext>
              </c:extLst>
            </c:dLbl>
            <c:dLbl>
              <c:idx val="2"/>
              <c:tx>
                <c:rich>
                  <a:bodyPr/>
                  <a:lstStyle/>
                  <a:p>
                    <a:fld id="{6EDD8FC5-2726-4224-937D-FE3DFE9997D8}"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0F25-43F9-BF16-CC3DB3A2259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'RECAUDACIÓN 2025'!$B$28:$B$30</c:f>
              <c:strCache>
                <c:ptCount val="3"/>
                <c:pt idx="0">
                  <c:v>2023</c:v>
                </c:pt>
                <c:pt idx="1">
                  <c:v>2024</c:v>
                </c:pt>
                <c:pt idx="2">
                  <c:v>2025*</c:v>
                </c:pt>
              </c:strCache>
            </c:strRef>
          </c:cat>
          <c:val>
            <c:numRef>
              <c:f>'RECAUDACIÓN 2025'!$E$28:$E$30</c:f>
              <c:numCache>
                <c:formatCode>_-* #,##0_-;\-* #,##0_-;_-* "-"??_-;_-@_-</c:formatCode>
                <c:ptCount val="3"/>
                <c:pt idx="0">
                  <c:v>356.66408992999999</c:v>
                </c:pt>
                <c:pt idx="1">
                  <c:v>550.42462487</c:v>
                </c:pt>
                <c:pt idx="2">
                  <c:v>190.99299661000001</c:v>
                </c:pt>
              </c:numCache>
            </c:numRef>
          </c:val>
          <c:extLst>
            <c:ext xmlns:c15="http://schemas.microsoft.com/office/drawing/2012/chart" uri="{02D57815-91ED-43cb-92C2-25804820EDAC}">
              <c15:datalabelsRange>
                <c15:f>'RECAUDACIÓN 2025'!$E$32:$E$34</c15:f>
                <c15:dlblRangeCache>
                  <c:ptCount val="3"/>
                  <c:pt idx="0">
                    <c:v>3.1%</c:v>
                  </c:pt>
                  <c:pt idx="1">
                    <c:v>4.0%</c:v>
                  </c:pt>
                  <c:pt idx="2">
                    <c:v>2.4%</c:v>
                  </c:pt>
                </c15:dlblRangeCache>
              </c15:datalabelsRange>
            </c:ext>
            <c:ext xmlns:c16="http://schemas.microsoft.com/office/drawing/2014/chart" uri="{C3380CC4-5D6E-409C-BE32-E72D297353CC}">
              <c16:uniqueId val="{0000000B-0F25-43F9-BF16-CC3DB3A22599}"/>
            </c:ext>
          </c:extLst>
        </c:ser>
        <c:ser>
          <c:idx val="3"/>
          <c:order val="3"/>
          <c:tx>
            <c:strRef>
              <c:f>'RECAUDACIÓN 2025'!$F$26</c:f>
              <c:strCache>
                <c:ptCount val="1"/>
                <c:pt idx="0">
                  <c:v>Aprovechamientos</c:v>
                </c:pt>
              </c:strCache>
            </c:strRef>
          </c:tx>
          <c:spPr>
            <a:solidFill>
              <a:schemeClr val="accent4"/>
            </a:solidFill>
            <a:ln>
              <a:noFill/>
            </a:ln>
            <a:effectLst/>
          </c:spPr>
          <c:invertIfNegative val="0"/>
          <c:dLbls>
            <c:dLbl>
              <c:idx val="0"/>
              <c:layout>
                <c:manualLayout>
                  <c:x val="2.7777777777777779E-3"/>
                  <c:y val="-2.3148148148148147E-2"/>
                </c:manualLayout>
              </c:layout>
              <c:tx>
                <c:rich>
                  <a:bodyPr/>
                  <a:lstStyle/>
                  <a:p>
                    <a:fld id="{C9F4D41E-B778-406D-BE58-44103E9FECAE}"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0F25-43F9-BF16-CC3DB3A22599}"/>
                </c:ext>
              </c:extLst>
            </c:dLbl>
            <c:dLbl>
              <c:idx val="1"/>
              <c:layout>
                <c:manualLayout>
                  <c:x val="-1.0185067526415994E-16"/>
                  <c:y val="-2.7777777777777776E-2"/>
                </c:manualLayout>
              </c:layout>
              <c:tx>
                <c:rich>
                  <a:bodyPr/>
                  <a:lstStyle/>
                  <a:p>
                    <a:fld id="{FCC85987-F23A-4B09-8AC3-AD9347C24EA4}"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0F25-43F9-BF16-CC3DB3A22599}"/>
                </c:ext>
              </c:extLst>
            </c:dLbl>
            <c:dLbl>
              <c:idx val="2"/>
              <c:layout>
                <c:manualLayout>
                  <c:x val="6.7324955116696587E-3"/>
                  <c:y val="-1.1760094080752646E-2"/>
                </c:manualLayout>
              </c:layout>
              <c:tx>
                <c:rich>
                  <a:bodyPr/>
                  <a:lstStyle/>
                  <a:p>
                    <a:fld id="{CFED6382-DC2E-4EE6-89BD-B0CDF9179D9E}"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0F25-43F9-BF16-CC3DB3A2259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'RECAUDACIÓN 2025'!$B$28:$B$30</c:f>
              <c:strCache>
                <c:ptCount val="3"/>
                <c:pt idx="0">
                  <c:v>2023</c:v>
                </c:pt>
                <c:pt idx="1">
                  <c:v>2024</c:v>
                </c:pt>
                <c:pt idx="2">
                  <c:v>2025*</c:v>
                </c:pt>
              </c:strCache>
            </c:strRef>
          </c:cat>
          <c:val>
            <c:numRef>
              <c:f>'RECAUDACIÓN 2025'!$F$28:$F$30</c:f>
              <c:numCache>
                <c:formatCode>_-* #,##0_-;\-* #,##0_-;_-* "-"??_-;_-@_-</c:formatCode>
                <c:ptCount val="3"/>
                <c:pt idx="0">
                  <c:v>278.61621635999995</c:v>
                </c:pt>
                <c:pt idx="1">
                  <c:v>649.31589732000009</c:v>
                </c:pt>
                <c:pt idx="2">
                  <c:v>135.70240064999999</c:v>
                </c:pt>
              </c:numCache>
            </c:numRef>
          </c:val>
          <c:extLst>
            <c:ext xmlns:c15="http://schemas.microsoft.com/office/drawing/2012/chart" uri="{02D57815-91ED-43cb-92C2-25804820EDAC}">
              <c15:datalabelsRange>
                <c15:f>'RECAUDACIÓN 2025'!$F$32:$F$34</c15:f>
                <c15:dlblRangeCache>
                  <c:ptCount val="3"/>
                  <c:pt idx="0">
                    <c:v>2.4%</c:v>
                  </c:pt>
                  <c:pt idx="1">
                    <c:v>4.8%</c:v>
                  </c:pt>
                  <c:pt idx="2">
                    <c:v>1.7%</c:v>
                  </c:pt>
                </c15:dlblRangeCache>
              </c15:datalabelsRange>
            </c:ext>
            <c:ext xmlns:c16="http://schemas.microsoft.com/office/drawing/2014/chart" uri="{C3380CC4-5D6E-409C-BE32-E72D297353CC}">
              <c16:uniqueId val="{0000000F-0F25-43F9-BF16-CC3DB3A22599}"/>
            </c:ext>
          </c:extLst>
        </c:ser>
        <c:dLbls>
          <c:showLegendKey val="0"/>
          <c:showVal val="1"/>
          <c:showCatName val="0"/>
          <c:showSerName val="0"/>
          <c:showPercent val="0"/>
          <c:showBubbleSize val="0"/>
        </c:dLbls>
        <c:gapWidth val="150"/>
        <c:overlap val="100"/>
        <c:axId val="440175616"/>
        <c:axId val="389586240"/>
      </c:barChart>
      <c:catAx>
        <c:axId val="44017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89586240"/>
        <c:crosses val="autoZero"/>
        <c:auto val="1"/>
        <c:lblAlgn val="ctr"/>
        <c:lblOffset val="100"/>
        <c:noMultiLvlLbl val="0"/>
      </c:catAx>
      <c:valAx>
        <c:axId val="389586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401756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'Crec. mundial'!$A$20</c:f>
              <c:strCache>
                <c:ptCount val="1"/>
                <c:pt idx="0">
                  <c:v>Mundial</c:v>
                </c:pt>
              </c:strCache>
            </c:strRef>
          </c:tx>
          <c:spPr>
            <a:ln w="28575" cap="rnd">
              <a:solidFill>
                <a:schemeClr val="accent1"/>
              </a:solidFill>
              <a:round/>
            </a:ln>
            <a:effectLst/>
          </c:spPr>
          <c:marker>
            <c:symbol val="none"/>
          </c:marker>
          <c:cat>
            <c:strRef>
              <c:f>'Crec. mundial'!$B$19:$E$19</c:f>
              <c:strCache>
                <c:ptCount val="4"/>
                <c:pt idx="0">
                  <c:v>2023</c:v>
                </c:pt>
                <c:pt idx="1">
                  <c:v>2024</c:v>
                </c:pt>
                <c:pt idx="2">
                  <c:v>2025f</c:v>
                </c:pt>
                <c:pt idx="3">
                  <c:v>2026f</c:v>
                </c:pt>
              </c:strCache>
            </c:strRef>
          </c:cat>
          <c:val>
            <c:numRef>
              <c:f>'Crec. mundial'!$B$20:$E$20</c:f>
              <c:numCache>
                <c:formatCode>General</c:formatCode>
                <c:ptCount val="4"/>
                <c:pt idx="0">
                  <c:v>6.6</c:v>
                </c:pt>
                <c:pt idx="1">
                  <c:v>5.6</c:v>
                </c:pt>
                <c:pt idx="2">
                  <c:v>4.2</c:v>
                </c:pt>
                <c:pt idx="3">
                  <c:v>3.6</c:v>
                </c:pt>
              </c:numCache>
            </c:numRef>
          </c:val>
          <c:smooth val="0"/>
          <c:extLst>
            <c:ext xmlns:c16="http://schemas.microsoft.com/office/drawing/2014/chart" uri="{C3380CC4-5D6E-409C-BE32-E72D297353CC}">
              <c16:uniqueId val="{00000000-B9C9-482C-85CE-20895AFC584D}"/>
            </c:ext>
          </c:extLst>
        </c:ser>
        <c:ser>
          <c:idx val="1"/>
          <c:order val="1"/>
          <c:tx>
            <c:strRef>
              <c:f>'Crec. mundial'!$A$21</c:f>
              <c:strCache>
                <c:ptCount val="1"/>
                <c:pt idx="0">
                  <c:v>Economías avanzadas</c:v>
                </c:pt>
              </c:strCache>
            </c:strRef>
          </c:tx>
          <c:spPr>
            <a:ln w="28575" cap="rnd">
              <a:solidFill>
                <a:schemeClr val="accent2"/>
              </a:solidFill>
              <a:round/>
            </a:ln>
            <a:effectLst/>
          </c:spPr>
          <c:marker>
            <c:symbol val="none"/>
          </c:marker>
          <c:cat>
            <c:strRef>
              <c:f>'Crec. mundial'!$B$19:$E$19</c:f>
              <c:strCache>
                <c:ptCount val="4"/>
                <c:pt idx="0">
                  <c:v>2023</c:v>
                </c:pt>
                <c:pt idx="1">
                  <c:v>2024</c:v>
                </c:pt>
                <c:pt idx="2">
                  <c:v>2025f</c:v>
                </c:pt>
                <c:pt idx="3">
                  <c:v>2026f</c:v>
                </c:pt>
              </c:strCache>
            </c:strRef>
          </c:cat>
          <c:val>
            <c:numRef>
              <c:f>'Crec. mundial'!$B$21:$E$21</c:f>
              <c:numCache>
                <c:formatCode>General</c:formatCode>
                <c:ptCount val="4"/>
                <c:pt idx="0">
                  <c:v>4.5999999999999996</c:v>
                </c:pt>
                <c:pt idx="1">
                  <c:v>2.6</c:v>
                </c:pt>
                <c:pt idx="2">
                  <c:v>2.5</c:v>
                </c:pt>
                <c:pt idx="3">
                  <c:v>2.1</c:v>
                </c:pt>
              </c:numCache>
            </c:numRef>
          </c:val>
          <c:smooth val="0"/>
          <c:extLst>
            <c:ext xmlns:c16="http://schemas.microsoft.com/office/drawing/2014/chart" uri="{C3380CC4-5D6E-409C-BE32-E72D297353CC}">
              <c16:uniqueId val="{00000001-B9C9-482C-85CE-20895AFC584D}"/>
            </c:ext>
          </c:extLst>
        </c:ser>
        <c:ser>
          <c:idx val="2"/>
          <c:order val="2"/>
          <c:tx>
            <c:strRef>
              <c:f>'Crec. mundial'!$A$22</c:f>
              <c:strCache>
                <c:ptCount val="1"/>
                <c:pt idx="0">
                  <c:v>EMDEs</c:v>
                </c:pt>
              </c:strCache>
            </c:strRef>
          </c:tx>
          <c:spPr>
            <a:ln w="28575" cap="rnd">
              <a:solidFill>
                <a:schemeClr val="accent3"/>
              </a:solidFill>
              <a:round/>
            </a:ln>
            <a:effectLst/>
          </c:spPr>
          <c:marker>
            <c:symbol val="none"/>
          </c:marker>
          <c:cat>
            <c:strRef>
              <c:f>'Crec. mundial'!$B$19:$E$19</c:f>
              <c:strCache>
                <c:ptCount val="4"/>
                <c:pt idx="0">
                  <c:v>2023</c:v>
                </c:pt>
                <c:pt idx="1">
                  <c:v>2024</c:v>
                </c:pt>
                <c:pt idx="2">
                  <c:v>2025f</c:v>
                </c:pt>
                <c:pt idx="3">
                  <c:v>2026f</c:v>
                </c:pt>
              </c:strCache>
            </c:strRef>
          </c:cat>
          <c:val>
            <c:numRef>
              <c:f>'Crec. mundial'!$B$22:$E$22</c:f>
              <c:numCache>
                <c:formatCode>General</c:formatCode>
                <c:ptCount val="4"/>
                <c:pt idx="0">
                  <c:v>8</c:v>
                </c:pt>
                <c:pt idx="1">
                  <c:v>7.7</c:v>
                </c:pt>
                <c:pt idx="2">
                  <c:v>5.4</c:v>
                </c:pt>
                <c:pt idx="3">
                  <c:v>4.5</c:v>
                </c:pt>
              </c:numCache>
            </c:numRef>
          </c:val>
          <c:smooth val="0"/>
          <c:extLst>
            <c:ext xmlns:c16="http://schemas.microsoft.com/office/drawing/2014/chart" uri="{C3380CC4-5D6E-409C-BE32-E72D297353CC}">
              <c16:uniqueId val="{00000002-B9C9-482C-85CE-20895AFC584D}"/>
            </c:ext>
          </c:extLst>
        </c:ser>
        <c:dLbls>
          <c:showLegendKey val="0"/>
          <c:showVal val="0"/>
          <c:showCatName val="0"/>
          <c:showSerName val="0"/>
          <c:showPercent val="0"/>
          <c:showBubbleSize val="0"/>
        </c:dLbls>
        <c:smooth val="0"/>
        <c:axId val="390638592"/>
        <c:axId val="371195200"/>
      </c:lineChart>
      <c:catAx>
        <c:axId val="39063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71195200"/>
        <c:crosses val="autoZero"/>
        <c:auto val="1"/>
        <c:lblAlgn val="ctr"/>
        <c:lblOffset val="100"/>
        <c:noMultiLvlLbl val="0"/>
      </c:catAx>
      <c:valAx>
        <c:axId val="37119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906385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'TRANSFERENCIAS 2025'!$E$3</c:f>
              <c:strCache>
                <c:ptCount val="1"/>
                <c:pt idx="0">
                  <c:v>Participaciones</c:v>
                </c:pt>
              </c:strCache>
            </c:strRef>
          </c:tx>
          <c:spPr>
            <a:solidFill>
              <a:schemeClr val="accent1"/>
            </a:solidFill>
            <a:ln>
              <a:noFill/>
            </a:ln>
            <a:effectLst/>
          </c:spPr>
          <c:invertIfNegative val="0"/>
          <c:dLbls>
            <c:dLbl>
              <c:idx val="0"/>
              <c:tx>
                <c:rich>
                  <a:bodyPr/>
                  <a:lstStyle/>
                  <a:p>
                    <a:fld id="{00870AA2-E3A3-405F-AB49-48A5C50B9422}"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03EE-46CC-B9D8-306982C83B13}"/>
                </c:ext>
              </c:extLst>
            </c:dLbl>
            <c:dLbl>
              <c:idx val="1"/>
              <c:tx>
                <c:rich>
                  <a:bodyPr/>
                  <a:lstStyle/>
                  <a:p>
                    <a:fld id="{00570593-26C9-4B3F-9A65-5FE7EB88AD15}"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03EE-46CC-B9D8-306982C83B13}"/>
                </c:ext>
              </c:extLst>
            </c:dLbl>
            <c:dLbl>
              <c:idx val="2"/>
              <c:tx>
                <c:rich>
                  <a:bodyPr/>
                  <a:lstStyle/>
                  <a:p>
                    <a:fld id="{F07BD7F9-A41F-40D7-A0EC-5F68D50F14DD}"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03EE-46CC-B9D8-306982C83B13}"/>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'TRANSFERENCIAS 2025'!$B$9:$B$11</c:f>
              <c:strCache>
                <c:ptCount val="3"/>
                <c:pt idx="0">
                  <c:v>2023</c:v>
                </c:pt>
                <c:pt idx="1">
                  <c:v>2024</c:v>
                </c:pt>
                <c:pt idx="2">
                  <c:v>2025*</c:v>
                </c:pt>
              </c:strCache>
            </c:strRef>
          </c:cat>
          <c:val>
            <c:numRef>
              <c:f>'TRANSFERENCIAS 2025'!$E$9:$E$11</c:f>
              <c:numCache>
                <c:formatCode>_-* #,##0.0_-;\-* #,##0.0_-;_-* "-"??_-;_-@_-</c:formatCode>
                <c:ptCount val="3"/>
                <c:pt idx="0">
                  <c:v>17478.430568</c:v>
                </c:pt>
                <c:pt idx="1">
                  <c:v>16988.764739999999</c:v>
                </c:pt>
                <c:pt idx="2">
                  <c:v>11297.723397</c:v>
                </c:pt>
              </c:numCache>
            </c:numRef>
          </c:val>
          <c:extLst>
            <c:ext xmlns:c15="http://schemas.microsoft.com/office/drawing/2012/chart" uri="{02D57815-91ED-43cb-92C2-25804820EDAC}">
              <c15:datalabelsRange>
                <c15:f>'TRANSFERENCIAS 2025'!$E$13:$E$15</c15:f>
                <c15:dlblRangeCache>
                  <c:ptCount val="3"/>
                  <c:pt idx="0">
                    <c:v>47.5%</c:v>
                  </c:pt>
                  <c:pt idx="1">
                    <c:v>48.1%</c:v>
                  </c:pt>
                  <c:pt idx="2">
                    <c:v>56.1%</c:v>
                  </c:pt>
                </c15:dlblRangeCache>
              </c15:datalabelsRange>
            </c:ext>
            <c:ext xmlns:c16="http://schemas.microsoft.com/office/drawing/2014/chart" uri="{C3380CC4-5D6E-409C-BE32-E72D297353CC}">
              <c16:uniqueId val="{00000003-03EE-46CC-B9D8-306982C83B13}"/>
            </c:ext>
          </c:extLst>
        </c:ser>
        <c:ser>
          <c:idx val="1"/>
          <c:order val="1"/>
          <c:tx>
            <c:strRef>
              <c:f>'TRANSFERENCIAS 2025'!$F$3</c:f>
              <c:strCache>
                <c:ptCount val="1"/>
                <c:pt idx="0">
                  <c:v>Aportaciones</c:v>
                </c:pt>
              </c:strCache>
            </c:strRef>
          </c:tx>
          <c:spPr>
            <a:solidFill>
              <a:schemeClr val="accent2"/>
            </a:solidFill>
            <a:ln>
              <a:noFill/>
            </a:ln>
            <a:effectLst/>
          </c:spPr>
          <c:invertIfNegative val="0"/>
          <c:dLbls>
            <c:dLbl>
              <c:idx val="0"/>
              <c:tx>
                <c:rich>
                  <a:bodyPr/>
                  <a:lstStyle/>
                  <a:p>
                    <a:fld id="{A56794F1-8BE1-41FB-A7C8-7315E22A5D42}"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3EE-46CC-B9D8-306982C83B13}"/>
                </c:ext>
              </c:extLst>
            </c:dLbl>
            <c:dLbl>
              <c:idx val="1"/>
              <c:tx>
                <c:rich>
                  <a:bodyPr/>
                  <a:lstStyle/>
                  <a:p>
                    <a:fld id="{648F20DB-29E8-42B0-9A6C-2C1E410CD211}"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03EE-46CC-B9D8-306982C83B13}"/>
                </c:ext>
              </c:extLst>
            </c:dLbl>
            <c:dLbl>
              <c:idx val="2"/>
              <c:tx>
                <c:rich>
                  <a:bodyPr/>
                  <a:lstStyle/>
                  <a:p>
                    <a:fld id="{25A1050A-D389-474F-BE9A-F15BF69A2D1E}"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03EE-46CC-B9D8-306982C83B13}"/>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'TRANSFERENCIAS 2025'!$B$9:$B$11</c:f>
              <c:strCache>
                <c:ptCount val="3"/>
                <c:pt idx="0">
                  <c:v>2023</c:v>
                </c:pt>
                <c:pt idx="1">
                  <c:v>2024</c:v>
                </c:pt>
                <c:pt idx="2">
                  <c:v>2025*</c:v>
                </c:pt>
              </c:strCache>
            </c:strRef>
          </c:cat>
          <c:val>
            <c:numRef>
              <c:f>'TRANSFERENCIAS 2025'!$F$9:$F$11</c:f>
              <c:numCache>
                <c:formatCode>_-* #,##0.0_-;\-* #,##0.0_-;_-* "-"??_-;_-@_-</c:formatCode>
                <c:ptCount val="3"/>
                <c:pt idx="0">
                  <c:v>14505.281135169998</c:v>
                </c:pt>
                <c:pt idx="1">
                  <c:v>13478.94130534</c:v>
                </c:pt>
                <c:pt idx="2">
                  <c:v>6650.1824987700002</c:v>
                </c:pt>
              </c:numCache>
            </c:numRef>
          </c:val>
          <c:extLst>
            <c:ext xmlns:c15="http://schemas.microsoft.com/office/drawing/2012/chart" uri="{02D57815-91ED-43cb-92C2-25804820EDAC}">
              <c15:datalabelsRange>
                <c15:f>'TRANSFERENCIAS 2025'!$F$13:$F$15</c15:f>
                <c15:dlblRangeCache>
                  <c:ptCount val="3"/>
                  <c:pt idx="0">
                    <c:v>39.4%</c:v>
                  </c:pt>
                  <c:pt idx="1">
                    <c:v>38.2%</c:v>
                  </c:pt>
                  <c:pt idx="2">
                    <c:v>33.0%</c:v>
                  </c:pt>
                </c15:dlblRangeCache>
              </c15:datalabelsRange>
            </c:ext>
            <c:ext xmlns:c16="http://schemas.microsoft.com/office/drawing/2014/chart" uri="{C3380CC4-5D6E-409C-BE32-E72D297353CC}">
              <c16:uniqueId val="{00000007-03EE-46CC-B9D8-306982C83B13}"/>
            </c:ext>
          </c:extLst>
        </c:ser>
        <c:ser>
          <c:idx val="2"/>
          <c:order val="2"/>
          <c:tx>
            <c:strRef>
              <c:f>'TRANSFERENCIAS 2025'!$G$3</c:f>
              <c:strCache>
                <c:ptCount val="1"/>
                <c:pt idx="0">
                  <c:v>Convenios</c:v>
                </c:pt>
              </c:strCache>
            </c:strRef>
          </c:tx>
          <c:spPr>
            <a:solidFill>
              <a:schemeClr val="accent3"/>
            </a:solidFill>
            <a:ln>
              <a:noFill/>
            </a:ln>
            <a:effectLst/>
          </c:spPr>
          <c:invertIfNegative val="0"/>
          <c:dLbls>
            <c:dLbl>
              <c:idx val="0"/>
              <c:tx>
                <c:rich>
                  <a:bodyPr/>
                  <a:lstStyle/>
                  <a:p>
                    <a:fld id="{10896893-9A60-4BE0-9491-0964E78F391B}"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03EE-46CC-B9D8-306982C83B13}"/>
                </c:ext>
              </c:extLst>
            </c:dLbl>
            <c:dLbl>
              <c:idx val="1"/>
              <c:tx>
                <c:rich>
                  <a:bodyPr/>
                  <a:lstStyle/>
                  <a:p>
                    <a:fld id="{85DAFAFF-4403-4DB2-BB84-ECB3AB058824}"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03EE-46CC-B9D8-306982C83B13}"/>
                </c:ext>
              </c:extLst>
            </c:dLbl>
            <c:dLbl>
              <c:idx val="2"/>
              <c:tx>
                <c:rich>
                  <a:bodyPr/>
                  <a:lstStyle/>
                  <a:p>
                    <a:fld id="{34932C80-B676-4E3E-A8C9-3C8F9CC1FD6A}"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03EE-46CC-B9D8-306982C83B13}"/>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'TRANSFERENCIAS 2025'!$B$9:$B$11</c:f>
              <c:strCache>
                <c:ptCount val="3"/>
                <c:pt idx="0">
                  <c:v>2023</c:v>
                </c:pt>
                <c:pt idx="1">
                  <c:v>2024</c:v>
                </c:pt>
                <c:pt idx="2">
                  <c:v>2025*</c:v>
                </c:pt>
              </c:strCache>
            </c:strRef>
          </c:cat>
          <c:val>
            <c:numRef>
              <c:f>'TRANSFERENCIAS 2025'!$G$9:$G$11</c:f>
              <c:numCache>
                <c:formatCode>_-* #,##0.0_-;\-* #,##0.0_-;_-* "-"??_-;_-@_-</c:formatCode>
                <c:ptCount val="3"/>
                <c:pt idx="0">
                  <c:v>2752.5165311600003</c:v>
                </c:pt>
                <c:pt idx="1">
                  <c:v>2946.0321064900004</c:v>
                </c:pt>
                <c:pt idx="2">
                  <c:v>1073.32935864</c:v>
                </c:pt>
              </c:numCache>
            </c:numRef>
          </c:val>
          <c:extLst>
            <c:ext xmlns:c15="http://schemas.microsoft.com/office/drawing/2012/chart" uri="{02D57815-91ED-43cb-92C2-25804820EDAC}">
              <c15:datalabelsRange>
                <c15:f>'TRANSFERENCIAS 2025'!$G$13:$G$15</c15:f>
                <c15:dlblRangeCache>
                  <c:ptCount val="3"/>
                  <c:pt idx="0">
                    <c:v>7.5%</c:v>
                  </c:pt>
                  <c:pt idx="1">
                    <c:v>8.3%</c:v>
                  </c:pt>
                  <c:pt idx="2">
                    <c:v>5.3%</c:v>
                  </c:pt>
                </c15:dlblRangeCache>
              </c15:datalabelsRange>
            </c:ext>
            <c:ext xmlns:c16="http://schemas.microsoft.com/office/drawing/2014/chart" uri="{C3380CC4-5D6E-409C-BE32-E72D297353CC}">
              <c16:uniqueId val="{0000000B-03EE-46CC-B9D8-306982C83B13}"/>
            </c:ext>
          </c:extLst>
        </c:ser>
        <c:ser>
          <c:idx val="3"/>
          <c:order val="3"/>
          <c:tx>
            <c:strRef>
              <c:f>'TRANSFERENCIAS 2025'!$H$3</c:f>
              <c:strCache>
                <c:ptCount val="1"/>
                <c:pt idx="0">
                  <c:v>Incentivos derivados de la colaboración fiscal</c:v>
                </c:pt>
              </c:strCache>
            </c:strRef>
          </c:tx>
          <c:spPr>
            <a:solidFill>
              <a:schemeClr val="accent4"/>
            </a:solidFill>
            <a:ln>
              <a:noFill/>
            </a:ln>
            <a:effectLst/>
          </c:spPr>
          <c:invertIfNegative val="0"/>
          <c:dLbls>
            <c:dLbl>
              <c:idx val="0"/>
              <c:tx>
                <c:rich>
                  <a:bodyPr/>
                  <a:lstStyle/>
                  <a:p>
                    <a:fld id="{9A835083-A7D2-4B6C-BE8D-EF90D422A68F}"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03EE-46CC-B9D8-306982C83B13}"/>
                </c:ext>
              </c:extLst>
            </c:dLbl>
            <c:dLbl>
              <c:idx val="1"/>
              <c:tx>
                <c:rich>
                  <a:bodyPr/>
                  <a:lstStyle/>
                  <a:p>
                    <a:fld id="{CC901EA6-5AC2-4567-8D08-D778B8FEE397}"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03EE-46CC-B9D8-306982C83B13}"/>
                </c:ext>
              </c:extLst>
            </c:dLbl>
            <c:dLbl>
              <c:idx val="2"/>
              <c:tx>
                <c:rich>
                  <a:bodyPr/>
                  <a:lstStyle/>
                  <a:p>
                    <a:fld id="{CE874972-3F07-48F5-A9E5-E81F6793D388}" type="CELLRANGE">
                      <a:rPr lang="es-MX"/>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03EE-46CC-B9D8-306982C83B13}"/>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'TRANSFERENCIAS 2025'!$B$9:$B$11</c:f>
              <c:strCache>
                <c:ptCount val="3"/>
                <c:pt idx="0">
                  <c:v>2023</c:v>
                </c:pt>
                <c:pt idx="1">
                  <c:v>2024</c:v>
                </c:pt>
                <c:pt idx="2">
                  <c:v>2025*</c:v>
                </c:pt>
              </c:strCache>
            </c:strRef>
          </c:cat>
          <c:val>
            <c:numRef>
              <c:f>'TRANSFERENCIAS 2025'!$H$9:$H$11</c:f>
              <c:numCache>
                <c:formatCode>_-* #,##0.0_-;\-* #,##0.0_-;_-* "-"??_-;_-@_-</c:formatCode>
                <c:ptCount val="3"/>
                <c:pt idx="0">
                  <c:v>2074.6558190000001</c:v>
                </c:pt>
                <c:pt idx="1">
                  <c:v>1878.0314599999999</c:v>
                </c:pt>
                <c:pt idx="2">
                  <c:v>1105.4414919999999</c:v>
                </c:pt>
              </c:numCache>
            </c:numRef>
          </c:val>
          <c:extLst>
            <c:ext xmlns:c15="http://schemas.microsoft.com/office/drawing/2012/chart" uri="{02D57815-91ED-43cb-92C2-25804820EDAC}">
              <c15:datalabelsRange>
                <c15:f>'TRANSFERENCIAS 2025'!$H$13:$H$15</c15:f>
                <c15:dlblRangeCache>
                  <c:ptCount val="3"/>
                  <c:pt idx="0">
                    <c:v>5.6%</c:v>
                  </c:pt>
                  <c:pt idx="1">
                    <c:v>5.3%</c:v>
                  </c:pt>
                  <c:pt idx="2">
                    <c:v>5.5%</c:v>
                  </c:pt>
                </c15:dlblRangeCache>
              </c15:datalabelsRange>
            </c:ext>
            <c:ext xmlns:c16="http://schemas.microsoft.com/office/drawing/2014/chart" uri="{C3380CC4-5D6E-409C-BE32-E72D297353CC}">
              <c16:uniqueId val="{0000000F-03EE-46CC-B9D8-306982C83B13}"/>
            </c:ext>
          </c:extLst>
        </c:ser>
        <c:dLbls>
          <c:dLblPos val="ctr"/>
          <c:showLegendKey val="0"/>
          <c:showVal val="1"/>
          <c:showCatName val="0"/>
          <c:showSerName val="0"/>
          <c:showPercent val="0"/>
          <c:showBubbleSize val="0"/>
        </c:dLbls>
        <c:gapWidth val="150"/>
        <c:overlap val="100"/>
        <c:axId val="441745920"/>
        <c:axId val="390464640"/>
      </c:barChart>
      <c:catAx>
        <c:axId val="44174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90464640"/>
        <c:crosses val="autoZero"/>
        <c:auto val="1"/>
        <c:lblAlgn val="ctr"/>
        <c:lblOffset val="100"/>
        <c:noMultiLvlLbl val="0"/>
      </c:catAx>
      <c:valAx>
        <c:axId val="390464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417459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'DEUDA 3 2025'!$C$5</c:f>
              <c:strCache>
                <c:ptCount val="1"/>
                <c:pt idx="0">
                  <c:v>DEUDA QROO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'DEUDA 3 2025'!$A$7:$A$13</c:f>
              <c:strCache>
                <c:ptCount val="7"/>
                <c:pt idx="0">
                  <c:v>2019</c:v>
                </c:pt>
                <c:pt idx="1">
                  <c:v>2020</c:v>
                </c:pt>
                <c:pt idx="2">
                  <c:v>2021</c:v>
                </c:pt>
                <c:pt idx="3">
                  <c:v>2022</c:v>
                </c:pt>
                <c:pt idx="4">
                  <c:v>2023</c:v>
                </c:pt>
                <c:pt idx="5">
                  <c:v>2024</c:v>
                </c:pt>
                <c:pt idx="6">
                  <c:v>2025 T2</c:v>
                </c:pt>
              </c:strCache>
            </c:strRef>
          </c:cat>
          <c:val>
            <c:numRef>
              <c:f>'DEUDA 3 2025'!$C$7:$C$13</c:f>
              <c:numCache>
                <c:formatCode>_-* #,##0.0_-;\-* #,##0.0_-;_-* "-"??_-;_-@_-</c:formatCode>
                <c:ptCount val="7"/>
                <c:pt idx="0">
                  <c:v>23299.255184670001</c:v>
                </c:pt>
                <c:pt idx="1">
                  <c:v>23669.801267449999</c:v>
                </c:pt>
                <c:pt idx="2">
                  <c:v>23792.112142099999</c:v>
                </c:pt>
                <c:pt idx="3">
                  <c:v>23472.992964749999</c:v>
                </c:pt>
                <c:pt idx="4">
                  <c:v>21763.233388050001</c:v>
                </c:pt>
                <c:pt idx="5">
                  <c:v>21519.802121379998</c:v>
                </c:pt>
                <c:pt idx="6">
                  <c:v>21396.050058370001</c:v>
                </c:pt>
              </c:numCache>
            </c:numRef>
          </c:val>
          <c:extLst>
            <c:ext xmlns:c16="http://schemas.microsoft.com/office/drawing/2014/chart" uri="{C3380CC4-5D6E-409C-BE32-E72D297353CC}">
              <c16:uniqueId val="{00000000-F00A-4668-A952-42AB60CEBCD9}"/>
            </c:ext>
          </c:extLst>
        </c:ser>
        <c:dLbls>
          <c:dLblPos val="outEnd"/>
          <c:showLegendKey val="0"/>
          <c:showVal val="1"/>
          <c:showCatName val="0"/>
          <c:showSerName val="0"/>
          <c:showPercent val="0"/>
          <c:showBubbleSize val="0"/>
        </c:dLbls>
        <c:gapWidth val="219"/>
        <c:overlap val="-27"/>
        <c:axId val="441746944"/>
        <c:axId val="390466368"/>
      </c:barChart>
      <c:catAx>
        <c:axId val="44174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90466368"/>
        <c:crosses val="autoZero"/>
        <c:auto val="1"/>
        <c:lblAlgn val="ctr"/>
        <c:lblOffset val="100"/>
        <c:noMultiLvlLbl val="0"/>
      </c:catAx>
      <c:valAx>
        <c:axId val="390466368"/>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41746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'DEUDA 2025'!$C$49</c:f>
              <c:strCache>
                <c:ptCount val="1"/>
                <c:pt idx="0">
                  <c:v>Gobierno del estado</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'DEUDA 2025'!$A$51:$A$57</c:f>
              <c:strCache>
                <c:ptCount val="7"/>
                <c:pt idx="0">
                  <c:v>2019</c:v>
                </c:pt>
                <c:pt idx="1">
                  <c:v>2020</c:v>
                </c:pt>
                <c:pt idx="2">
                  <c:v>2021</c:v>
                </c:pt>
                <c:pt idx="3">
                  <c:v>2022</c:v>
                </c:pt>
                <c:pt idx="4">
                  <c:v>2023</c:v>
                </c:pt>
                <c:pt idx="5">
                  <c:v>2024</c:v>
                </c:pt>
                <c:pt idx="6">
                  <c:v>2025 T2</c:v>
                </c:pt>
              </c:strCache>
            </c:strRef>
          </c:cat>
          <c:val>
            <c:numRef>
              <c:f>'DEUDA 2025'!$C$51:$C$57</c:f>
              <c:numCache>
                <c:formatCode>#,##0.0</c:formatCode>
                <c:ptCount val="7"/>
                <c:pt idx="0">
                  <c:v>20316.561295179999</c:v>
                </c:pt>
                <c:pt idx="1">
                  <c:v>20749.840641499999</c:v>
                </c:pt>
                <c:pt idx="2">
                  <c:v>21044.730596090001</c:v>
                </c:pt>
                <c:pt idx="3">
                  <c:v>20896.128743590001</c:v>
                </c:pt>
                <c:pt idx="4">
                  <c:v>19325.8732279</c:v>
                </c:pt>
                <c:pt idx="5">
                  <c:v>19264.338774330001</c:v>
                </c:pt>
                <c:pt idx="6">
                  <c:v>19231.416733589998</c:v>
                </c:pt>
              </c:numCache>
            </c:numRef>
          </c:val>
          <c:extLst>
            <c:ext xmlns:c16="http://schemas.microsoft.com/office/drawing/2014/chart" uri="{C3380CC4-5D6E-409C-BE32-E72D297353CC}">
              <c16:uniqueId val="{00000000-48BA-49BA-B9AD-F3E273CE510F}"/>
            </c:ext>
          </c:extLst>
        </c:ser>
        <c:ser>
          <c:idx val="1"/>
          <c:order val="1"/>
          <c:tx>
            <c:strRef>
              <c:f>'DEUDA 2025'!$D$49</c:f>
              <c:strCache>
                <c:ptCount val="1"/>
                <c:pt idx="0">
                  <c:v>Municipios</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'DEUDA 2025'!$A$51:$A$57</c:f>
              <c:strCache>
                <c:ptCount val="7"/>
                <c:pt idx="0">
                  <c:v>2019</c:v>
                </c:pt>
                <c:pt idx="1">
                  <c:v>2020</c:v>
                </c:pt>
                <c:pt idx="2">
                  <c:v>2021</c:v>
                </c:pt>
                <c:pt idx="3">
                  <c:v>2022</c:v>
                </c:pt>
                <c:pt idx="4">
                  <c:v>2023</c:v>
                </c:pt>
                <c:pt idx="5">
                  <c:v>2024</c:v>
                </c:pt>
                <c:pt idx="6">
                  <c:v>2025 T2</c:v>
                </c:pt>
              </c:strCache>
            </c:strRef>
          </c:cat>
          <c:val>
            <c:numRef>
              <c:f>'DEUDA 2025'!$D$51:$D$57</c:f>
              <c:numCache>
                <c:formatCode>#,##0.0</c:formatCode>
                <c:ptCount val="7"/>
                <c:pt idx="0">
                  <c:v>2505.6531614199998</c:v>
                </c:pt>
                <c:pt idx="1">
                  <c:v>2473.6848048799998</c:v>
                </c:pt>
                <c:pt idx="2">
                  <c:v>2333.9832909400002</c:v>
                </c:pt>
                <c:pt idx="3">
                  <c:v>2198.6012700900001</c:v>
                </c:pt>
                <c:pt idx="4">
                  <c:v>2096.64529008</c:v>
                </c:pt>
                <c:pt idx="5">
                  <c:v>1954.87502698</c:v>
                </c:pt>
                <c:pt idx="6">
                  <c:v>1885.13007171</c:v>
                </c:pt>
              </c:numCache>
            </c:numRef>
          </c:val>
          <c:extLst>
            <c:ext xmlns:c16="http://schemas.microsoft.com/office/drawing/2014/chart" uri="{C3380CC4-5D6E-409C-BE32-E72D297353CC}">
              <c16:uniqueId val="{00000001-48BA-49BA-B9AD-F3E273CE510F}"/>
            </c:ext>
          </c:extLst>
        </c:ser>
        <c:ser>
          <c:idx val="2"/>
          <c:order val="2"/>
          <c:tx>
            <c:strRef>
              <c:f>'DEUDA 2025'!$E$49</c:f>
              <c:strCache>
                <c:ptCount val="1"/>
                <c:pt idx="0">
                  <c:v>Entes públicos estatales</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'DEUDA 2025'!$A$51:$A$57</c:f>
              <c:strCache>
                <c:ptCount val="7"/>
                <c:pt idx="0">
                  <c:v>2019</c:v>
                </c:pt>
                <c:pt idx="1">
                  <c:v>2020</c:v>
                </c:pt>
                <c:pt idx="2">
                  <c:v>2021</c:v>
                </c:pt>
                <c:pt idx="3">
                  <c:v>2022</c:v>
                </c:pt>
                <c:pt idx="4">
                  <c:v>2023</c:v>
                </c:pt>
                <c:pt idx="5">
                  <c:v>2024</c:v>
                </c:pt>
                <c:pt idx="6">
                  <c:v>2025 T2</c:v>
                </c:pt>
              </c:strCache>
            </c:strRef>
          </c:cat>
          <c:val>
            <c:numRef>
              <c:f>'DEUDA 2025'!$E$51:$E$57</c:f>
              <c:numCache>
                <c:formatCode>#,##0.0</c:formatCode>
                <c:ptCount val="7"/>
                <c:pt idx="0">
                  <c:v>477.04072807</c:v>
                </c:pt>
                <c:pt idx="1">
                  <c:v>446.27582107000001</c:v>
                </c:pt>
                <c:pt idx="2">
                  <c:v>413.39825507</c:v>
                </c:pt>
                <c:pt idx="3">
                  <c:v>378.26295106999999</c:v>
                </c:pt>
                <c:pt idx="4">
                  <c:v>340.71487007000002</c:v>
                </c:pt>
                <c:pt idx="5">
                  <c:v>300.58832007000001</c:v>
                </c:pt>
                <c:pt idx="6">
                  <c:v>279.50325307000003</c:v>
                </c:pt>
              </c:numCache>
            </c:numRef>
          </c:val>
          <c:extLst>
            <c:ext xmlns:c16="http://schemas.microsoft.com/office/drawing/2014/chart" uri="{C3380CC4-5D6E-409C-BE32-E72D297353CC}">
              <c16:uniqueId val="{00000002-48BA-49BA-B9AD-F3E273CE510F}"/>
            </c:ext>
          </c:extLst>
        </c:ser>
        <c:dLbls>
          <c:showLegendKey val="0"/>
          <c:showVal val="0"/>
          <c:showCatName val="0"/>
          <c:showSerName val="0"/>
          <c:showPercent val="0"/>
          <c:showBubbleSize val="0"/>
        </c:dLbls>
        <c:gapWidth val="219"/>
        <c:overlap val="-27"/>
        <c:axId val="439192576"/>
        <c:axId val="390468096"/>
      </c:barChart>
      <c:catAx>
        <c:axId val="43919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90468096"/>
        <c:crosses val="autoZero"/>
        <c:auto val="1"/>
        <c:lblAlgn val="ctr"/>
        <c:lblOffset val="100"/>
        <c:noMultiLvlLbl val="0"/>
      </c:catAx>
      <c:valAx>
        <c:axId val="3904680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3919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'DEUDA2 2025'!$B$36</c:f>
              <c:strCache>
                <c:ptCount val="1"/>
                <c:pt idx="0">
                  <c:v>CP</c:v>
                </c:pt>
              </c:strCache>
            </c:strRef>
          </c:tx>
          <c:spPr>
            <a:solidFill>
              <a:schemeClr val="accent1"/>
            </a:solidFill>
            <a:ln>
              <a:noFill/>
            </a:ln>
            <a:effectLst/>
          </c:spPr>
          <c:invertIfNegative val="0"/>
          <c:cat>
            <c:strRef>
              <c:f>'DEUDA2 2025'!$A$38:$A$44</c:f>
              <c:strCache>
                <c:ptCount val="7"/>
                <c:pt idx="0">
                  <c:v>2019</c:v>
                </c:pt>
                <c:pt idx="1">
                  <c:v>2020</c:v>
                </c:pt>
                <c:pt idx="2">
                  <c:v>2021</c:v>
                </c:pt>
                <c:pt idx="3">
                  <c:v>2022</c:v>
                </c:pt>
                <c:pt idx="4">
                  <c:v>2023</c:v>
                </c:pt>
                <c:pt idx="5">
                  <c:v>2024</c:v>
                </c:pt>
                <c:pt idx="6">
                  <c:v>2025 T2</c:v>
                </c:pt>
              </c:strCache>
            </c:strRef>
          </c:cat>
          <c:val>
            <c:numRef>
              <c:f>'DEUDA2 2025'!$B$38:$B$44</c:f>
              <c:numCache>
                <c:formatCode>#,##0.0</c:formatCode>
                <c:ptCount val="7"/>
                <c:pt idx="0">
                  <c:v>1580</c:v>
                </c:pt>
                <c:pt idx="1">
                  <c:v>2148.2000000000003</c:v>
                </c:pt>
                <c:pt idx="2">
                  <c:v>1788.6</c:v>
                </c:pt>
                <c:pt idx="3">
                  <c:v>1500</c:v>
                </c:pt>
                <c:pt idx="4">
                  <c:v>0</c:v>
                </c:pt>
                <c:pt idx="5">
                  <c:v>0</c:v>
                </c:pt>
                <c:pt idx="6">
                  <c:v>0</c:v>
                </c:pt>
              </c:numCache>
            </c:numRef>
          </c:val>
          <c:extLst>
            <c:ext xmlns:c16="http://schemas.microsoft.com/office/drawing/2014/chart" uri="{C3380CC4-5D6E-409C-BE32-E72D297353CC}">
              <c16:uniqueId val="{00000000-9405-4AF9-AC81-7EC1D5DED198}"/>
            </c:ext>
          </c:extLst>
        </c:ser>
        <c:ser>
          <c:idx val="1"/>
          <c:order val="1"/>
          <c:tx>
            <c:strRef>
              <c:f>'DEUDA2 2025'!$C$36</c:f>
              <c:strCache>
                <c:ptCount val="1"/>
                <c:pt idx="0">
                  <c:v>LP</c:v>
                </c:pt>
              </c:strCache>
            </c:strRef>
          </c:tx>
          <c:spPr>
            <a:solidFill>
              <a:schemeClr val="accent2"/>
            </a:solidFill>
            <a:ln>
              <a:noFill/>
            </a:ln>
            <a:effectLst/>
          </c:spPr>
          <c:invertIfNegative val="0"/>
          <c:cat>
            <c:strRef>
              <c:f>'DEUDA2 2025'!$A$38:$A$44</c:f>
              <c:strCache>
                <c:ptCount val="7"/>
                <c:pt idx="0">
                  <c:v>2019</c:v>
                </c:pt>
                <c:pt idx="1">
                  <c:v>2020</c:v>
                </c:pt>
                <c:pt idx="2">
                  <c:v>2021</c:v>
                </c:pt>
                <c:pt idx="3">
                  <c:v>2022</c:v>
                </c:pt>
                <c:pt idx="4">
                  <c:v>2023</c:v>
                </c:pt>
                <c:pt idx="5">
                  <c:v>2024</c:v>
                </c:pt>
                <c:pt idx="6">
                  <c:v>2025 T2</c:v>
                </c:pt>
              </c:strCache>
            </c:strRef>
          </c:cat>
          <c:val>
            <c:numRef>
              <c:f>'DEUDA2 2025'!$C$38:$C$44</c:f>
              <c:numCache>
                <c:formatCode>#,##0.0</c:formatCode>
                <c:ptCount val="7"/>
                <c:pt idx="0">
                  <c:v>21719.3</c:v>
                </c:pt>
                <c:pt idx="1">
                  <c:v>21521.5</c:v>
                </c:pt>
                <c:pt idx="2">
                  <c:v>22003.5</c:v>
                </c:pt>
                <c:pt idx="3">
                  <c:v>21972.999999999996</c:v>
                </c:pt>
                <c:pt idx="4">
                  <c:v>21763.200000000001</c:v>
                </c:pt>
                <c:pt idx="5">
                  <c:v>21519.8</c:v>
                </c:pt>
                <c:pt idx="6">
                  <c:v>21396.050058369998</c:v>
                </c:pt>
              </c:numCache>
            </c:numRef>
          </c:val>
          <c:extLst>
            <c:ext xmlns:c16="http://schemas.microsoft.com/office/drawing/2014/chart" uri="{C3380CC4-5D6E-409C-BE32-E72D297353CC}">
              <c16:uniqueId val="{00000001-9405-4AF9-AC81-7EC1D5DED198}"/>
            </c:ext>
          </c:extLst>
        </c:ser>
        <c:dLbls>
          <c:showLegendKey val="0"/>
          <c:showVal val="0"/>
          <c:showCatName val="0"/>
          <c:showSerName val="0"/>
          <c:showPercent val="0"/>
          <c:showBubbleSize val="0"/>
        </c:dLbls>
        <c:gapWidth val="150"/>
        <c:overlap val="100"/>
        <c:axId val="439820800"/>
        <c:axId val="390469824"/>
      </c:barChart>
      <c:catAx>
        <c:axId val="43982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90469824"/>
        <c:crosses val="autoZero"/>
        <c:auto val="1"/>
        <c:lblAlgn val="ctr"/>
        <c:lblOffset val="100"/>
        <c:noMultiLvlLbl val="0"/>
      </c:catAx>
      <c:valAx>
        <c:axId val="3904698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398208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'DEUDA 3 2025'!$D$5</c:f>
              <c:strCache>
                <c:ptCount val="1"/>
                <c:pt idx="0">
                  <c:v>DEUDA TOTAL/ INGRESOS TOTALES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'DEUDA 3 2025'!$A$7:$A$13</c:f>
              <c:strCache>
                <c:ptCount val="7"/>
                <c:pt idx="0">
                  <c:v>2019</c:v>
                </c:pt>
                <c:pt idx="1">
                  <c:v>2020</c:v>
                </c:pt>
                <c:pt idx="2">
                  <c:v>2021</c:v>
                </c:pt>
                <c:pt idx="3">
                  <c:v>2022</c:v>
                </c:pt>
                <c:pt idx="4">
                  <c:v>2023</c:v>
                </c:pt>
                <c:pt idx="5">
                  <c:v>2024</c:v>
                </c:pt>
                <c:pt idx="6">
                  <c:v>2025 T2</c:v>
                </c:pt>
              </c:strCache>
            </c:strRef>
          </c:cat>
          <c:val>
            <c:numRef>
              <c:f>'DEUDA 3 2025'!$D$7:$D$13</c:f>
              <c:numCache>
                <c:formatCode>0.00%</c:formatCode>
                <c:ptCount val="7"/>
                <c:pt idx="0">
                  <c:v>0.71070467844051943</c:v>
                </c:pt>
                <c:pt idx="1">
                  <c:v>0.75165842513642345</c:v>
                </c:pt>
                <c:pt idx="2">
                  <c:v>0.72660615804997308</c:v>
                </c:pt>
                <c:pt idx="3">
                  <c:v>0.6047580081073286</c:v>
                </c:pt>
                <c:pt idx="4">
                  <c:v>0.45138436637810753</c:v>
                </c:pt>
                <c:pt idx="5">
                  <c:v>0.44007540193786848</c:v>
                </c:pt>
                <c:pt idx="6">
                  <c:v>0.41566874876307119</c:v>
                </c:pt>
              </c:numCache>
            </c:numRef>
          </c:val>
          <c:extLst>
            <c:ext xmlns:c16="http://schemas.microsoft.com/office/drawing/2014/chart" uri="{C3380CC4-5D6E-409C-BE32-E72D297353CC}">
              <c16:uniqueId val="{00000000-6C61-49CA-AA3A-FD9932CA22A7}"/>
            </c:ext>
          </c:extLst>
        </c:ser>
        <c:dLbls>
          <c:showLegendKey val="0"/>
          <c:showVal val="0"/>
          <c:showCatName val="0"/>
          <c:showSerName val="0"/>
          <c:showPercent val="0"/>
          <c:showBubbleSize val="0"/>
        </c:dLbls>
        <c:gapWidth val="219"/>
        <c:overlap val="-27"/>
        <c:axId val="440173056"/>
        <c:axId val="412934144"/>
      </c:barChart>
      <c:catAx>
        <c:axId val="44017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12934144"/>
        <c:crosses val="autoZero"/>
        <c:auto val="1"/>
        <c:lblAlgn val="ctr"/>
        <c:lblOffset val="100"/>
        <c:noMultiLvlLbl val="0"/>
      </c:catAx>
      <c:valAx>
        <c:axId val="4129341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40173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'DEUDA 4 2025'!$F$3</c:f>
              <c:strCache>
                <c:ptCount val="1"/>
                <c:pt idx="0">
                  <c:v>DEUDA PER CAPITA</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'DEUDA 4 2025'!$A$5:$A$14</c:f>
              <c:strCache>
                <c:ptCount val="10"/>
                <c:pt idx="0">
                  <c:v>2016</c:v>
                </c:pt>
                <c:pt idx="1">
                  <c:v>2017</c:v>
                </c:pt>
                <c:pt idx="2">
                  <c:v>2018</c:v>
                </c:pt>
                <c:pt idx="3">
                  <c:v>2019</c:v>
                </c:pt>
                <c:pt idx="4">
                  <c:v>2020</c:v>
                </c:pt>
                <c:pt idx="5">
                  <c:v>2021</c:v>
                </c:pt>
                <c:pt idx="6">
                  <c:v>2022</c:v>
                </c:pt>
                <c:pt idx="7">
                  <c:v>2023</c:v>
                </c:pt>
                <c:pt idx="8">
                  <c:v>2024</c:v>
                </c:pt>
                <c:pt idx="9">
                  <c:v>2025 T2</c:v>
                </c:pt>
              </c:strCache>
            </c:strRef>
          </c:cat>
          <c:val>
            <c:numRef>
              <c:f>'DEUDA 4 2025'!$F$5:$F$14</c:f>
              <c:numCache>
                <c:formatCode>_(* #,##0.00_);_(* \(#,##0.00\);_(* "-"??_);_(@_)</c:formatCode>
                <c:ptCount val="10"/>
                <c:pt idx="0">
                  <c:v>11651.963814157127</c:v>
                </c:pt>
                <c:pt idx="1">
                  <c:v>11976.549312196677</c:v>
                </c:pt>
                <c:pt idx="2">
                  <c:v>12260.241681422616</c:v>
                </c:pt>
                <c:pt idx="3">
                  <c:v>12931.471568301149</c:v>
                </c:pt>
                <c:pt idx="4">
                  <c:v>13338.433594479777</c:v>
                </c:pt>
                <c:pt idx="5">
                  <c:v>14237.660628440546</c:v>
                </c:pt>
                <c:pt idx="6">
                  <c:v>14878.555433701938</c:v>
                </c:pt>
                <c:pt idx="7">
                  <c:v>14461.745775286276</c:v>
                </c:pt>
                <c:pt idx="8">
                  <c:v>15029.899796173533</c:v>
                </c:pt>
                <c:pt idx="9">
                  <c:v>15309.618361302753</c:v>
                </c:pt>
              </c:numCache>
            </c:numRef>
          </c:val>
          <c:extLst>
            <c:ext xmlns:c16="http://schemas.microsoft.com/office/drawing/2014/chart" uri="{C3380CC4-5D6E-409C-BE32-E72D297353CC}">
              <c16:uniqueId val="{0000000A-ECEA-4FB9-94AD-ADEB67D01829}"/>
            </c:ext>
          </c:extLst>
        </c:ser>
        <c:dLbls>
          <c:showLegendKey val="0"/>
          <c:showVal val="0"/>
          <c:showCatName val="0"/>
          <c:showSerName val="0"/>
          <c:showPercent val="0"/>
          <c:showBubbleSize val="0"/>
        </c:dLbls>
        <c:gapWidth val="219"/>
        <c:overlap val="-27"/>
        <c:axId val="440173568"/>
        <c:axId val="412935872"/>
      </c:barChart>
      <c:catAx>
        <c:axId val="44017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12935872"/>
        <c:crosses val="autoZero"/>
        <c:auto val="1"/>
        <c:lblAlgn val="ctr"/>
        <c:lblOffset val="100"/>
        <c:noMultiLvlLbl val="0"/>
      </c:catAx>
      <c:valAx>
        <c:axId val="412935872"/>
        <c:scaling>
          <c:orientation val="minMax"/>
          <c:max val="16000"/>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401735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'ADEFAS 2025'!$C$22</c:f>
              <c:strCache>
                <c:ptCount val="1"/>
                <c:pt idx="0">
                  <c:v> ADEFAS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'ADEFAS 2025'!$B$24:$B$26</c:f>
              <c:strCache>
                <c:ptCount val="3"/>
                <c:pt idx="0">
                  <c:v>2023</c:v>
                </c:pt>
                <c:pt idx="1">
                  <c:v>2024</c:v>
                </c:pt>
                <c:pt idx="2">
                  <c:v>2025*</c:v>
                </c:pt>
              </c:strCache>
            </c:strRef>
          </c:cat>
          <c:val>
            <c:numRef>
              <c:f>'ADEFAS 2025'!$C$24:$C$26</c:f>
              <c:numCache>
                <c:formatCode>_-* #,##0_-;\-* #,##0_-;_-* "-"??_-;_-@_-</c:formatCode>
                <c:ptCount val="3"/>
                <c:pt idx="0">
                  <c:v>1527.8108938800001</c:v>
                </c:pt>
                <c:pt idx="1">
                  <c:v>204.17598706999999</c:v>
                </c:pt>
                <c:pt idx="2">
                  <c:v>108.86794463</c:v>
                </c:pt>
              </c:numCache>
            </c:numRef>
          </c:val>
          <c:extLst>
            <c:ext xmlns:c16="http://schemas.microsoft.com/office/drawing/2014/chart" uri="{C3380CC4-5D6E-409C-BE32-E72D297353CC}">
              <c16:uniqueId val="{00000000-98D6-4F99-9E83-42015521A99D}"/>
            </c:ext>
          </c:extLst>
        </c:ser>
        <c:dLbls>
          <c:showLegendKey val="0"/>
          <c:showVal val="0"/>
          <c:showCatName val="0"/>
          <c:showSerName val="0"/>
          <c:showPercent val="0"/>
          <c:showBubbleSize val="0"/>
        </c:dLbls>
        <c:gapWidth val="219"/>
        <c:overlap val="-27"/>
        <c:axId val="442216448"/>
        <c:axId val="412937600"/>
      </c:barChart>
      <c:catAx>
        <c:axId val="44221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12937600"/>
        <c:crosses val="autoZero"/>
        <c:auto val="1"/>
        <c:lblAlgn val="ctr"/>
        <c:lblOffset val="100"/>
        <c:noMultiLvlLbl val="0"/>
      </c:catAx>
      <c:valAx>
        <c:axId val="41293760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42216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'PRONÓSTICOS TIIE'!$D$4</c:f>
              <c:strCache>
                <c:ptCount val="1"/>
                <c:pt idx="0">
                  <c:v>Tasa Objetivo</c:v>
                </c:pt>
              </c:strCache>
            </c:strRef>
          </c:tx>
          <c:spPr>
            <a:ln w="28575" cap="rnd">
              <a:solidFill>
                <a:schemeClr val="accent1"/>
              </a:solidFill>
              <a:round/>
            </a:ln>
            <a:effectLst/>
          </c:spPr>
          <c:marker>
            <c:symbol val="none"/>
          </c:marker>
          <c:cat>
            <c:multiLvlStrRef>
              <c:f>'PRONÓSTICOS TIIE'!$H$2:$AE$3</c:f>
              <c:multiLvlStrCache>
                <c:ptCount val="24"/>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lvl>
                <c:lvl>
                  <c:pt idx="0">
                    <c:v>2025*</c:v>
                  </c:pt>
                  <c:pt idx="12">
                    <c:v>2026*</c:v>
                  </c:pt>
                </c:lvl>
              </c:multiLvlStrCache>
            </c:multiLvlStrRef>
          </c:cat>
          <c:val>
            <c:numRef>
              <c:f>'PRONÓSTICOS TIIE'!$H$4:$AE$4</c:f>
              <c:numCache>
                <c:formatCode>0.0</c:formatCode>
                <c:ptCount val="24"/>
                <c:pt idx="0">
                  <c:v>10</c:v>
                </c:pt>
                <c:pt idx="1">
                  <c:v>9.5</c:v>
                </c:pt>
                <c:pt idx="2">
                  <c:v>9</c:v>
                </c:pt>
                <c:pt idx="3">
                  <c:v>9</c:v>
                </c:pt>
                <c:pt idx="4">
                  <c:v>8.5</c:v>
                </c:pt>
                <c:pt idx="5">
                  <c:v>8</c:v>
                </c:pt>
                <c:pt idx="6">
                  <c:v>8</c:v>
                </c:pt>
                <c:pt idx="7">
                  <c:v>7.75</c:v>
                </c:pt>
                <c:pt idx="8">
                  <c:v>7.5</c:v>
                </c:pt>
                <c:pt idx="9">
                  <c:v>7.5</c:v>
                </c:pt>
                <c:pt idx="10">
                  <c:v>7.25</c:v>
                </c:pt>
                <c:pt idx="11">
                  <c:v>7</c:v>
                </c:pt>
                <c:pt idx="12">
                  <c:v>7</c:v>
                </c:pt>
                <c:pt idx="13">
                  <c:v>7</c:v>
                </c:pt>
                <c:pt idx="14">
                  <c:v>7</c:v>
                </c:pt>
                <c:pt idx="15">
                  <c:v>7</c:v>
                </c:pt>
                <c:pt idx="16">
                  <c:v>6.75</c:v>
                </c:pt>
                <c:pt idx="17">
                  <c:v>6.5</c:v>
                </c:pt>
                <c:pt idx="18">
                  <c:v>6.5</c:v>
                </c:pt>
                <c:pt idx="19">
                  <c:v>6.5</c:v>
                </c:pt>
                <c:pt idx="20">
                  <c:v>6.5</c:v>
                </c:pt>
                <c:pt idx="21">
                  <c:v>6.5</c:v>
                </c:pt>
                <c:pt idx="22">
                  <c:v>6.5</c:v>
                </c:pt>
                <c:pt idx="23">
                  <c:v>6.5</c:v>
                </c:pt>
              </c:numCache>
            </c:numRef>
          </c:val>
          <c:smooth val="0"/>
          <c:extLst>
            <c:ext xmlns:c16="http://schemas.microsoft.com/office/drawing/2014/chart" uri="{C3380CC4-5D6E-409C-BE32-E72D297353CC}">
              <c16:uniqueId val="{00000000-CCCA-4C89-8AF9-F328386E781B}"/>
            </c:ext>
          </c:extLst>
        </c:ser>
        <c:ser>
          <c:idx val="1"/>
          <c:order val="1"/>
          <c:tx>
            <c:strRef>
              <c:f>'PRONÓSTICOS TIIE'!$F$4</c:f>
              <c:strCache>
                <c:ptCount val="1"/>
                <c:pt idx="0">
                  <c:v>TIIE 28 Días</c:v>
                </c:pt>
              </c:strCache>
            </c:strRef>
          </c:tx>
          <c:spPr>
            <a:ln w="28575" cap="rnd">
              <a:solidFill>
                <a:schemeClr val="accent2"/>
              </a:solidFill>
              <a:round/>
            </a:ln>
            <a:effectLst/>
          </c:spPr>
          <c:marker>
            <c:symbol val="none"/>
          </c:marker>
          <c:val>
            <c:numRef>
              <c:f>'PRONÓSTICOS TIIE'!$H$5:$AE$5</c:f>
              <c:numCache>
                <c:formatCode>0.0</c:formatCode>
                <c:ptCount val="24"/>
                <c:pt idx="0">
                  <c:v>9.9</c:v>
                </c:pt>
                <c:pt idx="1">
                  <c:v>9.48</c:v>
                </c:pt>
                <c:pt idx="2">
                  <c:v>9.16</c:v>
                </c:pt>
                <c:pt idx="3">
                  <c:v>8.92</c:v>
                </c:pt>
                <c:pt idx="4">
                  <c:v>8.4</c:v>
                </c:pt>
                <c:pt idx="5">
                  <c:v>8.1300000000000008</c:v>
                </c:pt>
                <c:pt idx="6">
                  <c:v>7.85</c:v>
                </c:pt>
                <c:pt idx="7">
                  <c:v>7.65</c:v>
                </c:pt>
                <c:pt idx="8">
                  <c:v>7.52</c:v>
                </c:pt>
                <c:pt idx="9">
                  <c:v>7.26</c:v>
                </c:pt>
                <c:pt idx="10">
                  <c:v>7.01</c:v>
                </c:pt>
                <c:pt idx="11">
                  <c:v>7</c:v>
                </c:pt>
                <c:pt idx="12">
                  <c:v>6.99</c:v>
                </c:pt>
                <c:pt idx="13">
                  <c:v>6.98</c:v>
                </c:pt>
                <c:pt idx="14">
                  <c:v>6.98</c:v>
                </c:pt>
                <c:pt idx="15">
                  <c:v>6.72</c:v>
                </c:pt>
                <c:pt idx="16">
                  <c:v>6.46</c:v>
                </c:pt>
                <c:pt idx="17">
                  <c:v>6.46</c:v>
                </c:pt>
                <c:pt idx="18">
                  <c:v>6.45</c:v>
                </c:pt>
                <c:pt idx="19">
                  <c:v>6.44</c:v>
                </c:pt>
                <c:pt idx="20">
                  <c:v>6.44</c:v>
                </c:pt>
                <c:pt idx="21">
                  <c:v>6.43</c:v>
                </c:pt>
                <c:pt idx="22">
                  <c:v>6.42</c:v>
                </c:pt>
                <c:pt idx="23">
                  <c:v>6.41</c:v>
                </c:pt>
              </c:numCache>
            </c:numRef>
          </c:val>
          <c:smooth val="0"/>
          <c:extLst>
            <c:ext xmlns:c16="http://schemas.microsoft.com/office/drawing/2014/chart" uri="{C3380CC4-5D6E-409C-BE32-E72D297353CC}">
              <c16:uniqueId val="{00000001-CCCA-4C89-8AF9-F328386E781B}"/>
            </c:ext>
          </c:extLst>
        </c:ser>
        <c:dLbls>
          <c:showLegendKey val="0"/>
          <c:showVal val="0"/>
          <c:showCatName val="0"/>
          <c:showSerName val="0"/>
          <c:showPercent val="0"/>
          <c:showBubbleSize val="0"/>
        </c:dLbls>
        <c:smooth val="0"/>
        <c:axId val="442217984"/>
        <c:axId val="412940480"/>
      </c:lineChart>
      <c:catAx>
        <c:axId val="44221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12940480"/>
        <c:crosses val="autoZero"/>
        <c:auto val="1"/>
        <c:lblAlgn val="ctr"/>
        <c:lblOffset val="100"/>
        <c:noMultiLvlLbl val="0"/>
      </c:catAx>
      <c:valAx>
        <c:axId val="412940480"/>
        <c:scaling>
          <c:orientation val="minMax"/>
          <c:max val="10"/>
          <c:min val="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422179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'PIB Nacional'!$J$35</c:f>
              <c:strCache>
                <c:ptCount val="1"/>
                <c:pt idx="0">
                  <c:v>Var. %</c:v>
                </c:pt>
              </c:strCache>
            </c:strRef>
          </c:tx>
          <c:spPr>
            <a:ln w="28575" cap="rnd">
              <a:solidFill>
                <a:schemeClr val="accent1"/>
              </a:solidFill>
              <a:round/>
            </a:ln>
            <a:effectLst/>
          </c:spPr>
          <c:marker>
            <c:symbol val="none"/>
          </c:marker>
          <c:cat>
            <c:multiLvlStrRef>
              <c:f>'PIB Nacional'!$K$33:$X$34</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2022</c:v>
                  </c:pt>
                  <c:pt idx="4">
                    <c:v>2023</c:v>
                  </c:pt>
                  <c:pt idx="8">
                    <c:v>2024</c:v>
                  </c:pt>
                  <c:pt idx="12">
                    <c:v>2025</c:v>
                  </c:pt>
                </c:lvl>
              </c:multiLvlStrCache>
            </c:multiLvlStrRef>
          </c:cat>
          <c:val>
            <c:numRef>
              <c:f>'PIB Nacional'!$K$35:$X$35</c:f>
              <c:numCache>
                <c:formatCode>0.00%</c:formatCode>
                <c:ptCount val="14"/>
                <c:pt idx="0">
                  <c:v>2.6996895190027459E-2</c:v>
                </c:pt>
                <c:pt idx="1">
                  <c:v>2.9026261043583856E-2</c:v>
                </c:pt>
                <c:pt idx="2">
                  <c:v>4.5558845043479179E-2</c:v>
                </c:pt>
                <c:pt idx="3">
                  <c:v>4.6563352881225706E-2</c:v>
                </c:pt>
                <c:pt idx="4">
                  <c:v>3.9095753999972338E-2</c:v>
                </c:pt>
                <c:pt idx="5">
                  <c:v>3.5552778665048024E-2</c:v>
                </c:pt>
                <c:pt idx="6">
                  <c:v>3.4454216678201366E-2</c:v>
                </c:pt>
                <c:pt idx="7">
                  <c:v>2.5444550205036887E-2</c:v>
                </c:pt>
                <c:pt idx="8">
                  <c:v>1.7909463424355732E-2</c:v>
                </c:pt>
                <c:pt idx="9">
                  <c:v>1.1470475061629903E-2</c:v>
                </c:pt>
                <c:pt idx="10">
                  <c:v>1.4647020448213866E-2</c:v>
                </c:pt>
                <c:pt idx="11">
                  <c:v>4.3546005397074872E-3</c:v>
                </c:pt>
                <c:pt idx="12">
                  <c:v>6.6227751259759771E-3</c:v>
                </c:pt>
                <c:pt idx="13">
                  <c:v>1.1795548537278711E-2</c:v>
                </c:pt>
              </c:numCache>
            </c:numRef>
          </c:val>
          <c:smooth val="0"/>
          <c:extLst>
            <c:ext xmlns:c16="http://schemas.microsoft.com/office/drawing/2014/chart" uri="{C3380CC4-5D6E-409C-BE32-E72D297353CC}">
              <c16:uniqueId val="{00000000-A92D-4322-81EB-17BE107AB153}"/>
            </c:ext>
          </c:extLst>
        </c:ser>
        <c:dLbls>
          <c:showLegendKey val="0"/>
          <c:showVal val="0"/>
          <c:showCatName val="0"/>
          <c:showSerName val="0"/>
          <c:showPercent val="0"/>
          <c:showBubbleSize val="0"/>
        </c:dLbls>
        <c:smooth val="0"/>
        <c:axId val="390639104"/>
        <c:axId val="495322240"/>
      </c:lineChart>
      <c:catAx>
        <c:axId val="39063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95322240"/>
        <c:crosses val="autoZero"/>
        <c:auto val="1"/>
        <c:lblAlgn val="ctr"/>
        <c:lblOffset val="100"/>
        <c:noMultiLvlLbl val="0"/>
      </c:catAx>
      <c:valAx>
        <c:axId val="495322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90639104"/>
        <c:crosses val="autoZero"/>
        <c:crossBetween val="between"/>
        <c:majorUnit val="1.0000000000000002E-2"/>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'PIB Nacional'!$I$56</c:f>
              <c:strCache>
                <c:ptCount val="1"/>
                <c:pt idx="0">
                  <c:v>SHCP</c:v>
                </c:pt>
              </c:strCache>
            </c:strRef>
          </c:tx>
          <c:spPr>
            <a:ln w="28575" cap="rnd">
              <a:solidFill>
                <a:schemeClr val="accent1"/>
              </a:solidFill>
              <a:round/>
            </a:ln>
            <a:effectLst/>
          </c:spPr>
          <c:marker>
            <c:symbol val="none"/>
          </c:marker>
          <c:cat>
            <c:strRef>
              <c:f>'PIB Nacional'!$J$55:$M$55</c:f>
              <c:strCache>
                <c:ptCount val="4"/>
                <c:pt idx="0">
                  <c:v>2023</c:v>
                </c:pt>
                <c:pt idx="1">
                  <c:v>2024</c:v>
                </c:pt>
                <c:pt idx="2">
                  <c:v>2025*</c:v>
                </c:pt>
                <c:pt idx="3">
                  <c:v>2026*</c:v>
                </c:pt>
              </c:strCache>
            </c:strRef>
          </c:cat>
          <c:val>
            <c:numRef>
              <c:f>'PIB Nacional'!$J$56:$M$56</c:f>
              <c:numCache>
                <c:formatCode>_-* #,##0.0_-;\-* #,##0.0_-;_-* "-"??_-;_-@_-</c:formatCode>
                <c:ptCount val="4"/>
                <c:pt idx="0">
                  <c:v>3.4</c:v>
                </c:pt>
                <c:pt idx="1">
                  <c:v>1.4</c:v>
                </c:pt>
                <c:pt idx="2">
                  <c:v>1</c:v>
                </c:pt>
                <c:pt idx="3">
                  <c:v>2.2999999999999998</c:v>
                </c:pt>
              </c:numCache>
            </c:numRef>
          </c:val>
          <c:smooth val="0"/>
          <c:extLst>
            <c:ext xmlns:c16="http://schemas.microsoft.com/office/drawing/2014/chart" uri="{C3380CC4-5D6E-409C-BE32-E72D297353CC}">
              <c16:uniqueId val="{00000000-78EE-42C0-8489-56D3E26E8A06}"/>
            </c:ext>
          </c:extLst>
        </c:ser>
        <c:ser>
          <c:idx val="1"/>
          <c:order val="1"/>
          <c:tx>
            <c:strRef>
              <c:f>'PIB Nacional'!$I$57</c:f>
              <c:strCache>
                <c:ptCount val="1"/>
                <c:pt idx="0">
                  <c:v>FMI</c:v>
                </c:pt>
              </c:strCache>
            </c:strRef>
          </c:tx>
          <c:spPr>
            <a:ln w="28575" cap="rnd">
              <a:solidFill>
                <a:schemeClr val="accent2"/>
              </a:solidFill>
              <a:round/>
            </a:ln>
            <a:effectLst/>
          </c:spPr>
          <c:marker>
            <c:symbol val="none"/>
          </c:marker>
          <c:cat>
            <c:strRef>
              <c:f>'PIB Nacional'!$J$55:$M$55</c:f>
              <c:strCache>
                <c:ptCount val="4"/>
                <c:pt idx="0">
                  <c:v>2023</c:v>
                </c:pt>
                <c:pt idx="1">
                  <c:v>2024</c:v>
                </c:pt>
                <c:pt idx="2">
                  <c:v>2025*</c:v>
                </c:pt>
                <c:pt idx="3">
                  <c:v>2026*</c:v>
                </c:pt>
              </c:strCache>
            </c:strRef>
          </c:cat>
          <c:val>
            <c:numRef>
              <c:f>'PIB Nacional'!$J$57:$M$57</c:f>
              <c:numCache>
                <c:formatCode>#,##0.0;"–"#,##0.0</c:formatCode>
                <c:ptCount val="4"/>
                <c:pt idx="0">
                  <c:v>3.4</c:v>
                </c:pt>
                <c:pt idx="1">
                  <c:v>1.4</c:v>
                </c:pt>
                <c:pt idx="2">
                  <c:v>0.2</c:v>
                </c:pt>
                <c:pt idx="3">
                  <c:v>1.4</c:v>
                </c:pt>
              </c:numCache>
            </c:numRef>
          </c:val>
          <c:smooth val="0"/>
          <c:extLst>
            <c:ext xmlns:c16="http://schemas.microsoft.com/office/drawing/2014/chart" uri="{C3380CC4-5D6E-409C-BE32-E72D297353CC}">
              <c16:uniqueId val="{00000001-78EE-42C0-8489-56D3E26E8A06}"/>
            </c:ext>
          </c:extLst>
        </c:ser>
        <c:ser>
          <c:idx val="2"/>
          <c:order val="2"/>
          <c:tx>
            <c:strRef>
              <c:f>'PIB Nacional'!$I$58</c:f>
              <c:strCache>
                <c:ptCount val="1"/>
                <c:pt idx="0">
                  <c:v>BM</c:v>
                </c:pt>
              </c:strCache>
            </c:strRef>
          </c:tx>
          <c:spPr>
            <a:ln w="28575" cap="rnd">
              <a:solidFill>
                <a:schemeClr val="accent3"/>
              </a:solidFill>
              <a:round/>
            </a:ln>
            <a:effectLst/>
          </c:spPr>
          <c:marker>
            <c:symbol val="none"/>
          </c:marker>
          <c:cat>
            <c:strRef>
              <c:f>'PIB Nacional'!$J$55:$M$55</c:f>
              <c:strCache>
                <c:ptCount val="4"/>
                <c:pt idx="0">
                  <c:v>2023</c:v>
                </c:pt>
                <c:pt idx="1">
                  <c:v>2024</c:v>
                </c:pt>
                <c:pt idx="2">
                  <c:v>2025*</c:v>
                </c:pt>
                <c:pt idx="3">
                  <c:v>2026*</c:v>
                </c:pt>
              </c:strCache>
            </c:strRef>
          </c:cat>
          <c:val>
            <c:numRef>
              <c:f>'PIB Nacional'!$J$58:$M$58</c:f>
              <c:numCache>
                <c:formatCode>0.0</c:formatCode>
                <c:ptCount val="4"/>
                <c:pt idx="0">
                  <c:v>3.3</c:v>
                </c:pt>
                <c:pt idx="1">
                  <c:v>1.5</c:v>
                </c:pt>
                <c:pt idx="2">
                  <c:v>0.2</c:v>
                </c:pt>
                <c:pt idx="3">
                  <c:v>1.1000000000000001</c:v>
                </c:pt>
              </c:numCache>
            </c:numRef>
          </c:val>
          <c:smooth val="0"/>
          <c:extLst>
            <c:ext xmlns:c16="http://schemas.microsoft.com/office/drawing/2014/chart" uri="{C3380CC4-5D6E-409C-BE32-E72D297353CC}">
              <c16:uniqueId val="{00000002-78EE-42C0-8489-56D3E26E8A06}"/>
            </c:ext>
          </c:extLst>
        </c:ser>
        <c:dLbls>
          <c:showLegendKey val="0"/>
          <c:showVal val="0"/>
          <c:showCatName val="0"/>
          <c:showSerName val="0"/>
          <c:showPercent val="0"/>
          <c:showBubbleSize val="0"/>
        </c:dLbls>
        <c:smooth val="0"/>
        <c:axId val="412845056"/>
        <c:axId val="495323968"/>
      </c:lineChart>
      <c:catAx>
        <c:axId val="41284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5323968"/>
        <c:crosses val="autoZero"/>
        <c:auto val="1"/>
        <c:lblAlgn val="ctr"/>
        <c:lblOffset val="100"/>
        <c:noMultiLvlLbl val="0"/>
      </c:catAx>
      <c:valAx>
        <c:axId val="495323968"/>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2845056"/>
        <c:crosses val="autoZero"/>
        <c:crossBetween val="between"/>
        <c:majorUnit val="0.5"/>
        <c:minorUnit val="0.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'Turismo Nacional'!$W$26</c:f>
              <c:strCache>
                <c:ptCount val="1"/>
                <c:pt idx="0">
                  <c:v>2024</c:v>
                </c:pt>
              </c:strCache>
            </c:strRef>
          </c:tx>
          <c:spPr>
            <a:solidFill>
              <a:schemeClr val="accent1"/>
            </a:solidFill>
            <a:ln>
              <a:noFill/>
            </a:ln>
            <a:effectLst/>
          </c:spPr>
          <c:invertIfNegative val="0"/>
          <c:dLbls>
            <c:dLbl>
              <c:idx val="2"/>
              <c:layout>
                <c:manualLayout>
                  <c:x val="-2.182214948172554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E8-4C2C-92FC-4A870362455A}"/>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'Turismo Nacional'!$V$27:$V$29</c:f>
              <c:strCache>
                <c:ptCount val="3"/>
                <c:pt idx="0">
                  <c:v>Turistas internacionales</c:v>
                </c:pt>
                <c:pt idx="1">
                  <c:v>Excursionistas internacionales</c:v>
                </c:pt>
                <c:pt idx="2">
                  <c:v>Total entradas</c:v>
                </c:pt>
              </c:strCache>
            </c:strRef>
          </c:cat>
          <c:val>
            <c:numRef>
              <c:f>'Turismo Nacional'!$W$27:$W$29</c:f>
              <c:numCache>
                <c:formatCode>_-* #,##0_-;\-* #,##0_-;_-* "-"??_-;_-@_-</c:formatCode>
                <c:ptCount val="3"/>
                <c:pt idx="0">
                  <c:v>25825180</c:v>
                </c:pt>
                <c:pt idx="1">
                  <c:v>23337489</c:v>
                </c:pt>
                <c:pt idx="2">
                  <c:v>49162669</c:v>
                </c:pt>
              </c:numCache>
            </c:numRef>
          </c:val>
          <c:extLst>
            <c:ext xmlns:c16="http://schemas.microsoft.com/office/drawing/2014/chart" uri="{C3380CC4-5D6E-409C-BE32-E72D297353CC}">
              <c16:uniqueId val="{00000001-CCE8-4C2C-92FC-4A870362455A}"/>
            </c:ext>
          </c:extLst>
        </c:ser>
        <c:ser>
          <c:idx val="1"/>
          <c:order val="1"/>
          <c:tx>
            <c:strRef>
              <c:f>'Turismo Nacional'!$X$26</c:f>
              <c:strCache>
                <c:ptCount val="1"/>
                <c:pt idx="0">
                  <c:v>2025</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'Turismo Nacional'!$V$27:$V$29</c:f>
              <c:strCache>
                <c:ptCount val="3"/>
                <c:pt idx="0">
                  <c:v>Turistas internacionales</c:v>
                </c:pt>
                <c:pt idx="1">
                  <c:v>Excursionistas internacionales</c:v>
                </c:pt>
                <c:pt idx="2">
                  <c:v>Total entradas</c:v>
                </c:pt>
              </c:strCache>
            </c:strRef>
          </c:cat>
          <c:val>
            <c:numRef>
              <c:f>'Turismo Nacional'!$X$27:$X$29</c:f>
              <c:numCache>
                <c:formatCode>_-* #,##0_-;\-* #,##0_-;_-* "-"??_-;_-@_-</c:formatCode>
                <c:ptCount val="3"/>
                <c:pt idx="0">
                  <c:v>27672549</c:v>
                </c:pt>
                <c:pt idx="1">
                  <c:v>28147166</c:v>
                </c:pt>
                <c:pt idx="2">
                  <c:v>55819715</c:v>
                </c:pt>
              </c:numCache>
            </c:numRef>
          </c:val>
          <c:extLst>
            <c:ext xmlns:c16="http://schemas.microsoft.com/office/drawing/2014/chart" uri="{C3380CC4-5D6E-409C-BE32-E72D297353CC}">
              <c16:uniqueId val="{00000002-CCE8-4C2C-92FC-4A870362455A}"/>
            </c:ext>
          </c:extLst>
        </c:ser>
        <c:dLbls>
          <c:dLblPos val="outEnd"/>
          <c:showLegendKey val="0"/>
          <c:showVal val="1"/>
          <c:showCatName val="0"/>
          <c:showSerName val="0"/>
          <c:showPercent val="0"/>
          <c:showBubbleSize val="0"/>
        </c:dLbls>
        <c:gapWidth val="219"/>
        <c:overlap val="-27"/>
        <c:axId val="410780160"/>
        <c:axId val="495325696"/>
      </c:barChart>
      <c:catAx>
        <c:axId val="41078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5325696"/>
        <c:crosses val="autoZero"/>
        <c:auto val="1"/>
        <c:lblAlgn val="ctr"/>
        <c:lblOffset val="100"/>
        <c:noMultiLvlLbl val="0"/>
      </c:catAx>
      <c:valAx>
        <c:axId val="495325696"/>
        <c:scaling>
          <c:orientation val="minMax"/>
          <c:min val="1000000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078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'Turismo Nacional'!$W$213</c:f>
              <c:strCache>
                <c:ptCount val="1"/>
                <c:pt idx="0">
                  <c:v>2024</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'Turismo Nacional'!$V$214:$V$216</c:f>
              <c:strCache>
                <c:ptCount val="3"/>
                <c:pt idx="0">
                  <c:v>Turistas internacionales</c:v>
                </c:pt>
                <c:pt idx="1">
                  <c:v>Excursionistas internacionales</c:v>
                </c:pt>
                <c:pt idx="2">
                  <c:v>Total entradas</c:v>
                </c:pt>
              </c:strCache>
            </c:strRef>
          </c:cat>
          <c:val>
            <c:numRef>
              <c:f>'Turismo Nacional'!$W$214:$W$216</c:f>
              <c:numCache>
                <c:formatCode>_-* #,##0.0_-;\-* #,##0.0_-;_-* "-"??_-;_-@_-</c:formatCode>
                <c:ptCount val="3"/>
                <c:pt idx="0">
                  <c:v>18764.601124000001</c:v>
                </c:pt>
                <c:pt idx="1">
                  <c:v>1535.87517</c:v>
                </c:pt>
                <c:pt idx="2">
                  <c:v>20300.476294</c:v>
                </c:pt>
              </c:numCache>
            </c:numRef>
          </c:val>
          <c:extLst>
            <c:ext xmlns:c16="http://schemas.microsoft.com/office/drawing/2014/chart" uri="{C3380CC4-5D6E-409C-BE32-E72D297353CC}">
              <c16:uniqueId val="{00000000-9AE1-45AD-9E57-445A26E8A133}"/>
            </c:ext>
          </c:extLst>
        </c:ser>
        <c:ser>
          <c:idx val="1"/>
          <c:order val="1"/>
          <c:tx>
            <c:strRef>
              <c:f>'Turismo Nacional'!$X$213</c:f>
              <c:strCache>
                <c:ptCount val="1"/>
                <c:pt idx="0">
                  <c:v>2025</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'Turismo Nacional'!$V$214:$V$216</c:f>
              <c:strCache>
                <c:ptCount val="3"/>
                <c:pt idx="0">
                  <c:v>Turistas internacionales</c:v>
                </c:pt>
                <c:pt idx="1">
                  <c:v>Excursionistas internacionales</c:v>
                </c:pt>
                <c:pt idx="2">
                  <c:v>Total entradas</c:v>
                </c:pt>
              </c:strCache>
            </c:strRef>
          </c:cat>
          <c:val>
            <c:numRef>
              <c:f>'Turismo Nacional'!$X$214:$X$216</c:f>
              <c:numCache>
                <c:formatCode>_-* #,##0.0_-;\-* #,##0.0_-;_-* "-"??_-;_-@_-</c:formatCode>
                <c:ptCount val="3"/>
                <c:pt idx="0">
                  <c:v>19848.504618999999</c:v>
                </c:pt>
                <c:pt idx="1">
                  <c:v>1833.019104</c:v>
                </c:pt>
                <c:pt idx="2">
                  <c:v>21681.523722999998</c:v>
                </c:pt>
              </c:numCache>
            </c:numRef>
          </c:val>
          <c:extLst>
            <c:ext xmlns:c16="http://schemas.microsoft.com/office/drawing/2014/chart" uri="{C3380CC4-5D6E-409C-BE32-E72D297353CC}">
              <c16:uniqueId val="{00000001-9AE1-45AD-9E57-445A26E8A133}"/>
            </c:ext>
          </c:extLst>
        </c:ser>
        <c:dLbls>
          <c:dLblPos val="outEnd"/>
          <c:showLegendKey val="0"/>
          <c:showVal val="1"/>
          <c:showCatName val="0"/>
          <c:showSerName val="0"/>
          <c:showPercent val="0"/>
          <c:showBubbleSize val="0"/>
        </c:dLbls>
        <c:gapWidth val="219"/>
        <c:overlap val="-27"/>
        <c:axId val="414365696"/>
        <c:axId val="495327424"/>
      </c:barChart>
      <c:catAx>
        <c:axId val="41436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5327424"/>
        <c:crosses val="autoZero"/>
        <c:auto val="1"/>
        <c:lblAlgn val="ctr"/>
        <c:lblOffset val="100"/>
        <c:noMultiLvlLbl val="0"/>
      </c:catAx>
      <c:valAx>
        <c:axId val="495327424"/>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436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'Turismo Nacional'!$A$298</c:f>
              <c:strCache>
                <c:ptCount val="1"/>
                <c:pt idx="0">
                  <c:v>2022</c:v>
                </c:pt>
              </c:strCache>
            </c:strRef>
          </c:tx>
          <c:spPr>
            <a:ln w="28575" cap="rnd">
              <a:solidFill>
                <a:schemeClr val="accent1"/>
              </a:solidFill>
              <a:round/>
            </a:ln>
            <a:effectLst/>
          </c:spPr>
          <c:marker>
            <c:symbol val="none"/>
          </c:marker>
          <c:cat>
            <c:strRef>
              <c:f>'Turismo Nacional'!$U$320:$U$331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'Turismo Nacional'!$B$299:$B$310</c:f>
              <c:numCache>
                <c:formatCode>###\ ###\ ##0.00</c:formatCode>
                <c:ptCount val="12"/>
                <c:pt idx="0">
                  <c:v>427.89</c:v>
                </c:pt>
                <c:pt idx="1">
                  <c:v>457.01</c:v>
                </c:pt>
                <c:pt idx="2">
                  <c:v>470.5</c:v>
                </c:pt>
                <c:pt idx="3">
                  <c:v>453.32</c:v>
                </c:pt>
                <c:pt idx="4">
                  <c:v>432.99</c:v>
                </c:pt>
                <c:pt idx="5">
                  <c:v>433.67</c:v>
                </c:pt>
                <c:pt idx="6">
                  <c:v>455.22</c:v>
                </c:pt>
                <c:pt idx="7">
                  <c:v>418.12</c:v>
                </c:pt>
                <c:pt idx="8">
                  <c:v>367.13</c:v>
                </c:pt>
                <c:pt idx="9">
                  <c:v>358.94</c:v>
                </c:pt>
                <c:pt idx="10">
                  <c:v>399.74</c:v>
                </c:pt>
                <c:pt idx="11">
                  <c:v>422.36</c:v>
                </c:pt>
              </c:numCache>
            </c:numRef>
          </c:val>
          <c:smooth val="0"/>
          <c:extLst>
            <c:ext xmlns:c16="http://schemas.microsoft.com/office/drawing/2014/chart" uri="{C3380CC4-5D6E-409C-BE32-E72D297353CC}">
              <c16:uniqueId val="{00000000-7198-481E-ABCF-8207401FA125}"/>
            </c:ext>
          </c:extLst>
        </c:ser>
        <c:ser>
          <c:idx val="1"/>
          <c:order val="1"/>
          <c:tx>
            <c:strRef>
              <c:f>'Turismo Nacional'!$A$311</c:f>
              <c:strCache>
                <c:ptCount val="1"/>
                <c:pt idx="0">
                  <c:v>2023</c:v>
                </c:pt>
              </c:strCache>
            </c:strRef>
          </c:tx>
          <c:spPr>
            <a:ln w="28575" cap="rnd">
              <a:solidFill>
                <a:schemeClr val="accent2"/>
              </a:solidFill>
              <a:round/>
            </a:ln>
            <a:effectLst/>
          </c:spPr>
          <c:marker>
            <c:symbol val="none"/>
          </c:marker>
          <c:cat>
            <c:strRef>
              <c:f>'Turismo Nacional'!$U$320:$U$331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'Turismo Nacional'!$B$312:$B$323</c:f>
              <c:numCache>
                <c:formatCode>###\ ###\ ##0.00</c:formatCode>
                <c:ptCount val="12"/>
                <c:pt idx="0">
                  <c:v>463.28</c:v>
                </c:pt>
                <c:pt idx="1">
                  <c:v>475.89</c:v>
                </c:pt>
                <c:pt idx="2">
                  <c:v>456.11</c:v>
                </c:pt>
                <c:pt idx="3">
                  <c:v>430.63</c:v>
                </c:pt>
                <c:pt idx="4">
                  <c:v>388.29</c:v>
                </c:pt>
                <c:pt idx="5">
                  <c:v>401.99</c:v>
                </c:pt>
                <c:pt idx="6">
                  <c:v>411.5</c:v>
                </c:pt>
                <c:pt idx="7">
                  <c:v>372.54</c:v>
                </c:pt>
                <c:pt idx="8">
                  <c:v>327.52999999999997</c:v>
                </c:pt>
                <c:pt idx="9">
                  <c:v>342.42</c:v>
                </c:pt>
                <c:pt idx="10">
                  <c:v>392.42</c:v>
                </c:pt>
                <c:pt idx="11">
                  <c:v>431.61</c:v>
                </c:pt>
              </c:numCache>
            </c:numRef>
          </c:val>
          <c:smooth val="0"/>
          <c:extLst>
            <c:ext xmlns:c16="http://schemas.microsoft.com/office/drawing/2014/chart" uri="{C3380CC4-5D6E-409C-BE32-E72D297353CC}">
              <c16:uniqueId val="{00000001-7198-481E-ABCF-8207401FA125}"/>
            </c:ext>
          </c:extLst>
        </c:ser>
        <c:ser>
          <c:idx val="2"/>
          <c:order val="2"/>
          <c:tx>
            <c:strRef>
              <c:f>'Turismo Nacional'!$A$324</c:f>
              <c:strCache>
                <c:ptCount val="1"/>
                <c:pt idx="0">
                  <c:v>2024</c:v>
                </c:pt>
              </c:strCache>
            </c:strRef>
          </c:tx>
          <c:spPr>
            <a:ln w="28575" cap="rnd">
              <a:solidFill>
                <a:schemeClr val="accent3"/>
              </a:solidFill>
              <a:round/>
            </a:ln>
            <a:effectLst/>
          </c:spPr>
          <c:marker>
            <c:symbol val="none"/>
          </c:marker>
          <c:cat>
            <c:strRef>
              <c:f>'Turismo Nacional'!$U$320:$U$331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'Turismo Nacional'!$B$325:$B$336</c:f>
              <c:numCache>
                <c:formatCode>###\ ###\ ##0.00</c:formatCode>
                <c:ptCount val="12"/>
                <c:pt idx="0">
                  <c:v>463.71</c:v>
                </c:pt>
                <c:pt idx="1">
                  <c:v>479.34</c:v>
                </c:pt>
                <c:pt idx="2">
                  <c:v>458.83</c:v>
                </c:pt>
                <c:pt idx="3">
                  <c:v>400.17</c:v>
                </c:pt>
                <c:pt idx="4">
                  <c:v>366.27</c:v>
                </c:pt>
                <c:pt idx="5">
                  <c:v>362</c:v>
                </c:pt>
                <c:pt idx="6">
                  <c:v>363.88</c:v>
                </c:pt>
                <c:pt idx="7">
                  <c:v>317.04000000000002</c:v>
                </c:pt>
                <c:pt idx="8">
                  <c:v>285</c:v>
                </c:pt>
                <c:pt idx="9">
                  <c:v>298.60000000000002</c:v>
                </c:pt>
                <c:pt idx="10">
                  <c:v>362.13</c:v>
                </c:pt>
                <c:pt idx="11">
                  <c:v>410.37</c:v>
                </c:pt>
              </c:numCache>
            </c:numRef>
          </c:val>
          <c:smooth val="0"/>
          <c:extLst>
            <c:ext xmlns:c16="http://schemas.microsoft.com/office/drawing/2014/chart" uri="{C3380CC4-5D6E-409C-BE32-E72D297353CC}">
              <c16:uniqueId val="{00000002-7198-481E-ABCF-8207401FA125}"/>
            </c:ext>
          </c:extLst>
        </c:ser>
        <c:ser>
          <c:idx val="3"/>
          <c:order val="3"/>
          <c:tx>
            <c:strRef>
              <c:f>'Turismo Nacional'!$A$337</c:f>
              <c:strCache>
                <c:ptCount val="1"/>
                <c:pt idx="0">
                  <c:v>2025</c:v>
                </c:pt>
              </c:strCache>
            </c:strRef>
          </c:tx>
          <c:spPr>
            <a:ln w="28575" cap="rnd">
              <a:solidFill>
                <a:schemeClr val="accent4"/>
              </a:solidFill>
              <a:round/>
            </a:ln>
            <a:effectLst/>
          </c:spPr>
          <c:marker>
            <c:symbol val="none"/>
          </c:marker>
          <c:cat>
            <c:strRef>
              <c:f>'Turismo Nacional'!$U$320:$U$331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'Turismo Nacional'!$B$338:$B$344</c:f>
              <c:numCache>
                <c:formatCode>###\ ###\ ##0.00</c:formatCode>
                <c:ptCount val="7"/>
                <c:pt idx="0">
                  <c:v>416.41</c:v>
                </c:pt>
                <c:pt idx="1">
                  <c:v>440.82</c:v>
                </c:pt>
                <c:pt idx="2">
                  <c:v>438.2</c:v>
                </c:pt>
                <c:pt idx="3">
                  <c:v>396.8</c:v>
                </c:pt>
                <c:pt idx="4">
                  <c:v>329.88</c:v>
                </c:pt>
                <c:pt idx="5">
                  <c:v>343.06</c:v>
                </c:pt>
                <c:pt idx="6" formatCode="#,##0.00">
                  <c:v>357</c:v>
                </c:pt>
              </c:numCache>
            </c:numRef>
          </c:val>
          <c:smooth val="0"/>
          <c:extLst>
            <c:ext xmlns:c16="http://schemas.microsoft.com/office/drawing/2014/chart" uri="{C3380CC4-5D6E-409C-BE32-E72D297353CC}">
              <c16:uniqueId val="{00000003-7198-481E-ABCF-8207401FA125}"/>
            </c:ext>
          </c:extLst>
        </c:ser>
        <c:dLbls>
          <c:showLegendKey val="0"/>
          <c:showVal val="0"/>
          <c:showCatName val="0"/>
          <c:showSerName val="0"/>
          <c:showPercent val="0"/>
          <c:showBubbleSize val="0"/>
        </c:dLbls>
        <c:smooth val="0"/>
        <c:axId val="412844032"/>
        <c:axId val="495607808"/>
      </c:lineChart>
      <c:catAx>
        <c:axId val="41284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5607808"/>
        <c:crosses val="autoZero"/>
        <c:auto val="1"/>
        <c:lblAlgn val="ctr"/>
        <c:lblOffset val="100"/>
        <c:noMultiLvlLbl val="0"/>
      </c:catAx>
      <c:valAx>
        <c:axId val="495607808"/>
        <c:scaling>
          <c:orientation val="minMax"/>
          <c:min val="250"/>
        </c:scaling>
        <c:delete val="0"/>
        <c:axPos val="l"/>
        <c:majorGridlines>
          <c:spPr>
            <a:ln w="9525" cap="flat" cmpd="sng" algn="ctr">
              <a:solidFill>
                <a:schemeClr val="tx1">
                  <a:lumMod val="15000"/>
                  <a:lumOff val="85000"/>
                </a:schemeClr>
              </a:solidFill>
              <a:round/>
            </a:ln>
            <a:effectLst/>
          </c:spPr>
        </c:majorGridlines>
        <c:numFmt formatCode="###\ ###\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28440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SAEFP 2022-2027">
      <a:dk1>
        <a:sysClr val="windowText" lastClr="000000"/>
      </a:dk1>
      <a:lt1>
        <a:sysClr val="window" lastClr="FFFFFF"/>
      </a:lt1>
      <a:dk2>
        <a:srgbClr val="B0ABA1"/>
      </a:dk2>
      <a:lt2>
        <a:srgbClr val="440412"/>
      </a:lt2>
      <a:accent1>
        <a:srgbClr val="AB0A3D"/>
      </a:accent1>
      <a:accent2>
        <a:srgbClr val="B68400"/>
      </a:accent2>
      <a:accent3>
        <a:srgbClr val="B0ABA1"/>
      </a:accent3>
      <a:accent4>
        <a:srgbClr val="440412"/>
      </a:accent4>
      <a:accent5>
        <a:srgbClr val="3D3935"/>
      </a:accent5>
      <a:accent6>
        <a:srgbClr val="1B98BF"/>
      </a:accent6>
      <a:hlink>
        <a:srgbClr val="75A323"/>
      </a:hlink>
      <a:folHlink>
        <a:srgbClr val="060BD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4V7gY88aoeMiurALahSvPmRZjg==">CgMxLjA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</go:docsCustomData>
</go:gDocsCustomXmlDataStorage>
</file>

<file path=customXml/itemProps1.xml><?xml version="1.0" encoding="utf-8"?>
<ds:datastoreItem xmlns:ds="http://schemas.openxmlformats.org/officeDocument/2006/customXml" ds:itemID="{70EF0654-3FA2-414A-8D51-B8F3EE2AA9E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100</Pages>
  <Words>23770</Words>
  <Characters>130735</Characters>
  <Application>Microsoft Office Word</Application>
  <DocSecurity>0</DocSecurity>
  <Lines>1089</Lines>
  <Paragraphs>308</Paragraphs>
  <ScaleCrop>false</ScaleCrop>
  <HeadingPairs>
    <vt:vector size="2" baseType="variant">
      <vt:variant>
        <vt:lpstr>Título</vt:lpstr>
      </vt:variant>
      <vt:variant>
        <vt:i4>1</vt:i4>
      </vt:variant>
    </vt:vector>
  </HeadingPairs>
  <TitlesOfParts>
    <vt:vector size="1" baseType="lpstr">
      <vt:lpstr>Entorno Económico Quintana Roo 2026</vt:lpstr>
    </vt:vector>
  </TitlesOfParts>
  <Manager>SEFIPLAN</Manager>
  <Company>SEFIPLAN</Company>
  <LinksUpToDate>false</LinksUpToDate>
  <CharactersWithSpaces>154197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Entorno Económico Quintana Roo 2026</dc:title>
  <dc:subject>Entorno Económico de Quintana Roo para el Paquete Fiscal 2026</dc:subject>
  <dc:creator>SEFIPLAN</dc:creator>
  <cp:keywords>entorno económico</cp:keywords>
  <dc:description>Elaborado por la Dirección de Información Estadística y Análisis Económico (DIEAE) de la Subsecretaría de Análisis Económico y Finanzas Públicas (SSAEFP) de la Secretaría de Finanzas y Planeación (SEFIPLAN)</dc:description>
  <cp:lastModifiedBy>Rolando BC</cp:lastModifiedBy>
  <cp:revision>5</cp:revision>
  <cp:lastPrinted>2025-11-14T14:19:00Z</cp:lastPrinted>
  <dcterms:created xsi:type="dcterms:W3CDTF">2025-11-13T23:38:00Z</dcterms:created>
  <dcterms:modified xsi:type="dcterms:W3CDTF">2025-11-14T14:19:00Z</dcterms:modified>
  <cp:category>Entorno Económico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0x010100CE3FDBE57A91394691026532DB800814</vt:lpwstr>
  </property>
</Properties>
</file>