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top w:val="single" w:sz="0" w:space="2" w:color="3D3A35"/>
          <w:left w:val="single" w:sz="0" w:space="0" w:color="3D3A35"/>
          <w:bottom w:val="single" w:sz="0" w:space="5" w:color="3D3A35"/>
          <w:right w:val="single" w:sz="0" w:space="0" w:color="3D3A35"/>
        </w:pBdr>
        <w:shd w:val="clear" w:color="auto" w:fill="3D3A35"/>
        <w:bidi w:val="0"/>
        <w:spacing w:before="0" w:after="0"/>
        <w:ind w:left="0" w:right="0" w:firstLine="0"/>
        <w:jc w:val="center"/>
      </w:pPr>
      <w:r>
        <w:rPr>
          <w:color w:val="FFFFFF"/>
          <w:spacing w:val="0"/>
          <w:w w:val="100"/>
          <w:position w:val="0"/>
          <w:shd w:val="clear" w:color="auto" w:fill="auto"/>
          <w:lang w:val="es-ES" w:eastAsia="es-ES" w:bidi="es-ES"/>
        </w:rPr>
        <w:t>GOBIERNO DEL ESTADO LIBRE Y SOBERANO DE QUINTANA ROO</w:t>
        <w:br/>
        <w:t>RESULTADOS DE INGRESOS - LDF</w:t>
      </w:r>
    </w:p>
    <w:p>
      <w:pPr>
        <w:pStyle w:val="Style2"/>
        <w:keepNext w:val="0"/>
        <w:keepLines w:val="0"/>
        <w:widowControl w:val="0"/>
        <w:pBdr>
          <w:top w:val="single" w:sz="4" w:space="2" w:color="3D3A35"/>
          <w:left w:val="single" w:sz="4" w:space="0" w:color="3D3A35"/>
          <w:bottom w:val="single" w:sz="4" w:space="5" w:color="3D3A35"/>
          <w:right w:val="single" w:sz="4" w:space="0" w:color="3D3A35"/>
        </w:pBdr>
        <w:shd w:val="clear" w:color="auto" w:fill="3D3A35"/>
        <w:bidi w:val="0"/>
        <w:spacing w:before="0" w:after="0"/>
        <w:ind w:left="0" w:right="0" w:firstLine="0"/>
        <w:jc w:val="center"/>
      </w:pPr>
      <w:r>
        <w:rPr>
          <w:b w:val="0"/>
          <w:bCs w:val="0"/>
          <w:color w:val="FFFFFF"/>
          <w:spacing w:val="0"/>
          <w:w w:val="100"/>
          <w:position w:val="0"/>
          <w:shd w:val="clear" w:color="auto" w:fill="auto"/>
          <w:lang w:val="es-ES" w:eastAsia="es-ES" w:bidi="es-ES"/>
        </w:rPr>
        <w:t>(en pesos)</w:t>
      </w:r>
    </w:p>
    <w:p>
      <w:pPr>
        <w:pStyle w:val="Style5"/>
        <w:keepNext w:val="0"/>
        <w:keepLines w:val="0"/>
        <w:widowControl w:val="0"/>
        <w:pBdr>
          <w:top w:val="single" w:sz="0" w:space="2" w:color="3D3A35"/>
          <w:left w:val="single" w:sz="0" w:space="0" w:color="3D3A35"/>
          <w:bottom w:val="single" w:sz="0" w:space="5" w:color="3D3A35"/>
          <w:right w:val="single" w:sz="0" w:space="0" w:color="3D3A35"/>
        </w:pBdr>
        <w:shd w:val="clear" w:color="auto" w:fill="3D3A35"/>
        <w:tabs>
          <w:tab w:pos="2227" w:val="left"/>
          <w:tab w:pos="3197" w:val="left"/>
          <w:tab w:pos="4166" w:val="left"/>
          <w:tab w:pos="5174" w:val="left"/>
          <w:tab w:pos="6144" w:val="left"/>
          <w:tab w:pos="7114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es-ES" w:eastAsia="es-ES" w:bidi="es-ES"/>
        </w:rPr>
        <w:t>Concepto</w:t>
        <w:tab/>
        <w:t>2020</w:t>
      </w:r>
      <w:r>
        <w:rPr>
          <w:rFonts w:ascii="Calibri" w:eastAsia="Calibri" w:hAnsi="Calibri" w:cs="Calibri"/>
          <w:spacing w:val="0"/>
          <w:w w:val="100"/>
          <w:position w:val="0"/>
          <w:sz w:val="13"/>
          <w:szCs w:val="13"/>
          <w:shd w:val="clear" w:color="auto" w:fill="auto"/>
          <w:lang w:val="es-ES" w:eastAsia="es-ES" w:bidi="es-ES"/>
        </w:rPr>
        <w:t>’</w:t>
        <w:tab/>
      </w:r>
      <w:r>
        <w:rPr>
          <w:spacing w:val="0"/>
          <w:w w:val="100"/>
          <w:position w:val="0"/>
          <w:shd w:val="clear" w:color="auto" w:fill="auto"/>
          <w:lang w:val="es-ES" w:eastAsia="es-ES" w:bidi="es-ES"/>
        </w:rPr>
        <w:t>2021</w:t>
      </w:r>
      <w:r>
        <w:rPr>
          <w:rFonts w:ascii="Calibri" w:eastAsia="Calibri" w:hAnsi="Calibri" w:cs="Calibri"/>
          <w:spacing w:val="0"/>
          <w:w w:val="100"/>
          <w:position w:val="0"/>
          <w:sz w:val="13"/>
          <w:szCs w:val="13"/>
          <w:shd w:val="clear" w:color="auto" w:fill="auto"/>
          <w:lang w:val="es-ES" w:eastAsia="es-ES" w:bidi="es-ES"/>
        </w:rPr>
        <w:t>’</w:t>
        <w:tab/>
      </w:r>
      <w:r>
        <w:rPr>
          <w:spacing w:val="0"/>
          <w:w w:val="100"/>
          <w:position w:val="0"/>
          <w:shd w:val="clear" w:color="auto" w:fill="auto"/>
          <w:lang w:val="es-ES" w:eastAsia="es-ES" w:bidi="es-ES"/>
        </w:rPr>
        <w:t>2022</w:t>
      </w:r>
      <w:r>
        <w:rPr>
          <w:rFonts w:ascii="Calibri" w:eastAsia="Calibri" w:hAnsi="Calibri" w:cs="Calibri"/>
          <w:spacing w:val="0"/>
          <w:w w:val="100"/>
          <w:position w:val="0"/>
          <w:sz w:val="13"/>
          <w:szCs w:val="13"/>
          <w:shd w:val="clear" w:color="auto" w:fill="auto"/>
          <w:lang w:val="es-ES" w:eastAsia="es-ES" w:bidi="es-ES"/>
        </w:rPr>
        <w:t>’</w:t>
        <w:tab/>
      </w:r>
      <w:r>
        <w:rPr>
          <w:spacing w:val="0"/>
          <w:w w:val="100"/>
          <w:position w:val="0"/>
          <w:shd w:val="clear" w:color="auto" w:fill="auto"/>
          <w:lang w:val="es-ES" w:eastAsia="es-ES" w:bidi="es-ES"/>
        </w:rPr>
        <w:t>2023</w:t>
      </w:r>
      <w:r>
        <w:rPr>
          <w:rFonts w:ascii="Calibri" w:eastAsia="Calibri" w:hAnsi="Calibri" w:cs="Calibri"/>
          <w:spacing w:val="0"/>
          <w:w w:val="100"/>
          <w:position w:val="0"/>
          <w:sz w:val="13"/>
          <w:szCs w:val="13"/>
          <w:shd w:val="clear" w:color="auto" w:fill="auto"/>
          <w:lang w:val="es-ES" w:eastAsia="es-ES" w:bidi="es-ES"/>
        </w:rPr>
        <w:t>’</w:t>
        <w:tab/>
      </w:r>
      <w:r>
        <w:rPr>
          <w:spacing w:val="0"/>
          <w:w w:val="100"/>
          <w:position w:val="0"/>
          <w:shd w:val="clear" w:color="auto" w:fill="auto"/>
          <w:lang w:val="es-ES" w:eastAsia="es-ES" w:bidi="es-ES"/>
        </w:rPr>
        <w:t>2024</w:t>
      </w:r>
      <w:r>
        <w:rPr>
          <w:rFonts w:ascii="Calibri" w:eastAsia="Calibri" w:hAnsi="Calibri" w:cs="Calibri"/>
          <w:spacing w:val="0"/>
          <w:w w:val="100"/>
          <w:position w:val="0"/>
          <w:sz w:val="13"/>
          <w:szCs w:val="13"/>
          <w:shd w:val="clear" w:color="auto" w:fill="auto"/>
          <w:lang w:val="es-ES" w:eastAsia="es-ES" w:bidi="es-ES"/>
        </w:rPr>
        <w:t>’</w:t>
        <w:tab/>
      </w:r>
      <w:r>
        <w:rPr>
          <w:spacing w:val="0"/>
          <w:w w:val="100"/>
          <w:position w:val="0"/>
          <w:shd w:val="clear" w:color="auto" w:fill="auto"/>
          <w:lang w:val="es-ES" w:eastAsia="es-ES" w:bidi="es-ES"/>
        </w:rPr>
        <w:t>2025’</w:t>
      </w:r>
    </w:p>
    <w:tbl>
      <w:tblPr>
        <w:tblOverlap w:val="never"/>
        <w:jc w:val="center"/>
        <w:tblLayout w:type="fixed"/>
      </w:tblPr>
      <w:tblGrid>
        <w:gridCol w:w="3312"/>
        <w:gridCol w:w="1022"/>
        <w:gridCol w:w="974"/>
        <w:gridCol w:w="979"/>
        <w:gridCol w:w="979"/>
        <w:gridCol w:w="979"/>
        <w:gridCol w:w="917"/>
      </w:tblGrid>
      <w:tr>
        <w:trPr>
          <w:trHeight w:val="130" w:hRule="exact"/>
        </w:trPr>
        <w:tc>
          <w:tcPr>
            <w:gridSpan w:val="7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1. Ingresos de Libre Disposición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(1=A+B+C+D+E+F+G+H+I+J+K+L)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17,092,730,114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18,743,820,009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22,665,554,524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30,956,617,827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32,475,287,833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35,935,427,831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A. Impuestos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2,901,028,925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4,151,201,207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5,357,919,369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8,340,456,780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10,086,781,441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10,706,508,454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B. Cuotas y Aportaciones de Seguridad Social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C. Contribuciones de Mejoras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D. Derechos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1,318,991,479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1,485,828,111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1,707,481,341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2,427,794,353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2,321,969,670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2,755,565,899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E. Productos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78,349,508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52,522,141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81,541,972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356,664,090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550,424,625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484,845,540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F. Aprovechamientos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295,625,881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378,952,332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1,227,053,177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278,616,216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649,315,897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260,062,510</w:t>
            </w: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G. Ingresos por Venta de Bienes y Prestación de Servicios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H. Participaciones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11,563,124,196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11,485,338,889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12,480,178,113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17,478,430,568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16,988,764,740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19,579,392,308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I. Incentivos Derivados de la Colaboración Fiscal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935,610,125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1,189,977,330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1,811,380,553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2,074,655,819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1,878,031,460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2,149,053,120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J. Transferencias y Asignaciones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K. Convenios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L. Otros Ingresos de Libre Disposición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2. Transferencias Federales Etiquetadas (2=A+B+C+D+E)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14,397,372,938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14,000,345,650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16,148,305,978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17,257,797,666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16,424,973,412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16,425,790,449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A. Aportaciones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11,303,786,280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11,702,404,730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13,218,685,972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14,505,281,135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13,478,941,305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13,906,555,331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B. Convenios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3,093,586,658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2,297,940,920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2,929,620,006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2,752,516,531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2,946,032,106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2,519,235,118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C. Fondos Distintos de Aportaciones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D. Transferencias, Asignaciones, Subsidios y Subvenciones, y Pensiones y Jubilaciones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E. Otras Transferencias Federales Etiquetadas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3. Ingresos Derivados de Financiamientos (3=A)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21,328,253,804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2,684,303,707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2,025,696,293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19,306,765,811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A. Ingresos Derivados de Financiamientos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21,328,253,804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2,684,303,707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2,025,696,293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19,306,765,811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4. Total de Resultados de Ingresos (4=1+2+3)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52,818,356,857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35,428,469,366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40,839,556,796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48,214,415,493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68,207,027,056</w:t>
            </w:r>
          </w:p>
        </w:tc>
        <w:tc>
          <w:tcPr>
            <w:tcBorders/>
            <w:shd w:val="clear" w:color="auto" w:fill="AFABA0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52,361,218,280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Datos Informativos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1. Ingresos Derivados de Financiamientos con Fuente de Pago de Recursos de Libre Disposición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21,328,253,804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2,684,303,707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2,025,696,293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19,306,765,811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19,306,765,811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2. Ingresos Derivados de Financiamientos con Fuente de Pago de Transferencias Federales Etiquetadas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3. Ingresos Derivados de Financiamiento (3 = 1 + 2)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21,328,253,804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2,684,303,707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2,025,696,293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19,306,765,811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19,306,765,811</w:t>
            </w:r>
          </w:p>
        </w:tc>
      </w:tr>
    </w:tbl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s-ES" w:eastAsia="es-ES" w:bidi="es-ES"/>
        </w:rPr>
        <w:t xml:space="preserve">' </w:t>
      </w: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Los importes corresponden al momento contable de los ingresos devengados.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Fonts w:ascii="Arial Narrow" w:eastAsia="Arial Narrow" w:hAnsi="Arial Narrow" w:cs="Arial Narrow"/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NOTA: Las cifras pueden presentar diferencias por redondeo.</w:t>
      </w:r>
    </w:p>
    <w:sectPr>
      <w:footnotePr>
        <w:pos w:val="pageBottom"/>
        <w:numFmt w:val="decimal"/>
        <w:numRestart w:val="continuous"/>
      </w:footnotePr>
      <w:pgSz w:w="11900" w:h="16840"/>
      <w:pgMar w:top="1918" w:left="1361" w:right="1375" w:bottom="1918" w:header="1490" w:footer="149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es-ES" w:eastAsia="es-ES" w:bidi="es-ES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es-ES" w:eastAsia="es-ES" w:bidi="es-ES"/>
    </w:rPr>
  </w:style>
  <w:style w:type="character" w:customStyle="1" w:styleId="CharStyle3">
    <w:name w:val="Cuerpo del texto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CharStyle6">
    <w:name w:val="Cuerpo del texto (2)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color w:val="E7E6E6"/>
      <w:sz w:val="13"/>
      <w:szCs w:val="13"/>
      <w:u w:val="none"/>
    </w:rPr>
  </w:style>
  <w:style w:type="character" w:customStyle="1" w:styleId="CharStyle9">
    <w:name w:val="Leyenda de la tabla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3">
    <w:name w:val="Otro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Cuerpo del texto"/>
    <w:basedOn w:val="Normal"/>
    <w:link w:val="CharStyle3"/>
    <w:pPr>
      <w:widowControl w:val="0"/>
      <w:shd w:val="clear" w:color="auto" w:fill="FFFFFF"/>
      <w:spacing w:after="80" w:line="288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6"/>
      <w:szCs w:val="16"/>
      <w:u w:val="none"/>
    </w:rPr>
  </w:style>
  <w:style w:type="paragraph" w:customStyle="1" w:styleId="Style5">
    <w:name w:val="Cuerpo del texto (2)"/>
    <w:basedOn w:val="Normal"/>
    <w:link w:val="CharStyle6"/>
    <w:pPr>
      <w:widowControl w:val="0"/>
      <w:shd w:val="clear" w:color="auto" w:fill="FFFFFF"/>
      <w:spacing w:after="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E7E6E6"/>
      <w:sz w:val="13"/>
      <w:szCs w:val="13"/>
      <w:u w:val="none"/>
    </w:rPr>
  </w:style>
  <w:style w:type="paragraph" w:customStyle="1" w:styleId="Style8">
    <w:name w:val="Leyenda de la tabla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12">
    <w:name w:val="Otro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MELGEN AMIN</dc:creator>
  <cp:keywords/>
</cp:coreProperties>
</file>