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EB5B7" w14:textId="77777777" w:rsidR="00E0460C" w:rsidRPr="00F30FD1" w:rsidRDefault="00E0460C" w:rsidP="00257B66">
      <w:pPr>
        <w:pStyle w:val="Ttulo"/>
        <w:rPr>
          <w:lang w:val="es-MX" w:eastAsia="en-US"/>
        </w:rPr>
      </w:pPr>
    </w:p>
    <w:p w14:paraId="023DDD24" w14:textId="77777777" w:rsidR="00C22C55" w:rsidRPr="00F30FD1" w:rsidRDefault="00C22C55" w:rsidP="00E0460C">
      <w:pPr>
        <w:rPr>
          <w:lang w:val="es-MX" w:eastAsia="en-US"/>
        </w:rPr>
      </w:pPr>
    </w:p>
    <w:p w14:paraId="1A594F46" w14:textId="77777777" w:rsidR="00C22C55" w:rsidRPr="00F30FD1" w:rsidRDefault="00C22C55" w:rsidP="00E0460C">
      <w:pPr>
        <w:rPr>
          <w:lang w:val="es-MX" w:eastAsia="en-US"/>
        </w:rPr>
      </w:pPr>
    </w:p>
    <w:p w14:paraId="6F42F5D0" w14:textId="77777777" w:rsidR="00E0460C" w:rsidRPr="00F30FD1" w:rsidRDefault="00E0460C" w:rsidP="00C22C55"/>
    <w:p w14:paraId="76DD250B" w14:textId="77777777" w:rsidR="00E0460C" w:rsidRPr="00F30FD1" w:rsidRDefault="00E0460C" w:rsidP="00C22C55">
      <w:pPr>
        <w:rPr>
          <w:rFonts w:cs="Futura"/>
          <w:b/>
          <w:color w:val="595959" w:themeColor="text1" w:themeTint="A6"/>
          <w:sz w:val="44"/>
          <w:szCs w:val="44"/>
        </w:rPr>
      </w:pPr>
    </w:p>
    <w:p w14:paraId="1CE31A33" w14:textId="77777777" w:rsidR="00C22C55" w:rsidRPr="00F30FD1" w:rsidRDefault="00C22C55" w:rsidP="00C22C55">
      <w:pPr>
        <w:rPr>
          <w:rFonts w:cs="Futura"/>
          <w:b/>
          <w:color w:val="595959" w:themeColor="text1" w:themeTint="A6"/>
          <w:sz w:val="44"/>
          <w:szCs w:val="44"/>
        </w:rPr>
      </w:pPr>
    </w:p>
    <w:p w14:paraId="4F70CC1A" w14:textId="7C6093EC" w:rsidR="00E0460C" w:rsidRPr="00F30FD1" w:rsidRDefault="00582769" w:rsidP="005B61D5">
      <w:pPr>
        <w:jc w:val="center"/>
        <w:rPr>
          <w:rFonts w:cs="Futura"/>
          <w:b/>
          <w:color w:val="4BACC6" w:themeColor="accent5"/>
          <w:sz w:val="44"/>
          <w:szCs w:val="44"/>
        </w:rPr>
      </w:pPr>
      <w:r w:rsidRPr="00F30FD1">
        <w:rPr>
          <w:rFonts w:cs="Futura"/>
          <w:b/>
          <w:color w:val="4BACC6" w:themeColor="accent5"/>
          <w:sz w:val="44"/>
          <w:szCs w:val="44"/>
        </w:rPr>
        <w:t xml:space="preserve">ACTUALIZACIÓN DEL </w:t>
      </w:r>
      <w:r w:rsidR="00E0460C" w:rsidRPr="00F30FD1">
        <w:rPr>
          <w:rFonts w:cs="Futura"/>
          <w:b/>
          <w:color w:val="4BACC6" w:themeColor="accent5"/>
          <w:sz w:val="44"/>
          <w:szCs w:val="44"/>
        </w:rPr>
        <w:t xml:space="preserve">PROGRAMA SECTORIAL DE </w:t>
      </w:r>
      <w:r w:rsidR="003A3F5E" w:rsidRPr="00F30FD1">
        <w:rPr>
          <w:rFonts w:cs="Futura"/>
          <w:b/>
          <w:color w:val="4BACC6" w:themeColor="accent5"/>
          <w:sz w:val="44"/>
          <w:szCs w:val="44"/>
        </w:rPr>
        <w:t>FINANZAS PÚBLICAS Y PLANEACIÓN ESTRATÉGICA</w:t>
      </w:r>
    </w:p>
    <w:p w14:paraId="3552D66A" w14:textId="77777777" w:rsidR="00E0460C" w:rsidRPr="00F30FD1" w:rsidRDefault="00E0460C" w:rsidP="00C22C55">
      <w:pPr>
        <w:rPr>
          <w:rFonts w:cs="Futura"/>
          <w:color w:val="595959" w:themeColor="text1" w:themeTint="A6"/>
          <w:sz w:val="44"/>
          <w:szCs w:val="44"/>
        </w:rPr>
      </w:pPr>
    </w:p>
    <w:p w14:paraId="45F87999" w14:textId="77777777" w:rsidR="00E0460C" w:rsidRPr="00F30FD1" w:rsidRDefault="00E0460C" w:rsidP="00C22C55">
      <w:pPr>
        <w:rPr>
          <w:rFonts w:cs="Futura"/>
          <w:b/>
          <w:color w:val="595959" w:themeColor="text1" w:themeTint="A6"/>
          <w:sz w:val="32"/>
          <w:szCs w:val="32"/>
        </w:rPr>
      </w:pPr>
    </w:p>
    <w:p w14:paraId="685DBB4C" w14:textId="77777777" w:rsidR="00E0460C" w:rsidRPr="00F30FD1" w:rsidRDefault="00E0460C" w:rsidP="00C22C55">
      <w:pPr>
        <w:rPr>
          <w:rFonts w:cs="Futura"/>
          <w:b/>
          <w:color w:val="595959" w:themeColor="text1" w:themeTint="A6"/>
          <w:sz w:val="32"/>
          <w:szCs w:val="32"/>
        </w:rPr>
      </w:pPr>
    </w:p>
    <w:p w14:paraId="6EE72ED8" w14:textId="77777777" w:rsidR="00E0460C" w:rsidRPr="00F30FD1" w:rsidRDefault="00E0460C" w:rsidP="00C22C55">
      <w:pPr>
        <w:rPr>
          <w:rFonts w:cs="Futura"/>
          <w:b/>
          <w:color w:val="595959" w:themeColor="text1" w:themeTint="A6"/>
          <w:sz w:val="32"/>
          <w:szCs w:val="32"/>
        </w:rPr>
      </w:pPr>
    </w:p>
    <w:p w14:paraId="35FD0550" w14:textId="77777777" w:rsidR="00E0460C" w:rsidRPr="00F30FD1" w:rsidRDefault="00E0460C" w:rsidP="00C22C55">
      <w:pPr>
        <w:rPr>
          <w:rFonts w:cs="Futura"/>
          <w:b/>
          <w:color w:val="595959" w:themeColor="text1" w:themeTint="A6"/>
          <w:sz w:val="32"/>
          <w:szCs w:val="32"/>
        </w:rPr>
      </w:pPr>
    </w:p>
    <w:p w14:paraId="6E799D2C" w14:textId="77777777" w:rsidR="00E0460C" w:rsidRPr="00F30FD1" w:rsidRDefault="00E0460C" w:rsidP="00BF6402">
      <w:pPr>
        <w:rPr>
          <w:rFonts w:cs="Futura"/>
          <w:b/>
          <w:color w:val="595959" w:themeColor="text1" w:themeTint="A6"/>
          <w:sz w:val="32"/>
          <w:szCs w:val="32"/>
        </w:rPr>
      </w:pPr>
      <w:r w:rsidRPr="00F30FD1">
        <w:rPr>
          <w:rFonts w:eastAsia="Times New Roman" w:cs="Futura"/>
          <w:b/>
          <w:color w:val="595959"/>
          <w:sz w:val="32"/>
          <w:szCs w:val="32"/>
        </w:rPr>
        <w:br w:type="page"/>
      </w:r>
    </w:p>
    <w:p w14:paraId="4A8F8CE1" w14:textId="77777777" w:rsidR="005F7240" w:rsidRPr="00F30FD1" w:rsidRDefault="005F7240" w:rsidP="00EB0C4B">
      <w:pPr>
        <w:keepNext/>
        <w:keepLines/>
        <w:tabs>
          <w:tab w:val="left" w:leader="dot" w:pos="7938"/>
        </w:tabs>
        <w:spacing w:before="480"/>
        <w:rPr>
          <w:rFonts w:eastAsia="Times New Roman" w:cs="Futura"/>
          <w:b/>
          <w:color w:val="595959"/>
          <w:sz w:val="32"/>
          <w:szCs w:val="32"/>
        </w:rPr>
      </w:pPr>
      <w:r w:rsidRPr="00F30FD1">
        <w:rPr>
          <w:rFonts w:eastAsia="Times New Roman" w:cs="Futura"/>
          <w:b/>
          <w:color w:val="595959"/>
          <w:sz w:val="32"/>
          <w:szCs w:val="32"/>
        </w:rPr>
        <w:lastRenderedPageBreak/>
        <w:t>CONTENIDO</w:t>
      </w:r>
    </w:p>
    <w:p w14:paraId="001C8329" w14:textId="77777777" w:rsidR="00E0460C" w:rsidRPr="00F30FD1" w:rsidRDefault="00E0460C" w:rsidP="00B545F3">
      <w:pPr>
        <w:rPr>
          <w:rFonts w:eastAsia="Calibri" w:cs="Times New Roman"/>
          <w:b/>
          <w:bCs/>
          <w:szCs w:val="22"/>
          <w:lang w:val="es-MX" w:eastAsia="en-US"/>
        </w:rPr>
      </w:pPr>
    </w:p>
    <w:p w14:paraId="60E07331" w14:textId="3C0AC865" w:rsidR="00EB0C4B" w:rsidRPr="00F30FD1" w:rsidRDefault="00EB0C4B" w:rsidP="00EB0C4B">
      <w:pPr>
        <w:tabs>
          <w:tab w:val="left" w:pos="637"/>
          <w:tab w:val="left" w:leader="dot" w:pos="9498"/>
        </w:tabs>
        <w:spacing w:after="60" w:line="240" w:lineRule="auto"/>
        <w:jc w:val="left"/>
        <w:rPr>
          <w:lang w:val="es-ES"/>
        </w:rPr>
      </w:pPr>
      <w:r w:rsidRPr="00F30FD1">
        <w:rPr>
          <w:lang w:val="es-ES"/>
        </w:rPr>
        <w:t>I.</w:t>
      </w:r>
      <w:r w:rsidRPr="00F30FD1">
        <w:rPr>
          <w:lang w:val="es-ES"/>
        </w:rPr>
        <w:tab/>
      </w:r>
      <w:r w:rsidRPr="00F30FD1">
        <w:rPr>
          <w:noProof/>
        </w:rPr>
        <w:t>PRESENTACIÓN</w:t>
      </w:r>
      <w:r w:rsidRPr="00F30FD1">
        <w:rPr>
          <w:lang w:val="es-ES"/>
        </w:rPr>
        <w:tab/>
      </w:r>
      <w:r w:rsidR="00950D81" w:rsidRPr="00F30FD1">
        <w:rPr>
          <w:lang w:val="es-ES"/>
        </w:rPr>
        <w:t>4</w:t>
      </w:r>
    </w:p>
    <w:p w14:paraId="1DAFFA98" w14:textId="634081F8" w:rsidR="00EB0C4B" w:rsidRPr="00F30FD1" w:rsidRDefault="00EB0C4B" w:rsidP="00EB0C4B">
      <w:pPr>
        <w:tabs>
          <w:tab w:val="left" w:pos="637"/>
          <w:tab w:val="left" w:leader="dot" w:pos="9498"/>
        </w:tabs>
        <w:spacing w:after="60" w:line="240" w:lineRule="auto"/>
        <w:jc w:val="left"/>
        <w:rPr>
          <w:lang w:val="es-ES"/>
        </w:rPr>
      </w:pPr>
      <w:r w:rsidRPr="00F30FD1">
        <w:rPr>
          <w:lang w:val="es-ES"/>
        </w:rPr>
        <w:t>II.</w:t>
      </w:r>
      <w:r w:rsidRPr="00F30FD1">
        <w:rPr>
          <w:lang w:val="es-ES"/>
        </w:rPr>
        <w:tab/>
      </w:r>
      <w:r w:rsidRPr="00F30FD1">
        <w:rPr>
          <w:noProof/>
        </w:rPr>
        <w:t>INTRODUCCIÓN</w:t>
      </w:r>
      <w:r w:rsidRPr="00F30FD1">
        <w:rPr>
          <w:lang w:val="es-ES"/>
        </w:rPr>
        <w:tab/>
      </w:r>
      <w:r w:rsidR="00100B8B">
        <w:rPr>
          <w:lang w:val="es-ES"/>
        </w:rPr>
        <w:t>7</w:t>
      </w:r>
    </w:p>
    <w:p w14:paraId="032D4847" w14:textId="3911100F" w:rsidR="00EB0C4B" w:rsidRPr="00F30FD1" w:rsidRDefault="00EB0C4B" w:rsidP="00EB0C4B">
      <w:pPr>
        <w:tabs>
          <w:tab w:val="left" w:pos="637"/>
          <w:tab w:val="left" w:leader="dot" w:pos="9498"/>
        </w:tabs>
        <w:spacing w:after="60" w:line="240" w:lineRule="auto"/>
        <w:jc w:val="left"/>
        <w:rPr>
          <w:lang w:val="es-ES"/>
        </w:rPr>
      </w:pPr>
      <w:r w:rsidRPr="00F30FD1">
        <w:rPr>
          <w:lang w:val="es-ES"/>
        </w:rPr>
        <w:t>III</w:t>
      </w:r>
      <w:r w:rsidRPr="00F30FD1">
        <w:rPr>
          <w:lang w:val="es-ES"/>
        </w:rPr>
        <w:tab/>
      </w:r>
      <w:r w:rsidRPr="00F30FD1">
        <w:rPr>
          <w:noProof/>
        </w:rPr>
        <w:t>ANTECEDENTES</w:t>
      </w:r>
      <w:r w:rsidRPr="00F30FD1">
        <w:rPr>
          <w:lang w:val="es-ES"/>
        </w:rPr>
        <w:tab/>
      </w:r>
      <w:r w:rsidR="00950D81" w:rsidRPr="00F30FD1">
        <w:rPr>
          <w:lang w:val="es-ES"/>
        </w:rPr>
        <w:t>1</w:t>
      </w:r>
      <w:r w:rsidR="00100B8B">
        <w:rPr>
          <w:lang w:val="es-ES"/>
        </w:rPr>
        <w:t>0</w:t>
      </w:r>
    </w:p>
    <w:p w14:paraId="7B3A81F6" w14:textId="599A34BA" w:rsidR="00EB0C4B" w:rsidRPr="00F30FD1" w:rsidRDefault="00EB0C4B" w:rsidP="00EB0C4B">
      <w:pPr>
        <w:tabs>
          <w:tab w:val="left" w:pos="637"/>
          <w:tab w:val="left" w:leader="dot" w:pos="9498"/>
        </w:tabs>
        <w:spacing w:after="60" w:line="240" w:lineRule="auto"/>
        <w:jc w:val="left"/>
        <w:rPr>
          <w:lang w:val="es-ES"/>
        </w:rPr>
      </w:pPr>
      <w:r w:rsidRPr="00F30FD1">
        <w:rPr>
          <w:lang w:val="es-ES"/>
        </w:rPr>
        <w:t>IV</w:t>
      </w:r>
      <w:r w:rsidRPr="00F30FD1">
        <w:rPr>
          <w:lang w:val="es-ES"/>
        </w:rPr>
        <w:tab/>
      </w:r>
      <w:r w:rsidRPr="00F30FD1">
        <w:rPr>
          <w:noProof/>
        </w:rPr>
        <w:t>MARCO JURÍDICO</w:t>
      </w:r>
      <w:r w:rsidRPr="00F30FD1">
        <w:rPr>
          <w:lang w:val="es-ES"/>
        </w:rPr>
        <w:tab/>
      </w:r>
      <w:r w:rsidR="00100B8B">
        <w:rPr>
          <w:lang w:val="es-ES"/>
        </w:rPr>
        <w:t>13</w:t>
      </w:r>
    </w:p>
    <w:p w14:paraId="0E98C717" w14:textId="4E0BD205" w:rsidR="00EB0C4B" w:rsidRPr="00F30FD1" w:rsidRDefault="00EB0C4B" w:rsidP="00EB0C4B">
      <w:pPr>
        <w:tabs>
          <w:tab w:val="left" w:pos="637"/>
          <w:tab w:val="left" w:leader="dot" w:pos="9498"/>
        </w:tabs>
        <w:spacing w:after="60" w:line="240" w:lineRule="auto"/>
        <w:jc w:val="left"/>
        <w:rPr>
          <w:lang w:val="es-ES"/>
        </w:rPr>
      </w:pPr>
      <w:r w:rsidRPr="00F30FD1">
        <w:rPr>
          <w:lang w:val="es-ES"/>
        </w:rPr>
        <w:t>V</w:t>
      </w:r>
      <w:r w:rsidRPr="00F30FD1">
        <w:rPr>
          <w:lang w:val="es-ES"/>
        </w:rPr>
        <w:tab/>
      </w:r>
      <w:r w:rsidRPr="00F30FD1">
        <w:rPr>
          <w:noProof/>
        </w:rPr>
        <w:t>DIAGNÓSTICO</w:t>
      </w:r>
      <w:r w:rsidRPr="00F30FD1">
        <w:rPr>
          <w:lang w:val="es-ES"/>
        </w:rPr>
        <w:tab/>
      </w:r>
      <w:r w:rsidR="00100B8B">
        <w:rPr>
          <w:lang w:val="es-ES"/>
        </w:rPr>
        <w:t>16</w:t>
      </w:r>
    </w:p>
    <w:p w14:paraId="161A6632" w14:textId="369584A1" w:rsidR="00EB0C4B" w:rsidRPr="00F30FD1" w:rsidRDefault="00EB0C4B" w:rsidP="00EB0C4B">
      <w:pPr>
        <w:tabs>
          <w:tab w:val="left" w:pos="637"/>
          <w:tab w:val="left" w:leader="dot" w:pos="9498"/>
        </w:tabs>
        <w:spacing w:after="60" w:line="240" w:lineRule="auto"/>
        <w:jc w:val="left"/>
        <w:rPr>
          <w:lang w:val="es-ES"/>
        </w:rPr>
      </w:pPr>
      <w:r w:rsidRPr="00F30FD1">
        <w:rPr>
          <w:lang w:val="es-ES"/>
        </w:rPr>
        <w:t>VI</w:t>
      </w:r>
      <w:r w:rsidRPr="00F30FD1">
        <w:rPr>
          <w:lang w:val="es-ES"/>
        </w:rPr>
        <w:tab/>
      </w:r>
      <w:r w:rsidRPr="00F30FD1">
        <w:rPr>
          <w:noProof/>
        </w:rPr>
        <w:t>CONTEXTO</w:t>
      </w:r>
      <w:r w:rsidRPr="00F30FD1">
        <w:rPr>
          <w:lang w:val="es-ES"/>
        </w:rPr>
        <w:tab/>
      </w:r>
      <w:r w:rsidR="00100B8B">
        <w:rPr>
          <w:lang w:val="es-ES"/>
        </w:rPr>
        <w:t>53</w:t>
      </w:r>
    </w:p>
    <w:p w14:paraId="0DCF3F6B" w14:textId="77777777" w:rsidR="00EB0C4B" w:rsidRPr="00F30FD1" w:rsidRDefault="00EB0C4B" w:rsidP="00EB0C4B">
      <w:pPr>
        <w:tabs>
          <w:tab w:val="left" w:pos="637"/>
          <w:tab w:val="left" w:pos="9498"/>
        </w:tabs>
        <w:spacing w:after="60" w:line="240" w:lineRule="auto"/>
        <w:jc w:val="left"/>
        <w:rPr>
          <w:noProof/>
        </w:rPr>
      </w:pPr>
      <w:r w:rsidRPr="00F30FD1">
        <w:rPr>
          <w:lang w:val="es-ES"/>
        </w:rPr>
        <w:tab/>
      </w:r>
      <w:r w:rsidRPr="00F30FD1">
        <w:rPr>
          <w:noProof/>
        </w:rPr>
        <w:t xml:space="preserve">Alineación del Programa con el Plan Nacional de Desarrollo, </w:t>
      </w:r>
    </w:p>
    <w:p w14:paraId="62C0A8A3" w14:textId="3BA0136D" w:rsidR="00EB0C4B" w:rsidRPr="00F30FD1" w:rsidRDefault="00EB0C4B" w:rsidP="00EB0C4B">
      <w:pPr>
        <w:tabs>
          <w:tab w:val="left" w:pos="637"/>
          <w:tab w:val="left" w:leader="dot" w:pos="9498"/>
        </w:tabs>
        <w:spacing w:after="60" w:line="240" w:lineRule="auto"/>
        <w:jc w:val="left"/>
        <w:rPr>
          <w:lang w:val="es-ES"/>
        </w:rPr>
      </w:pPr>
      <w:r w:rsidRPr="00F30FD1">
        <w:rPr>
          <w:noProof/>
        </w:rPr>
        <w:tab/>
        <w:t>Programa Sectorial Federal y el PED 2016-2022</w:t>
      </w:r>
      <w:r w:rsidRPr="00F30FD1">
        <w:rPr>
          <w:lang w:val="es-ES"/>
        </w:rPr>
        <w:tab/>
      </w:r>
      <w:r w:rsidR="00100B8B">
        <w:rPr>
          <w:lang w:val="es-ES"/>
        </w:rPr>
        <w:t>64</w:t>
      </w:r>
    </w:p>
    <w:p w14:paraId="14125AF8" w14:textId="1BD9F65F" w:rsidR="00EB0C4B" w:rsidRPr="00F30FD1" w:rsidRDefault="00EB0C4B" w:rsidP="00EB0C4B">
      <w:pPr>
        <w:tabs>
          <w:tab w:val="left" w:pos="637"/>
          <w:tab w:val="left" w:leader="dot" w:pos="9498"/>
        </w:tabs>
        <w:spacing w:after="60" w:line="240" w:lineRule="auto"/>
        <w:jc w:val="left"/>
        <w:rPr>
          <w:lang w:val="es-ES"/>
        </w:rPr>
      </w:pPr>
      <w:r w:rsidRPr="00F30FD1">
        <w:rPr>
          <w:lang w:val="es-ES"/>
        </w:rPr>
        <w:tab/>
      </w:r>
      <w:r w:rsidRPr="00F30FD1">
        <w:rPr>
          <w:noProof/>
        </w:rPr>
        <w:t>Alineación Estructural PED-Programa Sectorial/Especial/Institucional</w:t>
      </w:r>
      <w:r w:rsidRPr="00F30FD1">
        <w:rPr>
          <w:lang w:val="es-ES"/>
        </w:rPr>
        <w:tab/>
      </w:r>
      <w:r w:rsidR="00100B8B">
        <w:rPr>
          <w:lang w:val="es-ES"/>
        </w:rPr>
        <w:t>66</w:t>
      </w:r>
    </w:p>
    <w:p w14:paraId="1F38A933" w14:textId="1B5D5492" w:rsidR="00EB0C4B" w:rsidRPr="00F30FD1" w:rsidRDefault="00EB0C4B" w:rsidP="00EB0C4B">
      <w:pPr>
        <w:tabs>
          <w:tab w:val="left" w:pos="637"/>
          <w:tab w:val="left" w:leader="dot" w:pos="9498"/>
        </w:tabs>
        <w:spacing w:after="60" w:line="240" w:lineRule="auto"/>
        <w:jc w:val="left"/>
        <w:rPr>
          <w:lang w:val="es-ES"/>
        </w:rPr>
      </w:pPr>
      <w:r w:rsidRPr="00F30FD1">
        <w:rPr>
          <w:lang w:val="es-ES"/>
        </w:rPr>
        <w:t>VII</w:t>
      </w:r>
      <w:r w:rsidRPr="00F30FD1">
        <w:rPr>
          <w:lang w:val="es-ES"/>
        </w:rPr>
        <w:tab/>
      </w:r>
      <w:r w:rsidRPr="00F30FD1">
        <w:rPr>
          <w:noProof/>
        </w:rPr>
        <w:t>MISIÓN</w:t>
      </w:r>
      <w:r w:rsidRPr="00F30FD1">
        <w:rPr>
          <w:lang w:val="es-ES"/>
        </w:rPr>
        <w:tab/>
      </w:r>
      <w:r w:rsidR="00100B8B">
        <w:rPr>
          <w:lang w:val="es-ES"/>
        </w:rPr>
        <w:t>138</w:t>
      </w:r>
    </w:p>
    <w:p w14:paraId="5BBFB97B" w14:textId="24B24667" w:rsidR="00EB0C4B" w:rsidRPr="00F30FD1" w:rsidRDefault="00EB0C4B" w:rsidP="00EB0C4B">
      <w:pPr>
        <w:tabs>
          <w:tab w:val="left" w:pos="637"/>
          <w:tab w:val="left" w:leader="dot" w:pos="9498"/>
        </w:tabs>
        <w:spacing w:after="60" w:line="240" w:lineRule="auto"/>
        <w:jc w:val="left"/>
        <w:rPr>
          <w:lang w:val="es-ES"/>
        </w:rPr>
      </w:pPr>
      <w:r w:rsidRPr="00F30FD1">
        <w:rPr>
          <w:lang w:val="es-ES"/>
        </w:rPr>
        <w:t>VIII</w:t>
      </w:r>
      <w:r w:rsidRPr="00F30FD1">
        <w:rPr>
          <w:lang w:val="es-ES"/>
        </w:rPr>
        <w:tab/>
      </w:r>
      <w:r w:rsidRPr="00F30FD1">
        <w:rPr>
          <w:noProof/>
        </w:rPr>
        <w:t>VISIÓN</w:t>
      </w:r>
      <w:r w:rsidRPr="00F30FD1">
        <w:rPr>
          <w:lang w:val="es-ES"/>
        </w:rPr>
        <w:tab/>
      </w:r>
      <w:r w:rsidR="00100B8B">
        <w:rPr>
          <w:lang w:val="es-ES"/>
        </w:rPr>
        <w:t>140</w:t>
      </w:r>
    </w:p>
    <w:p w14:paraId="653B871D" w14:textId="52B4AC7B" w:rsidR="00EB0C4B" w:rsidRPr="00F30FD1" w:rsidRDefault="00EB0C4B" w:rsidP="00EB0C4B">
      <w:pPr>
        <w:tabs>
          <w:tab w:val="left" w:pos="637"/>
          <w:tab w:val="left" w:leader="dot" w:pos="9498"/>
        </w:tabs>
        <w:spacing w:after="60" w:line="240" w:lineRule="auto"/>
        <w:jc w:val="left"/>
        <w:rPr>
          <w:lang w:val="es-ES"/>
        </w:rPr>
      </w:pPr>
      <w:r w:rsidRPr="00F30FD1">
        <w:rPr>
          <w:lang w:val="es-ES"/>
        </w:rPr>
        <w:t>IX</w:t>
      </w:r>
      <w:r w:rsidRPr="00F30FD1">
        <w:rPr>
          <w:lang w:val="es-ES"/>
        </w:rPr>
        <w:tab/>
      </w:r>
      <w:r w:rsidRPr="00F30FD1">
        <w:rPr>
          <w:noProof/>
        </w:rPr>
        <w:t>POLÍTICAS</w:t>
      </w:r>
      <w:r w:rsidRPr="00F30FD1">
        <w:rPr>
          <w:lang w:val="es-ES"/>
        </w:rPr>
        <w:tab/>
      </w:r>
      <w:r w:rsidR="00100B8B">
        <w:rPr>
          <w:lang w:val="es-ES"/>
        </w:rPr>
        <w:t>142</w:t>
      </w:r>
    </w:p>
    <w:p w14:paraId="37BB3ECC" w14:textId="2B755FD2" w:rsidR="00EB0C4B" w:rsidRPr="00F30FD1" w:rsidRDefault="00EB0C4B" w:rsidP="00EB0C4B">
      <w:pPr>
        <w:tabs>
          <w:tab w:val="left" w:pos="637"/>
          <w:tab w:val="left" w:leader="dot" w:pos="9498"/>
        </w:tabs>
        <w:spacing w:after="60" w:line="240" w:lineRule="auto"/>
        <w:jc w:val="left"/>
        <w:rPr>
          <w:lang w:val="es-ES"/>
        </w:rPr>
      </w:pPr>
      <w:r w:rsidRPr="00F30FD1">
        <w:rPr>
          <w:lang w:val="es-ES"/>
        </w:rPr>
        <w:t>X</w:t>
      </w:r>
      <w:r w:rsidRPr="00F30FD1">
        <w:rPr>
          <w:lang w:val="es-ES"/>
        </w:rPr>
        <w:tab/>
      </w:r>
      <w:r w:rsidRPr="00F30FD1">
        <w:rPr>
          <w:noProof/>
        </w:rPr>
        <w:t>APARTADO ESTRATÉGICO</w:t>
      </w:r>
      <w:r w:rsidRPr="00F30FD1">
        <w:rPr>
          <w:lang w:val="es-ES"/>
        </w:rPr>
        <w:tab/>
      </w:r>
      <w:r w:rsidR="001C5066">
        <w:rPr>
          <w:lang w:val="es-ES"/>
        </w:rPr>
        <w:t>144</w:t>
      </w:r>
    </w:p>
    <w:p w14:paraId="2564FB17" w14:textId="384DEFB5" w:rsidR="00EB0C4B" w:rsidRPr="00F30FD1" w:rsidRDefault="00EB0C4B" w:rsidP="00EB0C4B">
      <w:pPr>
        <w:tabs>
          <w:tab w:val="left" w:pos="637"/>
          <w:tab w:val="left" w:leader="dot" w:pos="9498"/>
        </w:tabs>
        <w:spacing w:after="60" w:line="240" w:lineRule="auto"/>
        <w:jc w:val="left"/>
        <w:rPr>
          <w:lang w:val="es-ES"/>
        </w:rPr>
      </w:pPr>
      <w:r w:rsidRPr="00F30FD1">
        <w:rPr>
          <w:lang w:val="es-ES"/>
        </w:rPr>
        <w:tab/>
      </w:r>
      <w:r w:rsidRPr="00F30FD1">
        <w:rPr>
          <w:noProof/>
        </w:rPr>
        <w:t>Objetivos, estrategias y líneas de acción</w:t>
      </w:r>
    </w:p>
    <w:p w14:paraId="2E01792C" w14:textId="3A4CB0D3" w:rsidR="00EB0C4B" w:rsidRPr="00F30FD1" w:rsidRDefault="00EB0C4B" w:rsidP="00EB0C4B">
      <w:pPr>
        <w:tabs>
          <w:tab w:val="left" w:pos="637"/>
          <w:tab w:val="left" w:leader="dot" w:pos="9498"/>
        </w:tabs>
        <w:spacing w:after="60" w:line="240" w:lineRule="auto"/>
        <w:jc w:val="left"/>
        <w:rPr>
          <w:webHidden/>
          <w:lang w:val="es-ES"/>
        </w:rPr>
      </w:pPr>
      <w:r w:rsidRPr="00F30FD1">
        <w:rPr>
          <w:lang w:val="es-ES"/>
        </w:rPr>
        <w:tab/>
      </w:r>
      <w:r w:rsidRPr="00F30FD1">
        <w:rPr>
          <w:noProof/>
        </w:rPr>
        <w:t>Tema 1.</w:t>
      </w:r>
      <w:r w:rsidRPr="00F30FD1">
        <w:rPr>
          <w:lang w:val="es-ES"/>
        </w:rPr>
        <w:tab/>
      </w:r>
      <w:r w:rsidR="001C5066">
        <w:rPr>
          <w:lang w:val="es-ES"/>
        </w:rPr>
        <w:t>144</w:t>
      </w:r>
    </w:p>
    <w:p w14:paraId="5259C969" w14:textId="468ACCB5" w:rsidR="00F03AAF" w:rsidRPr="00F30FD1" w:rsidRDefault="00F03AAF" w:rsidP="00F03AAF">
      <w:pPr>
        <w:tabs>
          <w:tab w:val="left" w:pos="637"/>
          <w:tab w:val="left" w:leader="dot" w:pos="9498"/>
        </w:tabs>
        <w:spacing w:after="60" w:line="240" w:lineRule="auto"/>
        <w:jc w:val="left"/>
        <w:rPr>
          <w:webHidden/>
          <w:lang w:val="es-ES"/>
        </w:rPr>
      </w:pPr>
      <w:r w:rsidRPr="00F30FD1">
        <w:rPr>
          <w:noProof/>
        </w:rPr>
        <w:tab/>
        <w:t>Tema 2.</w:t>
      </w:r>
      <w:r w:rsidRPr="00F30FD1">
        <w:rPr>
          <w:lang w:val="es-ES"/>
        </w:rPr>
        <w:tab/>
      </w:r>
      <w:r w:rsidR="001C5066">
        <w:rPr>
          <w:lang w:val="es-ES"/>
        </w:rPr>
        <w:t>148</w:t>
      </w:r>
    </w:p>
    <w:p w14:paraId="68DC7994" w14:textId="1AA781D6" w:rsidR="00F03AAF" w:rsidRPr="00F30FD1" w:rsidRDefault="00F03AAF" w:rsidP="00F03AAF">
      <w:pPr>
        <w:tabs>
          <w:tab w:val="left" w:pos="637"/>
          <w:tab w:val="left" w:leader="dot" w:pos="9498"/>
        </w:tabs>
        <w:spacing w:after="60" w:line="240" w:lineRule="auto"/>
        <w:jc w:val="left"/>
        <w:rPr>
          <w:webHidden/>
          <w:lang w:val="es-ES"/>
        </w:rPr>
      </w:pPr>
      <w:r w:rsidRPr="00F30FD1">
        <w:rPr>
          <w:noProof/>
        </w:rPr>
        <w:tab/>
        <w:t>Tema 3.</w:t>
      </w:r>
      <w:r w:rsidRPr="00F30FD1">
        <w:rPr>
          <w:lang w:val="es-ES"/>
        </w:rPr>
        <w:tab/>
      </w:r>
      <w:r w:rsidR="001C5066">
        <w:rPr>
          <w:lang w:val="es-ES"/>
        </w:rPr>
        <w:t>152</w:t>
      </w:r>
    </w:p>
    <w:p w14:paraId="09926255" w14:textId="44AD5B59" w:rsidR="00EB0C4B" w:rsidRPr="00F30FD1" w:rsidRDefault="00EB0C4B" w:rsidP="00EB0C4B">
      <w:pPr>
        <w:tabs>
          <w:tab w:val="left" w:pos="637"/>
          <w:tab w:val="left" w:leader="dot" w:pos="9498"/>
        </w:tabs>
        <w:spacing w:after="60" w:line="240" w:lineRule="auto"/>
        <w:jc w:val="left"/>
        <w:rPr>
          <w:lang w:val="es-ES"/>
        </w:rPr>
      </w:pPr>
      <w:r w:rsidRPr="00F30FD1">
        <w:rPr>
          <w:lang w:val="es-ES"/>
        </w:rPr>
        <w:t>XI</w:t>
      </w:r>
      <w:r w:rsidRPr="00F30FD1">
        <w:rPr>
          <w:lang w:val="es-ES"/>
        </w:rPr>
        <w:tab/>
      </w:r>
      <w:r w:rsidRPr="00F30FD1">
        <w:rPr>
          <w:noProof/>
        </w:rPr>
        <w:t>BASES PARA SU COORDINACIÓN Y CONCERTACIÓN</w:t>
      </w:r>
      <w:r w:rsidRPr="00F30FD1">
        <w:rPr>
          <w:lang w:val="es-ES"/>
        </w:rPr>
        <w:tab/>
      </w:r>
      <w:r w:rsidR="001C5066">
        <w:rPr>
          <w:lang w:val="es-ES"/>
        </w:rPr>
        <w:t>155</w:t>
      </w:r>
    </w:p>
    <w:p w14:paraId="4FD30615" w14:textId="676F30A8" w:rsidR="00EB0C4B" w:rsidRPr="00F30FD1" w:rsidRDefault="00EB0C4B" w:rsidP="00EB0C4B">
      <w:pPr>
        <w:tabs>
          <w:tab w:val="left" w:pos="637"/>
          <w:tab w:val="left" w:leader="dot" w:pos="9498"/>
        </w:tabs>
        <w:spacing w:after="60" w:line="240" w:lineRule="auto"/>
        <w:jc w:val="left"/>
        <w:rPr>
          <w:lang w:val="es-ES"/>
        </w:rPr>
      </w:pPr>
      <w:r w:rsidRPr="00F30FD1">
        <w:rPr>
          <w:lang w:val="es-ES"/>
        </w:rPr>
        <w:t>XII</w:t>
      </w:r>
      <w:r w:rsidRPr="00F30FD1">
        <w:rPr>
          <w:lang w:val="es-ES"/>
        </w:rPr>
        <w:tab/>
      </w:r>
      <w:r w:rsidRPr="00F30FD1">
        <w:rPr>
          <w:noProof/>
        </w:rPr>
        <w:t>CONTROL, SEGUIMIENTO, EVALUACIÓN Y ACTUALIZACIÓN</w:t>
      </w:r>
      <w:r w:rsidRPr="00F30FD1">
        <w:rPr>
          <w:lang w:val="es-ES"/>
        </w:rPr>
        <w:tab/>
      </w:r>
      <w:r w:rsidR="001C5066">
        <w:rPr>
          <w:lang w:val="es-ES"/>
        </w:rPr>
        <w:t>158</w:t>
      </w:r>
    </w:p>
    <w:p w14:paraId="6D9D3E19" w14:textId="1F41193A" w:rsidR="00EB0C4B" w:rsidRPr="00F30FD1" w:rsidRDefault="00EB0C4B" w:rsidP="00EB0C4B">
      <w:pPr>
        <w:tabs>
          <w:tab w:val="left" w:pos="637"/>
          <w:tab w:val="left" w:leader="dot" w:pos="9498"/>
        </w:tabs>
        <w:spacing w:after="60" w:line="240" w:lineRule="auto"/>
        <w:jc w:val="left"/>
        <w:rPr>
          <w:lang w:val="es-ES"/>
        </w:rPr>
      </w:pPr>
      <w:r w:rsidRPr="00F30FD1">
        <w:rPr>
          <w:lang w:val="es-ES"/>
        </w:rPr>
        <w:t>XIII</w:t>
      </w:r>
      <w:r w:rsidRPr="00F30FD1">
        <w:rPr>
          <w:lang w:val="es-ES"/>
        </w:rPr>
        <w:tab/>
      </w:r>
      <w:r w:rsidRPr="00F30FD1">
        <w:rPr>
          <w:noProof/>
        </w:rPr>
        <w:t>MECANISMOS DE FINANCIAMIENTO</w:t>
      </w:r>
      <w:r w:rsidRPr="00F30FD1">
        <w:rPr>
          <w:lang w:val="es-ES"/>
        </w:rPr>
        <w:tab/>
      </w:r>
      <w:r w:rsidR="001C5066">
        <w:rPr>
          <w:lang w:val="es-ES"/>
        </w:rPr>
        <w:t>162</w:t>
      </w:r>
    </w:p>
    <w:p w14:paraId="4464498E" w14:textId="5DFF863C" w:rsidR="00EB0C4B" w:rsidRPr="00F30FD1" w:rsidRDefault="00EB0C4B" w:rsidP="00EB0C4B">
      <w:pPr>
        <w:tabs>
          <w:tab w:val="left" w:pos="637"/>
          <w:tab w:val="left" w:leader="dot" w:pos="9498"/>
        </w:tabs>
        <w:spacing w:after="60" w:line="240" w:lineRule="auto"/>
        <w:jc w:val="left"/>
        <w:rPr>
          <w:lang w:val="es-ES"/>
        </w:rPr>
      </w:pPr>
      <w:r w:rsidRPr="00F30FD1">
        <w:rPr>
          <w:lang w:val="es-ES"/>
        </w:rPr>
        <w:tab/>
        <w:t>ANEXOS</w:t>
      </w:r>
      <w:r w:rsidRPr="00F30FD1">
        <w:rPr>
          <w:lang w:val="es-ES"/>
        </w:rPr>
        <w:tab/>
      </w:r>
      <w:r w:rsidR="001C5066">
        <w:rPr>
          <w:lang w:val="es-ES"/>
        </w:rPr>
        <w:t>164</w:t>
      </w:r>
    </w:p>
    <w:p w14:paraId="5666ABD2" w14:textId="0399ACC3" w:rsidR="00EB0C4B" w:rsidRPr="00F30FD1" w:rsidRDefault="00EB0C4B" w:rsidP="00EB0C4B">
      <w:pPr>
        <w:tabs>
          <w:tab w:val="left" w:pos="637"/>
          <w:tab w:val="left" w:leader="dot" w:pos="9498"/>
        </w:tabs>
        <w:spacing w:after="60" w:line="240" w:lineRule="auto"/>
        <w:jc w:val="left"/>
        <w:rPr>
          <w:lang w:val="es-ES"/>
        </w:rPr>
      </w:pPr>
      <w:r w:rsidRPr="00F30FD1">
        <w:rPr>
          <w:lang w:val="es-ES"/>
        </w:rPr>
        <w:tab/>
      </w:r>
      <w:r w:rsidRPr="00F30FD1">
        <w:rPr>
          <w:noProof/>
        </w:rPr>
        <w:t>Anexo 1. Fichas de Indicadores del PED</w:t>
      </w:r>
      <w:r w:rsidRPr="00F30FD1">
        <w:rPr>
          <w:lang w:val="es-ES"/>
        </w:rPr>
        <w:tab/>
      </w:r>
      <w:r w:rsidR="001C5066">
        <w:rPr>
          <w:lang w:val="es-ES"/>
        </w:rPr>
        <w:t>164</w:t>
      </w:r>
    </w:p>
    <w:p w14:paraId="3BDA6BF5" w14:textId="6DE1482A" w:rsidR="00EB0C4B" w:rsidRDefault="00EB0C4B" w:rsidP="00EB0C4B">
      <w:pPr>
        <w:tabs>
          <w:tab w:val="left" w:pos="637"/>
          <w:tab w:val="left" w:leader="dot" w:pos="9498"/>
        </w:tabs>
        <w:spacing w:after="60" w:line="240" w:lineRule="auto"/>
        <w:jc w:val="left"/>
        <w:rPr>
          <w:lang w:val="es-ES"/>
        </w:rPr>
      </w:pPr>
      <w:r w:rsidRPr="00F30FD1">
        <w:rPr>
          <w:lang w:val="es-ES"/>
        </w:rPr>
        <w:tab/>
      </w:r>
      <w:r w:rsidRPr="00F30FD1">
        <w:rPr>
          <w:noProof/>
        </w:rPr>
        <w:t>Anexo 2. Fichas de Indicadores del Programa</w:t>
      </w:r>
      <w:r w:rsidRPr="00F30FD1">
        <w:rPr>
          <w:lang w:val="es-ES"/>
        </w:rPr>
        <w:tab/>
      </w:r>
      <w:r w:rsidR="001C5066">
        <w:rPr>
          <w:lang w:val="es-ES"/>
        </w:rPr>
        <w:t>167</w:t>
      </w:r>
    </w:p>
    <w:p w14:paraId="56771622" w14:textId="00EDB775" w:rsidR="00E968E1" w:rsidRPr="00F30FD1" w:rsidRDefault="00E968E1" w:rsidP="00EB0C4B">
      <w:pPr>
        <w:tabs>
          <w:tab w:val="left" w:pos="637"/>
          <w:tab w:val="left" w:leader="dot" w:pos="9498"/>
        </w:tabs>
        <w:spacing w:after="60" w:line="240" w:lineRule="auto"/>
        <w:jc w:val="left"/>
        <w:rPr>
          <w:lang w:val="es-ES"/>
        </w:rPr>
      </w:pPr>
      <w:r>
        <w:rPr>
          <w:noProof/>
        </w:rPr>
        <w:tab/>
        <w:t>Anexo 3</w:t>
      </w:r>
      <w:r w:rsidRPr="00F30FD1">
        <w:rPr>
          <w:noProof/>
        </w:rPr>
        <w:t xml:space="preserve">. </w:t>
      </w:r>
      <w:r w:rsidR="00DE5A86">
        <w:rPr>
          <w:noProof/>
        </w:rPr>
        <w:t>Matriz de Indicadores para Resultados</w:t>
      </w:r>
      <w:r w:rsidRPr="00F30FD1">
        <w:rPr>
          <w:lang w:val="es-ES"/>
        </w:rPr>
        <w:tab/>
      </w:r>
      <w:r>
        <w:rPr>
          <w:lang w:val="es-ES"/>
        </w:rPr>
        <w:t>171</w:t>
      </w:r>
    </w:p>
    <w:p w14:paraId="456C7995" w14:textId="77777777" w:rsidR="00EB0C4B" w:rsidRPr="00F30FD1" w:rsidRDefault="00EB0C4B" w:rsidP="00B545F3">
      <w:pPr>
        <w:rPr>
          <w:rFonts w:eastAsia="Calibri" w:cs="Times New Roman"/>
          <w:b/>
          <w:bCs/>
          <w:szCs w:val="22"/>
          <w:lang w:val="es-MX" w:eastAsia="en-US"/>
        </w:rPr>
      </w:pPr>
    </w:p>
    <w:p w14:paraId="6D813253" w14:textId="77777777" w:rsidR="00E0460C" w:rsidRPr="00F30FD1" w:rsidRDefault="00E0460C" w:rsidP="00B545F3">
      <w:pPr>
        <w:rPr>
          <w:rFonts w:eastAsia="Calibri" w:cs="Times New Roman"/>
          <w:b/>
          <w:bCs/>
          <w:szCs w:val="22"/>
          <w:lang w:val="es-MX" w:eastAsia="en-US"/>
        </w:rPr>
        <w:sectPr w:rsidR="00E0460C" w:rsidRPr="00F30FD1" w:rsidSect="00E0460C">
          <w:headerReference w:type="default" r:id="rId9"/>
          <w:footerReference w:type="even" r:id="rId10"/>
          <w:footerReference w:type="default" r:id="rId11"/>
          <w:pgSz w:w="12240" w:h="15840"/>
          <w:pgMar w:top="2977" w:right="1041" w:bottom="1701" w:left="1134" w:header="709" w:footer="709" w:gutter="0"/>
          <w:cols w:space="708"/>
          <w:docGrid w:linePitch="360"/>
        </w:sectPr>
      </w:pPr>
    </w:p>
    <w:p w14:paraId="10749B42" w14:textId="77777777" w:rsidR="00E0460C" w:rsidRPr="00F30FD1" w:rsidRDefault="00E0460C" w:rsidP="00E0460C">
      <w:pPr>
        <w:pStyle w:val="Ttulo"/>
      </w:pPr>
    </w:p>
    <w:p w14:paraId="6474E540" w14:textId="77777777" w:rsidR="00E0460C" w:rsidRPr="00F30FD1" w:rsidRDefault="00E0460C" w:rsidP="00E0460C">
      <w:pPr>
        <w:pStyle w:val="Ttulo"/>
      </w:pPr>
    </w:p>
    <w:p w14:paraId="738BC3E1" w14:textId="77777777" w:rsidR="00E0460C" w:rsidRPr="00F30FD1" w:rsidRDefault="00E0460C" w:rsidP="00E0460C">
      <w:pPr>
        <w:pStyle w:val="Ttulo"/>
      </w:pPr>
    </w:p>
    <w:p w14:paraId="53E683B3" w14:textId="3DA2AB8B" w:rsidR="00E0460C" w:rsidRPr="00F30FD1" w:rsidRDefault="00E0460C" w:rsidP="00E0460C">
      <w:pPr>
        <w:pStyle w:val="Ttulo"/>
      </w:pPr>
    </w:p>
    <w:p w14:paraId="249BC086" w14:textId="77777777" w:rsidR="005C696C" w:rsidRPr="00F30FD1" w:rsidRDefault="005C696C" w:rsidP="00E0460C">
      <w:pPr>
        <w:pStyle w:val="Ttulo"/>
      </w:pPr>
    </w:p>
    <w:p w14:paraId="4D5758B2" w14:textId="77777777" w:rsidR="00E0460C" w:rsidRPr="00F30FD1" w:rsidRDefault="00E0460C" w:rsidP="00E0460C">
      <w:pPr>
        <w:pStyle w:val="Ttulo"/>
        <w:rPr>
          <w:bCs/>
          <w:caps/>
          <w:color w:val="4BACC6"/>
          <w:sz w:val="32"/>
          <w:szCs w:val="28"/>
          <w:lang w:val="es-MX" w:eastAsia="en-US"/>
        </w:rPr>
      </w:pPr>
      <w:r w:rsidRPr="00F30FD1">
        <w:rPr>
          <w:color w:val="4BACC6"/>
        </w:rPr>
        <w:t xml:space="preserve">PRESENTACIÓN </w:t>
      </w:r>
      <w:r w:rsidRPr="00F30FD1">
        <w:rPr>
          <w:color w:val="4BACC6"/>
        </w:rPr>
        <w:br w:type="page"/>
      </w:r>
    </w:p>
    <w:p w14:paraId="0E567322" w14:textId="77777777" w:rsidR="005F7240" w:rsidRPr="00F30FD1" w:rsidRDefault="00F765C3" w:rsidP="00F765C3">
      <w:pPr>
        <w:pStyle w:val="Ttulo1"/>
      </w:pPr>
      <w:bookmarkStart w:id="0" w:name="_Toc477971046"/>
      <w:r w:rsidRPr="00F30FD1">
        <w:lastRenderedPageBreak/>
        <w:t xml:space="preserve">I. </w:t>
      </w:r>
      <w:r w:rsidR="005F7240" w:rsidRPr="00F30FD1">
        <w:t>PRESENTACIÓN</w:t>
      </w:r>
      <w:bookmarkEnd w:id="0"/>
      <w:r w:rsidR="005F7240" w:rsidRPr="00F30FD1">
        <w:t xml:space="preserve"> </w:t>
      </w:r>
    </w:p>
    <w:p w14:paraId="258B9F1E" w14:textId="77777777" w:rsidR="00F765C3" w:rsidRPr="00F30FD1" w:rsidRDefault="00F765C3" w:rsidP="00F765C3">
      <w:pPr>
        <w:rPr>
          <w:lang w:val="es-MX" w:eastAsia="en-US"/>
        </w:rPr>
      </w:pPr>
    </w:p>
    <w:p w14:paraId="7617721B" w14:textId="77777777" w:rsidR="002C5395" w:rsidRPr="00F30FD1" w:rsidRDefault="002C5395" w:rsidP="002C5395">
      <w:pPr>
        <w:rPr>
          <w:rFonts w:eastAsia="Times New Roman" w:cs="Futura"/>
          <w:color w:val="595959"/>
        </w:rPr>
      </w:pPr>
      <w:r w:rsidRPr="00F30FD1">
        <w:rPr>
          <w:rFonts w:eastAsia="Times New Roman" w:cs="Futura"/>
          <w:color w:val="595959"/>
        </w:rPr>
        <w:t xml:space="preserve">En 2016 el Estado de Quintana Roo eligió un cambio de rumbo permitiendo la primera alternancia en el poder ejecutivo de la entidad, bajo el liderazgo del C.P. Carlos Manuel Joaquín González se inició una nueva etapa bajo la premisa de generar nuevas oportunidades para toda la población, mediante un trabajo coordinado de la administración pública y la suma de esfuerzos de la iniciativa privada y el sector social. </w:t>
      </w:r>
    </w:p>
    <w:p w14:paraId="7C8169CB" w14:textId="77777777" w:rsidR="002C5395" w:rsidRPr="00F30FD1" w:rsidRDefault="002C5395" w:rsidP="002C5395">
      <w:pPr>
        <w:rPr>
          <w:rFonts w:eastAsia="Times New Roman" w:cs="Futura"/>
          <w:color w:val="595959"/>
        </w:rPr>
      </w:pPr>
      <w:r w:rsidRPr="00F30FD1">
        <w:rPr>
          <w:rFonts w:eastAsia="Times New Roman" w:cs="Futura"/>
          <w:color w:val="595959"/>
        </w:rPr>
        <w:t xml:space="preserve">El gobierno del cambio implementó una forma innovadora de dirigir el destino de los quintanarroenses, hubo un balance entre continuar con las políticas exitosas de administraciones anteriores y reconducir aquellas acciones que no tuvieron un impacto en el bienestar social, con ello se asumió el reto de ser un gobierno moderno, confiable y cercano a la gente. </w:t>
      </w:r>
    </w:p>
    <w:p w14:paraId="0BC497D8" w14:textId="77777777" w:rsidR="002C5395" w:rsidRPr="00F30FD1" w:rsidRDefault="002C5395" w:rsidP="002C5395">
      <w:pPr>
        <w:rPr>
          <w:rFonts w:eastAsia="Times New Roman" w:cs="Futura"/>
          <w:color w:val="595959"/>
        </w:rPr>
      </w:pPr>
      <w:r w:rsidRPr="00F30FD1">
        <w:rPr>
          <w:rFonts w:eastAsia="Times New Roman" w:cs="Futura"/>
          <w:color w:val="595959"/>
        </w:rPr>
        <w:t>Hemos modernizado la administración pública mediante la implementación del modelo de la Gestión para Resultados, por un lado dirigimos los recursos públicos hacía programas que generen beneficios en el nivel de vida de los quintanarroenses mediante el Presupuesto basado en Resultados y por otro lado verificamos y reconducimos los programas mediante el Sistema de Evaluación para el Desempeño. En materia de generación de captación de ingresos, hemos creado el Servicio de Administración Tributaria de Quintana Roo, con lo que hemos facilitado al ciudadano el pago de sus contribuciones y nos hemos acercado a las zonas rurales mediante módulos itinerantes.</w:t>
      </w:r>
    </w:p>
    <w:p w14:paraId="10020021" w14:textId="77777777" w:rsidR="002C5395" w:rsidRPr="00F30FD1" w:rsidRDefault="002C5395" w:rsidP="002C5395">
      <w:pPr>
        <w:rPr>
          <w:rFonts w:eastAsia="Times New Roman" w:cs="Futura"/>
          <w:color w:val="595959"/>
        </w:rPr>
      </w:pPr>
      <w:r w:rsidRPr="00F30FD1">
        <w:rPr>
          <w:rFonts w:eastAsia="Times New Roman" w:cs="Futura"/>
          <w:color w:val="595959"/>
        </w:rPr>
        <w:t xml:space="preserve">Mantener la confianza del ciudadano en este proyecto ha sido una tarea constante y los resultados nos avalan: </w:t>
      </w:r>
    </w:p>
    <w:p w14:paraId="37CBB07B" w14:textId="77777777" w:rsidR="002C5395" w:rsidRPr="00F30FD1" w:rsidRDefault="002C5395" w:rsidP="005D4C2A">
      <w:pPr>
        <w:numPr>
          <w:ilvl w:val="0"/>
          <w:numId w:val="6"/>
        </w:numPr>
        <w:rPr>
          <w:rFonts w:eastAsia="Times New Roman" w:cs="Futura"/>
          <w:color w:val="595959"/>
        </w:rPr>
      </w:pPr>
      <w:r w:rsidRPr="00F30FD1">
        <w:rPr>
          <w:rFonts w:eastAsia="Times New Roman" w:cs="Futura"/>
          <w:color w:val="595959"/>
        </w:rPr>
        <w:t>En la generación de empleo se observa que la tasa de desocupación del estado es de 3.06 % la cual es menor a la registrada por la federación del 3.4 % durante el cuarto trimestre de 2019;</w:t>
      </w:r>
    </w:p>
    <w:p w14:paraId="1C3E24E5" w14:textId="77777777" w:rsidR="002C5395" w:rsidRPr="00F30FD1" w:rsidRDefault="002C5395" w:rsidP="005D4C2A">
      <w:pPr>
        <w:numPr>
          <w:ilvl w:val="0"/>
          <w:numId w:val="6"/>
        </w:numPr>
        <w:rPr>
          <w:rFonts w:eastAsia="Times New Roman" w:cs="Futura"/>
          <w:color w:val="595959"/>
        </w:rPr>
      </w:pPr>
      <w:r w:rsidRPr="00F30FD1">
        <w:rPr>
          <w:rFonts w:eastAsia="Times New Roman" w:cs="Futura"/>
          <w:color w:val="595959"/>
        </w:rPr>
        <w:t>Respecto a la informalidad laboral, la entidad tiene una tasa de 46.4 % la cual es menor a la registrada por la federación de 56.2 % durante el cuarto trimestre de 2019;</w:t>
      </w:r>
    </w:p>
    <w:p w14:paraId="171A203D" w14:textId="77777777" w:rsidR="002C5395" w:rsidRPr="00F30FD1" w:rsidRDefault="002C5395" w:rsidP="005D4C2A">
      <w:pPr>
        <w:numPr>
          <w:ilvl w:val="0"/>
          <w:numId w:val="6"/>
        </w:numPr>
        <w:rPr>
          <w:rFonts w:eastAsia="Times New Roman" w:cs="Futura"/>
          <w:color w:val="595959"/>
        </w:rPr>
      </w:pPr>
      <w:r w:rsidRPr="00F30FD1">
        <w:rPr>
          <w:rFonts w:eastAsia="Times New Roman" w:cs="Futura"/>
          <w:color w:val="595959"/>
        </w:rPr>
        <w:lastRenderedPageBreak/>
        <w:t xml:space="preserve">En cuanto a pobreza nos encontramos mejor que la media nacional ya que según la CONEVAL para 2018 la población que vive en pobreza extrema en el estado es de solo 3.5 % y a nivel nacional es 7.4 %. </w:t>
      </w:r>
    </w:p>
    <w:p w14:paraId="60537CBB" w14:textId="77777777" w:rsidR="002C5395" w:rsidRPr="00F30FD1" w:rsidRDefault="002C5395" w:rsidP="005D4C2A">
      <w:pPr>
        <w:numPr>
          <w:ilvl w:val="0"/>
          <w:numId w:val="6"/>
        </w:numPr>
        <w:rPr>
          <w:rFonts w:eastAsia="Times New Roman" w:cs="Futura"/>
          <w:color w:val="595959"/>
        </w:rPr>
      </w:pPr>
      <w:r w:rsidRPr="00F30FD1">
        <w:rPr>
          <w:rFonts w:eastAsia="Times New Roman" w:cs="Futura"/>
          <w:color w:val="595959"/>
        </w:rPr>
        <w:t>El crecimiento económico de Quintana Roo tiene como base el incremento de la productividad estatal y no en forma artificial mediante la contratación de deuda. El Estado tuvo expansión del 5.1% del PIB en 2018, mientras que la federación creció 2.1 %.</w:t>
      </w:r>
    </w:p>
    <w:p w14:paraId="7DE4F117" w14:textId="77777777" w:rsidR="002C5395" w:rsidRPr="00F30FD1" w:rsidRDefault="002C5395" w:rsidP="002C5395">
      <w:pPr>
        <w:rPr>
          <w:rFonts w:eastAsia="Times New Roman" w:cs="Futura"/>
          <w:color w:val="595959"/>
        </w:rPr>
      </w:pPr>
      <w:r w:rsidRPr="00F30FD1">
        <w:rPr>
          <w:rFonts w:eastAsia="Times New Roman" w:cs="Futura"/>
          <w:color w:val="595959"/>
        </w:rPr>
        <w:t xml:space="preserve">Los resultados obtenidos durante estos tres años de la administración se han logrado por una gestión eficiente y responsable de los recursos públicos que son asignados a los programas y que en última instancia pertenecen a la población del Estado. </w:t>
      </w:r>
    </w:p>
    <w:p w14:paraId="5301F36B" w14:textId="77777777" w:rsidR="002C5395" w:rsidRPr="00F30FD1" w:rsidRDefault="002C5395" w:rsidP="002C5395">
      <w:pPr>
        <w:rPr>
          <w:rFonts w:eastAsia="Times New Roman" w:cs="Futura"/>
          <w:color w:val="595959"/>
        </w:rPr>
      </w:pPr>
      <w:r w:rsidRPr="00F30FD1">
        <w:rPr>
          <w:rFonts w:eastAsia="Times New Roman" w:cs="Futura"/>
          <w:color w:val="595959"/>
        </w:rPr>
        <w:t>La responsabilidad que hemos asumido en esta administración, no tiene precedente alguno al incluir la visión democrática de transformar al estado y en el que los recursos se ejercen como consecuencia de un proceso institucionalizado de planeación, presupuestación y programación del gasto dirigido a obtener resultados para mejorar la calidad de vida de la población. El ejercicio de los recursos públicos no se encuentra sometido a caprichos de los gobernantes, sino que se prioriza la atención a los problemas sociales que aquejan a los quintanarroenses.</w:t>
      </w:r>
    </w:p>
    <w:p w14:paraId="0CE437A6" w14:textId="62A63CC4" w:rsidR="002C5395" w:rsidRPr="00F30FD1" w:rsidRDefault="002C5395" w:rsidP="002C5395">
      <w:pPr>
        <w:rPr>
          <w:rFonts w:eastAsia="Times New Roman" w:cs="Futura"/>
          <w:color w:val="595959"/>
        </w:rPr>
      </w:pPr>
      <w:r w:rsidRPr="00F30FD1">
        <w:rPr>
          <w:rFonts w:eastAsia="Times New Roman" w:cs="Futura"/>
          <w:color w:val="595959"/>
        </w:rPr>
        <w:t xml:space="preserve">Para ello hemos formulado un diagnóstico sobre la situación en la que se encuentra el Estado y se han analizado los resultados obtenidos, esto nos brinda un panorama de los retos y problemas que deberemos enfrentar como administración pública. Este gobierno ha demostrado su compromiso con las finanzas públicas sostenibles, realizando más acciones con menos recursos y manteniendo la deuda dentro de la senda de sostenibilidad ya que la deuda directa como proporción del PIB estatal se ha contraído de 6.33% en 2016 a 5.32% en </w:t>
      </w:r>
      <w:r w:rsidR="002D0401" w:rsidRPr="00F30FD1">
        <w:rPr>
          <w:rFonts w:eastAsia="Times New Roman" w:cs="Futura"/>
          <w:color w:val="595959"/>
        </w:rPr>
        <w:t>2019,</w:t>
      </w:r>
      <w:r w:rsidRPr="00F30FD1">
        <w:rPr>
          <w:rFonts w:eastAsia="Times New Roman" w:cs="Futura"/>
          <w:color w:val="595959"/>
        </w:rPr>
        <w:t xml:space="preserve"> como resultado se ha creado margen fiscal equivalente a 3.7</w:t>
      </w:r>
      <w:r w:rsidR="00480F9E" w:rsidRPr="00F30FD1">
        <w:rPr>
          <w:rFonts w:eastAsia="Times New Roman" w:cs="Futura"/>
          <w:color w:val="595959"/>
        </w:rPr>
        <w:t xml:space="preserve"> miles de</w:t>
      </w:r>
      <w:r w:rsidRPr="00F30FD1">
        <w:rPr>
          <w:rFonts w:eastAsia="Times New Roman" w:cs="Futura"/>
          <w:color w:val="595959"/>
        </w:rPr>
        <w:t xml:space="preserve"> millones de pesos.</w:t>
      </w:r>
    </w:p>
    <w:p w14:paraId="351585F9" w14:textId="7BC7EA69" w:rsidR="005F7240" w:rsidRPr="00F30FD1" w:rsidRDefault="002C5395" w:rsidP="0086218A">
      <w:pPr>
        <w:rPr>
          <w:rFonts w:eastAsia="Times New Roman" w:cs="Futura"/>
          <w:color w:val="595959"/>
        </w:rPr>
      </w:pPr>
      <w:r w:rsidRPr="00F30FD1">
        <w:rPr>
          <w:rFonts w:eastAsia="Times New Roman" w:cs="Futura"/>
          <w:color w:val="595959"/>
        </w:rPr>
        <w:t xml:space="preserve">Nos hemos caracterizado por ser un gobierno incluyente, que ha creado más y mejores oportunidades para todos, y tenemos por encomienda ser el referente a nivel nacional en materia de desarrollo económico, social y democrático. Seguiremos siendo un gobierno moderno, confiable y cercano a la gente quintanarroense. </w:t>
      </w:r>
    </w:p>
    <w:p w14:paraId="4162BE8C" w14:textId="77777777" w:rsidR="0086218A" w:rsidRPr="00F30FD1" w:rsidRDefault="003D39BD" w:rsidP="00C86D79">
      <w:pPr>
        <w:spacing w:after="120"/>
        <w:ind w:firstLine="708"/>
        <w:jc w:val="right"/>
        <w:rPr>
          <w:noProof/>
          <w:color w:val="4BACC6" w:themeColor="accent5"/>
        </w:rPr>
      </w:pPr>
      <w:r w:rsidRPr="00F30FD1">
        <w:rPr>
          <w:noProof/>
          <w:color w:val="4BACC6" w:themeColor="accent5"/>
        </w:rPr>
        <w:t xml:space="preserve">Mtra. </w:t>
      </w:r>
      <w:r w:rsidR="002C5395" w:rsidRPr="00F30FD1">
        <w:rPr>
          <w:noProof/>
          <w:color w:val="4BACC6" w:themeColor="accent5"/>
        </w:rPr>
        <w:t xml:space="preserve"> Yohanet Teodúla Torres Muñoz</w:t>
      </w:r>
    </w:p>
    <w:p w14:paraId="42C9B546" w14:textId="3F78B608" w:rsidR="005F7240" w:rsidRPr="00F30FD1" w:rsidRDefault="003D39BD" w:rsidP="0086218A">
      <w:pPr>
        <w:spacing w:after="120"/>
        <w:ind w:firstLine="708"/>
        <w:jc w:val="right"/>
        <w:rPr>
          <w:rFonts w:eastAsia="Times New Roman" w:cs="Futura"/>
          <w:color w:val="595959"/>
        </w:rPr>
      </w:pPr>
      <w:r w:rsidRPr="00F30FD1">
        <w:rPr>
          <w:noProof/>
          <w:color w:val="4BACC6" w:themeColor="accent5"/>
          <w:lang w:val="es-ES"/>
        </w:rPr>
        <w:t>Secretaria</w:t>
      </w:r>
      <w:r w:rsidR="00824346" w:rsidRPr="00F30FD1">
        <w:rPr>
          <w:noProof/>
          <w:color w:val="4BACC6" w:themeColor="accent5"/>
          <w:lang w:val="es-ES"/>
        </w:rPr>
        <w:t xml:space="preserve"> de Finanzas y Planeación</w:t>
      </w:r>
      <w:r w:rsidR="005F7240" w:rsidRPr="00F30FD1">
        <w:rPr>
          <w:rFonts w:eastAsia="Times New Roman" w:cs="Futura"/>
          <w:color w:val="595959"/>
        </w:rPr>
        <w:br w:type="page"/>
      </w:r>
    </w:p>
    <w:p w14:paraId="4F3C0815" w14:textId="77777777" w:rsidR="00E0460C" w:rsidRPr="00F30FD1" w:rsidRDefault="00E0460C" w:rsidP="00E0460C">
      <w:pPr>
        <w:pStyle w:val="Ttulo"/>
      </w:pPr>
    </w:p>
    <w:p w14:paraId="4D0EFCAC" w14:textId="77777777" w:rsidR="00E0460C" w:rsidRPr="00F30FD1" w:rsidRDefault="00E0460C" w:rsidP="00E0460C">
      <w:pPr>
        <w:pStyle w:val="Ttulo"/>
      </w:pPr>
    </w:p>
    <w:p w14:paraId="530033AA" w14:textId="77777777" w:rsidR="00E0460C" w:rsidRPr="00F30FD1" w:rsidRDefault="00E0460C" w:rsidP="00E0460C">
      <w:pPr>
        <w:pStyle w:val="Ttulo"/>
      </w:pPr>
    </w:p>
    <w:p w14:paraId="49CAF126" w14:textId="77777777" w:rsidR="00E0460C" w:rsidRPr="00F30FD1" w:rsidRDefault="00E0460C" w:rsidP="00E0460C">
      <w:pPr>
        <w:pStyle w:val="Ttulo"/>
      </w:pPr>
    </w:p>
    <w:p w14:paraId="09922A55" w14:textId="77777777" w:rsidR="005B61D5" w:rsidRPr="00F30FD1" w:rsidRDefault="005B61D5" w:rsidP="00E0460C">
      <w:pPr>
        <w:pStyle w:val="Ttulo"/>
      </w:pPr>
    </w:p>
    <w:p w14:paraId="476EA518" w14:textId="77777777" w:rsidR="00E0460C" w:rsidRPr="00F30FD1" w:rsidRDefault="00E0460C" w:rsidP="00E0460C">
      <w:pPr>
        <w:pStyle w:val="Ttulo"/>
        <w:rPr>
          <w:color w:val="4BACC6"/>
        </w:rPr>
      </w:pPr>
      <w:r w:rsidRPr="00F30FD1">
        <w:rPr>
          <w:color w:val="4BACC6"/>
        </w:rPr>
        <w:t>INTRODUCCIÓN</w:t>
      </w:r>
    </w:p>
    <w:p w14:paraId="7AC0559E" w14:textId="4B4E3DCC" w:rsidR="00E0460C" w:rsidRPr="00F30FD1" w:rsidRDefault="00E0460C">
      <w:pPr>
        <w:spacing w:after="0" w:line="240" w:lineRule="auto"/>
        <w:jc w:val="left"/>
        <w:rPr>
          <w:rFonts w:eastAsia="Times New Roman" w:cs="Times New Roman"/>
          <w:b/>
          <w:bCs/>
          <w:caps/>
          <w:color w:val="4BACC6"/>
          <w:sz w:val="32"/>
          <w:szCs w:val="28"/>
          <w:lang w:val="es-MX" w:eastAsia="en-US"/>
        </w:rPr>
      </w:pPr>
      <w:r w:rsidRPr="00F30FD1">
        <w:rPr>
          <w:color w:val="4BACC6"/>
        </w:rPr>
        <w:br w:type="page"/>
      </w:r>
    </w:p>
    <w:p w14:paraId="6F8DD570" w14:textId="0FAC18BE" w:rsidR="005F7240" w:rsidRPr="00F30FD1" w:rsidRDefault="00F765C3" w:rsidP="00F765C3">
      <w:pPr>
        <w:pStyle w:val="Ttulo1"/>
      </w:pPr>
      <w:bookmarkStart w:id="1" w:name="_Toc477971047"/>
      <w:r w:rsidRPr="00F30FD1">
        <w:lastRenderedPageBreak/>
        <w:t xml:space="preserve">II. </w:t>
      </w:r>
      <w:r w:rsidR="005F7240" w:rsidRPr="00F30FD1">
        <w:t>INTRODUCCIÓN</w:t>
      </w:r>
      <w:bookmarkEnd w:id="1"/>
    </w:p>
    <w:p w14:paraId="0EA05C6B" w14:textId="77777777" w:rsidR="000A7B04" w:rsidRPr="00F30FD1" w:rsidRDefault="000A7B04" w:rsidP="000A7B04">
      <w:pPr>
        <w:rPr>
          <w:rFonts w:eastAsia="Times New Roman" w:cs="Futura"/>
          <w:color w:val="595959"/>
        </w:rPr>
      </w:pPr>
      <w:r w:rsidRPr="00F30FD1">
        <w:rPr>
          <w:rFonts w:eastAsia="Times New Roman" w:cs="Futura"/>
          <w:color w:val="595959"/>
        </w:rPr>
        <w:t>La crisis económica gestada en Estados Unidos en 2008, tuvo repercusiones en varios países, entre ellos México, por la íntima relación existente entre estas economías, menguando los intentos de un crecimiento económico con efectos adversos en el ámbito social y gubernamental.</w:t>
      </w:r>
    </w:p>
    <w:p w14:paraId="39062F2B" w14:textId="77777777" w:rsidR="000A7B04" w:rsidRPr="00F30FD1" w:rsidRDefault="000A7B04" w:rsidP="000A7B04">
      <w:pPr>
        <w:rPr>
          <w:rFonts w:eastAsia="Times New Roman" w:cs="Futura"/>
          <w:color w:val="595959"/>
        </w:rPr>
      </w:pPr>
      <w:r w:rsidRPr="00F30FD1">
        <w:rPr>
          <w:rFonts w:eastAsia="Times New Roman" w:cs="Futura"/>
          <w:color w:val="595959"/>
        </w:rPr>
        <w:t>A casi tres años del inicio de la administración pública estatal se plantearon importantes retos en materia de finanzas públicas y planeación estratégica, en este sentido, sin duda alguna hay avances importantes, pero insuficientes, ya que se han creado instrumentos normativos en materia de disciplina financiera y de la Gestión para Resultados,  por lo que sigue siendo un reto para la administración pública actual crear las condiciones necesarias acorde a la realidad social, económica y política de la Entidad Federativa en relación al Plan Nacional de Desarrollo, a través de la creación de políticas hacendarias, con el fin de impulsar la recaudación de ingresos propios, mediante la actualización de las bases catastrales, promover los estímulos y subsidios necesarios para beneficio común e impulsar el incremento de los recursos federales, así como buscar fortalecer la atracción de inversiones en los diferentes sectores económicos del estado.</w:t>
      </w:r>
    </w:p>
    <w:p w14:paraId="3D4C443C" w14:textId="77777777" w:rsidR="000A7B04" w:rsidRPr="00F30FD1" w:rsidRDefault="000A7B04" w:rsidP="000A7B04">
      <w:pPr>
        <w:rPr>
          <w:rFonts w:eastAsia="Times New Roman" w:cs="Futura"/>
          <w:color w:val="595959"/>
        </w:rPr>
      </w:pPr>
      <w:r w:rsidRPr="00F30FD1">
        <w:rPr>
          <w:rFonts w:eastAsia="Times New Roman" w:cs="Futura"/>
          <w:color w:val="595959"/>
        </w:rPr>
        <w:t xml:space="preserve">El sector hacendario implementa y fortalece las políticas públicas de la administración financiera y tributaria para optimizar la recaudación, planeación, programación y evaluación para el uso responsable y transparente de los recursos, apoyándose en mecanismos como la actualización del registro catastral, el seguimiento de los indicadores y la evaluación de los programas presupuestarios que consoliden  a Quintana Roo como un destino de inversión que genere más y mejores oportunidades para sus ciudadanos. </w:t>
      </w:r>
    </w:p>
    <w:p w14:paraId="31E293CE" w14:textId="77777777" w:rsidR="000A7B04" w:rsidRPr="00F30FD1" w:rsidRDefault="000A7B04" w:rsidP="000A7B04">
      <w:pPr>
        <w:rPr>
          <w:rFonts w:eastAsia="Times New Roman" w:cs="Futura"/>
          <w:color w:val="595959"/>
        </w:rPr>
      </w:pPr>
      <w:r w:rsidRPr="00F30FD1">
        <w:rPr>
          <w:rFonts w:eastAsia="Times New Roman" w:cs="Futura"/>
          <w:color w:val="595959"/>
        </w:rPr>
        <w:t xml:space="preserve">El presente Programa Sectorial está alineado a la actualización del Plan Estatal de Desarrollo 2016-2022, el cual contiene objetivos, estrategias y líneas de acción que coadyuvan a obtener finanzas públicas sanas, integrar y administrar la cartera de inversión estatal, generar modelos de planeación, programación, presupuestación, ejercicio, seguimiento, control y evaluación de las acciones emprendidas para contar con un gobierno moderno, confiable y cercano a la gente. </w:t>
      </w:r>
    </w:p>
    <w:p w14:paraId="5C4D0FCA" w14:textId="0635A408" w:rsidR="000A7B04" w:rsidRPr="00F30FD1" w:rsidRDefault="000A7B04" w:rsidP="000A7B04">
      <w:pPr>
        <w:rPr>
          <w:rFonts w:eastAsia="Times New Roman" w:cs="Futura"/>
          <w:color w:val="595959"/>
        </w:rPr>
      </w:pPr>
      <w:r w:rsidRPr="00F30FD1">
        <w:rPr>
          <w:rFonts w:eastAsia="Times New Roman" w:cs="Futura"/>
          <w:color w:val="595959"/>
        </w:rPr>
        <w:t xml:space="preserve">Asimismo, coordinar y dar seguimiento al Comité de Planeación para el Desarrollo del Estado de Quintana Roo (COPLADE), y establecer vínculos con los municipios a través de los Comités de Planeación para el Desarrollo de los Municipios (COPLADEMUN), como coadyuvantes en las </w:t>
      </w:r>
      <w:r w:rsidRPr="00F30FD1">
        <w:rPr>
          <w:rFonts w:eastAsia="Times New Roman" w:cs="Futura"/>
          <w:color w:val="595959"/>
        </w:rPr>
        <w:lastRenderedPageBreak/>
        <w:t xml:space="preserve">acciones realizadas, en coordinación con las Dependencias, Entidades y Órganos Autónomos de la Administración Pública Estatal para un desarrollo integral del Estado. </w:t>
      </w:r>
    </w:p>
    <w:p w14:paraId="0DBD0B16" w14:textId="13639CF1" w:rsidR="00954288" w:rsidRPr="00F30FD1" w:rsidRDefault="000A7B04" w:rsidP="000A7B04">
      <w:pPr>
        <w:rPr>
          <w:rFonts w:eastAsia="Times New Roman" w:cs="Futura"/>
          <w:color w:val="595959"/>
          <w:lang w:val="es-MX"/>
        </w:rPr>
      </w:pPr>
      <w:r w:rsidRPr="00F30FD1">
        <w:rPr>
          <w:rFonts w:eastAsia="Times New Roman" w:cs="Futura"/>
          <w:color w:val="595959"/>
        </w:rPr>
        <w:t>En este documento se encuentran los diagnósticos, objetivos, estrategias y acciones que se realizarán, presentando los indicadores que ilustran la situación actual y hacia dónde queremos avanzar. Es una propuesta colectiva que encabezamos para transformar al Estado con más y mejores oportunidades.</w:t>
      </w:r>
    </w:p>
    <w:p w14:paraId="285EF33B" w14:textId="77777777" w:rsidR="00954288" w:rsidRPr="00F30FD1" w:rsidRDefault="00954288">
      <w:pPr>
        <w:spacing w:after="0" w:line="240" w:lineRule="auto"/>
        <w:jc w:val="left"/>
        <w:rPr>
          <w:rFonts w:eastAsia="Times New Roman" w:cs="Futura"/>
          <w:color w:val="595959"/>
          <w:lang w:val="es-MX"/>
        </w:rPr>
      </w:pPr>
      <w:r w:rsidRPr="00F30FD1">
        <w:rPr>
          <w:rFonts w:eastAsia="Times New Roman" w:cs="Futura"/>
          <w:color w:val="595959"/>
          <w:lang w:val="es-MX"/>
        </w:rPr>
        <w:br w:type="page"/>
      </w:r>
    </w:p>
    <w:p w14:paraId="5DA5E6AA" w14:textId="77777777" w:rsidR="001F7F78" w:rsidRPr="00F30FD1" w:rsidRDefault="001F7F78" w:rsidP="00175728">
      <w:pPr>
        <w:pStyle w:val="Ttulo"/>
        <w:rPr>
          <w:color w:val="4BACC6"/>
        </w:rPr>
      </w:pPr>
    </w:p>
    <w:p w14:paraId="408EE57E" w14:textId="77777777" w:rsidR="003C56CB" w:rsidRPr="00F30FD1" w:rsidRDefault="003C56CB" w:rsidP="00175728">
      <w:pPr>
        <w:pStyle w:val="Ttulo"/>
        <w:rPr>
          <w:color w:val="4BACC6"/>
        </w:rPr>
      </w:pPr>
    </w:p>
    <w:p w14:paraId="4506F587" w14:textId="77777777" w:rsidR="003C56CB" w:rsidRPr="00F30FD1" w:rsidRDefault="003C56CB" w:rsidP="00175728">
      <w:pPr>
        <w:pStyle w:val="Ttulo"/>
        <w:rPr>
          <w:color w:val="4BACC6"/>
        </w:rPr>
      </w:pPr>
    </w:p>
    <w:p w14:paraId="37062551" w14:textId="77777777" w:rsidR="003C56CB" w:rsidRPr="00F30FD1" w:rsidRDefault="003C56CB" w:rsidP="00175728">
      <w:pPr>
        <w:pStyle w:val="Ttulo"/>
        <w:rPr>
          <w:color w:val="4BACC6"/>
        </w:rPr>
      </w:pPr>
    </w:p>
    <w:p w14:paraId="01D27623" w14:textId="77777777" w:rsidR="003C56CB" w:rsidRPr="00F30FD1" w:rsidRDefault="003C56CB" w:rsidP="00175728">
      <w:pPr>
        <w:pStyle w:val="Ttulo"/>
        <w:rPr>
          <w:color w:val="4BACC6"/>
        </w:rPr>
      </w:pPr>
    </w:p>
    <w:p w14:paraId="7312C2C9" w14:textId="77777777" w:rsidR="00E0460C" w:rsidRPr="00F30FD1" w:rsidRDefault="00BD65C7" w:rsidP="00175728">
      <w:pPr>
        <w:pStyle w:val="Ttulo"/>
        <w:rPr>
          <w:color w:val="4BACC6"/>
        </w:rPr>
      </w:pPr>
      <w:r w:rsidRPr="00F30FD1">
        <w:rPr>
          <w:color w:val="4BACC6"/>
        </w:rPr>
        <w:t>ANTECEDENTES</w:t>
      </w:r>
    </w:p>
    <w:p w14:paraId="31C77F38" w14:textId="77777777" w:rsidR="00E0460C" w:rsidRPr="00F30FD1" w:rsidRDefault="00E0460C" w:rsidP="00E0460C">
      <w:pPr>
        <w:rPr>
          <w:lang w:val="es-MX" w:eastAsia="en-US"/>
        </w:rPr>
      </w:pPr>
    </w:p>
    <w:p w14:paraId="4D685066" w14:textId="58DC1862" w:rsidR="005441E8" w:rsidRPr="00F30FD1" w:rsidRDefault="005441E8" w:rsidP="000A7B04">
      <w:pPr>
        <w:rPr>
          <w:rFonts w:eastAsia="Times New Roman" w:cs="Futura"/>
          <w:color w:val="595959"/>
        </w:rPr>
      </w:pPr>
    </w:p>
    <w:p w14:paraId="35E136B7" w14:textId="77777777" w:rsidR="001F7F78" w:rsidRPr="00F30FD1" w:rsidRDefault="001F7F78">
      <w:pPr>
        <w:spacing w:after="0" w:line="240" w:lineRule="auto"/>
        <w:jc w:val="left"/>
        <w:rPr>
          <w:rFonts w:eastAsia="Times New Roman" w:cs="Times New Roman"/>
          <w:b/>
          <w:bCs/>
          <w:caps/>
          <w:sz w:val="32"/>
          <w:szCs w:val="28"/>
          <w:lang w:val="es-MX" w:eastAsia="en-US"/>
        </w:rPr>
      </w:pPr>
      <w:bookmarkStart w:id="2" w:name="_Toc477971048"/>
      <w:r w:rsidRPr="00F30FD1">
        <w:br w:type="page"/>
      </w:r>
    </w:p>
    <w:p w14:paraId="57BD7845" w14:textId="77777777" w:rsidR="00F765C3" w:rsidRPr="00F30FD1" w:rsidRDefault="00F765C3" w:rsidP="00F765C3">
      <w:pPr>
        <w:pStyle w:val="Ttulo1"/>
      </w:pPr>
      <w:r w:rsidRPr="00F30FD1">
        <w:lastRenderedPageBreak/>
        <w:t>III. ANTECEDENTES</w:t>
      </w:r>
      <w:bookmarkEnd w:id="2"/>
    </w:p>
    <w:p w14:paraId="3CC688E2" w14:textId="77777777" w:rsidR="003D39BD" w:rsidRPr="00F30FD1" w:rsidRDefault="003D39BD" w:rsidP="003D39BD">
      <w:pPr>
        <w:rPr>
          <w:rFonts w:eastAsia="Times New Roman" w:cs="Futura"/>
          <w:color w:val="595959"/>
        </w:rPr>
      </w:pPr>
      <w:r w:rsidRPr="00F30FD1">
        <w:rPr>
          <w:rFonts w:eastAsia="Times New Roman" w:cs="Futura"/>
          <w:color w:val="595959"/>
        </w:rPr>
        <w:t>El 25 de septiembre del 2016 tomó protesta el actual gobernador del Estado de Quintana Roo, el C.P. Carlos Joaquín González, siendo el octavo gobernador, para el período 2016-2022, hecho que marca historia en el Estado al romper con la hegemonía unipartidista.</w:t>
      </w:r>
    </w:p>
    <w:p w14:paraId="277E2989" w14:textId="77777777" w:rsidR="003D39BD" w:rsidRPr="00F30FD1" w:rsidRDefault="003D39BD" w:rsidP="003D39BD">
      <w:pPr>
        <w:rPr>
          <w:rFonts w:eastAsia="Times New Roman" w:cs="Futura"/>
          <w:color w:val="595959"/>
        </w:rPr>
      </w:pPr>
      <w:r w:rsidRPr="00F30FD1">
        <w:rPr>
          <w:rFonts w:eastAsia="Times New Roman" w:cs="Futura"/>
          <w:color w:val="595959"/>
        </w:rPr>
        <w:t>El Plan Estatal de Desarrollo 2016–2022, publicado el 25 de enero de 2017 y actualizado el 17 de enero de 2020, está integrado por cinco ejes rectores, los cuales establecen una acción pública a corto, mediano y largo plazo, mediante una relación estratégica entre ciudadanía y gobierno. En cada uno de los ejes se consignan objetivos, estrategias y líneas de acción, con el propósito de atender las demandas de la sociedad.</w:t>
      </w:r>
    </w:p>
    <w:p w14:paraId="2E0C21AC" w14:textId="77777777" w:rsidR="003D39BD" w:rsidRPr="00F30FD1" w:rsidRDefault="003D39BD" w:rsidP="003D39BD">
      <w:pPr>
        <w:rPr>
          <w:rFonts w:eastAsia="Times New Roman" w:cs="Futura"/>
          <w:color w:val="595959"/>
        </w:rPr>
      </w:pPr>
      <w:r w:rsidRPr="00F30FD1">
        <w:rPr>
          <w:rFonts w:eastAsia="Times New Roman" w:cs="Futura"/>
          <w:color w:val="595959"/>
        </w:rPr>
        <w:t xml:space="preserve">La Secretaría de Finanzas y Planeación pertenece al tercer eje, </w:t>
      </w:r>
      <w:r w:rsidRPr="00F30FD1">
        <w:rPr>
          <w:noProof/>
          <w:color w:val="4BACC6" w:themeColor="accent5"/>
          <w:lang w:val="es-ES"/>
        </w:rPr>
        <w:t>Gobierno Moderno, Confiable y Cercano a la Gente</w:t>
      </w:r>
      <w:r w:rsidRPr="00F30FD1">
        <w:rPr>
          <w:rFonts w:eastAsia="Times New Roman" w:cs="Futura"/>
          <w:color w:val="595959"/>
          <w:lang w:val="es-MX"/>
        </w:rPr>
        <w:t>,</w:t>
      </w:r>
      <w:r w:rsidRPr="00F30FD1">
        <w:rPr>
          <w:rFonts w:eastAsia="Times New Roman" w:cs="Futura"/>
          <w:b/>
          <w:color w:val="595959"/>
          <w:lang w:val="es-MX"/>
        </w:rPr>
        <w:t xml:space="preserve"> </w:t>
      </w:r>
      <w:r w:rsidRPr="00F30FD1">
        <w:rPr>
          <w:rFonts w:eastAsia="Times New Roman" w:cs="Futura"/>
          <w:color w:val="595959"/>
          <w:lang w:val="es-MX"/>
        </w:rPr>
        <w:t xml:space="preserve">cuyo objetivo principal </w:t>
      </w:r>
      <w:r w:rsidRPr="00F30FD1">
        <w:rPr>
          <w:rFonts w:eastAsia="Times New Roman" w:cs="Futura"/>
          <w:color w:val="595959"/>
        </w:rPr>
        <w:t xml:space="preserve">es contar con una administración pública comprometida con la planeación, obtención y evaluación de resultados, transparente en su actuar y con la rendición de cuentas como práctica usual en su acontecer, gestionando y resguardando responsablemente las finanzas públicas e innovando en la práctica gubernamental; permitiendo así generar una relación de </w:t>
      </w:r>
      <w:proofErr w:type="spellStart"/>
      <w:r w:rsidRPr="00F30FD1">
        <w:rPr>
          <w:rFonts w:eastAsia="Times New Roman" w:cs="Futura"/>
          <w:color w:val="595959"/>
        </w:rPr>
        <w:t>co</w:t>
      </w:r>
      <w:proofErr w:type="spellEnd"/>
      <w:r w:rsidRPr="00F30FD1">
        <w:rPr>
          <w:rFonts w:eastAsia="Times New Roman" w:cs="Futura"/>
          <w:color w:val="595959"/>
        </w:rPr>
        <w:t>-creación con la ciudadanía en el corto, mediano y largo plazo.</w:t>
      </w:r>
    </w:p>
    <w:p w14:paraId="2274801A" w14:textId="725E7B8D" w:rsidR="003D39BD" w:rsidRPr="00F30FD1" w:rsidRDefault="003D39BD" w:rsidP="003D39BD">
      <w:pPr>
        <w:rPr>
          <w:rFonts w:eastAsia="Times New Roman" w:cs="Futura"/>
          <w:color w:val="595959"/>
        </w:rPr>
      </w:pPr>
      <w:r w:rsidRPr="00F30FD1">
        <w:rPr>
          <w:rFonts w:eastAsia="Times New Roman" w:cs="Futura"/>
          <w:color w:val="595959"/>
        </w:rPr>
        <w:t>El compromiso adquirido por la titular de la Secretaría d</w:t>
      </w:r>
      <w:r w:rsidR="007B6A99" w:rsidRPr="00F30FD1">
        <w:rPr>
          <w:rFonts w:eastAsia="Times New Roman" w:cs="Futura"/>
          <w:color w:val="595959"/>
        </w:rPr>
        <w:t>e Finanzas y Planeación, la Mtra.</w:t>
      </w:r>
      <w:r w:rsidRPr="00F30FD1">
        <w:rPr>
          <w:rFonts w:eastAsia="Times New Roman" w:cs="Futura"/>
          <w:color w:val="595959"/>
        </w:rPr>
        <w:t xml:space="preserve"> </w:t>
      </w:r>
      <w:proofErr w:type="spellStart"/>
      <w:r w:rsidRPr="00F30FD1">
        <w:rPr>
          <w:rFonts w:eastAsia="Times New Roman" w:cs="Futura"/>
          <w:color w:val="595959"/>
        </w:rPr>
        <w:t>Yohanet</w:t>
      </w:r>
      <w:proofErr w:type="spellEnd"/>
      <w:r w:rsidRPr="00F30FD1">
        <w:rPr>
          <w:rFonts w:eastAsia="Times New Roman" w:cs="Futura"/>
          <w:color w:val="595959"/>
        </w:rPr>
        <w:t xml:space="preserve"> T. Torres Muñoz, es conducir la política hacendaria del Estado en materia de administración tributaria, planeación, ingresos, gasto público, deuda pública y la procuración fiscal a través de programas periódicamente evaluados y que enmarquen los objetivos del Plan Estatal de Desarrollo:</w:t>
      </w:r>
    </w:p>
    <w:p w14:paraId="48064EFE" w14:textId="019A0F1B" w:rsidR="007B6A99" w:rsidRPr="00F30FD1" w:rsidRDefault="003D39BD" w:rsidP="005D4C2A">
      <w:pPr>
        <w:pStyle w:val="Prrafodelista"/>
        <w:numPr>
          <w:ilvl w:val="0"/>
          <w:numId w:val="2"/>
        </w:numPr>
        <w:rPr>
          <w:rFonts w:eastAsia="Times New Roman" w:cs="Futura"/>
          <w:color w:val="595959"/>
        </w:rPr>
      </w:pPr>
      <w:r w:rsidRPr="00F30FD1">
        <w:rPr>
          <w:noProof/>
          <w:color w:val="4BACC6" w:themeColor="accent5"/>
          <w:lang w:val="es-ES"/>
        </w:rPr>
        <w:t>PROGR</w:t>
      </w:r>
      <w:r w:rsidR="007B6A99" w:rsidRPr="00F30FD1">
        <w:rPr>
          <w:noProof/>
          <w:color w:val="4BACC6" w:themeColor="accent5"/>
          <w:lang w:val="es-ES"/>
        </w:rPr>
        <w:t>AMA 18: Finanzas Publicas Responsables</w:t>
      </w:r>
      <w:r w:rsidRPr="00F30FD1">
        <w:rPr>
          <w:rFonts w:eastAsia="Times New Roman" w:cs="Futura"/>
          <w:b/>
          <w:color w:val="595959"/>
        </w:rPr>
        <w:t>.</w:t>
      </w:r>
      <w:r w:rsidRPr="00F30FD1">
        <w:rPr>
          <w:rFonts w:eastAsia="Times New Roman" w:cs="Futura"/>
          <w:color w:val="595959"/>
        </w:rPr>
        <w:t xml:space="preserve"> </w:t>
      </w:r>
      <w:r w:rsidR="007B6A99" w:rsidRPr="00F30FD1">
        <w:rPr>
          <w:rFonts w:eastAsia="Times New Roman" w:cs="Futura"/>
          <w:color w:val="595959"/>
        </w:rPr>
        <w:t>Implementar una política hacendaria Integral a través del Crecimiento de los Ingresos Propios que permita al Gobierno mantener una Estabilidad Económica y la Sustentabilidad de las Finanzas Públicas.</w:t>
      </w:r>
    </w:p>
    <w:p w14:paraId="48DE3D54" w14:textId="6ED1DC1A" w:rsidR="007B6A99" w:rsidRPr="00F30FD1" w:rsidRDefault="003D39BD" w:rsidP="005D4C2A">
      <w:pPr>
        <w:pStyle w:val="Prrafodelista"/>
        <w:numPr>
          <w:ilvl w:val="0"/>
          <w:numId w:val="2"/>
        </w:numPr>
        <w:rPr>
          <w:rFonts w:eastAsia="Times New Roman" w:cs="Futura"/>
          <w:color w:val="595959"/>
        </w:rPr>
      </w:pPr>
      <w:r w:rsidRPr="00F30FD1">
        <w:rPr>
          <w:noProof/>
          <w:color w:val="4BACC6" w:themeColor="accent5"/>
          <w:lang w:val="es-ES"/>
        </w:rPr>
        <w:t>PROGRAMA 19: Planeación y Evaluación Estratégica.</w:t>
      </w:r>
      <w:r w:rsidRPr="00F30FD1">
        <w:rPr>
          <w:rFonts w:eastAsia="Times New Roman" w:cs="Futura"/>
          <w:color w:val="595959"/>
          <w:lang w:val="es-MX"/>
        </w:rPr>
        <w:t xml:space="preserve"> </w:t>
      </w:r>
      <w:r w:rsidR="007B6A99" w:rsidRPr="00F30FD1">
        <w:rPr>
          <w:rFonts w:eastAsia="Times New Roman" w:cs="Futura"/>
          <w:color w:val="595959"/>
          <w:lang w:val="es-MX"/>
        </w:rPr>
        <w:t xml:space="preserve">Consolidar la Gestión para Resultados </w:t>
      </w:r>
      <w:r w:rsidR="00E17BDC" w:rsidRPr="00F30FD1">
        <w:rPr>
          <w:rFonts w:eastAsia="Times New Roman" w:cs="Futura"/>
          <w:color w:val="595959"/>
          <w:lang w:val="es-MX"/>
        </w:rPr>
        <w:t>como un</w:t>
      </w:r>
      <w:r w:rsidR="007B6A99" w:rsidRPr="00F30FD1">
        <w:rPr>
          <w:rFonts w:eastAsia="Times New Roman" w:cs="Futura"/>
          <w:color w:val="595959"/>
          <w:lang w:val="es-MX"/>
        </w:rPr>
        <w:t xml:space="preserve"> Modelo de Cultura Organizacional, Directiva y de Gestión que permita la Creación de Valor Público en la Administración Pública Estatal</w:t>
      </w:r>
    </w:p>
    <w:p w14:paraId="074840AE" w14:textId="77777777" w:rsidR="007B6A99" w:rsidRPr="00F30FD1" w:rsidRDefault="007B6A99" w:rsidP="007B6A99">
      <w:pPr>
        <w:pStyle w:val="Prrafodelista"/>
        <w:rPr>
          <w:rFonts w:eastAsia="Times New Roman" w:cs="Futura"/>
          <w:color w:val="595959"/>
        </w:rPr>
      </w:pPr>
    </w:p>
    <w:p w14:paraId="4034CB14" w14:textId="10E39E9A" w:rsidR="002C5E97" w:rsidRPr="00F30FD1" w:rsidRDefault="003D39BD" w:rsidP="007B6A99">
      <w:pPr>
        <w:pStyle w:val="Prrafodelista"/>
        <w:rPr>
          <w:rFonts w:eastAsia="Times New Roman" w:cs="Futura"/>
          <w:color w:val="595959"/>
        </w:rPr>
      </w:pPr>
      <w:r w:rsidRPr="00F30FD1">
        <w:rPr>
          <w:rFonts w:eastAsia="Times New Roman" w:cs="Futura"/>
          <w:color w:val="595959"/>
        </w:rPr>
        <w:t xml:space="preserve">Éstos son objetivos de cambio progresista y de modernización, así como de inclusión ciudadana, sustentados en la participación democrática, que surgieron de foros ciudadanos y </w:t>
      </w:r>
      <w:r w:rsidRPr="00F30FD1">
        <w:rPr>
          <w:rFonts w:eastAsia="Times New Roman" w:cs="Futura"/>
          <w:color w:val="595959"/>
        </w:rPr>
        <w:lastRenderedPageBreak/>
        <w:t>reuniones en los que participaron expertos, especialistas y estudiosos de los diferentes rubros. Todo esto con el fin de mejorar las condiciones y calidad de vida de los Quintanarroenses.</w:t>
      </w:r>
    </w:p>
    <w:p w14:paraId="445F927C" w14:textId="77777777" w:rsidR="00954288" w:rsidRPr="00F30FD1" w:rsidRDefault="00954288">
      <w:pPr>
        <w:spacing w:after="0" w:line="240" w:lineRule="auto"/>
        <w:jc w:val="left"/>
        <w:rPr>
          <w:rFonts w:eastAsia="Times New Roman" w:cs="Times New Roman"/>
          <w:b/>
          <w:color w:val="0D0D0D" w:themeColor="text1" w:themeTint="F2"/>
          <w:sz w:val="44"/>
          <w:szCs w:val="20"/>
        </w:rPr>
      </w:pPr>
      <w:r w:rsidRPr="00F30FD1">
        <w:br w:type="page"/>
      </w:r>
    </w:p>
    <w:p w14:paraId="21837F2F" w14:textId="77777777" w:rsidR="001F7F78" w:rsidRPr="00F30FD1" w:rsidRDefault="001F7F78" w:rsidP="00BD65C7">
      <w:pPr>
        <w:pStyle w:val="Ttulo"/>
        <w:rPr>
          <w:color w:val="4BACC6"/>
        </w:rPr>
      </w:pPr>
    </w:p>
    <w:p w14:paraId="4CB2E346" w14:textId="77777777" w:rsidR="001F7F78" w:rsidRPr="00F30FD1" w:rsidRDefault="001F7F78" w:rsidP="00BD65C7">
      <w:pPr>
        <w:pStyle w:val="Ttulo"/>
        <w:rPr>
          <w:color w:val="4BACC6"/>
        </w:rPr>
      </w:pPr>
    </w:p>
    <w:p w14:paraId="05C5CCED" w14:textId="77777777" w:rsidR="001F7F78" w:rsidRPr="00F30FD1" w:rsidRDefault="001F7F78" w:rsidP="00BD65C7">
      <w:pPr>
        <w:pStyle w:val="Ttulo"/>
        <w:rPr>
          <w:color w:val="4BACC6"/>
        </w:rPr>
      </w:pPr>
    </w:p>
    <w:p w14:paraId="10534112" w14:textId="77777777" w:rsidR="00802271" w:rsidRPr="00F30FD1" w:rsidRDefault="00802271" w:rsidP="00BD65C7">
      <w:pPr>
        <w:pStyle w:val="Ttulo"/>
        <w:rPr>
          <w:color w:val="4BACC6"/>
        </w:rPr>
      </w:pPr>
    </w:p>
    <w:p w14:paraId="64F40004" w14:textId="77777777" w:rsidR="00802271" w:rsidRPr="00F30FD1" w:rsidRDefault="00802271" w:rsidP="00BD65C7">
      <w:pPr>
        <w:pStyle w:val="Ttulo"/>
        <w:rPr>
          <w:color w:val="4BACC6"/>
        </w:rPr>
      </w:pPr>
    </w:p>
    <w:p w14:paraId="19ABE2A5" w14:textId="77777777" w:rsidR="00BD65C7" w:rsidRPr="00F30FD1" w:rsidRDefault="00BD65C7" w:rsidP="00BD65C7">
      <w:pPr>
        <w:pStyle w:val="Ttulo"/>
        <w:rPr>
          <w:color w:val="4BACC6"/>
        </w:rPr>
      </w:pPr>
      <w:r w:rsidRPr="00F30FD1">
        <w:rPr>
          <w:color w:val="4BACC6"/>
        </w:rPr>
        <w:t>MARCO JURÍDICO</w:t>
      </w:r>
    </w:p>
    <w:p w14:paraId="72229A12" w14:textId="77777777" w:rsidR="005441E8" w:rsidRPr="00F30FD1" w:rsidRDefault="00BD65C7" w:rsidP="002A5502">
      <w:pPr>
        <w:spacing w:after="0" w:line="240" w:lineRule="auto"/>
        <w:jc w:val="left"/>
        <w:rPr>
          <w:color w:val="4BACC6"/>
        </w:rPr>
      </w:pPr>
      <w:r w:rsidRPr="00F30FD1">
        <w:rPr>
          <w:color w:val="4BACC6"/>
        </w:rPr>
        <w:br w:type="page"/>
      </w:r>
    </w:p>
    <w:p w14:paraId="01B4C2F2" w14:textId="77777777" w:rsidR="005F7240" w:rsidRPr="00F30FD1" w:rsidRDefault="00F765C3" w:rsidP="00F765C3">
      <w:pPr>
        <w:pStyle w:val="Ttulo1"/>
      </w:pPr>
      <w:bookmarkStart w:id="3" w:name="_Toc477971049"/>
      <w:r w:rsidRPr="00F30FD1">
        <w:lastRenderedPageBreak/>
        <w:t xml:space="preserve">IV. </w:t>
      </w:r>
      <w:r w:rsidR="005F7240" w:rsidRPr="00F30FD1">
        <w:t>MARCO JURÍDICO</w:t>
      </w:r>
      <w:bookmarkEnd w:id="3"/>
    </w:p>
    <w:p w14:paraId="56F1DA0C" w14:textId="77777777" w:rsidR="003D39BD" w:rsidRPr="00F30FD1" w:rsidRDefault="003D39BD" w:rsidP="003D39BD">
      <w:pPr>
        <w:rPr>
          <w:rFonts w:eastAsia="Times New Roman" w:cs="Futura"/>
          <w:b/>
          <w:color w:val="595959"/>
        </w:rPr>
      </w:pPr>
      <w:r w:rsidRPr="00F30FD1">
        <w:rPr>
          <w:rFonts w:eastAsia="Times New Roman" w:cs="Futura"/>
          <w:b/>
          <w:color w:val="595959"/>
        </w:rPr>
        <w:t>Federal:</w:t>
      </w:r>
    </w:p>
    <w:p w14:paraId="1746EEFB" w14:textId="77777777" w:rsidR="003D39BD" w:rsidRPr="00F30FD1" w:rsidRDefault="003D39BD" w:rsidP="003D39BD">
      <w:pPr>
        <w:rPr>
          <w:rFonts w:eastAsia="Times New Roman" w:cs="Futura"/>
          <w:color w:val="595959"/>
        </w:rPr>
      </w:pPr>
      <w:r w:rsidRPr="00F30FD1">
        <w:rPr>
          <w:rFonts w:eastAsia="Times New Roman" w:cs="Futura"/>
          <w:color w:val="595959"/>
        </w:rPr>
        <w:t>Constitución Política de los Estados Unidos Mexicanos</w:t>
      </w:r>
    </w:p>
    <w:p w14:paraId="174AC6E3" w14:textId="77777777" w:rsidR="003D39BD" w:rsidRPr="00F30FD1" w:rsidRDefault="003D39BD" w:rsidP="003D39BD">
      <w:pPr>
        <w:rPr>
          <w:rFonts w:eastAsia="Times New Roman" w:cs="Futura"/>
          <w:color w:val="595959"/>
        </w:rPr>
      </w:pPr>
      <w:r w:rsidRPr="00F30FD1">
        <w:rPr>
          <w:rFonts w:eastAsia="Times New Roman" w:cs="Futura"/>
          <w:color w:val="595959"/>
        </w:rPr>
        <w:t xml:space="preserve">Ley Orgánica de la Administración Pública Federal </w:t>
      </w:r>
    </w:p>
    <w:p w14:paraId="2ABCB2AE" w14:textId="77777777" w:rsidR="003D39BD" w:rsidRPr="00F30FD1" w:rsidRDefault="003D39BD" w:rsidP="003D39BD">
      <w:pPr>
        <w:rPr>
          <w:rFonts w:eastAsia="Times New Roman" w:cs="Futura"/>
          <w:color w:val="595959"/>
          <w:sz w:val="46"/>
        </w:rPr>
      </w:pPr>
      <w:r w:rsidRPr="00F30FD1">
        <w:rPr>
          <w:rFonts w:eastAsia="Times New Roman" w:cs="Futura"/>
          <w:color w:val="595959"/>
        </w:rPr>
        <w:t xml:space="preserve">Ley de Planeación </w:t>
      </w:r>
    </w:p>
    <w:p w14:paraId="241F8A3D" w14:textId="77777777" w:rsidR="003D39BD" w:rsidRPr="00F30FD1" w:rsidRDefault="003D39BD" w:rsidP="003D39BD">
      <w:pPr>
        <w:rPr>
          <w:rFonts w:eastAsia="Times New Roman" w:cs="Futura"/>
          <w:color w:val="595959"/>
        </w:rPr>
      </w:pPr>
      <w:r w:rsidRPr="00F30FD1">
        <w:rPr>
          <w:rFonts w:eastAsia="Times New Roman" w:cs="Futura"/>
          <w:color w:val="595959"/>
        </w:rPr>
        <w:t>Ley del Sistema Nacional de Información Estadística y Geográfica</w:t>
      </w:r>
    </w:p>
    <w:p w14:paraId="69071582" w14:textId="77777777" w:rsidR="003D39BD" w:rsidRPr="00F30FD1" w:rsidRDefault="003D39BD" w:rsidP="003D39BD">
      <w:pPr>
        <w:rPr>
          <w:rFonts w:eastAsia="Times New Roman" w:cs="Futura"/>
          <w:color w:val="595959"/>
        </w:rPr>
      </w:pPr>
      <w:r w:rsidRPr="00F30FD1">
        <w:rPr>
          <w:rFonts w:eastAsia="Times New Roman" w:cs="Futura"/>
          <w:color w:val="595959"/>
        </w:rPr>
        <w:t>Ley General de Contabilidad Gubernamental</w:t>
      </w:r>
    </w:p>
    <w:p w14:paraId="4FD103C7" w14:textId="77777777" w:rsidR="003D39BD" w:rsidRPr="00F30FD1" w:rsidRDefault="003D39BD" w:rsidP="003D39BD">
      <w:pPr>
        <w:rPr>
          <w:rFonts w:eastAsia="Times New Roman" w:cs="Futura"/>
          <w:color w:val="595959"/>
        </w:rPr>
      </w:pPr>
      <w:r w:rsidRPr="00F30FD1">
        <w:rPr>
          <w:rFonts w:eastAsia="Times New Roman" w:cs="Futura"/>
          <w:color w:val="595959"/>
        </w:rPr>
        <w:t>Ley de Coordinación Fiscal</w:t>
      </w:r>
    </w:p>
    <w:p w14:paraId="208AC42F" w14:textId="77777777" w:rsidR="003D39BD" w:rsidRPr="00F30FD1" w:rsidRDefault="003D39BD" w:rsidP="003D39BD">
      <w:pPr>
        <w:rPr>
          <w:rFonts w:eastAsia="Times New Roman" w:cs="Futura"/>
          <w:color w:val="595959"/>
        </w:rPr>
      </w:pPr>
      <w:r w:rsidRPr="00F30FD1">
        <w:rPr>
          <w:rFonts w:eastAsia="Times New Roman" w:cs="Futura"/>
          <w:color w:val="595959"/>
        </w:rPr>
        <w:t>Ley de Ingresos de la Federación</w:t>
      </w:r>
    </w:p>
    <w:p w14:paraId="0694FF37" w14:textId="77777777" w:rsidR="003D39BD" w:rsidRPr="00F30FD1" w:rsidRDefault="003D39BD" w:rsidP="003D39BD">
      <w:pPr>
        <w:rPr>
          <w:rFonts w:eastAsia="Times New Roman" w:cs="Futura"/>
          <w:color w:val="595959"/>
        </w:rPr>
      </w:pPr>
      <w:r w:rsidRPr="00F30FD1">
        <w:rPr>
          <w:rFonts w:eastAsia="Times New Roman" w:cs="Futura"/>
          <w:color w:val="595959"/>
        </w:rPr>
        <w:t>Presupuesto de Egresos de la Federación</w:t>
      </w:r>
    </w:p>
    <w:p w14:paraId="1D0FA70A" w14:textId="77777777" w:rsidR="003D39BD" w:rsidRPr="00F30FD1" w:rsidRDefault="003D39BD" w:rsidP="003D39BD">
      <w:pPr>
        <w:rPr>
          <w:rFonts w:eastAsia="Times New Roman" w:cs="Futura"/>
          <w:color w:val="595959"/>
        </w:rPr>
      </w:pPr>
      <w:r w:rsidRPr="00F30FD1">
        <w:rPr>
          <w:rFonts w:eastAsia="Times New Roman" w:cs="Futura"/>
          <w:color w:val="595959"/>
        </w:rPr>
        <w:t>Ley Federal de Presupuesto y Responsabilidad Hacendaria</w:t>
      </w:r>
    </w:p>
    <w:p w14:paraId="7C87FE19" w14:textId="77777777" w:rsidR="003D39BD" w:rsidRPr="00F30FD1" w:rsidRDefault="003D39BD" w:rsidP="003D39BD">
      <w:pPr>
        <w:rPr>
          <w:rFonts w:eastAsia="Times New Roman" w:cs="Futura"/>
          <w:color w:val="595959"/>
        </w:rPr>
      </w:pPr>
      <w:r w:rsidRPr="00F30FD1">
        <w:rPr>
          <w:rFonts w:eastAsia="Times New Roman" w:cs="Futura"/>
          <w:color w:val="595959"/>
        </w:rPr>
        <w:t xml:space="preserve">Ley de Disciplina Financiera de las Entidades Federativas y Municipios </w:t>
      </w:r>
    </w:p>
    <w:p w14:paraId="082C12A0" w14:textId="77777777" w:rsidR="003D39BD" w:rsidRPr="00F30FD1" w:rsidRDefault="003D39BD" w:rsidP="003D39BD">
      <w:pPr>
        <w:rPr>
          <w:rFonts w:eastAsia="Times New Roman" w:cs="Futura"/>
          <w:color w:val="595959"/>
        </w:rPr>
      </w:pPr>
      <w:r w:rsidRPr="00F30FD1">
        <w:rPr>
          <w:rFonts w:eastAsia="Times New Roman" w:cs="Futura"/>
          <w:color w:val="595959"/>
        </w:rPr>
        <w:t>Ley General de Transparencia, Acceso la Información y Protección de Datos Personales</w:t>
      </w:r>
    </w:p>
    <w:p w14:paraId="1DD33C40" w14:textId="77777777" w:rsidR="003D39BD" w:rsidRPr="00F30FD1" w:rsidRDefault="003D39BD" w:rsidP="003D39BD">
      <w:pPr>
        <w:rPr>
          <w:rFonts w:eastAsia="Times New Roman" w:cs="Futura"/>
          <w:color w:val="595959"/>
        </w:rPr>
      </w:pPr>
      <w:r w:rsidRPr="00F30FD1">
        <w:rPr>
          <w:rFonts w:eastAsia="Times New Roman" w:cs="Futura"/>
          <w:color w:val="595959"/>
        </w:rPr>
        <w:t>Ley General de Responsabilidades</w:t>
      </w:r>
    </w:p>
    <w:p w14:paraId="4BBB1899" w14:textId="77777777" w:rsidR="003D39BD" w:rsidRPr="00F30FD1" w:rsidRDefault="003D39BD" w:rsidP="003D39BD">
      <w:pPr>
        <w:rPr>
          <w:rFonts w:eastAsia="Times New Roman" w:cs="Futura"/>
          <w:b/>
          <w:color w:val="595959"/>
        </w:rPr>
      </w:pPr>
      <w:r w:rsidRPr="00F30FD1">
        <w:rPr>
          <w:rFonts w:eastAsia="Times New Roman" w:cs="Futura"/>
          <w:b/>
          <w:color w:val="595959"/>
        </w:rPr>
        <w:t>Estatal:</w:t>
      </w:r>
    </w:p>
    <w:p w14:paraId="63AB8C02" w14:textId="77777777" w:rsidR="003D39BD" w:rsidRPr="00F30FD1" w:rsidRDefault="003D39BD" w:rsidP="003D39BD">
      <w:pPr>
        <w:rPr>
          <w:rFonts w:eastAsia="Times New Roman" w:cs="Futura"/>
          <w:color w:val="595959"/>
        </w:rPr>
      </w:pPr>
      <w:r w:rsidRPr="00F30FD1">
        <w:rPr>
          <w:rFonts w:eastAsia="Times New Roman" w:cs="Futura"/>
          <w:color w:val="595959"/>
        </w:rPr>
        <w:t xml:space="preserve">Constitución Política del Estado Libre y Soberano de Quintana Roo </w:t>
      </w:r>
    </w:p>
    <w:p w14:paraId="47270E2E" w14:textId="77777777" w:rsidR="003D39BD" w:rsidRPr="00F30FD1" w:rsidRDefault="003D39BD" w:rsidP="003D39BD">
      <w:pPr>
        <w:rPr>
          <w:rFonts w:eastAsia="Times New Roman" w:cs="Futura"/>
          <w:color w:val="595959"/>
        </w:rPr>
      </w:pPr>
      <w:r w:rsidRPr="00F30FD1">
        <w:rPr>
          <w:rFonts w:eastAsia="Times New Roman" w:cs="Futura"/>
          <w:color w:val="595959"/>
        </w:rPr>
        <w:t>Ley Orgánica de la Administración Pública del Estado de Quintana Roo</w:t>
      </w:r>
    </w:p>
    <w:p w14:paraId="4057D24D" w14:textId="77777777" w:rsidR="003D39BD" w:rsidRPr="00F30FD1" w:rsidRDefault="003D39BD" w:rsidP="003D39BD">
      <w:pPr>
        <w:rPr>
          <w:rFonts w:eastAsia="Times New Roman" w:cs="Futura"/>
          <w:color w:val="595959"/>
        </w:rPr>
      </w:pPr>
      <w:r w:rsidRPr="00F30FD1">
        <w:rPr>
          <w:rFonts w:eastAsia="Times New Roman" w:cs="Futura"/>
          <w:color w:val="595959"/>
        </w:rPr>
        <w:t>Ley de las Entidades de la Administración Pública Paraestatal del Estado de Quintana Roo</w:t>
      </w:r>
    </w:p>
    <w:p w14:paraId="042BBAC7" w14:textId="77777777" w:rsidR="003D39BD" w:rsidRPr="00F30FD1" w:rsidRDefault="003D39BD" w:rsidP="003D39BD">
      <w:pPr>
        <w:rPr>
          <w:rFonts w:eastAsia="Times New Roman" w:cs="Futura"/>
          <w:color w:val="595959"/>
        </w:rPr>
      </w:pPr>
      <w:r w:rsidRPr="00F30FD1">
        <w:rPr>
          <w:rFonts w:eastAsia="Times New Roman" w:cs="Futura"/>
          <w:color w:val="595959"/>
        </w:rPr>
        <w:t>Ley de Planeación para el Desarrollo del Estado de Quintana Roo</w:t>
      </w:r>
    </w:p>
    <w:p w14:paraId="1CA91FDD" w14:textId="77777777" w:rsidR="003D39BD" w:rsidRPr="00F30FD1" w:rsidRDefault="003D39BD" w:rsidP="003D39BD">
      <w:pPr>
        <w:rPr>
          <w:rFonts w:eastAsia="Times New Roman" w:cs="Futura"/>
          <w:color w:val="595959"/>
        </w:rPr>
      </w:pPr>
      <w:r w:rsidRPr="00F30FD1">
        <w:rPr>
          <w:rFonts w:eastAsia="Times New Roman" w:cs="Futura"/>
          <w:color w:val="595959"/>
        </w:rPr>
        <w:t>Ley de Hacienda del Estado de Quintana Roo</w:t>
      </w:r>
    </w:p>
    <w:p w14:paraId="1F382446" w14:textId="77777777" w:rsidR="003D39BD" w:rsidRPr="00F30FD1" w:rsidRDefault="003D39BD" w:rsidP="003D39BD">
      <w:pPr>
        <w:rPr>
          <w:rFonts w:eastAsia="Times New Roman" w:cs="Futura"/>
          <w:color w:val="595959"/>
        </w:rPr>
      </w:pPr>
      <w:r w:rsidRPr="00F30FD1">
        <w:rPr>
          <w:rFonts w:eastAsia="Times New Roman" w:cs="Futura"/>
          <w:color w:val="595959"/>
        </w:rPr>
        <w:lastRenderedPageBreak/>
        <w:t xml:space="preserve">Ley de Ingresos del Estado de Quintana Roo </w:t>
      </w:r>
    </w:p>
    <w:p w14:paraId="47D453BE" w14:textId="77777777" w:rsidR="003D39BD" w:rsidRPr="00F30FD1" w:rsidRDefault="003D39BD" w:rsidP="003D39BD">
      <w:pPr>
        <w:rPr>
          <w:rFonts w:eastAsia="Times New Roman" w:cs="Futura"/>
          <w:color w:val="595959"/>
        </w:rPr>
      </w:pPr>
      <w:r w:rsidRPr="00F30FD1">
        <w:rPr>
          <w:rFonts w:eastAsia="Times New Roman" w:cs="Futura"/>
          <w:color w:val="595959"/>
        </w:rPr>
        <w:t>Ley de Transparencia y Acceso a la Información Pública para el Estado de Quintana Roo</w:t>
      </w:r>
    </w:p>
    <w:p w14:paraId="379D7059" w14:textId="77777777" w:rsidR="003D39BD" w:rsidRPr="00F30FD1" w:rsidRDefault="003D39BD" w:rsidP="003D39BD">
      <w:pPr>
        <w:rPr>
          <w:rFonts w:eastAsia="Times New Roman" w:cs="Futura"/>
          <w:color w:val="595959"/>
        </w:rPr>
      </w:pPr>
      <w:r w:rsidRPr="00F30FD1">
        <w:rPr>
          <w:rFonts w:eastAsia="Times New Roman" w:cs="Futura"/>
          <w:color w:val="595959"/>
        </w:rPr>
        <w:t>Ley de Protección de Datos Personales en posesión de sujetos obligados para el Estado de Quintana Roo</w:t>
      </w:r>
    </w:p>
    <w:p w14:paraId="2DEBD562" w14:textId="77777777" w:rsidR="003D39BD" w:rsidRPr="00F30FD1" w:rsidRDefault="003D39BD" w:rsidP="003D39BD">
      <w:pPr>
        <w:rPr>
          <w:rFonts w:eastAsia="Times New Roman" w:cs="Futura"/>
          <w:color w:val="595959"/>
        </w:rPr>
      </w:pPr>
      <w:r w:rsidRPr="00F30FD1">
        <w:rPr>
          <w:rFonts w:eastAsia="Times New Roman" w:cs="Futura"/>
          <w:color w:val="595959"/>
        </w:rPr>
        <w:t>Ley de Coordinación Fiscal del Estado de Quintana Roo</w:t>
      </w:r>
    </w:p>
    <w:p w14:paraId="4B65DC47" w14:textId="77777777" w:rsidR="003D39BD" w:rsidRPr="00F30FD1" w:rsidRDefault="003D39BD" w:rsidP="003D39BD">
      <w:pPr>
        <w:rPr>
          <w:rFonts w:eastAsia="Times New Roman" w:cs="Futura"/>
          <w:color w:val="595959"/>
        </w:rPr>
      </w:pPr>
      <w:r w:rsidRPr="00F30FD1">
        <w:rPr>
          <w:rFonts w:eastAsia="Times New Roman" w:cs="Futura"/>
          <w:color w:val="595959"/>
        </w:rPr>
        <w:t>Ley de Deuda Pública del Estado de Quintana Roo y sus Municipios</w:t>
      </w:r>
    </w:p>
    <w:p w14:paraId="1DC07B2B" w14:textId="77777777" w:rsidR="003D39BD" w:rsidRPr="00F30FD1" w:rsidRDefault="003D39BD" w:rsidP="003D39BD">
      <w:pPr>
        <w:rPr>
          <w:rFonts w:eastAsia="Times New Roman" w:cs="Futura"/>
          <w:color w:val="595959"/>
        </w:rPr>
      </w:pPr>
      <w:r w:rsidRPr="00F30FD1">
        <w:rPr>
          <w:rFonts w:eastAsia="Times New Roman" w:cs="Futura"/>
          <w:color w:val="595959"/>
        </w:rPr>
        <w:t>Ley del Servicio de Administración Tributaria del Estado de Quintana Roo</w:t>
      </w:r>
    </w:p>
    <w:p w14:paraId="7C41DF42" w14:textId="77777777" w:rsidR="003D39BD" w:rsidRPr="00F30FD1" w:rsidRDefault="003D39BD" w:rsidP="003D39BD">
      <w:pPr>
        <w:rPr>
          <w:rFonts w:eastAsia="Times New Roman" w:cs="Futura"/>
          <w:color w:val="595959"/>
        </w:rPr>
      </w:pPr>
      <w:r w:rsidRPr="00F30FD1">
        <w:rPr>
          <w:rFonts w:eastAsia="Times New Roman" w:cs="Futura"/>
          <w:color w:val="595959"/>
        </w:rPr>
        <w:t>Ley de Derechos del Estado de Quintana Roo</w:t>
      </w:r>
    </w:p>
    <w:p w14:paraId="061EE17D" w14:textId="77777777" w:rsidR="003D39BD" w:rsidRPr="00F30FD1" w:rsidRDefault="003D39BD" w:rsidP="003D39BD">
      <w:pPr>
        <w:rPr>
          <w:rFonts w:eastAsia="Times New Roman" w:cs="Futura"/>
          <w:color w:val="595959"/>
        </w:rPr>
      </w:pPr>
      <w:r w:rsidRPr="00F30FD1">
        <w:rPr>
          <w:rFonts w:eastAsia="Times New Roman" w:cs="Futura"/>
          <w:color w:val="595959"/>
        </w:rPr>
        <w:t>Ley de Presupuesto y Gasto Público del Estado de Quintana Roo</w:t>
      </w:r>
    </w:p>
    <w:p w14:paraId="69BD2B49" w14:textId="3E310FAC" w:rsidR="003D39BD" w:rsidRPr="00F30FD1" w:rsidRDefault="003D39BD" w:rsidP="003D39BD">
      <w:pPr>
        <w:rPr>
          <w:rFonts w:eastAsia="Times New Roman" w:cs="Futura"/>
          <w:color w:val="595959"/>
        </w:rPr>
      </w:pPr>
      <w:r w:rsidRPr="00F30FD1">
        <w:rPr>
          <w:rFonts w:eastAsia="Times New Roman" w:cs="Futura"/>
          <w:color w:val="595959"/>
        </w:rPr>
        <w:t xml:space="preserve">Ley </w:t>
      </w:r>
      <w:r w:rsidR="008B79F6" w:rsidRPr="00F30FD1">
        <w:rPr>
          <w:rFonts w:eastAsia="Times New Roman" w:cs="Futura"/>
          <w:color w:val="595959"/>
        </w:rPr>
        <w:t>sobre</w:t>
      </w:r>
      <w:r w:rsidRPr="00F30FD1">
        <w:rPr>
          <w:rFonts w:eastAsia="Times New Roman" w:cs="Futura"/>
          <w:color w:val="595959"/>
        </w:rPr>
        <w:t xml:space="preserve"> la venta y consumo de bebidas alcohólicas para el Estado de Quintana Roo</w:t>
      </w:r>
    </w:p>
    <w:p w14:paraId="1932762D" w14:textId="77777777" w:rsidR="003D39BD" w:rsidRPr="00F30FD1" w:rsidRDefault="003D39BD" w:rsidP="003D39BD">
      <w:pPr>
        <w:rPr>
          <w:rFonts w:eastAsia="Times New Roman" w:cs="Futura"/>
          <w:color w:val="595959"/>
        </w:rPr>
      </w:pPr>
      <w:r w:rsidRPr="00F30FD1">
        <w:rPr>
          <w:rFonts w:eastAsia="Times New Roman" w:cs="Futura"/>
          <w:color w:val="595959"/>
        </w:rPr>
        <w:t>Ley de Catastro del Estado de Quintana Roo</w:t>
      </w:r>
    </w:p>
    <w:p w14:paraId="3FEC49FB" w14:textId="77777777" w:rsidR="003D39BD" w:rsidRPr="00F30FD1" w:rsidRDefault="003D39BD" w:rsidP="003D39BD">
      <w:pPr>
        <w:rPr>
          <w:rFonts w:eastAsia="Times New Roman" w:cs="Futura"/>
          <w:color w:val="595959"/>
        </w:rPr>
      </w:pPr>
      <w:r w:rsidRPr="00F30FD1">
        <w:rPr>
          <w:rFonts w:eastAsia="Times New Roman" w:cs="Futura"/>
          <w:color w:val="595959"/>
        </w:rPr>
        <w:t>Ley del Instituto para el Desarrollo y Financiamiento del Estado de Quintana Roo</w:t>
      </w:r>
    </w:p>
    <w:p w14:paraId="66DEED69" w14:textId="77777777" w:rsidR="003D39BD" w:rsidRPr="00F30FD1" w:rsidRDefault="003D39BD" w:rsidP="003D39BD">
      <w:pPr>
        <w:rPr>
          <w:rFonts w:eastAsia="Times New Roman" w:cs="Futura"/>
          <w:color w:val="595959"/>
        </w:rPr>
      </w:pPr>
      <w:r w:rsidRPr="00F30FD1">
        <w:rPr>
          <w:rFonts w:eastAsia="Times New Roman" w:cs="Futura"/>
          <w:color w:val="595959"/>
        </w:rPr>
        <w:t>Ley de Fiscalización y Rendición de Cuentas del Estado de Quintana Roo</w:t>
      </w:r>
    </w:p>
    <w:p w14:paraId="1146BD13" w14:textId="77777777" w:rsidR="003D39BD" w:rsidRPr="00F30FD1" w:rsidRDefault="003D39BD" w:rsidP="003D39BD">
      <w:pPr>
        <w:rPr>
          <w:rFonts w:eastAsia="Times New Roman" w:cs="Futura"/>
          <w:color w:val="595959"/>
        </w:rPr>
      </w:pPr>
      <w:r w:rsidRPr="00F30FD1">
        <w:rPr>
          <w:rFonts w:eastAsia="Times New Roman" w:cs="Futura"/>
          <w:color w:val="595959"/>
        </w:rPr>
        <w:t>Reglamento Interior de la Secretaría de Finanzas y Planeación</w:t>
      </w:r>
    </w:p>
    <w:p w14:paraId="61D032E7" w14:textId="77777777" w:rsidR="003D39BD" w:rsidRPr="00F30FD1" w:rsidRDefault="003D39BD" w:rsidP="003D39BD">
      <w:pPr>
        <w:rPr>
          <w:rFonts w:eastAsia="Times New Roman" w:cs="Futura"/>
          <w:color w:val="595959"/>
        </w:rPr>
      </w:pPr>
      <w:r w:rsidRPr="00F30FD1">
        <w:rPr>
          <w:rFonts w:eastAsia="Times New Roman" w:cs="Futura"/>
          <w:color w:val="595959"/>
        </w:rPr>
        <w:t>Reglamento Interior del Servicio de Administración Tributaria del Estado de Quintana Roo</w:t>
      </w:r>
    </w:p>
    <w:p w14:paraId="0B3DC02E" w14:textId="77777777" w:rsidR="003D39BD" w:rsidRPr="00F30FD1" w:rsidRDefault="003D39BD" w:rsidP="003D39BD">
      <w:pPr>
        <w:rPr>
          <w:rFonts w:eastAsia="Times New Roman" w:cs="Futura"/>
          <w:color w:val="595959"/>
        </w:rPr>
      </w:pPr>
      <w:r w:rsidRPr="00F30FD1">
        <w:rPr>
          <w:rFonts w:eastAsia="Times New Roman" w:cs="Futura"/>
          <w:color w:val="595959"/>
        </w:rPr>
        <w:t>Reglamento de la Ley de Catastro del Estado de Quintana Roo</w:t>
      </w:r>
    </w:p>
    <w:p w14:paraId="0E3F49A0" w14:textId="77777777" w:rsidR="003D39BD" w:rsidRPr="00F30FD1" w:rsidRDefault="003D39BD" w:rsidP="003D39BD">
      <w:pPr>
        <w:rPr>
          <w:rFonts w:eastAsia="Times New Roman" w:cs="Futura"/>
          <w:color w:val="595959"/>
        </w:rPr>
      </w:pPr>
      <w:r w:rsidRPr="00F30FD1">
        <w:rPr>
          <w:rFonts w:eastAsia="Times New Roman" w:cs="Futura"/>
          <w:color w:val="595959"/>
        </w:rPr>
        <w:t>Reglamento Interior de la Procuraduría Fiscal del Estado de Quintana Roo</w:t>
      </w:r>
    </w:p>
    <w:p w14:paraId="631E985E" w14:textId="1E3BA139" w:rsidR="00802271" w:rsidRPr="00F30FD1" w:rsidRDefault="003D39BD" w:rsidP="00F30FD1">
      <w:pPr>
        <w:rPr>
          <w:rFonts w:eastAsia="Times New Roman" w:cs="Times New Roman"/>
          <w:b/>
          <w:color w:val="4BACC6"/>
          <w:sz w:val="44"/>
          <w:szCs w:val="20"/>
        </w:rPr>
      </w:pPr>
      <w:r w:rsidRPr="00F30FD1">
        <w:rPr>
          <w:rFonts w:eastAsia="Times New Roman" w:cs="Futura"/>
          <w:color w:val="595959"/>
        </w:rPr>
        <w:t>Reglamento Interior del Centro de Evaluación de Desempeño del Estado de Quintana Roo</w:t>
      </w:r>
      <w:r w:rsidR="00802271" w:rsidRPr="00F30FD1">
        <w:rPr>
          <w:color w:val="4BACC6"/>
        </w:rPr>
        <w:br w:type="page"/>
      </w:r>
    </w:p>
    <w:p w14:paraId="27C844B0" w14:textId="77777777" w:rsidR="00802271" w:rsidRPr="00F30FD1" w:rsidRDefault="00802271" w:rsidP="00BD65C7">
      <w:pPr>
        <w:pStyle w:val="Ttulo"/>
        <w:rPr>
          <w:color w:val="4BACC6"/>
        </w:rPr>
      </w:pPr>
    </w:p>
    <w:p w14:paraId="48FFD50D" w14:textId="77777777" w:rsidR="00802271" w:rsidRPr="00F30FD1" w:rsidRDefault="00802271" w:rsidP="00BD65C7">
      <w:pPr>
        <w:pStyle w:val="Ttulo"/>
        <w:rPr>
          <w:color w:val="4BACC6"/>
        </w:rPr>
      </w:pPr>
    </w:p>
    <w:p w14:paraId="199D27A5" w14:textId="77777777" w:rsidR="00802271" w:rsidRPr="00F30FD1" w:rsidRDefault="00802271" w:rsidP="00BD65C7">
      <w:pPr>
        <w:pStyle w:val="Ttulo"/>
        <w:rPr>
          <w:color w:val="4BACC6"/>
        </w:rPr>
      </w:pPr>
    </w:p>
    <w:p w14:paraId="3D06A934" w14:textId="77777777" w:rsidR="00802271" w:rsidRPr="00F30FD1" w:rsidRDefault="00802271" w:rsidP="00BD65C7">
      <w:pPr>
        <w:pStyle w:val="Ttulo"/>
        <w:rPr>
          <w:color w:val="4BACC6"/>
        </w:rPr>
      </w:pPr>
    </w:p>
    <w:p w14:paraId="4395F593" w14:textId="77777777" w:rsidR="00802271" w:rsidRPr="00F30FD1" w:rsidRDefault="00802271" w:rsidP="00BD65C7">
      <w:pPr>
        <w:pStyle w:val="Ttulo"/>
        <w:rPr>
          <w:color w:val="4BACC6"/>
        </w:rPr>
      </w:pPr>
    </w:p>
    <w:p w14:paraId="6AFADF64" w14:textId="77777777" w:rsidR="00BD65C7" w:rsidRPr="00F30FD1" w:rsidRDefault="00BD65C7" w:rsidP="00BD65C7">
      <w:pPr>
        <w:pStyle w:val="Ttulo"/>
        <w:rPr>
          <w:color w:val="4BACC6"/>
        </w:rPr>
      </w:pPr>
      <w:r w:rsidRPr="00F30FD1">
        <w:rPr>
          <w:color w:val="4BACC6"/>
        </w:rPr>
        <w:t>DIAGNÓSTICO</w:t>
      </w:r>
    </w:p>
    <w:p w14:paraId="3558FB1C" w14:textId="77777777" w:rsidR="005441E8" w:rsidRPr="00F30FD1" w:rsidRDefault="00BD65C7" w:rsidP="002A5502">
      <w:pPr>
        <w:spacing w:after="0" w:line="240" w:lineRule="auto"/>
        <w:jc w:val="left"/>
        <w:rPr>
          <w:rFonts w:eastAsia="Times New Roman" w:cs="Times New Roman"/>
          <w:b/>
          <w:bCs/>
          <w:caps/>
          <w:color w:val="4BACC6"/>
          <w:sz w:val="32"/>
          <w:szCs w:val="28"/>
          <w:lang w:val="es-MX" w:eastAsia="en-US"/>
        </w:rPr>
      </w:pPr>
      <w:r w:rsidRPr="00F30FD1">
        <w:rPr>
          <w:color w:val="4BACC6"/>
        </w:rPr>
        <w:br w:type="page"/>
      </w:r>
    </w:p>
    <w:p w14:paraId="707B4119" w14:textId="77777777" w:rsidR="005F7240" w:rsidRPr="00F30FD1" w:rsidRDefault="00F765C3" w:rsidP="00F765C3">
      <w:pPr>
        <w:pStyle w:val="Ttulo1"/>
      </w:pPr>
      <w:bookmarkStart w:id="4" w:name="_Toc477971050"/>
      <w:r w:rsidRPr="00F30FD1">
        <w:lastRenderedPageBreak/>
        <w:t xml:space="preserve">V. </w:t>
      </w:r>
      <w:r w:rsidR="005F7240" w:rsidRPr="00F30FD1">
        <w:t>DIAGNÓSTICO</w:t>
      </w:r>
      <w:bookmarkEnd w:id="4"/>
    </w:p>
    <w:p w14:paraId="48ECBD47" w14:textId="77777777" w:rsidR="00E362F5" w:rsidRPr="00F30FD1" w:rsidRDefault="00E362F5" w:rsidP="00E362F5">
      <w:pPr>
        <w:rPr>
          <w:rFonts w:eastAsia="Times New Roman" w:cs="Futura"/>
          <w:color w:val="595959"/>
        </w:rPr>
      </w:pPr>
      <w:r w:rsidRPr="00F30FD1">
        <w:rPr>
          <w:rFonts w:eastAsia="Times New Roman" w:cs="Futura"/>
          <w:color w:val="595959"/>
        </w:rPr>
        <w:t>A mediados del año 2016 el estado de Quintana Roo se colocaba como una de las entidades con los resultados más pobres en materia de transparencia de la información, innovación en los procesos y la administración de finanzas públicas, así como en temas estratégicos como la planeación, la programación y el ejercicio del gasto; sin embargo en la presente administración pública estatal, se han realizado esfuerzos en conjunto con el objetivo de abatir dicha problemática, por lo cual en el periodo 2017- 2020 ha demostrado resultados a la alza.</w:t>
      </w:r>
    </w:p>
    <w:p w14:paraId="3D261879" w14:textId="77777777" w:rsidR="00E362F5" w:rsidRPr="00F30FD1" w:rsidRDefault="00E362F5" w:rsidP="00E362F5">
      <w:pPr>
        <w:rPr>
          <w:rFonts w:eastAsia="Times New Roman" w:cs="Futura"/>
          <w:color w:val="595959"/>
        </w:rPr>
      </w:pPr>
      <w:r w:rsidRPr="00F30FD1">
        <w:rPr>
          <w:rFonts w:eastAsia="Times New Roman" w:cs="Futura"/>
          <w:color w:val="595959"/>
        </w:rPr>
        <w:t>En el ámbito de los ingresos generados por el gobierno del Estado, es necesario aumentar los niveles de recaudación de ingresos propios, sin aumentar las tasas impositivas y los conceptos cobrados a los contribuyentes, sino fortaleciendo las medidas establecidas y dando un mayor seguimiento con la finalidad de tener una mejor generación de conceptos tales como impuestos, derechos, productos y aprovechamientos. De igual manera, un punto importante será contar con una mayor captación de ingresos federales coordinados, estableciendo acuerdos y convenios con la administración federal, en busca de contar con los recursos necesarios para promover el desarrollo y crecimiento económico en la entidad.</w:t>
      </w:r>
    </w:p>
    <w:p w14:paraId="79859EF6" w14:textId="5B4506B9" w:rsidR="00E362F5" w:rsidRPr="00F30FD1" w:rsidRDefault="00F2786E" w:rsidP="00E362F5">
      <w:pPr>
        <w:rPr>
          <w:rFonts w:eastAsia="Times New Roman" w:cs="Futura"/>
          <w:color w:val="595959"/>
        </w:rPr>
      </w:pPr>
      <w:r w:rsidRPr="00F30FD1">
        <w:rPr>
          <w:rFonts w:eastAsia="Times New Roman" w:cs="Futura"/>
          <w:color w:val="595959"/>
        </w:rPr>
        <w:t xml:space="preserve">Para el ejercicio 2019, </w:t>
      </w:r>
      <w:r w:rsidR="00E362F5" w:rsidRPr="00F30FD1">
        <w:rPr>
          <w:rFonts w:eastAsia="Times New Roman" w:cs="Futura"/>
          <w:color w:val="595959"/>
        </w:rPr>
        <w:t>Quintana Roo se ubicó en el lugar 5° de entre todas las entidades federativas evaluadas a través del Índice de Transparencia y Disponibilidad de la Información Fiscal de las Entidades Federativas elaborado por la consultora Aregional, por lo que mantiene altos estándares en la presentación de información fiscal y financiera, además de priorizar la presentación de datos abiertos.</w:t>
      </w:r>
    </w:p>
    <w:p w14:paraId="16304EBD" w14:textId="77777777" w:rsidR="00E362F5" w:rsidRPr="00F30FD1" w:rsidRDefault="00E362F5" w:rsidP="00E362F5">
      <w:pPr>
        <w:rPr>
          <w:rFonts w:eastAsia="Times New Roman" w:cs="Futura"/>
          <w:color w:val="595959"/>
        </w:rPr>
      </w:pPr>
      <w:r w:rsidRPr="00F30FD1">
        <w:rPr>
          <w:rFonts w:eastAsia="Times New Roman" w:cs="Futura"/>
          <w:color w:val="595959"/>
        </w:rPr>
        <w:t>Sin embargo, el Estado de Quintana Roo enfrenta un contexto complejo ante la fragilidad de los sistemas de planeación, programación, seguimiento, evaluación y control, vinculado a la ausencia de técnicas, que en conjunto obligan a la revisión minuciosa de la acción gubernamental; esta situación ha generado que los errores cometidos históricamente sean expuestos en la vitrina pública del contexto nacional.</w:t>
      </w:r>
    </w:p>
    <w:p w14:paraId="56495671" w14:textId="77777777" w:rsidR="00E362F5" w:rsidRPr="00F30FD1" w:rsidRDefault="00E362F5" w:rsidP="00E362F5">
      <w:pPr>
        <w:rPr>
          <w:rFonts w:eastAsia="Times New Roman" w:cs="Futura"/>
          <w:color w:val="595959"/>
        </w:rPr>
      </w:pPr>
      <w:r w:rsidRPr="00F30FD1">
        <w:rPr>
          <w:rFonts w:eastAsia="Times New Roman" w:cs="Futura"/>
          <w:color w:val="595959"/>
        </w:rPr>
        <w:t>Desde el ámbito del gobierno, el panorama descrito representa un gran espacio de oportunidad para impulsar el desarrollo a través de nuevos esquemas de actuación que sean eficaces y eficientes, en pro de la entidad.</w:t>
      </w:r>
    </w:p>
    <w:p w14:paraId="56860637" w14:textId="18459C32" w:rsidR="00E362F5" w:rsidRPr="00F30FD1" w:rsidRDefault="00E362F5" w:rsidP="00E362F5">
      <w:pPr>
        <w:pStyle w:val="Epgrafe"/>
        <w:rPr>
          <w:rFonts w:ascii="Futura T OT" w:hAnsi="Futura T OT"/>
        </w:rPr>
      </w:pPr>
      <w:r w:rsidRPr="00F30FD1">
        <w:rPr>
          <w:rFonts w:ascii="Futura T OT" w:hAnsi="Futura T OT"/>
        </w:rPr>
        <w:lastRenderedPageBreak/>
        <w:t xml:space="preserve">Gráfica </w:t>
      </w:r>
      <w:r w:rsidR="00743689" w:rsidRPr="00F30FD1">
        <w:rPr>
          <w:rFonts w:ascii="Futura T OT" w:hAnsi="Futura T OT"/>
        </w:rPr>
        <w:t>G</w:t>
      </w:r>
      <w:r w:rsidRPr="00F30FD1">
        <w:rPr>
          <w:rFonts w:ascii="Futura T OT" w:hAnsi="Futura T OT"/>
        </w:rPr>
        <w:t>.</w:t>
      </w:r>
      <w:r w:rsidRPr="00F30FD1">
        <w:rPr>
          <w:rFonts w:ascii="Futura T OT" w:hAnsi="Futura T OT"/>
        </w:rPr>
        <w:fldChar w:fldCharType="begin"/>
      </w:r>
      <w:r w:rsidRPr="00F30FD1">
        <w:rPr>
          <w:rFonts w:ascii="Futura T OT" w:hAnsi="Futura T OT"/>
        </w:rPr>
        <w:instrText xml:space="preserve"> SEQ Gráfica \* ARABIC </w:instrText>
      </w:r>
      <w:r w:rsidRPr="00F30FD1">
        <w:rPr>
          <w:rFonts w:ascii="Futura T OT" w:hAnsi="Futura T OT"/>
        </w:rPr>
        <w:fldChar w:fldCharType="separate"/>
      </w:r>
      <w:r w:rsidR="00EE7D8C">
        <w:rPr>
          <w:rFonts w:ascii="Futura T OT" w:hAnsi="Futura T OT"/>
          <w:noProof/>
        </w:rPr>
        <w:t>1</w:t>
      </w:r>
      <w:r w:rsidRPr="00F30FD1">
        <w:rPr>
          <w:rFonts w:ascii="Futura T OT" w:hAnsi="Futura T OT"/>
        </w:rPr>
        <w:fldChar w:fldCharType="end"/>
      </w:r>
      <w:r w:rsidRPr="00F30FD1">
        <w:rPr>
          <w:rFonts w:ascii="Futura T OT" w:hAnsi="Futura T OT"/>
        </w:rPr>
        <w:t>. Resultados del Índice de Transparencia y Disponibilidad de la Información Fiscal de las Entidades Federativas 2019</w:t>
      </w:r>
    </w:p>
    <w:p w14:paraId="6EA94BA9" w14:textId="77777777" w:rsidR="00E362F5" w:rsidRPr="00F30FD1" w:rsidRDefault="00E362F5" w:rsidP="00E362F5">
      <w:pPr>
        <w:jc w:val="center"/>
        <w:rPr>
          <w:rFonts w:eastAsia="Times New Roman" w:cs="Futura"/>
          <w:color w:val="595959"/>
        </w:rPr>
      </w:pPr>
      <w:r w:rsidRPr="00F30FD1">
        <w:rPr>
          <w:noProof/>
          <w:lang w:val="es-MX" w:eastAsia="es-MX"/>
        </w:rPr>
        <w:drawing>
          <wp:inline distT="0" distB="0" distL="0" distR="0" wp14:anchorId="7C6AAC3A" wp14:editId="2589E2E9">
            <wp:extent cx="6059805" cy="38290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6536" t="15458" r="28621" b="11672"/>
                    <a:stretch/>
                  </pic:blipFill>
                  <pic:spPr bwMode="auto">
                    <a:xfrm>
                      <a:off x="0" y="0"/>
                      <a:ext cx="6125869" cy="3870794"/>
                    </a:xfrm>
                    <a:prstGeom prst="rect">
                      <a:avLst/>
                    </a:prstGeom>
                    <a:ln>
                      <a:noFill/>
                    </a:ln>
                    <a:extLst>
                      <a:ext uri="{53640926-AAD7-44D8-BBD7-CCE9431645EC}">
                        <a14:shadowObscured xmlns:a14="http://schemas.microsoft.com/office/drawing/2010/main"/>
                      </a:ext>
                    </a:extLst>
                  </pic:spPr>
                </pic:pic>
              </a:graphicData>
            </a:graphic>
          </wp:inline>
        </w:drawing>
      </w:r>
    </w:p>
    <w:p w14:paraId="6FC890DF" w14:textId="77777777" w:rsidR="00E362F5" w:rsidRPr="00F30FD1" w:rsidRDefault="00E362F5" w:rsidP="00E362F5">
      <w:pPr>
        <w:rPr>
          <w:sz w:val="16"/>
        </w:rPr>
      </w:pPr>
      <w:r w:rsidRPr="00F30FD1">
        <w:rPr>
          <w:sz w:val="16"/>
        </w:rPr>
        <w:t>Fuente: Aregional, 2019. Índice de Transparencia y Disponibilidad de la Información Fiscal de las Entidades Federativas (ITDIF)</w:t>
      </w:r>
    </w:p>
    <w:p w14:paraId="16CA5043" w14:textId="56061D70" w:rsidR="00167FA2" w:rsidRPr="00F30FD1" w:rsidRDefault="00167FA2" w:rsidP="00E362F5">
      <w:pP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 xml:space="preserve">COMPETITIVIDAD ESTATAL -  </w:t>
      </w:r>
      <w:r w:rsidR="00E362F5" w:rsidRPr="00F30FD1">
        <w:rPr>
          <w:rFonts w:eastAsia="Arial" w:cs="Times New Roman"/>
          <w:b/>
          <w:bCs/>
          <w:color w:val="4BACC6" w:themeColor="accent5"/>
          <w:lang w:val="es-MX" w:eastAsia="en-US"/>
        </w:rPr>
        <w:t>GOBIERNO EFICIENTE Y EFICAZ</w:t>
      </w:r>
    </w:p>
    <w:p w14:paraId="15F9D4FC" w14:textId="6A75E916" w:rsidR="00E362F5" w:rsidRPr="00F30FD1" w:rsidRDefault="00E362F5" w:rsidP="00E362F5">
      <w:pPr>
        <w:rPr>
          <w:color w:val="595959" w:themeColor="text1" w:themeTint="A6"/>
        </w:rPr>
      </w:pPr>
      <w:r w:rsidRPr="00F30FD1">
        <w:rPr>
          <w:color w:val="595959" w:themeColor="text1" w:themeTint="A6"/>
        </w:rPr>
        <w:t xml:space="preserve">Un Estado competitivo es aquel que consistentemente resulta atractivo para el talento y la inversión, lo que se traduce en mayor productividad y bienestar para sus habitantes. Para medir esto, el Instituto Mexicano para la Competitividad A.C. (IMCO), a través del Índice de Competitividad Estatal 2018 (ICE) evalúa tanto las capacidades estructurales como coyunturales de los estados. </w:t>
      </w:r>
    </w:p>
    <w:p w14:paraId="2C6C9121" w14:textId="77777777" w:rsidR="00E362F5" w:rsidRPr="00F30FD1" w:rsidRDefault="00E362F5" w:rsidP="00E362F5">
      <w:pPr>
        <w:rPr>
          <w:color w:val="595959" w:themeColor="text1" w:themeTint="A6"/>
        </w:rPr>
      </w:pPr>
      <w:r w:rsidRPr="00F30FD1">
        <w:rPr>
          <w:color w:val="595959" w:themeColor="text1" w:themeTint="A6"/>
        </w:rPr>
        <w:t xml:space="preserve">El subíndice de Gobierno mide la forma en que los gobiernos son capaces de influir positivamente en la competitividad de sus estados. Entre las acciones necesarias para cumplir este objetivo se encuentran las políticas públicas orientadas a fomentar el desarrollo económico local y la capacidad </w:t>
      </w:r>
      <w:r w:rsidRPr="00F30FD1">
        <w:rPr>
          <w:color w:val="595959" w:themeColor="text1" w:themeTint="A6"/>
        </w:rPr>
        <w:lastRenderedPageBreak/>
        <w:t>para generar ingresos propios, la calidad de la información de sus finanzas públicas y el acercamiento con la ciudadanía por medios electrónicos.</w:t>
      </w:r>
    </w:p>
    <w:p w14:paraId="5C0860B3" w14:textId="180E4F33" w:rsidR="00743689" w:rsidRPr="00F30FD1" w:rsidRDefault="00E362F5" w:rsidP="00E362F5">
      <w:pPr>
        <w:rPr>
          <w:color w:val="595959" w:themeColor="text1" w:themeTint="A6"/>
        </w:rPr>
      </w:pPr>
      <w:r w:rsidRPr="00F30FD1">
        <w:rPr>
          <w:color w:val="595959" w:themeColor="text1" w:themeTint="A6"/>
        </w:rPr>
        <w:t>C</w:t>
      </w:r>
      <w:r w:rsidR="00E954DE" w:rsidRPr="00F30FD1">
        <w:rPr>
          <w:color w:val="595959" w:themeColor="text1" w:themeTint="A6"/>
        </w:rPr>
        <w:t>omo se observa en la gráfica V.2</w:t>
      </w:r>
      <w:r w:rsidRPr="00F30FD1">
        <w:rPr>
          <w:color w:val="595959" w:themeColor="text1" w:themeTint="A6"/>
        </w:rPr>
        <w:t>, el Estado de Quintana Roo se ubicó en la posición 10, 29 en el 2016, bajando 4 posiciones en comparación con la posición obtenida en el 2012.</w:t>
      </w:r>
    </w:p>
    <w:p w14:paraId="78010EBF" w14:textId="77777777" w:rsidR="00743689" w:rsidRPr="00F30FD1" w:rsidRDefault="00743689">
      <w:pPr>
        <w:spacing w:after="0" w:line="240" w:lineRule="auto"/>
        <w:jc w:val="left"/>
        <w:rPr>
          <w:color w:val="595959" w:themeColor="text1" w:themeTint="A6"/>
        </w:rPr>
      </w:pPr>
      <w:r w:rsidRPr="00F30FD1">
        <w:rPr>
          <w:color w:val="595959" w:themeColor="text1" w:themeTint="A6"/>
        </w:rPr>
        <w:br w:type="page"/>
      </w:r>
    </w:p>
    <w:p w14:paraId="2D675966" w14:textId="48A5C1F7" w:rsidR="00E362F5" w:rsidRPr="00F30FD1" w:rsidRDefault="00E362F5" w:rsidP="00E362F5">
      <w:pPr>
        <w:pStyle w:val="Epgrafe"/>
        <w:rPr>
          <w:rFonts w:ascii="Futura T OT" w:hAnsi="Futura T OT"/>
        </w:rPr>
      </w:pPr>
      <w:r w:rsidRPr="00F30FD1">
        <w:rPr>
          <w:rFonts w:ascii="Futura T OT" w:hAnsi="Futura T OT"/>
        </w:rPr>
        <w:lastRenderedPageBreak/>
        <w:t xml:space="preserve">Gráfica </w:t>
      </w:r>
      <w:r w:rsidR="00743689" w:rsidRPr="00F30FD1">
        <w:rPr>
          <w:rFonts w:ascii="Futura T OT" w:hAnsi="Futura T OT"/>
        </w:rPr>
        <w:t>G</w:t>
      </w:r>
      <w:r w:rsidRPr="00F30FD1">
        <w:rPr>
          <w:rFonts w:ascii="Futura T OT" w:hAnsi="Futura T OT"/>
        </w:rPr>
        <w:t>.</w:t>
      </w:r>
      <w:r w:rsidR="00E954DE" w:rsidRPr="00F30FD1">
        <w:rPr>
          <w:rFonts w:ascii="Futura T OT" w:hAnsi="Futura T OT"/>
        </w:rPr>
        <w:t>2</w:t>
      </w:r>
      <w:r w:rsidRPr="00F30FD1">
        <w:rPr>
          <w:rFonts w:ascii="Futura T OT" w:hAnsi="Futura T OT"/>
        </w:rPr>
        <w:t xml:space="preserve">. Resultado en el Subíndice de Gobiernos. Ranking y cambios de posiciones 2014-2016 </w:t>
      </w:r>
    </w:p>
    <w:p w14:paraId="280A5D13" w14:textId="77777777" w:rsidR="00E362F5" w:rsidRPr="00F30FD1" w:rsidRDefault="00E362F5" w:rsidP="00E362F5">
      <w:pPr>
        <w:jc w:val="center"/>
        <w:rPr>
          <w:noProof/>
        </w:rPr>
      </w:pPr>
      <w:r w:rsidRPr="00F30FD1">
        <w:rPr>
          <w:noProof/>
          <w:lang w:val="es-MX" w:eastAsia="es-MX"/>
        </w:rPr>
        <w:drawing>
          <wp:inline distT="0" distB="0" distL="0" distR="0" wp14:anchorId="14F6E4E5" wp14:editId="47937508">
            <wp:extent cx="5800725" cy="42935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846" t="20505" r="30297" b="13565"/>
                    <a:stretch/>
                  </pic:blipFill>
                  <pic:spPr bwMode="auto">
                    <a:xfrm>
                      <a:off x="0" y="0"/>
                      <a:ext cx="5813499" cy="4303011"/>
                    </a:xfrm>
                    <a:prstGeom prst="rect">
                      <a:avLst/>
                    </a:prstGeom>
                    <a:ln>
                      <a:noFill/>
                    </a:ln>
                    <a:extLst>
                      <a:ext uri="{53640926-AAD7-44D8-BBD7-CCE9431645EC}">
                        <a14:shadowObscured xmlns:a14="http://schemas.microsoft.com/office/drawing/2010/main"/>
                      </a:ext>
                    </a:extLst>
                  </pic:spPr>
                </pic:pic>
              </a:graphicData>
            </a:graphic>
          </wp:inline>
        </w:drawing>
      </w:r>
    </w:p>
    <w:p w14:paraId="30A166FD" w14:textId="77777777" w:rsidR="00E362F5" w:rsidRPr="00F30FD1" w:rsidRDefault="00E362F5" w:rsidP="00E362F5">
      <w:pPr>
        <w:rPr>
          <w:sz w:val="16"/>
        </w:rPr>
      </w:pPr>
      <w:r w:rsidRPr="00F30FD1">
        <w:rPr>
          <w:sz w:val="16"/>
        </w:rPr>
        <w:t>Fuente: Instituto Mexicano para la Competitividad A.C. 2018. Índice para la Competitividad Estatal 2018.</w:t>
      </w:r>
    </w:p>
    <w:p w14:paraId="3AF8C905" w14:textId="77777777" w:rsidR="00E362F5" w:rsidRPr="00F30FD1" w:rsidRDefault="00E362F5" w:rsidP="00E362F5">
      <w:pPr>
        <w:rPr>
          <w:color w:val="595959" w:themeColor="text1" w:themeTint="A6"/>
        </w:rPr>
      </w:pPr>
      <w:r w:rsidRPr="00F30FD1">
        <w:rPr>
          <w:color w:val="595959" w:themeColor="text1" w:themeTint="A6"/>
        </w:rPr>
        <w:t>El subíndice de Economía mide las principales características de las economías estatales, así como la situación del crédito para empresas y familias. Dentro del subíndice se incluyen indicadores que describen la distribución del PIB, el dinamismo de la economía, el nivel de deuda, así como la dependencia y la diversificación económicas. Los estados que presentan una economía estable así como mercados crediticios grandes, atraen más talento e inversión y son, por lo tanto, propensos a una mayor generación de empleo y riqueza.</w:t>
      </w:r>
    </w:p>
    <w:p w14:paraId="7544A37C" w14:textId="77777777" w:rsidR="00E362F5" w:rsidRPr="00F30FD1" w:rsidRDefault="00E362F5" w:rsidP="00E362F5">
      <w:pPr>
        <w:rPr>
          <w:color w:val="595959" w:themeColor="text1" w:themeTint="A6"/>
        </w:rPr>
      </w:pPr>
    </w:p>
    <w:p w14:paraId="6540CC66" w14:textId="4A707311" w:rsidR="00E362F5" w:rsidRPr="00F30FD1" w:rsidRDefault="00E362F5" w:rsidP="00E362F5">
      <w:pPr>
        <w:pStyle w:val="Epgrafe"/>
        <w:rPr>
          <w:rFonts w:ascii="Futura T OT" w:hAnsi="Futura T OT"/>
        </w:rPr>
      </w:pPr>
      <w:r w:rsidRPr="00F30FD1">
        <w:rPr>
          <w:rFonts w:ascii="Futura T OT" w:hAnsi="Futura T OT"/>
        </w:rPr>
        <w:lastRenderedPageBreak/>
        <w:t xml:space="preserve">Gráfica </w:t>
      </w:r>
      <w:r w:rsidR="00743689" w:rsidRPr="00F30FD1">
        <w:rPr>
          <w:rFonts w:ascii="Futura T OT" w:hAnsi="Futura T OT"/>
        </w:rPr>
        <w:t>G</w:t>
      </w:r>
      <w:r w:rsidRPr="00F30FD1">
        <w:rPr>
          <w:rFonts w:ascii="Futura T OT" w:hAnsi="Futura T OT"/>
        </w:rPr>
        <w:t>.</w:t>
      </w:r>
      <w:r w:rsidR="00E954DE" w:rsidRPr="00F30FD1">
        <w:rPr>
          <w:rFonts w:ascii="Futura T OT" w:hAnsi="Futura T OT"/>
        </w:rPr>
        <w:t>3</w:t>
      </w:r>
      <w:r w:rsidRPr="00F30FD1">
        <w:rPr>
          <w:rFonts w:ascii="Futura T OT" w:hAnsi="Futura T OT"/>
        </w:rPr>
        <w:t>. Resultado en el Subíndice Economía. Ranking y cambios de posiciones 2014-2016</w:t>
      </w:r>
    </w:p>
    <w:p w14:paraId="01EE44BE" w14:textId="77777777" w:rsidR="00E362F5" w:rsidRPr="00F30FD1" w:rsidRDefault="00E362F5" w:rsidP="00E362F5">
      <w:pPr>
        <w:jc w:val="center"/>
        <w:rPr>
          <w:noProof/>
        </w:rPr>
      </w:pPr>
      <w:r w:rsidRPr="00F30FD1">
        <w:rPr>
          <w:noProof/>
          <w:lang w:val="es-MX" w:eastAsia="es-MX"/>
        </w:rPr>
        <w:drawing>
          <wp:inline distT="0" distB="0" distL="0" distR="0" wp14:anchorId="4F5BBA25" wp14:editId="0ABACF5D">
            <wp:extent cx="5991102" cy="369679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1106" t="23050" r="26396" b="7256"/>
                    <a:stretch/>
                  </pic:blipFill>
                  <pic:spPr bwMode="auto">
                    <a:xfrm>
                      <a:off x="0" y="0"/>
                      <a:ext cx="5995491" cy="3699506"/>
                    </a:xfrm>
                    <a:prstGeom prst="rect">
                      <a:avLst/>
                    </a:prstGeom>
                    <a:ln>
                      <a:noFill/>
                    </a:ln>
                    <a:extLst>
                      <a:ext uri="{53640926-AAD7-44D8-BBD7-CCE9431645EC}">
                        <a14:shadowObscured xmlns:a14="http://schemas.microsoft.com/office/drawing/2010/main"/>
                      </a:ext>
                    </a:extLst>
                  </pic:spPr>
                </pic:pic>
              </a:graphicData>
            </a:graphic>
          </wp:inline>
        </w:drawing>
      </w:r>
    </w:p>
    <w:p w14:paraId="2CCFDEC7" w14:textId="77777777" w:rsidR="00E362F5" w:rsidRPr="00F30FD1" w:rsidRDefault="00E362F5" w:rsidP="00E362F5">
      <w:pPr>
        <w:rPr>
          <w:sz w:val="16"/>
        </w:rPr>
      </w:pPr>
      <w:r w:rsidRPr="00F30FD1">
        <w:rPr>
          <w:sz w:val="16"/>
        </w:rPr>
        <w:t>Fuente: Instituto Mexicano para la Competitividad A.C. 2018. Índice para la Competitividad Estatal 2018.</w:t>
      </w:r>
    </w:p>
    <w:p w14:paraId="3DA24326" w14:textId="439AF5DD" w:rsidR="00E362F5" w:rsidRPr="00F30FD1" w:rsidRDefault="00E362F5" w:rsidP="00E362F5">
      <w:pPr>
        <w:rPr>
          <w:color w:val="595959" w:themeColor="text1" w:themeTint="A6"/>
        </w:rPr>
      </w:pPr>
      <w:r w:rsidRPr="00F30FD1">
        <w:rPr>
          <w:color w:val="595959" w:themeColor="text1" w:themeTint="A6"/>
        </w:rPr>
        <w:t>C</w:t>
      </w:r>
      <w:r w:rsidR="00E954DE" w:rsidRPr="00F30FD1">
        <w:rPr>
          <w:color w:val="595959" w:themeColor="text1" w:themeTint="A6"/>
        </w:rPr>
        <w:t>omo se observa en la gráfica V.3</w:t>
      </w:r>
      <w:r w:rsidRPr="00F30FD1">
        <w:rPr>
          <w:color w:val="595959" w:themeColor="text1" w:themeTint="A6"/>
        </w:rPr>
        <w:t xml:space="preserve">, el Estado de Quintana Roo se ubicó en el 2014 por arriba de la media nacional en la posición 17, mejorando un lugar en comparación con el 2012, sin </w:t>
      </w:r>
      <w:r w:rsidR="0093293F" w:rsidRPr="00F30FD1">
        <w:rPr>
          <w:color w:val="595959" w:themeColor="text1" w:themeTint="A6"/>
        </w:rPr>
        <w:t>embargo,</w:t>
      </w:r>
      <w:r w:rsidRPr="00F30FD1">
        <w:rPr>
          <w:color w:val="595959" w:themeColor="text1" w:themeTint="A6"/>
        </w:rPr>
        <w:t xml:space="preserve"> Quintana Roo presenta el segundo nivel de deuda más alto como porcentaje del PIB (Producto Interno Bruto) solamente por debajo del Estado de Chihuahua.</w:t>
      </w:r>
    </w:p>
    <w:p w14:paraId="7266E577" w14:textId="25F28AEF" w:rsidR="002C5395" w:rsidRPr="00F30FD1" w:rsidRDefault="002C5395" w:rsidP="002C5395">
      <w:pPr>
        <w:rPr>
          <w:color w:val="595959" w:themeColor="text1" w:themeTint="A6"/>
        </w:rPr>
      </w:pPr>
      <w:r w:rsidRPr="00F30FD1">
        <w:rPr>
          <w:color w:val="595959" w:themeColor="text1" w:themeTint="A6"/>
        </w:rPr>
        <w:t>Si de transparencia presupuestal se trata, el Estado de Quintana Roo s</w:t>
      </w:r>
      <w:r w:rsidR="00E04CCD" w:rsidRPr="00F30FD1">
        <w:rPr>
          <w:color w:val="595959" w:themeColor="text1" w:themeTint="A6"/>
        </w:rPr>
        <w:t xml:space="preserve">e ha dado a la tarea de realizar </w:t>
      </w:r>
      <w:r w:rsidRPr="00F30FD1">
        <w:rPr>
          <w:color w:val="595959" w:themeColor="text1" w:themeTint="A6"/>
        </w:rPr>
        <w:t xml:space="preserve">análisis para medir la calidad de la información financiera que se genera comparada con el resto del país y tomando como referencia el resultado </w:t>
      </w:r>
      <w:r w:rsidR="00E04CCD" w:rsidRPr="00F30FD1">
        <w:rPr>
          <w:color w:val="595959" w:themeColor="text1" w:themeTint="A6"/>
        </w:rPr>
        <w:t xml:space="preserve">de </w:t>
      </w:r>
      <w:r w:rsidRPr="00F30FD1">
        <w:rPr>
          <w:color w:val="595959" w:themeColor="text1" w:themeTint="A6"/>
        </w:rPr>
        <w:t>los ejercicios anteriores; uno de los principales entes evaluadores a nivel nacional que emite resultados imparciales y efectivos, es el Instituto Mexicano para la Competitividad.</w:t>
      </w:r>
    </w:p>
    <w:p w14:paraId="707E0143" w14:textId="497E408D" w:rsidR="002C5395" w:rsidRPr="00F30FD1" w:rsidRDefault="002C5395" w:rsidP="002C5395">
      <w:pPr>
        <w:rPr>
          <w:color w:val="595959" w:themeColor="text1" w:themeTint="A6"/>
        </w:rPr>
      </w:pPr>
      <w:r w:rsidRPr="00F30FD1">
        <w:rPr>
          <w:color w:val="595959" w:themeColor="text1" w:themeTint="A6"/>
        </w:rPr>
        <w:lastRenderedPageBreak/>
        <w:t>Dicho Instituto formula el Índice de Información del Ejercicio del Gasto (IIEG</w:t>
      </w:r>
      <w:r w:rsidR="0093293F" w:rsidRPr="00F30FD1">
        <w:rPr>
          <w:color w:val="595959" w:themeColor="text1" w:themeTint="A6"/>
        </w:rPr>
        <w:t>), el</w:t>
      </w:r>
      <w:r w:rsidRPr="00F30FD1">
        <w:rPr>
          <w:color w:val="595959" w:themeColor="text1" w:themeTint="A6"/>
        </w:rPr>
        <w:t xml:space="preserve"> cual mide la calidad de la información sobre el ejercicio de los recursos públicos por parte de las entidades federativas del país durante un ejercicio fiscal.</w:t>
      </w:r>
    </w:p>
    <w:p w14:paraId="2D034AEC" w14:textId="2DA6BC81" w:rsidR="002C5395" w:rsidRPr="00F30FD1" w:rsidRDefault="002C5395" w:rsidP="002C5395">
      <w:pPr>
        <w:rPr>
          <w:color w:val="595959" w:themeColor="text1" w:themeTint="A6"/>
        </w:rPr>
      </w:pPr>
      <w:r w:rsidRPr="00F30FD1">
        <w:rPr>
          <w:color w:val="595959" w:themeColor="text1" w:themeTint="A6"/>
        </w:rPr>
        <w:t xml:space="preserve">El objetivo principal se enfoca en eliminar cualquier práctica de opacidad, comprobar el cumplimiento de la normatividad existente en materia de contabilidad </w:t>
      </w:r>
      <w:r w:rsidR="0093293F" w:rsidRPr="00F30FD1">
        <w:rPr>
          <w:color w:val="595959" w:themeColor="text1" w:themeTint="A6"/>
        </w:rPr>
        <w:t>gubernamental, así</w:t>
      </w:r>
      <w:r w:rsidRPr="00F30FD1">
        <w:rPr>
          <w:color w:val="595959" w:themeColor="text1" w:themeTint="A6"/>
        </w:rPr>
        <w:t xml:space="preserve"> como reconocer las buenas prácticas de otras entidades en esta materia, de tal forma que se repliquen y puedan formar parte del quehacer cotidiano de aquellas que aún se encuentran en proceso de mejora constante como es el caso del Estado de Quintana Roo.</w:t>
      </w:r>
    </w:p>
    <w:p w14:paraId="6283FD1A" w14:textId="464A0896" w:rsidR="002C5395" w:rsidRPr="00F30FD1" w:rsidRDefault="002C5395" w:rsidP="0093293F">
      <w:pPr>
        <w:rPr>
          <w:color w:val="595959" w:themeColor="text1" w:themeTint="A6"/>
        </w:rPr>
      </w:pPr>
      <w:r w:rsidRPr="00F30FD1">
        <w:rPr>
          <w:color w:val="595959" w:themeColor="text1" w:themeTint="A6"/>
        </w:rPr>
        <w:t>Los resultados más recientes de esta evaluación señalan el avance que presenta la entidad con un porcentaje de cumplimiento del 67%</w:t>
      </w:r>
      <w:r w:rsidR="00B4221A" w:rsidRPr="00F30FD1">
        <w:rPr>
          <w:color w:val="595959" w:themeColor="text1" w:themeTint="A6"/>
        </w:rPr>
        <w:t>,</w:t>
      </w:r>
      <w:r w:rsidRPr="00F30FD1">
        <w:rPr>
          <w:color w:val="595959" w:themeColor="text1" w:themeTint="A6"/>
        </w:rPr>
        <w:t xml:space="preserve"> </w:t>
      </w:r>
      <w:r w:rsidR="0093293F" w:rsidRPr="00F30FD1">
        <w:rPr>
          <w:color w:val="595959" w:themeColor="text1" w:themeTint="A6"/>
        </w:rPr>
        <w:t>por encima de la media nacional.</w:t>
      </w:r>
    </w:p>
    <w:p w14:paraId="1B9855A7" w14:textId="2F61A66E" w:rsidR="002C5395" w:rsidRPr="00F30FD1" w:rsidRDefault="00E954DE" w:rsidP="002C5395">
      <w:pPr>
        <w:spacing w:after="0"/>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 xml:space="preserve">Grafica </w:t>
      </w:r>
      <w:r w:rsidR="00743689" w:rsidRPr="00F30FD1">
        <w:rPr>
          <w:rFonts w:eastAsia="Arial" w:cs="Times New Roman"/>
          <w:b/>
          <w:bCs/>
          <w:color w:val="4BACC6" w:themeColor="accent5"/>
          <w:lang w:val="es-MX" w:eastAsia="en-US"/>
        </w:rPr>
        <w:t>G</w:t>
      </w:r>
      <w:r w:rsidRPr="00F30FD1">
        <w:rPr>
          <w:rFonts w:eastAsia="Arial" w:cs="Times New Roman"/>
          <w:b/>
          <w:bCs/>
          <w:color w:val="4BACC6" w:themeColor="accent5"/>
          <w:lang w:val="es-MX" w:eastAsia="en-US"/>
        </w:rPr>
        <w:t xml:space="preserve">.4 </w:t>
      </w:r>
      <w:r w:rsidR="002C5395" w:rsidRPr="00F30FD1">
        <w:rPr>
          <w:rFonts w:eastAsia="Arial" w:cs="Times New Roman"/>
          <w:b/>
          <w:bCs/>
          <w:color w:val="4BACC6" w:themeColor="accent5"/>
          <w:lang w:val="es-MX" w:eastAsia="en-US"/>
        </w:rPr>
        <w:t>Resultados del Índice de Información del Ejercicio del Gasto, ejercicio fiscal 2017</w:t>
      </w:r>
    </w:p>
    <w:p w14:paraId="3E1A95C0" w14:textId="77777777" w:rsidR="002C5395" w:rsidRPr="00F30FD1" w:rsidRDefault="002C5395" w:rsidP="002C5395">
      <w:pPr>
        <w:jc w:val="left"/>
        <w:rPr>
          <w:rFonts w:cs="Arial"/>
          <w:b/>
          <w:sz w:val="20"/>
          <w:szCs w:val="20"/>
          <w:lang w:val="es-MX"/>
        </w:rPr>
      </w:pPr>
      <w:r w:rsidRPr="00F30FD1">
        <w:rPr>
          <w:noProof/>
          <w:lang w:val="es-MX" w:eastAsia="es-MX"/>
        </w:rPr>
        <w:drawing>
          <wp:anchor distT="0" distB="0" distL="114300" distR="114300" simplePos="0" relativeHeight="251660288" behindDoc="0" locked="0" layoutInCell="1" allowOverlap="1" wp14:anchorId="6200D0FD" wp14:editId="545E6834">
            <wp:simplePos x="0" y="0"/>
            <wp:positionH relativeFrom="column">
              <wp:posOffset>440055</wp:posOffset>
            </wp:positionH>
            <wp:positionV relativeFrom="paragraph">
              <wp:posOffset>83185</wp:posOffset>
            </wp:positionV>
            <wp:extent cx="4581525" cy="3736975"/>
            <wp:effectExtent l="0" t="0" r="9525" b="15875"/>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p w14:paraId="1CEFB56D" w14:textId="77777777" w:rsidR="002C5395" w:rsidRPr="00F30FD1" w:rsidRDefault="002C5395" w:rsidP="002C5395">
      <w:pPr>
        <w:jc w:val="left"/>
        <w:rPr>
          <w:rFonts w:cs="Arial"/>
          <w:b/>
          <w:sz w:val="20"/>
          <w:szCs w:val="20"/>
          <w:lang w:val="es-MX"/>
        </w:rPr>
      </w:pPr>
    </w:p>
    <w:p w14:paraId="330FE5CC" w14:textId="77777777" w:rsidR="002C5395" w:rsidRPr="00F30FD1" w:rsidRDefault="002C5395" w:rsidP="002C5395">
      <w:pPr>
        <w:jc w:val="left"/>
        <w:rPr>
          <w:rFonts w:cs="Arial"/>
          <w:b/>
          <w:sz w:val="20"/>
          <w:szCs w:val="20"/>
          <w:lang w:val="es-MX"/>
        </w:rPr>
      </w:pPr>
    </w:p>
    <w:p w14:paraId="03EF9CBA" w14:textId="77777777" w:rsidR="002C5395" w:rsidRPr="00F30FD1" w:rsidRDefault="002C5395" w:rsidP="002C5395">
      <w:pPr>
        <w:jc w:val="left"/>
        <w:rPr>
          <w:rFonts w:cs="Arial"/>
          <w:b/>
          <w:sz w:val="20"/>
          <w:szCs w:val="20"/>
          <w:lang w:val="es-MX"/>
        </w:rPr>
      </w:pPr>
    </w:p>
    <w:p w14:paraId="1A5C4857" w14:textId="77777777" w:rsidR="002C5395" w:rsidRPr="00F30FD1" w:rsidRDefault="002C5395" w:rsidP="002C5395">
      <w:pPr>
        <w:jc w:val="left"/>
        <w:rPr>
          <w:rFonts w:cs="Arial"/>
          <w:b/>
          <w:sz w:val="20"/>
          <w:szCs w:val="20"/>
          <w:lang w:val="es-MX"/>
        </w:rPr>
      </w:pPr>
    </w:p>
    <w:p w14:paraId="614FF0FE" w14:textId="77777777" w:rsidR="002C5395" w:rsidRPr="00F30FD1" w:rsidRDefault="002C5395" w:rsidP="002C5395">
      <w:pPr>
        <w:jc w:val="left"/>
        <w:rPr>
          <w:rFonts w:cs="Arial"/>
          <w:b/>
          <w:sz w:val="20"/>
          <w:szCs w:val="20"/>
          <w:lang w:val="es-MX"/>
        </w:rPr>
      </w:pPr>
    </w:p>
    <w:p w14:paraId="52DD33BD" w14:textId="77777777" w:rsidR="002C5395" w:rsidRPr="00F30FD1" w:rsidRDefault="002C5395" w:rsidP="002C5395">
      <w:pPr>
        <w:jc w:val="left"/>
        <w:rPr>
          <w:rFonts w:cs="Arial"/>
          <w:b/>
          <w:sz w:val="20"/>
          <w:szCs w:val="20"/>
          <w:lang w:val="es-MX"/>
        </w:rPr>
      </w:pPr>
    </w:p>
    <w:p w14:paraId="0B16AFFB" w14:textId="77777777" w:rsidR="002C5395" w:rsidRPr="00F30FD1" w:rsidRDefault="002C5395" w:rsidP="002C5395">
      <w:pPr>
        <w:jc w:val="left"/>
        <w:rPr>
          <w:rFonts w:cs="Arial"/>
          <w:b/>
          <w:sz w:val="20"/>
          <w:szCs w:val="20"/>
          <w:lang w:val="es-MX"/>
        </w:rPr>
      </w:pPr>
    </w:p>
    <w:p w14:paraId="0069ED41" w14:textId="77777777" w:rsidR="002C5395" w:rsidRPr="00F30FD1" w:rsidRDefault="002C5395" w:rsidP="002C5395">
      <w:pPr>
        <w:jc w:val="left"/>
        <w:rPr>
          <w:rFonts w:cs="Arial"/>
          <w:b/>
          <w:sz w:val="20"/>
          <w:szCs w:val="20"/>
          <w:lang w:val="es-MX"/>
        </w:rPr>
      </w:pPr>
    </w:p>
    <w:p w14:paraId="7ABF8B82" w14:textId="77777777" w:rsidR="002C5395" w:rsidRPr="00F30FD1" w:rsidRDefault="002C5395" w:rsidP="002C5395">
      <w:pPr>
        <w:jc w:val="left"/>
        <w:rPr>
          <w:rFonts w:cs="Arial"/>
          <w:b/>
          <w:sz w:val="20"/>
          <w:szCs w:val="20"/>
          <w:lang w:val="es-MX"/>
        </w:rPr>
      </w:pPr>
    </w:p>
    <w:p w14:paraId="21580393" w14:textId="77777777" w:rsidR="002C5395" w:rsidRPr="00F30FD1" w:rsidRDefault="002C5395" w:rsidP="002C5395">
      <w:pPr>
        <w:jc w:val="left"/>
        <w:rPr>
          <w:rFonts w:cs="Arial"/>
          <w:b/>
          <w:sz w:val="20"/>
          <w:szCs w:val="20"/>
          <w:lang w:val="es-MX"/>
        </w:rPr>
      </w:pPr>
    </w:p>
    <w:p w14:paraId="488DDE2B" w14:textId="77777777" w:rsidR="002C5395" w:rsidRPr="00F30FD1" w:rsidRDefault="002C5395" w:rsidP="002C5395">
      <w:pPr>
        <w:jc w:val="left"/>
        <w:rPr>
          <w:rFonts w:cs="Arial"/>
          <w:b/>
          <w:sz w:val="20"/>
          <w:szCs w:val="20"/>
          <w:lang w:val="es-MX"/>
        </w:rPr>
      </w:pPr>
    </w:p>
    <w:p w14:paraId="0590E134" w14:textId="77777777" w:rsidR="002C5395" w:rsidRPr="00F30FD1" w:rsidRDefault="002C5395" w:rsidP="002C5395">
      <w:pPr>
        <w:jc w:val="left"/>
        <w:rPr>
          <w:rFonts w:cs="Arial"/>
          <w:b/>
          <w:sz w:val="20"/>
          <w:szCs w:val="20"/>
          <w:lang w:val="es-MX"/>
        </w:rPr>
      </w:pPr>
    </w:p>
    <w:p w14:paraId="221C499B" w14:textId="77777777" w:rsidR="002C5395" w:rsidRPr="00F30FD1" w:rsidRDefault="002C5395" w:rsidP="002C5395">
      <w:pPr>
        <w:rPr>
          <w:rFonts w:cs="Calibri"/>
          <w:sz w:val="16"/>
          <w:szCs w:val="16"/>
          <w:lang w:val="es-MX"/>
        </w:rPr>
      </w:pPr>
      <w:r w:rsidRPr="00F30FD1">
        <w:rPr>
          <w:rFonts w:cs="Calibri"/>
          <w:sz w:val="16"/>
          <w:szCs w:val="16"/>
          <w:lang w:val="es-MX"/>
        </w:rPr>
        <w:t>Fuente: Subsecretaría Técnica Hacendaria de la SEFIPLAN con datos del IMCO 2018</w:t>
      </w:r>
    </w:p>
    <w:p w14:paraId="6F3826E7" w14:textId="0B5135D6" w:rsidR="00743689" w:rsidRPr="00F30FD1" w:rsidRDefault="002C5395" w:rsidP="002C5395">
      <w:pPr>
        <w:jc w:val="left"/>
        <w:rPr>
          <w:color w:val="595959" w:themeColor="text1" w:themeTint="A6"/>
        </w:rPr>
      </w:pPr>
      <w:r w:rsidRPr="00F30FD1">
        <w:rPr>
          <w:color w:val="595959" w:themeColor="text1" w:themeTint="A6"/>
        </w:rPr>
        <w:lastRenderedPageBreak/>
        <w:t>Como se puede apreciar a continuación la suma de esfuerzos colocan al estado de Quintana Roo en la posición n</w:t>
      </w:r>
      <w:r w:rsidR="00E668AF" w:rsidRPr="00F30FD1">
        <w:rPr>
          <w:color w:val="595959" w:themeColor="text1" w:themeTint="A6"/>
        </w:rPr>
        <w:t>úmero</w:t>
      </w:r>
      <w:r w:rsidRPr="00F30FD1">
        <w:rPr>
          <w:color w:val="595959" w:themeColor="text1" w:themeTint="A6"/>
        </w:rPr>
        <w:t xml:space="preserve"> 8 por encima de Coahuila  y Sonora, y con relación a resultados de ejercicios anteriores se logró </w:t>
      </w:r>
      <w:proofErr w:type="spellStart"/>
      <w:r w:rsidRPr="00F30FD1">
        <w:rPr>
          <w:color w:val="595959" w:themeColor="text1" w:themeTint="A6"/>
        </w:rPr>
        <w:t>escalar</w:t>
      </w:r>
      <w:proofErr w:type="spellEnd"/>
      <w:r w:rsidRPr="00F30FD1">
        <w:rPr>
          <w:color w:val="595959" w:themeColor="text1" w:themeTint="A6"/>
        </w:rPr>
        <w:t xml:space="preserve"> del lugar n°18 (2015) un total de 10 posiciones.</w:t>
      </w:r>
    </w:p>
    <w:p w14:paraId="458AFF2D" w14:textId="2638177E" w:rsidR="00743689" w:rsidRPr="00F30FD1" w:rsidRDefault="00743689">
      <w:pPr>
        <w:spacing w:after="0" w:line="240" w:lineRule="auto"/>
        <w:jc w:val="left"/>
        <w:rPr>
          <w:color w:val="595959" w:themeColor="text1" w:themeTint="A6"/>
        </w:rPr>
      </w:pPr>
    </w:p>
    <w:p w14:paraId="2B63708D" w14:textId="68A701D1" w:rsidR="002C5395" w:rsidRPr="00F30FD1" w:rsidRDefault="00E954DE" w:rsidP="002C5395">
      <w:pPr>
        <w:spacing w:after="0"/>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 xml:space="preserve">Tabla T.1 </w:t>
      </w:r>
      <w:r w:rsidR="002C5395" w:rsidRPr="00F30FD1">
        <w:rPr>
          <w:rFonts w:eastAsia="Arial" w:cs="Times New Roman"/>
          <w:b/>
          <w:bCs/>
          <w:color w:val="4BACC6" w:themeColor="accent5"/>
          <w:lang w:val="es-MX" w:eastAsia="en-US"/>
        </w:rPr>
        <w:t>Resultados de posiciones del Índice de Información del Ejercicio del Gasto, ejercicio fiscal 2017</w:t>
      </w:r>
    </w:p>
    <w:p w14:paraId="20E19B41" w14:textId="77777777" w:rsidR="002C5395" w:rsidRPr="00F30FD1" w:rsidRDefault="002C5395" w:rsidP="002C5395">
      <w:pPr>
        <w:spacing w:after="0"/>
        <w:jc w:val="center"/>
        <w:rPr>
          <w:rFonts w:cs="Arial"/>
          <w:b/>
          <w:sz w:val="20"/>
          <w:szCs w:val="20"/>
          <w:lang w:val="es-MX"/>
        </w:rPr>
      </w:pPr>
    </w:p>
    <w:tbl>
      <w:tblPr>
        <w:tblW w:w="4994" w:type="pct"/>
        <w:jc w:val="center"/>
        <w:tblCellMar>
          <w:left w:w="70" w:type="dxa"/>
          <w:right w:w="70" w:type="dxa"/>
        </w:tblCellMar>
        <w:tblLook w:val="04A0" w:firstRow="1" w:lastRow="0" w:firstColumn="1" w:lastColumn="0" w:noHBand="0" w:noVBand="1"/>
      </w:tblPr>
      <w:tblGrid>
        <w:gridCol w:w="4030"/>
        <w:gridCol w:w="1881"/>
        <w:gridCol w:w="1883"/>
        <w:gridCol w:w="1881"/>
      </w:tblGrid>
      <w:tr w:rsidR="002C5395" w:rsidRPr="00F30FD1" w14:paraId="307DED8F" w14:textId="77777777" w:rsidTr="00554653">
        <w:trPr>
          <w:trHeight w:val="435"/>
          <w:jc w:val="center"/>
        </w:trPr>
        <w:tc>
          <w:tcPr>
            <w:tcW w:w="2083" w:type="pct"/>
            <w:vMerge w:val="restart"/>
            <w:tcBorders>
              <w:top w:val="single" w:sz="4" w:space="0" w:color="auto"/>
              <w:left w:val="single" w:sz="4" w:space="0" w:color="auto"/>
              <w:bottom w:val="single" w:sz="4" w:space="0" w:color="000000"/>
              <w:right w:val="single" w:sz="4" w:space="0" w:color="auto"/>
            </w:tcBorders>
            <w:shd w:val="clear" w:color="000000" w:fill="4BACC6"/>
            <w:vAlign w:val="center"/>
            <w:hideMark/>
          </w:tcPr>
          <w:p w14:paraId="0A0DD1C7" w14:textId="77777777" w:rsidR="002C5395" w:rsidRPr="00F30FD1" w:rsidRDefault="002C5395" w:rsidP="00E954DE">
            <w:pPr>
              <w:spacing w:after="0" w:line="240" w:lineRule="auto"/>
              <w:jc w:val="center"/>
              <w:rPr>
                <w:b/>
                <w:color w:val="FFFFFF" w:themeColor="background1"/>
              </w:rPr>
            </w:pPr>
            <w:r w:rsidRPr="00F30FD1">
              <w:rPr>
                <w:b/>
                <w:color w:val="FFFFFF" w:themeColor="background1"/>
              </w:rPr>
              <w:t xml:space="preserve">Entidad </w:t>
            </w:r>
            <w:r w:rsidRPr="00F30FD1">
              <w:rPr>
                <w:b/>
                <w:color w:val="FFFFFF" w:themeColor="background1"/>
              </w:rPr>
              <w:br/>
              <w:t>Federativa</w:t>
            </w:r>
          </w:p>
        </w:tc>
        <w:tc>
          <w:tcPr>
            <w:tcW w:w="1945" w:type="pct"/>
            <w:gridSpan w:val="2"/>
            <w:tcBorders>
              <w:top w:val="single" w:sz="4" w:space="0" w:color="auto"/>
              <w:left w:val="single" w:sz="4" w:space="0" w:color="auto"/>
              <w:bottom w:val="single" w:sz="4" w:space="0" w:color="auto"/>
              <w:right w:val="single" w:sz="4" w:space="0" w:color="auto"/>
            </w:tcBorders>
            <w:shd w:val="clear" w:color="000000" w:fill="4BACC6"/>
            <w:noWrap/>
            <w:vAlign w:val="center"/>
            <w:hideMark/>
          </w:tcPr>
          <w:p w14:paraId="4F356581" w14:textId="77777777" w:rsidR="002C5395" w:rsidRPr="00F30FD1" w:rsidRDefault="002C5395" w:rsidP="00E954DE">
            <w:pPr>
              <w:spacing w:after="0" w:line="240" w:lineRule="auto"/>
              <w:jc w:val="center"/>
              <w:rPr>
                <w:b/>
                <w:color w:val="FFFFFF" w:themeColor="background1"/>
              </w:rPr>
            </w:pPr>
            <w:r w:rsidRPr="00F30FD1">
              <w:rPr>
                <w:b/>
                <w:color w:val="FFFFFF" w:themeColor="background1"/>
              </w:rPr>
              <w:t>Posición</w:t>
            </w:r>
          </w:p>
          <w:p w14:paraId="4E83F821" w14:textId="77777777" w:rsidR="002C5395" w:rsidRPr="00F30FD1" w:rsidRDefault="002C5395" w:rsidP="00E954DE">
            <w:pPr>
              <w:spacing w:after="0" w:line="240" w:lineRule="auto"/>
              <w:jc w:val="center"/>
              <w:rPr>
                <w:b/>
                <w:color w:val="FFFFFF" w:themeColor="background1"/>
              </w:rPr>
            </w:pPr>
          </w:p>
        </w:tc>
        <w:tc>
          <w:tcPr>
            <w:tcW w:w="972" w:type="pct"/>
            <w:tcBorders>
              <w:top w:val="single" w:sz="4" w:space="0" w:color="auto"/>
              <w:left w:val="single" w:sz="4" w:space="0" w:color="auto"/>
              <w:bottom w:val="single" w:sz="4" w:space="0" w:color="auto"/>
              <w:right w:val="single" w:sz="4" w:space="0" w:color="auto"/>
            </w:tcBorders>
            <w:shd w:val="clear" w:color="000000" w:fill="4BACC6"/>
            <w:vAlign w:val="center"/>
            <w:hideMark/>
          </w:tcPr>
          <w:p w14:paraId="37D2E3E7" w14:textId="77777777" w:rsidR="002C5395" w:rsidRPr="00F30FD1" w:rsidRDefault="002C5395" w:rsidP="00E954DE">
            <w:pPr>
              <w:spacing w:after="0" w:line="240" w:lineRule="auto"/>
              <w:jc w:val="center"/>
              <w:rPr>
                <w:b/>
                <w:color w:val="FFFFFF" w:themeColor="background1"/>
              </w:rPr>
            </w:pPr>
            <w:r w:rsidRPr="00F30FD1">
              <w:rPr>
                <w:b/>
                <w:color w:val="FFFFFF" w:themeColor="background1"/>
              </w:rPr>
              <w:t>Cambio en posiciones</w:t>
            </w:r>
          </w:p>
        </w:tc>
      </w:tr>
      <w:tr w:rsidR="002C5395" w:rsidRPr="00F30FD1" w14:paraId="40C0481A" w14:textId="77777777" w:rsidTr="00554653">
        <w:trPr>
          <w:trHeight w:val="375"/>
          <w:jc w:val="center"/>
        </w:trPr>
        <w:tc>
          <w:tcPr>
            <w:tcW w:w="2083" w:type="pct"/>
            <w:vMerge/>
            <w:tcBorders>
              <w:top w:val="single" w:sz="4" w:space="0" w:color="auto"/>
              <w:left w:val="single" w:sz="4" w:space="0" w:color="auto"/>
              <w:bottom w:val="single" w:sz="4" w:space="0" w:color="000000"/>
              <w:right w:val="single" w:sz="4" w:space="0" w:color="auto"/>
            </w:tcBorders>
            <w:vAlign w:val="center"/>
            <w:hideMark/>
          </w:tcPr>
          <w:p w14:paraId="6A0F5C37" w14:textId="77777777" w:rsidR="002C5395" w:rsidRPr="00F30FD1" w:rsidRDefault="002C5395" w:rsidP="00E954DE">
            <w:pPr>
              <w:spacing w:after="0" w:line="240" w:lineRule="auto"/>
              <w:jc w:val="center"/>
              <w:rPr>
                <w:b/>
                <w:color w:val="FFFFFF" w:themeColor="background1"/>
              </w:rPr>
            </w:pPr>
          </w:p>
        </w:tc>
        <w:tc>
          <w:tcPr>
            <w:tcW w:w="972" w:type="pct"/>
            <w:tcBorders>
              <w:top w:val="single" w:sz="4" w:space="0" w:color="auto"/>
              <w:left w:val="single" w:sz="4" w:space="0" w:color="auto"/>
              <w:bottom w:val="single" w:sz="4" w:space="0" w:color="auto"/>
              <w:right w:val="single" w:sz="4" w:space="0" w:color="auto"/>
            </w:tcBorders>
            <w:shd w:val="clear" w:color="000000" w:fill="4BACC6"/>
            <w:noWrap/>
            <w:vAlign w:val="center"/>
            <w:hideMark/>
          </w:tcPr>
          <w:p w14:paraId="6A519EF1" w14:textId="77777777" w:rsidR="002C5395" w:rsidRPr="00F30FD1" w:rsidRDefault="002C5395" w:rsidP="00E954DE">
            <w:pPr>
              <w:spacing w:after="0" w:line="240" w:lineRule="auto"/>
              <w:jc w:val="center"/>
              <w:rPr>
                <w:b/>
                <w:color w:val="FFFFFF" w:themeColor="background1"/>
              </w:rPr>
            </w:pPr>
            <w:r w:rsidRPr="00F30FD1">
              <w:rPr>
                <w:b/>
                <w:color w:val="FFFFFF" w:themeColor="background1"/>
              </w:rPr>
              <w:t>2017</w:t>
            </w:r>
          </w:p>
        </w:tc>
        <w:tc>
          <w:tcPr>
            <w:tcW w:w="973" w:type="pct"/>
            <w:tcBorders>
              <w:top w:val="nil"/>
              <w:left w:val="nil"/>
              <w:bottom w:val="single" w:sz="4" w:space="0" w:color="auto"/>
              <w:right w:val="single" w:sz="4" w:space="0" w:color="auto"/>
            </w:tcBorders>
            <w:shd w:val="clear" w:color="000000" w:fill="4BACC6"/>
            <w:noWrap/>
            <w:vAlign w:val="center"/>
            <w:hideMark/>
          </w:tcPr>
          <w:p w14:paraId="584B7225" w14:textId="77777777" w:rsidR="002C5395" w:rsidRPr="00F30FD1" w:rsidRDefault="002C5395" w:rsidP="00E954DE">
            <w:pPr>
              <w:spacing w:after="0" w:line="240" w:lineRule="auto"/>
              <w:jc w:val="center"/>
              <w:rPr>
                <w:b/>
                <w:color w:val="FFFFFF" w:themeColor="background1"/>
              </w:rPr>
            </w:pPr>
            <w:r w:rsidRPr="00F30FD1">
              <w:rPr>
                <w:b/>
                <w:color w:val="FFFFFF" w:themeColor="background1"/>
              </w:rPr>
              <w:t>2015</w:t>
            </w:r>
          </w:p>
        </w:tc>
        <w:tc>
          <w:tcPr>
            <w:tcW w:w="972" w:type="pct"/>
            <w:tcBorders>
              <w:top w:val="single" w:sz="4" w:space="0" w:color="auto"/>
              <w:left w:val="single" w:sz="4" w:space="0" w:color="auto"/>
              <w:bottom w:val="single" w:sz="4" w:space="0" w:color="auto"/>
              <w:right w:val="single" w:sz="4" w:space="0" w:color="auto"/>
            </w:tcBorders>
            <w:shd w:val="clear" w:color="000000" w:fill="4BACC6"/>
            <w:vAlign w:val="center"/>
            <w:hideMark/>
          </w:tcPr>
          <w:p w14:paraId="6166D32D" w14:textId="4801D335" w:rsidR="002C5395" w:rsidRPr="00F30FD1" w:rsidRDefault="002C5395" w:rsidP="00E954DE">
            <w:pPr>
              <w:spacing w:after="0" w:line="240" w:lineRule="auto"/>
              <w:jc w:val="center"/>
              <w:rPr>
                <w:b/>
                <w:color w:val="FFFFFF" w:themeColor="background1"/>
              </w:rPr>
            </w:pPr>
            <w:r w:rsidRPr="00F30FD1">
              <w:rPr>
                <w:b/>
                <w:color w:val="FFFFFF" w:themeColor="background1"/>
              </w:rPr>
              <w:t>2015-2017</w:t>
            </w:r>
          </w:p>
        </w:tc>
      </w:tr>
      <w:tr w:rsidR="002C5395" w:rsidRPr="00F30FD1" w14:paraId="47E9AE2E" w14:textId="77777777" w:rsidTr="00554653">
        <w:trPr>
          <w:trHeight w:val="22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2B9AF6B9"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Puebla</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72F7D28C"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w:t>
            </w:r>
          </w:p>
        </w:tc>
        <w:tc>
          <w:tcPr>
            <w:tcW w:w="973" w:type="pct"/>
            <w:tcBorders>
              <w:top w:val="nil"/>
              <w:left w:val="nil"/>
              <w:bottom w:val="single" w:sz="4" w:space="0" w:color="auto"/>
              <w:right w:val="single" w:sz="4" w:space="0" w:color="auto"/>
            </w:tcBorders>
            <w:shd w:val="clear" w:color="333F4F" w:fill="F2F2F2"/>
            <w:vAlign w:val="center"/>
            <w:hideMark/>
          </w:tcPr>
          <w:p w14:paraId="28553FAB"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7</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851DE"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6</w:t>
            </w:r>
          </w:p>
        </w:tc>
      </w:tr>
      <w:tr w:rsidR="002C5395" w:rsidRPr="00F30FD1" w14:paraId="6FEAE568"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6ACBF034"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Campeche</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2CCADE66"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w:t>
            </w:r>
          </w:p>
        </w:tc>
        <w:tc>
          <w:tcPr>
            <w:tcW w:w="973" w:type="pct"/>
            <w:tcBorders>
              <w:top w:val="nil"/>
              <w:left w:val="nil"/>
              <w:bottom w:val="single" w:sz="4" w:space="0" w:color="auto"/>
              <w:right w:val="single" w:sz="4" w:space="0" w:color="auto"/>
            </w:tcBorders>
            <w:shd w:val="clear" w:color="333F4F" w:fill="FFFFFF"/>
            <w:vAlign w:val="center"/>
            <w:hideMark/>
          </w:tcPr>
          <w:p w14:paraId="7DC2AAEB"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3023FE98"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w:t>
            </w:r>
          </w:p>
        </w:tc>
      </w:tr>
      <w:tr w:rsidR="002C5395" w:rsidRPr="00F30FD1" w14:paraId="1DEB21F4"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216FBEF8"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Querétaro</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56FDF10E"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3</w:t>
            </w:r>
          </w:p>
        </w:tc>
        <w:tc>
          <w:tcPr>
            <w:tcW w:w="973" w:type="pct"/>
            <w:tcBorders>
              <w:top w:val="nil"/>
              <w:left w:val="nil"/>
              <w:bottom w:val="single" w:sz="4" w:space="0" w:color="auto"/>
              <w:right w:val="single" w:sz="4" w:space="0" w:color="auto"/>
            </w:tcBorders>
            <w:shd w:val="clear" w:color="333F4F" w:fill="F2F2F2"/>
            <w:vAlign w:val="center"/>
            <w:hideMark/>
          </w:tcPr>
          <w:p w14:paraId="6715926E"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15</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F78D4"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12</w:t>
            </w:r>
          </w:p>
        </w:tc>
      </w:tr>
      <w:tr w:rsidR="002C5395" w:rsidRPr="00F30FD1" w14:paraId="48CDB25B"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60824550"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Veracruz</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00A9E655"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4</w:t>
            </w:r>
          </w:p>
        </w:tc>
        <w:tc>
          <w:tcPr>
            <w:tcW w:w="973" w:type="pct"/>
            <w:tcBorders>
              <w:top w:val="nil"/>
              <w:left w:val="nil"/>
              <w:bottom w:val="single" w:sz="4" w:space="0" w:color="auto"/>
              <w:right w:val="single" w:sz="4" w:space="0" w:color="auto"/>
            </w:tcBorders>
            <w:shd w:val="clear" w:color="333F4F" w:fill="FFFFFF"/>
            <w:vAlign w:val="center"/>
            <w:hideMark/>
          </w:tcPr>
          <w:p w14:paraId="10F5FD4F"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3</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48037C8B"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w:t>
            </w:r>
          </w:p>
        </w:tc>
      </w:tr>
      <w:tr w:rsidR="002C5395" w:rsidRPr="00F30FD1" w14:paraId="39E234C5"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164024BA"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Baja California</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35CDBAFA"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4</w:t>
            </w:r>
          </w:p>
        </w:tc>
        <w:tc>
          <w:tcPr>
            <w:tcW w:w="973" w:type="pct"/>
            <w:tcBorders>
              <w:top w:val="nil"/>
              <w:left w:val="nil"/>
              <w:bottom w:val="single" w:sz="4" w:space="0" w:color="auto"/>
              <w:right w:val="single" w:sz="4" w:space="0" w:color="auto"/>
            </w:tcBorders>
            <w:shd w:val="clear" w:color="333F4F" w:fill="F2F2F2"/>
            <w:vAlign w:val="center"/>
            <w:hideMark/>
          </w:tcPr>
          <w:p w14:paraId="308AE6A2"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13</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E9836"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9</w:t>
            </w:r>
          </w:p>
        </w:tc>
      </w:tr>
      <w:tr w:rsidR="002C5395" w:rsidRPr="00F30FD1" w14:paraId="2105B932"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360F4BA6"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Tamaulipas</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03D5F03B"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6</w:t>
            </w:r>
          </w:p>
        </w:tc>
        <w:tc>
          <w:tcPr>
            <w:tcW w:w="973" w:type="pct"/>
            <w:tcBorders>
              <w:top w:val="nil"/>
              <w:left w:val="nil"/>
              <w:bottom w:val="single" w:sz="4" w:space="0" w:color="auto"/>
              <w:right w:val="single" w:sz="4" w:space="0" w:color="auto"/>
            </w:tcBorders>
            <w:shd w:val="clear" w:color="333F4F" w:fill="FFFFFF"/>
            <w:vAlign w:val="center"/>
            <w:hideMark/>
          </w:tcPr>
          <w:p w14:paraId="416DC181"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9</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2AA542F0"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3</w:t>
            </w:r>
          </w:p>
        </w:tc>
      </w:tr>
      <w:tr w:rsidR="002C5395" w:rsidRPr="00F30FD1" w14:paraId="15C844A5"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739E7BFE"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Nuevo León</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2207AE65"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7</w:t>
            </w:r>
          </w:p>
        </w:tc>
        <w:tc>
          <w:tcPr>
            <w:tcW w:w="973" w:type="pct"/>
            <w:tcBorders>
              <w:top w:val="nil"/>
              <w:left w:val="nil"/>
              <w:bottom w:val="single" w:sz="4" w:space="0" w:color="auto"/>
              <w:right w:val="single" w:sz="4" w:space="0" w:color="auto"/>
            </w:tcBorders>
            <w:shd w:val="clear" w:color="333F4F" w:fill="F2F2F2"/>
            <w:vAlign w:val="center"/>
            <w:hideMark/>
          </w:tcPr>
          <w:p w14:paraId="1BBA1A8E"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11</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98676"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4</w:t>
            </w:r>
          </w:p>
        </w:tc>
      </w:tr>
      <w:tr w:rsidR="002C5395" w:rsidRPr="00F30FD1" w14:paraId="4E36232B"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4BACC6"/>
            <w:vAlign w:val="center"/>
            <w:hideMark/>
          </w:tcPr>
          <w:p w14:paraId="3EFE375F"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Quintana Roo</w:t>
            </w:r>
          </w:p>
        </w:tc>
        <w:tc>
          <w:tcPr>
            <w:tcW w:w="972" w:type="pct"/>
            <w:tcBorders>
              <w:top w:val="single" w:sz="4" w:space="0" w:color="auto"/>
              <w:left w:val="single" w:sz="4" w:space="0" w:color="auto"/>
              <w:bottom w:val="single" w:sz="4" w:space="0" w:color="auto"/>
              <w:right w:val="single" w:sz="4" w:space="0" w:color="auto"/>
            </w:tcBorders>
            <w:shd w:val="clear" w:color="333F4F" w:fill="4BACC6"/>
            <w:vAlign w:val="center"/>
            <w:hideMark/>
          </w:tcPr>
          <w:p w14:paraId="399F11A7"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8</w:t>
            </w:r>
          </w:p>
        </w:tc>
        <w:tc>
          <w:tcPr>
            <w:tcW w:w="973" w:type="pct"/>
            <w:tcBorders>
              <w:top w:val="nil"/>
              <w:left w:val="nil"/>
              <w:bottom w:val="single" w:sz="4" w:space="0" w:color="auto"/>
              <w:right w:val="single" w:sz="4" w:space="0" w:color="auto"/>
            </w:tcBorders>
            <w:shd w:val="clear" w:color="333F4F" w:fill="4BACC6"/>
            <w:vAlign w:val="center"/>
            <w:hideMark/>
          </w:tcPr>
          <w:p w14:paraId="2674FADA"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18</w:t>
            </w:r>
          </w:p>
        </w:tc>
        <w:tc>
          <w:tcPr>
            <w:tcW w:w="972" w:type="pct"/>
            <w:tcBorders>
              <w:top w:val="single" w:sz="4" w:space="0" w:color="auto"/>
              <w:left w:val="single" w:sz="4" w:space="0" w:color="auto"/>
              <w:bottom w:val="single" w:sz="4" w:space="0" w:color="auto"/>
              <w:right w:val="single" w:sz="4" w:space="0" w:color="auto"/>
            </w:tcBorders>
            <w:shd w:val="clear" w:color="000000" w:fill="4BACC6"/>
            <w:noWrap/>
            <w:vAlign w:val="bottom"/>
            <w:hideMark/>
          </w:tcPr>
          <w:p w14:paraId="70C84619"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10</w:t>
            </w:r>
          </w:p>
        </w:tc>
      </w:tr>
      <w:tr w:rsidR="002C5395" w:rsidRPr="00F30FD1" w14:paraId="31763538"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0DF00CA7"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Coahuila</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4D2228F3"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9</w:t>
            </w:r>
          </w:p>
        </w:tc>
        <w:tc>
          <w:tcPr>
            <w:tcW w:w="973" w:type="pct"/>
            <w:tcBorders>
              <w:top w:val="nil"/>
              <w:left w:val="nil"/>
              <w:bottom w:val="single" w:sz="4" w:space="0" w:color="auto"/>
              <w:right w:val="single" w:sz="4" w:space="0" w:color="auto"/>
            </w:tcBorders>
            <w:shd w:val="clear" w:color="333F4F" w:fill="F2F2F2"/>
            <w:vAlign w:val="center"/>
            <w:hideMark/>
          </w:tcPr>
          <w:p w14:paraId="3289DAA7"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8</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6137B"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w:t>
            </w:r>
          </w:p>
        </w:tc>
      </w:tr>
      <w:tr w:rsidR="002C5395" w:rsidRPr="00F30FD1" w14:paraId="4ABD1051"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1EE46F9A"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Sonora</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3C9A1AA5"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10</w:t>
            </w:r>
          </w:p>
        </w:tc>
        <w:tc>
          <w:tcPr>
            <w:tcW w:w="973" w:type="pct"/>
            <w:tcBorders>
              <w:top w:val="nil"/>
              <w:left w:val="nil"/>
              <w:bottom w:val="single" w:sz="4" w:space="0" w:color="auto"/>
              <w:right w:val="single" w:sz="4" w:space="0" w:color="auto"/>
            </w:tcBorders>
            <w:shd w:val="clear" w:color="333F4F" w:fill="FFFFFF"/>
            <w:vAlign w:val="center"/>
            <w:hideMark/>
          </w:tcPr>
          <w:p w14:paraId="7EFD1284"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27</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4DBC4558"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17</w:t>
            </w:r>
          </w:p>
        </w:tc>
      </w:tr>
      <w:tr w:rsidR="002C5395" w:rsidRPr="00F30FD1" w14:paraId="1DE333BE"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5227DAFA"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Tabasco</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5E0883B5"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11</w:t>
            </w:r>
          </w:p>
        </w:tc>
        <w:tc>
          <w:tcPr>
            <w:tcW w:w="973" w:type="pct"/>
            <w:tcBorders>
              <w:top w:val="nil"/>
              <w:left w:val="nil"/>
              <w:bottom w:val="single" w:sz="4" w:space="0" w:color="auto"/>
              <w:right w:val="single" w:sz="4" w:space="0" w:color="auto"/>
            </w:tcBorders>
            <w:shd w:val="clear" w:color="333F4F" w:fill="F2F2F2"/>
            <w:vAlign w:val="center"/>
            <w:hideMark/>
          </w:tcPr>
          <w:p w14:paraId="07B19D42"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5</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EAB309"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-6</w:t>
            </w:r>
          </w:p>
        </w:tc>
      </w:tr>
      <w:tr w:rsidR="002C5395" w:rsidRPr="00F30FD1" w14:paraId="787919E0"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3044C0D6"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Baja California Sur</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58A6B027"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12</w:t>
            </w:r>
          </w:p>
        </w:tc>
        <w:tc>
          <w:tcPr>
            <w:tcW w:w="973" w:type="pct"/>
            <w:tcBorders>
              <w:top w:val="nil"/>
              <w:left w:val="nil"/>
              <w:bottom w:val="single" w:sz="4" w:space="0" w:color="auto"/>
              <w:right w:val="single" w:sz="4" w:space="0" w:color="auto"/>
            </w:tcBorders>
            <w:shd w:val="clear" w:color="333F4F" w:fill="FFFFFF"/>
            <w:vAlign w:val="center"/>
            <w:hideMark/>
          </w:tcPr>
          <w:p w14:paraId="0DC09CEA"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32</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31508132"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20</w:t>
            </w:r>
          </w:p>
        </w:tc>
      </w:tr>
      <w:tr w:rsidR="002C5395" w:rsidRPr="00F30FD1" w14:paraId="4F9226E0"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58E2A7DA"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Aguascalientes</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0A4E2B3E"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13</w:t>
            </w:r>
          </w:p>
        </w:tc>
        <w:tc>
          <w:tcPr>
            <w:tcW w:w="973" w:type="pct"/>
            <w:tcBorders>
              <w:top w:val="nil"/>
              <w:left w:val="nil"/>
              <w:bottom w:val="single" w:sz="4" w:space="0" w:color="auto"/>
              <w:right w:val="single" w:sz="4" w:space="0" w:color="auto"/>
            </w:tcBorders>
            <w:shd w:val="clear" w:color="333F4F" w:fill="F2F2F2"/>
            <w:vAlign w:val="center"/>
            <w:hideMark/>
          </w:tcPr>
          <w:p w14:paraId="73DDA337"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17</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B6FF1"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4</w:t>
            </w:r>
          </w:p>
        </w:tc>
      </w:tr>
      <w:tr w:rsidR="002C5395" w:rsidRPr="00F30FD1" w14:paraId="5D0C61EE"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34EA2D4D"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Chihuahua</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16D8B938"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13</w:t>
            </w:r>
          </w:p>
        </w:tc>
        <w:tc>
          <w:tcPr>
            <w:tcW w:w="973" w:type="pct"/>
            <w:tcBorders>
              <w:top w:val="nil"/>
              <w:left w:val="nil"/>
              <w:bottom w:val="single" w:sz="4" w:space="0" w:color="auto"/>
              <w:right w:val="single" w:sz="4" w:space="0" w:color="auto"/>
            </w:tcBorders>
            <w:shd w:val="clear" w:color="333F4F" w:fill="FFFFFF"/>
            <w:vAlign w:val="center"/>
            <w:hideMark/>
          </w:tcPr>
          <w:p w14:paraId="13464F72"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31</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0B628170"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18</w:t>
            </w:r>
          </w:p>
        </w:tc>
      </w:tr>
      <w:tr w:rsidR="002C5395" w:rsidRPr="00F30FD1" w14:paraId="6E8DECF0"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3F15C2CD"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Oaxaca</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40DEF60F"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15</w:t>
            </w:r>
          </w:p>
        </w:tc>
        <w:tc>
          <w:tcPr>
            <w:tcW w:w="973" w:type="pct"/>
            <w:tcBorders>
              <w:top w:val="nil"/>
              <w:left w:val="nil"/>
              <w:bottom w:val="single" w:sz="4" w:space="0" w:color="auto"/>
              <w:right w:val="single" w:sz="4" w:space="0" w:color="auto"/>
            </w:tcBorders>
            <w:shd w:val="clear" w:color="333F4F" w:fill="F2F2F2"/>
            <w:vAlign w:val="center"/>
            <w:hideMark/>
          </w:tcPr>
          <w:p w14:paraId="44927125"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23</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B6E29"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8</w:t>
            </w:r>
          </w:p>
        </w:tc>
      </w:tr>
      <w:tr w:rsidR="002C5395" w:rsidRPr="00F30FD1" w14:paraId="20BE68C9"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55C7AF6B"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Zacatecas</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68A17BDA"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16</w:t>
            </w:r>
          </w:p>
        </w:tc>
        <w:tc>
          <w:tcPr>
            <w:tcW w:w="973" w:type="pct"/>
            <w:tcBorders>
              <w:top w:val="nil"/>
              <w:left w:val="nil"/>
              <w:bottom w:val="single" w:sz="4" w:space="0" w:color="auto"/>
              <w:right w:val="single" w:sz="4" w:space="0" w:color="auto"/>
            </w:tcBorders>
            <w:shd w:val="clear" w:color="333F4F" w:fill="FFFFFF"/>
            <w:vAlign w:val="center"/>
            <w:hideMark/>
          </w:tcPr>
          <w:p w14:paraId="16194E30"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10</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63D941CE"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-6</w:t>
            </w:r>
          </w:p>
        </w:tc>
      </w:tr>
      <w:tr w:rsidR="002C5395" w:rsidRPr="00F30FD1" w14:paraId="3AEEF74F"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43C69E8B"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Tlaxcala</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35BD04D3"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17</w:t>
            </w:r>
          </w:p>
        </w:tc>
        <w:tc>
          <w:tcPr>
            <w:tcW w:w="973" w:type="pct"/>
            <w:tcBorders>
              <w:top w:val="nil"/>
              <w:left w:val="nil"/>
              <w:bottom w:val="single" w:sz="4" w:space="0" w:color="auto"/>
              <w:right w:val="single" w:sz="4" w:space="0" w:color="auto"/>
            </w:tcBorders>
            <w:shd w:val="clear" w:color="333F4F" w:fill="F2F2F2"/>
            <w:vAlign w:val="center"/>
            <w:hideMark/>
          </w:tcPr>
          <w:p w14:paraId="2F6EF3B0"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14</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76308"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-3</w:t>
            </w:r>
          </w:p>
        </w:tc>
      </w:tr>
      <w:tr w:rsidR="002C5395" w:rsidRPr="00F30FD1" w14:paraId="7A2BB83F"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7C925D86"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Guanajuato</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161AD6FE"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18</w:t>
            </w:r>
          </w:p>
        </w:tc>
        <w:tc>
          <w:tcPr>
            <w:tcW w:w="973" w:type="pct"/>
            <w:tcBorders>
              <w:top w:val="nil"/>
              <w:left w:val="nil"/>
              <w:bottom w:val="single" w:sz="4" w:space="0" w:color="auto"/>
              <w:right w:val="single" w:sz="4" w:space="0" w:color="auto"/>
            </w:tcBorders>
            <w:shd w:val="clear" w:color="333F4F" w:fill="FFFFFF"/>
            <w:vAlign w:val="center"/>
            <w:hideMark/>
          </w:tcPr>
          <w:p w14:paraId="1EB684C0"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19</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5B0F6F3F"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w:t>
            </w:r>
          </w:p>
        </w:tc>
      </w:tr>
      <w:tr w:rsidR="002C5395" w:rsidRPr="00F30FD1" w14:paraId="79AC80F8"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7A484C75"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Chiapas</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42AA2335"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18</w:t>
            </w:r>
          </w:p>
        </w:tc>
        <w:tc>
          <w:tcPr>
            <w:tcW w:w="973" w:type="pct"/>
            <w:tcBorders>
              <w:top w:val="nil"/>
              <w:left w:val="nil"/>
              <w:bottom w:val="single" w:sz="4" w:space="0" w:color="auto"/>
              <w:right w:val="single" w:sz="4" w:space="0" w:color="auto"/>
            </w:tcBorders>
            <w:shd w:val="clear" w:color="333F4F" w:fill="F2F2F2"/>
            <w:vAlign w:val="center"/>
            <w:hideMark/>
          </w:tcPr>
          <w:p w14:paraId="14158817"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22</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29A0C"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4</w:t>
            </w:r>
          </w:p>
        </w:tc>
      </w:tr>
      <w:tr w:rsidR="002C5395" w:rsidRPr="00F30FD1" w14:paraId="7BBF4B38"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69DC964A"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San Luis Potosí</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4E7E79D0"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20</w:t>
            </w:r>
          </w:p>
        </w:tc>
        <w:tc>
          <w:tcPr>
            <w:tcW w:w="973" w:type="pct"/>
            <w:tcBorders>
              <w:top w:val="nil"/>
              <w:left w:val="nil"/>
              <w:bottom w:val="single" w:sz="4" w:space="0" w:color="auto"/>
              <w:right w:val="single" w:sz="4" w:space="0" w:color="auto"/>
            </w:tcBorders>
            <w:shd w:val="clear" w:color="333F4F" w:fill="FFFFFF"/>
            <w:vAlign w:val="center"/>
            <w:hideMark/>
          </w:tcPr>
          <w:p w14:paraId="6513EDBD"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4</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489448F2"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-16</w:t>
            </w:r>
          </w:p>
        </w:tc>
      </w:tr>
      <w:tr w:rsidR="002C5395" w:rsidRPr="00F30FD1" w14:paraId="6595F2D0"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74B5A557"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Yucatán</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77950080"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21</w:t>
            </w:r>
          </w:p>
        </w:tc>
        <w:tc>
          <w:tcPr>
            <w:tcW w:w="973" w:type="pct"/>
            <w:tcBorders>
              <w:top w:val="nil"/>
              <w:left w:val="nil"/>
              <w:bottom w:val="single" w:sz="4" w:space="0" w:color="auto"/>
              <w:right w:val="single" w:sz="4" w:space="0" w:color="auto"/>
            </w:tcBorders>
            <w:shd w:val="clear" w:color="333F4F" w:fill="F2F2F2"/>
            <w:vAlign w:val="center"/>
            <w:hideMark/>
          </w:tcPr>
          <w:p w14:paraId="2A411F1E"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6</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39C0A"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-15</w:t>
            </w:r>
          </w:p>
        </w:tc>
      </w:tr>
      <w:tr w:rsidR="002C5395" w:rsidRPr="00F30FD1" w14:paraId="1B0ACE53"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449104D5"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Colima</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0A732F1B"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22</w:t>
            </w:r>
          </w:p>
        </w:tc>
        <w:tc>
          <w:tcPr>
            <w:tcW w:w="973" w:type="pct"/>
            <w:tcBorders>
              <w:top w:val="nil"/>
              <w:left w:val="nil"/>
              <w:bottom w:val="single" w:sz="4" w:space="0" w:color="auto"/>
              <w:right w:val="single" w:sz="4" w:space="0" w:color="auto"/>
            </w:tcBorders>
            <w:shd w:val="clear" w:color="333F4F" w:fill="FFFFFF"/>
            <w:vAlign w:val="center"/>
            <w:hideMark/>
          </w:tcPr>
          <w:p w14:paraId="7FE2DC79"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20</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3D30FA9B"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w:t>
            </w:r>
          </w:p>
        </w:tc>
      </w:tr>
      <w:tr w:rsidR="002C5395" w:rsidRPr="00F30FD1" w14:paraId="0C43D1F1"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0899FA9B"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Sinaloa</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162FC57B"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22</w:t>
            </w:r>
          </w:p>
        </w:tc>
        <w:tc>
          <w:tcPr>
            <w:tcW w:w="973" w:type="pct"/>
            <w:tcBorders>
              <w:top w:val="nil"/>
              <w:left w:val="nil"/>
              <w:bottom w:val="single" w:sz="4" w:space="0" w:color="auto"/>
              <w:right w:val="single" w:sz="4" w:space="0" w:color="auto"/>
            </w:tcBorders>
            <w:shd w:val="clear" w:color="333F4F" w:fill="F2F2F2"/>
            <w:vAlign w:val="center"/>
            <w:hideMark/>
          </w:tcPr>
          <w:p w14:paraId="41B7C9DD"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20</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7F661"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w:t>
            </w:r>
          </w:p>
        </w:tc>
      </w:tr>
      <w:tr w:rsidR="002C5395" w:rsidRPr="00F30FD1" w14:paraId="6B593278"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FFFFF"/>
            <w:vAlign w:val="center"/>
            <w:hideMark/>
          </w:tcPr>
          <w:p w14:paraId="20D9B0D7"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Jalisco</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5A61FAFA"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24</w:t>
            </w:r>
          </w:p>
        </w:tc>
        <w:tc>
          <w:tcPr>
            <w:tcW w:w="973" w:type="pct"/>
            <w:tcBorders>
              <w:top w:val="nil"/>
              <w:left w:val="nil"/>
              <w:bottom w:val="single" w:sz="4" w:space="0" w:color="auto"/>
              <w:right w:val="single" w:sz="4" w:space="0" w:color="auto"/>
            </w:tcBorders>
            <w:shd w:val="clear" w:color="333F4F" w:fill="FFFFFF"/>
            <w:vAlign w:val="center"/>
            <w:hideMark/>
          </w:tcPr>
          <w:p w14:paraId="7BE61E9C"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12</w:t>
            </w:r>
          </w:p>
        </w:tc>
        <w:tc>
          <w:tcPr>
            <w:tcW w:w="972"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4631460D"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-12</w:t>
            </w:r>
          </w:p>
        </w:tc>
      </w:tr>
      <w:tr w:rsidR="002C5395" w:rsidRPr="00F30FD1" w14:paraId="18B4B26D" w14:textId="77777777" w:rsidTr="00554653">
        <w:trPr>
          <w:trHeight w:val="165"/>
          <w:jc w:val="center"/>
        </w:trPr>
        <w:tc>
          <w:tcPr>
            <w:tcW w:w="2083" w:type="pct"/>
            <w:tcBorders>
              <w:top w:val="nil"/>
              <w:left w:val="single" w:sz="8" w:space="0" w:color="auto"/>
              <w:bottom w:val="single" w:sz="4" w:space="0" w:color="auto"/>
              <w:right w:val="single" w:sz="8" w:space="0" w:color="auto"/>
            </w:tcBorders>
            <w:shd w:val="clear" w:color="333F4F" w:fill="F2F2F2"/>
            <w:vAlign w:val="center"/>
            <w:hideMark/>
          </w:tcPr>
          <w:p w14:paraId="57F205F3" w14:textId="77777777" w:rsidR="002C5395" w:rsidRPr="00F30FD1" w:rsidRDefault="002C5395" w:rsidP="007B6A99">
            <w:pPr>
              <w:spacing w:after="0" w:line="240" w:lineRule="auto"/>
              <w:jc w:val="left"/>
              <w:rPr>
                <w:color w:val="595959" w:themeColor="text1" w:themeTint="A6"/>
              </w:rPr>
            </w:pPr>
            <w:r w:rsidRPr="00F30FD1">
              <w:rPr>
                <w:color w:val="595959" w:themeColor="text1" w:themeTint="A6"/>
              </w:rPr>
              <w:t>Guerrero</w:t>
            </w:r>
          </w:p>
        </w:tc>
        <w:tc>
          <w:tcPr>
            <w:tcW w:w="972"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7ADB2BBE"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25</w:t>
            </w:r>
          </w:p>
        </w:tc>
        <w:tc>
          <w:tcPr>
            <w:tcW w:w="973" w:type="pct"/>
            <w:tcBorders>
              <w:top w:val="nil"/>
              <w:left w:val="nil"/>
              <w:bottom w:val="single" w:sz="4" w:space="0" w:color="auto"/>
              <w:right w:val="single" w:sz="4" w:space="0" w:color="auto"/>
            </w:tcBorders>
            <w:shd w:val="clear" w:color="333F4F" w:fill="F2F2F2"/>
            <w:vAlign w:val="center"/>
            <w:hideMark/>
          </w:tcPr>
          <w:p w14:paraId="452A0A84"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30</w:t>
            </w:r>
          </w:p>
        </w:tc>
        <w:tc>
          <w:tcPr>
            <w:tcW w:w="9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E23268" w14:textId="77777777" w:rsidR="002C5395" w:rsidRPr="00F30FD1" w:rsidRDefault="002C5395" w:rsidP="007B6A99">
            <w:pPr>
              <w:spacing w:after="0" w:line="240" w:lineRule="auto"/>
              <w:jc w:val="center"/>
              <w:rPr>
                <w:color w:val="595959" w:themeColor="text1" w:themeTint="A6"/>
              </w:rPr>
            </w:pPr>
            <w:r w:rsidRPr="00F30FD1">
              <w:rPr>
                <w:color w:val="595959" w:themeColor="text1" w:themeTint="A6"/>
              </w:rPr>
              <w:t>5</w:t>
            </w:r>
          </w:p>
        </w:tc>
      </w:tr>
    </w:tbl>
    <w:p w14:paraId="73352DED" w14:textId="11B38E11" w:rsidR="00554653" w:rsidRPr="00F30FD1" w:rsidRDefault="00C920BF" w:rsidP="003124C1">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br w:type="page"/>
      </w:r>
      <w:r w:rsidR="00554653" w:rsidRPr="00F30FD1">
        <w:rPr>
          <w:rFonts w:eastAsia="Arial" w:cs="Times New Roman"/>
          <w:b/>
          <w:bCs/>
          <w:color w:val="4BACC6" w:themeColor="accent5"/>
          <w:lang w:val="es-MX" w:eastAsia="en-US"/>
        </w:rPr>
        <w:lastRenderedPageBreak/>
        <w:t>Tabla T.1 Resultados de posiciones del Índice de Información del Ejercicio del Gasto, ejercicio fiscal 2017</w:t>
      </w:r>
    </w:p>
    <w:tbl>
      <w:tblPr>
        <w:tblW w:w="4994" w:type="pct"/>
        <w:jc w:val="center"/>
        <w:tblCellMar>
          <w:left w:w="70" w:type="dxa"/>
          <w:right w:w="70" w:type="dxa"/>
        </w:tblCellMar>
        <w:tblLook w:val="04A0" w:firstRow="1" w:lastRow="0" w:firstColumn="1" w:lastColumn="0" w:noHBand="0" w:noVBand="1"/>
      </w:tblPr>
      <w:tblGrid>
        <w:gridCol w:w="4032"/>
        <w:gridCol w:w="1883"/>
        <w:gridCol w:w="1881"/>
        <w:gridCol w:w="1879"/>
      </w:tblGrid>
      <w:tr w:rsidR="00554653" w:rsidRPr="00F30FD1" w14:paraId="26630DB4" w14:textId="77777777" w:rsidTr="00554653">
        <w:trPr>
          <w:trHeight w:val="165"/>
          <w:jc w:val="center"/>
        </w:trPr>
        <w:tc>
          <w:tcPr>
            <w:tcW w:w="2084"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6E81FA5D" w14:textId="77777777" w:rsidR="00554653" w:rsidRPr="00F30FD1" w:rsidRDefault="00554653" w:rsidP="002C277A">
            <w:pPr>
              <w:spacing w:after="0" w:line="240" w:lineRule="auto"/>
              <w:jc w:val="left"/>
              <w:rPr>
                <w:color w:val="595959" w:themeColor="text1" w:themeTint="A6"/>
              </w:rPr>
            </w:pPr>
            <w:r w:rsidRPr="00F30FD1">
              <w:rPr>
                <w:color w:val="595959" w:themeColor="text1" w:themeTint="A6"/>
              </w:rPr>
              <w:t>Morelos</w:t>
            </w:r>
          </w:p>
        </w:tc>
        <w:tc>
          <w:tcPr>
            <w:tcW w:w="973"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0B6EBE65"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26</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328ADEDE"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w:t>
            </w:r>
          </w:p>
        </w:tc>
        <w:tc>
          <w:tcPr>
            <w:tcW w:w="971"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1494AAA4"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-24</w:t>
            </w:r>
          </w:p>
        </w:tc>
      </w:tr>
      <w:tr w:rsidR="00554653" w:rsidRPr="00F30FD1" w14:paraId="5FF9D32A" w14:textId="77777777" w:rsidTr="00554653">
        <w:trPr>
          <w:trHeight w:val="165"/>
          <w:jc w:val="center"/>
        </w:trPr>
        <w:tc>
          <w:tcPr>
            <w:tcW w:w="2084" w:type="pct"/>
            <w:tcBorders>
              <w:top w:val="nil"/>
              <w:left w:val="single" w:sz="8" w:space="0" w:color="auto"/>
              <w:bottom w:val="single" w:sz="4" w:space="0" w:color="auto"/>
              <w:right w:val="single" w:sz="8" w:space="0" w:color="auto"/>
            </w:tcBorders>
            <w:shd w:val="clear" w:color="333F4F" w:fill="F2F2F2"/>
            <w:vAlign w:val="center"/>
            <w:hideMark/>
          </w:tcPr>
          <w:p w14:paraId="411167BD" w14:textId="77777777" w:rsidR="00554653" w:rsidRPr="00F30FD1" w:rsidRDefault="00554653" w:rsidP="002C277A">
            <w:pPr>
              <w:spacing w:after="0" w:line="240" w:lineRule="auto"/>
              <w:jc w:val="left"/>
              <w:rPr>
                <w:color w:val="595959" w:themeColor="text1" w:themeTint="A6"/>
              </w:rPr>
            </w:pPr>
            <w:r w:rsidRPr="00F30FD1">
              <w:rPr>
                <w:color w:val="595959" w:themeColor="text1" w:themeTint="A6"/>
              </w:rPr>
              <w:t>Hidalgo</w:t>
            </w:r>
          </w:p>
        </w:tc>
        <w:tc>
          <w:tcPr>
            <w:tcW w:w="973"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53C5A416"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26</w:t>
            </w:r>
          </w:p>
        </w:tc>
        <w:tc>
          <w:tcPr>
            <w:tcW w:w="972" w:type="pct"/>
            <w:tcBorders>
              <w:top w:val="nil"/>
              <w:left w:val="nil"/>
              <w:bottom w:val="single" w:sz="4" w:space="0" w:color="auto"/>
              <w:right w:val="single" w:sz="4" w:space="0" w:color="auto"/>
            </w:tcBorders>
            <w:shd w:val="clear" w:color="333F4F" w:fill="F2F2F2"/>
            <w:vAlign w:val="center"/>
            <w:hideMark/>
          </w:tcPr>
          <w:p w14:paraId="6034C572"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16</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77E01"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-10</w:t>
            </w:r>
          </w:p>
        </w:tc>
      </w:tr>
      <w:tr w:rsidR="00554653" w:rsidRPr="00F30FD1" w14:paraId="7D99F0F6" w14:textId="77777777" w:rsidTr="00554653">
        <w:trPr>
          <w:trHeight w:val="165"/>
          <w:jc w:val="center"/>
        </w:trPr>
        <w:tc>
          <w:tcPr>
            <w:tcW w:w="2084" w:type="pct"/>
            <w:tcBorders>
              <w:top w:val="nil"/>
              <w:left w:val="single" w:sz="8" w:space="0" w:color="auto"/>
              <w:bottom w:val="single" w:sz="4" w:space="0" w:color="auto"/>
              <w:right w:val="single" w:sz="8" w:space="0" w:color="auto"/>
            </w:tcBorders>
            <w:shd w:val="clear" w:color="333F4F" w:fill="FFFFFF"/>
            <w:vAlign w:val="center"/>
            <w:hideMark/>
          </w:tcPr>
          <w:p w14:paraId="0E26D431" w14:textId="77777777" w:rsidR="00554653" w:rsidRPr="00F30FD1" w:rsidRDefault="00554653" w:rsidP="002C277A">
            <w:pPr>
              <w:spacing w:after="0" w:line="240" w:lineRule="auto"/>
              <w:jc w:val="left"/>
              <w:rPr>
                <w:color w:val="595959" w:themeColor="text1" w:themeTint="A6"/>
              </w:rPr>
            </w:pPr>
            <w:r w:rsidRPr="00F30FD1">
              <w:rPr>
                <w:color w:val="595959" w:themeColor="text1" w:themeTint="A6"/>
              </w:rPr>
              <w:t>Durango</w:t>
            </w:r>
          </w:p>
        </w:tc>
        <w:tc>
          <w:tcPr>
            <w:tcW w:w="973"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02A71ECA"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28</w:t>
            </w:r>
          </w:p>
        </w:tc>
        <w:tc>
          <w:tcPr>
            <w:tcW w:w="972" w:type="pct"/>
            <w:tcBorders>
              <w:top w:val="nil"/>
              <w:left w:val="nil"/>
              <w:bottom w:val="single" w:sz="4" w:space="0" w:color="auto"/>
              <w:right w:val="single" w:sz="4" w:space="0" w:color="auto"/>
            </w:tcBorders>
            <w:shd w:val="clear" w:color="333F4F" w:fill="FFFFFF"/>
            <w:vAlign w:val="center"/>
            <w:hideMark/>
          </w:tcPr>
          <w:p w14:paraId="6054EDB1"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29</w:t>
            </w:r>
          </w:p>
        </w:tc>
        <w:tc>
          <w:tcPr>
            <w:tcW w:w="971"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352F95FE"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1</w:t>
            </w:r>
          </w:p>
        </w:tc>
      </w:tr>
      <w:tr w:rsidR="00554653" w:rsidRPr="00F30FD1" w14:paraId="7FBAA4B4" w14:textId="77777777" w:rsidTr="00554653">
        <w:trPr>
          <w:trHeight w:val="165"/>
          <w:jc w:val="center"/>
        </w:trPr>
        <w:tc>
          <w:tcPr>
            <w:tcW w:w="2084" w:type="pct"/>
            <w:tcBorders>
              <w:top w:val="nil"/>
              <w:left w:val="single" w:sz="8" w:space="0" w:color="auto"/>
              <w:bottom w:val="single" w:sz="4" w:space="0" w:color="auto"/>
              <w:right w:val="single" w:sz="8" w:space="0" w:color="auto"/>
            </w:tcBorders>
            <w:shd w:val="clear" w:color="333F4F" w:fill="F2F2F2"/>
            <w:vAlign w:val="center"/>
            <w:hideMark/>
          </w:tcPr>
          <w:p w14:paraId="15BDF658" w14:textId="77777777" w:rsidR="00554653" w:rsidRPr="00F30FD1" w:rsidRDefault="00554653" w:rsidP="002C277A">
            <w:pPr>
              <w:spacing w:after="0" w:line="240" w:lineRule="auto"/>
              <w:jc w:val="left"/>
              <w:rPr>
                <w:color w:val="595959" w:themeColor="text1" w:themeTint="A6"/>
              </w:rPr>
            </w:pPr>
            <w:r w:rsidRPr="00F30FD1">
              <w:rPr>
                <w:color w:val="595959" w:themeColor="text1" w:themeTint="A6"/>
              </w:rPr>
              <w:t>México</w:t>
            </w:r>
          </w:p>
        </w:tc>
        <w:tc>
          <w:tcPr>
            <w:tcW w:w="973"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33A053E1"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29</w:t>
            </w:r>
          </w:p>
        </w:tc>
        <w:tc>
          <w:tcPr>
            <w:tcW w:w="972" w:type="pct"/>
            <w:tcBorders>
              <w:top w:val="nil"/>
              <w:left w:val="nil"/>
              <w:bottom w:val="single" w:sz="4" w:space="0" w:color="auto"/>
              <w:right w:val="single" w:sz="4" w:space="0" w:color="auto"/>
            </w:tcBorders>
            <w:shd w:val="clear" w:color="333F4F" w:fill="F2F2F2"/>
            <w:vAlign w:val="center"/>
            <w:hideMark/>
          </w:tcPr>
          <w:p w14:paraId="28BEA446"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24</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B0DA7C"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-5</w:t>
            </w:r>
          </w:p>
        </w:tc>
      </w:tr>
      <w:tr w:rsidR="00554653" w:rsidRPr="00F30FD1" w14:paraId="183F3F97" w14:textId="77777777" w:rsidTr="00554653">
        <w:trPr>
          <w:trHeight w:val="165"/>
          <w:jc w:val="center"/>
        </w:trPr>
        <w:tc>
          <w:tcPr>
            <w:tcW w:w="2084" w:type="pct"/>
            <w:tcBorders>
              <w:top w:val="nil"/>
              <w:left w:val="single" w:sz="8" w:space="0" w:color="auto"/>
              <w:bottom w:val="single" w:sz="4" w:space="0" w:color="auto"/>
              <w:right w:val="single" w:sz="8" w:space="0" w:color="auto"/>
            </w:tcBorders>
            <w:shd w:val="clear" w:color="333F4F" w:fill="FFFFFF"/>
            <w:vAlign w:val="center"/>
            <w:hideMark/>
          </w:tcPr>
          <w:p w14:paraId="364D8F8B" w14:textId="77777777" w:rsidR="00554653" w:rsidRPr="00F30FD1" w:rsidRDefault="00554653" w:rsidP="002C277A">
            <w:pPr>
              <w:spacing w:after="0" w:line="240" w:lineRule="auto"/>
              <w:jc w:val="left"/>
              <w:rPr>
                <w:color w:val="595959" w:themeColor="text1" w:themeTint="A6"/>
              </w:rPr>
            </w:pPr>
            <w:r w:rsidRPr="00F30FD1">
              <w:rPr>
                <w:color w:val="595959" w:themeColor="text1" w:themeTint="A6"/>
              </w:rPr>
              <w:t>Michoacán</w:t>
            </w:r>
          </w:p>
        </w:tc>
        <w:tc>
          <w:tcPr>
            <w:tcW w:w="973"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58888E9A"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30</w:t>
            </w:r>
          </w:p>
        </w:tc>
        <w:tc>
          <w:tcPr>
            <w:tcW w:w="972" w:type="pct"/>
            <w:tcBorders>
              <w:top w:val="nil"/>
              <w:left w:val="nil"/>
              <w:bottom w:val="single" w:sz="4" w:space="0" w:color="auto"/>
              <w:right w:val="single" w:sz="4" w:space="0" w:color="auto"/>
            </w:tcBorders>
            <w:shd w:val="clear" w:color="333F4F" w:fill="FFFFFF"/>
            <w:vAlign w:val="center"/>
            <w:hideMark/>
          </w:tcPr>
          <w:p w14:paraId="09D39240"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28</w:t>
            </w:r>
          </w:p>
        </w:tc>
        <w:tc>
          <w:tcPr>
            <w:tcW w:w="971"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149E4EBC"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w:t>
            </w:r>
          </w:p>
        </w:tc>
      </w:tr>
      <w:tr w:rsidR="00554653" w:rsidRPr="00F30FD1" w14:paraId="1A494200" w14:textId="77777777" w:rsidTr="00554653">
        <w:trPr>
          <w:trHeight w:val="165"/>
          <w:jc w:val="center"/>
        </w:trPr>
        <w:tc>
          <w:tcPr>
            <w:tcW w:w="2084" w:type="pct"/>
            <w:tcBorders>
              <w:top w:val="nil"/>
              <w:left w:val="single" w:sz="8" w:space="0" w:color="auto"/>
              <w:bottom w:val="single" w:sz="4" w:space="0" w:color="auto"/>
              <w:right w:val="single" w:sz="8" w:space="0" w:color="auto"/>
            </w:tcBorders>
            <w:shd w:val="clear" w:color="333F4F" w:fill="F2F2F2"/>
            <w:vAlign w:val="center"/>
            <w:hideMark/>
          </w:tcPr>
          <w:p w14:paraId="4D774DA9" w14:textId="77777777" w:rsidR="00554653" w:rsidRPr="00F30FD1" w:rsidRDefault="00554653" w:rsidP="002C277A">
            <w:pPr>
              <w:spacing w:after="0" w:line="240" w:lineRule="auto"/>
              <w:jc w:val="left"/>
              <w:rPr>
                <w:color w:val="595959" w:themeColor="text1" w:themeTint="A6"/>
              </w:rPr>
            </w:pPr>
            <w:r w:rsidRPr="00F30FD1">
              <w:rPr>
                <w:color w:val="595959" w:themeColor="text1" w:themeTint="A6"/>
              </w:rPr>
              <w:t>Ciudad de México</w:t>
            </w:r>
          </w:p>
        </w:tc>
        <w:tc>
          <w:tcPr>
            <w:tcW w:w="973" w:type="pct"/>
            <w:tcBorders>
              <w:top w:val="single" w:sz="4" w:space="0" w:color="auto"/>
              <w:left w:val="single" w:sz="4" w:space="0" w:color="auto"/>
              <w:bottom w:val="single" w:sz="4" w:space="0" w:color="auto"/>
              <w:right w:val="single" w:sz="4" w:space="0" w:color="auto"/>
            </w:tcBorders>
            <w:shd w:val="clear" w:color="333F4F" w:fill="F2F2F2"/>
            <w:vAlign w:val="center"/>
            <w:hideMark/>
          </w:tcPr>
          <w:p w14:paraId="74EB2302"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31</w:t>
            </w:r>
          </w:p>
        </w:tc>
        <w:tc>
          <w:tcPr>
            <w:tcW w:w="972" w:type="pct"/>
            <w:tcBorders>
              <w:top w:val="nil"/>
              <w:left w:val="nil"/>
              <w:bottom w:val="single" w:sz="4" w:space="0" w:color="auto"/>
              <w:right w:val="single" w:sz="4" w:space="0" w:color="auto"/>
            </w:tcBorders>
            <w:shd w:val="clear" w:color="333F4F" w:fill="F2F2F2"/>
            <w:vAlign w:val="center"/>
            <w:hideMark/>
          </w:tcPr>
          <w:p w14:paraId="7BAB0307"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25</w:t>
            </w:r>
          </w:p>
        </w:tc>
        <w:tc>
          <w:tcPr>
            <w:tcW w:w="9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014C2"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-6</w:t>
            </w:r>
          </w:p>
        </w:tc>
      </w:tr>
      <w:tr w:rsidR="00554653" w:rsidRPr="00F30FD1" w14:paraId="18ECD9EA" w14:textId="77777777" w:rsidTr="00554653">
        <w:trPr>
          <w:trHeight w:val="165"/>
          <w:jc w:val="center"/>
        </w:trPr>
        <w:tc>
          <w:tcPr>
            <w:tcW w:w="2084" w:type="pct"/>
            <w:tcBorders>
              <w:top w:val="nil"/>
              <w:left w:val="single" w:sz="8" w:space="0" w:color="auto"/>
              <w:bottom w:val="single" w:sz="8" w:space="0" w:color="auto"/>
              <w:right w:val="single" w:sz="8" w:space="0" w:color="auto"/>
            </w:tcBorders>
            <w:shd w:val="clear" w:color="333F4F" w:fill="FFFFFF"/>
            <w:vAlign w:val="center"/>
            <w:hideMark/>
          </w:tcPr>
          <w:p w14:paraId="0775C695" w14:textId="77777777" w:rsidR="00554653" w:rsidRPr="00F30FD1" w:rsidRDefault="00554653" w:rsidP="002C277A">
            <w:pPr>
              <w:spacing w:after="0" w:line="240" w:lineRule="auto"/>
              <w:jc w:val="left"/>
              <w:rPr>
                <w:color w:val="595959" w:themeColor="text1" w:themeTint="A6"/>
              </w:rPr>
            </w:pPr>
            <w:r w:rsidRPr="00F30FD1">
              <w:rPr>
                <w:color w:val="595959" w:themeColor="text1" w:themeTint="A6"/>
              </w:rPr>
              <w:t>Nayarit</w:t>
            </w:r>
          </w:p>
        </w:tc>
        <w:tc>
          <w:tcPr>
            <w:tcW w:w="973"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4C4FE7AB"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32</w:t>
            </w:r>
          </w:p>
        </w:tc>
        <w:tc>
          <w:tcPr>
            <w:tcW w:w="972" w:type="pct"/>
            <w:tcBorders>
              <w:top w:val="single" w:sz="4" w:space="0" w:color="auto"/>
              <w:left w:val="single" w:sz="4" w:space="0" w:color="auto"/>
              <w:bottom w:val="single" w:sz="4" w:space="0" w:color="auto"/>
              <w:right w:val="single" w:sz="4" w:space="0" w:color="auto"/>
            </w:tcBorders>
            <w:shd w:val="clear" w:color="333F4F" w:fill="FFFFFF"/>
            <w:vAlign w:val="center"/>
            <w:hideMark/>
          </w:tcPr>
          <w:p w14:paraId="30776509"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26</w:t>
            </w:r>
          </w:p>
        </w:tc>
        <w:tc>
          <w:tcPr>
            <w:tcW w:w="971" w:type="pct"/>
            <w:tcBorders>
              <w:top w:val="single" w:sz="4" w:space="0" w:color="auto"/>
              <w:left w:val="single" w:sz="4" w:space="0" w:color="auto"/>
              <w:bottom w:val="single" w:sz="4" w:space="0" w:color="auto"/>
              <w:right w:val="single" w:sz="4" w:space="0" w:color="auto"/>
            </w:tcBorders>
            <w:shd w:val="clear" w:color="DAEEF3" w:fill="DAEEF3"/>
            <w:noWrap/>
            <w:vAlign w:val="bottom"/>
            <w:hideMark/>
          </w:tcPr>
          <w:p w14:paraId="6F6BE2E8" w14:textId="77777777" w:rsidR="00554653" w:rsidRPr="00F30FD1" w:rsidRDefault="00554653" w:rsidP="002C277A">
            <w:pPr>
              <w:spacing w:after="0" w:line="240" w:lineRule="auto"/>
              <w:jc w:val="center"/>
              <w:rPr>
                <w:color w:val="595959" w:themeColor="text1" w:themeTint="A6"/>
              </w:rPr>
            </w:pPr>
            <w:r w:rsidRPr="00F30FD1">
              <w:rPr>
                <w:color w:val="595959" w:themeColor="text1" w:themeTint="A6"/>
              </w:rPr>
              <w:t>-6</w:t>
            </w:r>
          </w:p>
        </w:tc>
      </w:tr>
    </w:tbl>
    <w:p w14:paraId="73F4ECB9" w14:textId="77777777" w:rsidR="00554653" w:rsidRPr="00F30FD1" w:rsidRDefault="00554653" w:rsidP="00554653">
      <w:pPr>
        <w:jc w:val="center"/>
        <w:rPr>
          <w:rFonts w:cs="Calibri"/>
          <w:sz w:val="16"/>
          <w:szCs w:val="16"/>
          <w:lang w:val="es-MX"/>
        </w:rPr>
      </w:pPr>
      <w:r w:rsidRPr="00F30FD1">
        <w:rPr>
          <w:rFonts w:cs="Calibri"/>
          <w:sz w:val="16"/>
          <w:szCs w:val="16"/>
          <w:lang w:val="es-MX"/>
        </w:rPr>
        <w:t>Fuente: Subsecretaría Técnica Hacendaria de la SEFIPLAN con datos del IMCO 2018</w:t>
      </w:r>
    </w:p>
    <w:p w14:paraId="78BEDDD4" w14:textId="77777777" w:rsidR="00554653" w:rsidRPr="00F30FD1" w:rsidRDefault="00554653" w:rsidP="002C5395"/>
    <w:p w14:paraId="6F4A81A9" w14:textId="77777777" w:rsidR="002C5395" w:rsidRPr="00F30FD1" w:rsidRDefault="002C5395" w:rsidP="002C5395">
      <w:pPr>
        <w:jc w:val="left"/>
        <w:rPr>
          <w:color w:val="595959" w:themeColor="text1" w:themeTint="A6"/>
        </w:rPr>
      </w:pPr>
      <w:r w:rsidRPr="00F30FD1">
        <w:rPr>
          <w:color w:val="595959" w:themeColor="text1" w:themeTint="A6"/>
        </w:rPr>
        <w:t>De esta forma se identifican los avances referentes al tiempo y forma en que se pone a disposición la información financiera estatal, promoviendo la homologación y armonización con el resto del país, es así como se logran detectar áreas de oportunidad para seguir escalando posiciones a nivel nacional.</w:t>
      </w:r>
    </w:p>
    <w:p w14:paraId="185D1720" w14:textId="016E4C77" w:rsidR="002C5395" w:rsidRPr="00F30FD1" w:rsidRDefault="004D553D" w:rsidP="002C5395">
      <w:pPr>
        <w:jc w:val="left"/>
        <w:rPr>
          <w:color w:val="595959" w:themeColor="text1" w:themeTint="A6"/>
        </w:rPr>
      </w:pPr>
      <w:r w:rsidRPr="00F30FD1">
        <w:rPr>
          <w:color w:val="595959" w:themeColor="text1" w:themeTint="A6"/>
        </w:rPr>
        <w:t>Se puede</w:t>
      </w:r>
      <w:r w:rsidR="002C5395" w:rsidRPr="00F30FD1">
        <w:rPr>
          <w:color w:val="595959" w:themeColor="text1" w:themeTint="A6"/>
        </w:rPr>
        <w:t xml:space="preserve"> apreciar que el Estado de Quintana Roo cuenta con </w:t>
      </w:r>
      <w:r w:rsidR="00633825" w:rsidRPr="00F30FD1">
        <w:rPr>
          <w:color w:val="595959" w:themeColor="text1" w:themeTint="A6"/>
        </w:rPr>
        <w:t>el 97% de cumplimiento en cuanto</w:t>
      </w:r>
      <w:r w:rsidR="002C5395" w:rsidRPr="00F30FD1">
        <w:rPr>
          <w:color w:val="595959" w:themeColor="text1" w:themeTint="A6"/>
        </w:rPr>
        <w:t xml:space="preserve"> a la disponibilidad de la información financiera, considerando como un nivel de cumplimiento bueno.</w:t>
      </w:r>
    </w:p>
    <w:p w14:paraId="0D85E70D" w14:textId="35D2CD7A" w:rsidR="002C5395" w:rsidRPr="00F30FD1" w:rsidRDefault="00E954DE" w:rsidP="002C5395">
      <w:pPr>
        <w:spacing w:after="0"/>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 xml:space="preserve">Gráfica G.5 </w:t>
      </w:r>
      <w:r w:rsidR="002C5395" w:rsidRPr="00F30FD1">
        <w:rPr>
          <w:rFonts w:eastAsia="Arial" w:cs="Times New Roman"/>
          <w:b/>
          <w:bCs/>
          <w:color w:val="4BACC6" w:themeColor="accent5"/>
          <w:lang w:val="es-MX" w:eastAsia="en-US"/>
        </w:rPr>
        <w:t>Porcentaje de la información financiera disponible, ejercicio fiscal 2017</w:t>
      </w:r>
    </w:p>
    <w:p w14:paraId="7044D159" w14:textId="77777777" w:rsidR="002C5395" w:rsidRPr="00F30FD1" w:rsidRDefault="002C5395" w:rsidP="002C5395">
      <w:pPr>
        <w:jc w:val="center"/>
      </w:pPr>
      <w:r w:rsidRPr="00F30FD1">
        <w:rPr>
          <w:noProof/>
          <w:lang w:val="es-MX" w:eastAsia="es-MX"/>
        </w:rPr>
        <w:drawing>
          <wp:inline distT="0" distB="0" distL="0" distR="0" wp14:anchorId="44D07B1E" wp14:editId="31CBF8FD">
            <wp:extent cx="5924550" cy="2454434"/>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8519"/>
                    <a:stretch/>
                  </pic:blipFill>
                  <pic:spPr bwMode="auto">
                    <a:xfrm>
                      <a:off x="0" y="0"/>
                      <a:ext cx="5932661" cy="2457794"/>
                    </a:xfrm>
                    <a:prstGeom prst="rect">
                      <a:avLst/>
                    </a:prstGeom>
                    <a:ln>
                      <a:noFill/>
                    </a:ln>
                    <a:extLst>
                      <a:ext uri="{53640926-AAD7-44D8-BBD7-CCE9431645EC}">
                        <a14:shadowObscured xmlns:a14="http://schemas.microsoft.com/office/drawing/2010/main"/>
                      </a:ext>
                    </a:extLst>
                  </pic:spPr>
                </pic:pic>
              </a:graphicData>
            </a:graphic>
          </wp:inline>
        </w:drawing>
      </w:r>
    </w:p>
    <w:p w14:paraId="1B2049D5" w14:textId="77777777" w:rsidR="002C5395" w:rsidRPr="00F30FD1" w:rsidRDefault="002C5395" w:rsidP="002C5395">
      <w:pPr>
        <w:jc w:val="center"/>
        <w:rPr>
          <w:rFonts w:cs="Calibri"/>
          <w:sz w:val="16"/>
          <w:szCs w:val="16"/>
          <w:lang w:val="es-MX"/>
        </w:rPr>
      </w:pPr>
      <w:r w:rsidRPr="00F30FD1">
        <w:rPr>
          <w:rFonts w:cs="Calibri"/>
          <w:sz w:val="16"/>
          <w:szCs w:val="16"/>
          <w:lang w:val="es-MX"/>
        </w:rPr>
        <w:t>Fuente: Presentación IIEG, Instituto Mexicano para la Competitividad, 2018.</w:t>
      </w:r>
    </w:p>
    <w:p w14:paraId="0363F482" w14:textId="77777777" w:rsidR="002C5395" w:rsidRPr="00F30FD1" w:rsidRDefault="002C5395" w:rsidP="002C5395">
      <w:pPr>
        <w:rPr>
          <w:color w:val="595959" w:themeColor="text1" w:themeTint="A6"/>
        </w:rPr>
      </w:pPr>
      <w:r w:rsidRPr="00F30FD1">
        <w:rPr>
          <w:color w:val="595959" w:themeColor="text1" w:themeTint="A6"/>
        </w:rPr>
        <w:lastRenderedPageBreak/>
        <w:t>Dadas las condiciones restringidas que anteriormente existían en la presentación de la información, uno de los principales compromisos del actual gobierno de Quintana Roo gira en torno a la transparencia, dejando a un lado la mala idea que representa esta práctica, como una carga</w:t>
      </w:r>
      <w:r w:rsidRPr="00F30FD1">
        <w:t xml:space="preserve"> </w:t>
      </w:r>
      <w:r w:rsidRPr="00F30FD1">
        <w:rPr>
          <w:color w:val="595959" w:themeColor="text1" w:themeTint="A6"/>
        </w:rPr>
        <w:t>adicional al quehacer diario, bajo la premisa de que toda acción que sea ejecutada con recurso público debe ser informada al ciudadano, de manera oportuna y transparente que en consecuencia  permite al gobierno ser más eficiente.</w:t>
      </w:r>
    </w:p>
    <w:p w14:paraId="2CA7E164" w14:textId="31B4E799" w:rsidR="002C5395" w:rsidRPr="00F30FD1" w:rsidRDefault="002C5395" w:rsidP="002C5395">
      <w:pPr>
        <w:rPr>
          <w:color w:val="595959" w:themeColor="text1" w:themeTint="A6"/>
        </w:rPr>
      </w:pPr>
      <w:r w:rsidRPr="00F30FD1">
        <w:rPr>
          <w:color w:val="595959" w:themeColor="text1" w:themeTint="A6"/>
        </w:rPr>
        <w:t xml:space="preserve">En este sentido también se pone atención al Índice de Información Presupuestal Estatal, el cual mide como el Estado de Quintana Roo pone a disposición la información, el fácil acceso, si cuenta con las características de oportunidad, formato de datos abiertos, detalle, </w:t>
      </w:r>
      <w:r w:rsidR="00E668AF" w:rsidRPr="00F30FD1">
        <w:rPr>
          <w:color w:val="595959" w:themeColor="text1" w:themeTint="A6"/>
        </w:rPr>
        <w:t>desglose</w:t>
      </w:r>
      <w:r w:rsidRPr="00F30FD1">
        <w:rPr>
          <w:color w:val="595959" w:themeColor="text1" w:themeTint="A6"/>
        </w:rPr>
        <w:t xml:space="preserve">, legibilidad permitiendo al ciudadano conocer de manera </w:t>
      </w:r>
      <w:r w:rsidR="00E17BDC" w:rsidRPr="00F30FD1">
        <w:rPr>
          <w:color w:val="595959" w:themeColor="text1" w:themeTint="A6"/>
        </w:rPr>
        <w:t>clara en que se pretenden gastar</w:t>
      </w:r>
      <w:r w:rsidRPr="00F30FD1">
        <w:rPr>
          <w:color w:val="595959" w:themeColor="text1" w:themeTint="A6"/>
        </w:rPr>
        <w:t xml:space="preserve"> los recursos público</w:t>
      </w:r>
      <w:r w:rsidR="00E17BDC" w:rsidRPr="00F30FD1">
        <w:rPr>
          <w:color w:val="595959" w:themeColor="text1" w:themeTint="A6"/>
        </w:rPr>
        <w:t>s</w:t>
      </w:r>
      <w:r w:rsidRPr="00F30FD1">
        <w:rPr>
          <w:color w:val="595959" w:themeColor="text1" w:themeTint="A6"/>
        </w:rPr>
        <w:t>, es decir saber cuánto y en que se gasta.</w:t>
      </w:r>
    </w:p>
    <w:p w14:paraId="3F7E7BB7" w14:textId="2E6D07B0" w:rsidR="002C5395" w:rsidRPr="00F30FD1" w:rsidRDefault="002C5395" w:rsidP="002C5395">
      <w:pPr>
        <w:rPr>
          <w:color w:val="595959" w:themeColor="text1" w:themeTint="A6"/>
        </w:rPr>
      </w:pPr>
      <w:r w:rsidRPr="00F30FD1">
        <w:rPr>
          <w:color w:val="595959" w:themeColor="text1" w:themeTint="A6"/>
        </w:rPr>
        <w:t>Tomando como referencia el mencionado Índice se puede observar que Quin</w:t>
      </w:r>
      <w:r w:rsidR="00C10D8A" w:rsidRPr="00F30FD1">
        <w:rPr>
          <w:color w:val="595959" w:themeColor="text1" w:themeTint="A6"/>
        </w:rPr>
        <w:t>tana Roo se posiciona como uno d</w:t>
      </w:r>
      <w:r w:rsidRPr="00F30FD1">
        <w:rPr>
          <w:color w:val="595959" w:themeColor="text1" w:themeTint="A6"/>
        </w:rPr>
        <w:t xml:space="preserve">e los Estados </w:t>
      </w:r>
      <w:r w:rsidR="00C10D8A" w:rsidRPr="00F30FD1">
        <w:rPr>
          <w:color w:val="595959" w:themeColor="text1" w:themeTint="A6"/>
        </w:rPr>
        <w:t>que ha mejorado respecto de los</w:t>
      </w:r>
      <w:r w:rsidRPr="00F30FD1">
        <w:rPr>
          <w:color w:val="595959" w:themeColor="text1" w:themeTint="A6"/>
        </w:rPr>
        <w:t xml:space="preserve"> resultados</w:t>
      </w:r>
      <w:r w:rsidR="00C10D8A" w:rsidRPr="00F30FD1">
        <w:rPr>
          <w:color w:val="595959" w:themeColor="text1" w:themeTint="A6"/>
        </w:rPr>
        <w:t xml:space="preserve"> de años anteriores, lo cual nos compromete a seguir mejorando en </w:t>
      </w:r>
      <w:r w:rsidR="001F6817" w:rsidRPr="00F30FD1">
        <w:rPr>
          <w:color w:val="595959" w:themeColor="text1" w:themeTint="A6"/>
        </w:rPr>
        <w:t xml:space="preserve">los </w:t>
      </w:r>
      <w:r w:rsidR="00480F9E" w:rsidRPr="00F30FD1">
        <w:rPr>
          <w:color w:val="595959" w:themeColor="text1" w:themeTint="A6"/>
        </w:rPr>
        <w:t>años siguientes</w:t>
      </w:r>
      <w:r w:rsidR="00C10D8A" w:rsidRPr="00F30FD1">
        <w:rPr>
          <w:color w:val="595959" w:themeColor="text1" w:themeTint="A6"/>
        </w:rPr>
        <w:t>.</w:t>
      </w:r>
    </w:p>
    <w:p w14:paraId="34B62257" w14:textId="77777777" w:rsidR="00F30FD1" w:rsidRDefault="00F30FD1">
      <w:pPr>
        <w:spacing w:after="0" w:line="240" w:lineRule="auto"/>
        <w:jc w:val="left"/>
        <w:rPr>
          <w:rFonts w:eastAsia="Arial" w:cs="Times New Roman"/>
          <w:b/>
          <w:bCs/>
          <w:color w:val="4BACC6" w:themeColor="accent5"/>
          <w:lang w:val="es-MX" w:eastAsia="en-US"/>
        </w:rPr>
      </w:pPr>
      <w:r>
        <w:rPr>
          <w:rFonts w:eastAsia="Arial" w:cs="Times New Roman"/>
          <w:b/>
          <w:bCs/>
          <w:color w:val="4BACC6" w:themeColor="accent5"/>
          <w:lang w:val="es-MX" w:eastAsia="en-US"/>
        </w:rPr>
        <w:br w:type="page"/>
      </w:r>
    </w:p>
    <w:p w14:paraId="725CF2C5" w14:textId="709C3BFC" w:rsidR="002C5395" w:rsidRPr="00F30FD1" w:rsidRDefault="00E954DE" w:rsidP="002C5395">
      <w:pPr>
        <w:spacing w:after="0"/>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lastRenderedPageBreak/>
        <w:t xml:space="preserve">Grafica G.6 </w:t>
      </w:r>
      <w:r w:rsidR="002C5395" w:rsidRPr="00F30FD1">
        <w:rPr>
          <w:rFonts w:eastAsia="Arial" w:cs="Times New Roman"/>
          <w:b/>
          <w:bCs/>
          <w:color w:val="4BACC6" w:themeColor="accent5"/>
          <w:lang w:val="es-MX" w:eastAsia="en-US"/>
        </w:rPr>
        <w:t>Resultados del Índice de Información Presupuestal Estatal, IIPE 2017</w:t>
      </w:r>
    </w:p>
    <w:p w14:paraId="72DA60DB" w14:textId="792F2BF4" w:rsidR="002C5395" w:rsidRPr="00F30FD1" w:rsidRDefault="002C5395" w:rsidP="002C5395">
      <w:pPr>
        <w:rPr>
          <w:rFonts w:cs="Calibri"/>
          <w:sz w:val="16"/>
          <w:szCs w:val="16"/>
          <w:lang w:val="es-MX"/>
        </w:rPr>
      </w:pPr>
      <w:r w:rsidRPr="00F30FD1">
        <w:rPr>
          <w:noProof/>
          <w:shd w:val="clear" w:color="auto" w:fill="FFFF00"/>
          <w:lang w:val="es-MX" w:eastAsia="es-MX"/>
        </w:rPr>
        <w:drawing>
          <wp:anchor distT="0" distB="0" distL="114300" distR="114300" simplePos="0" relativeHeight="251659264" behindDoc="0" locked="0" layoutInCell="1" allowOverlap="1" wp14:anchorId="391465B5" wp14:editId="0457465E">
            <wp:simplePos x="0" y="0"/>
            <wp:positionH relativeFrom="column">
              <wp:posOffset>-294640</wp:posOffset>
            </wp:positionH>
            <wp:positionV relativeFrom="paragraph">
              <wp:posOffset>267970</wp:posOffset>
            </wp:positionV>
            <wp:extent cx="6686550" cy="3162300"/>
            <wp:effectExtent l="0" t="0" r="0" b="0"/>
            <wp:wrapSquare wrapText="bothSides"/>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3EC2A3F9" w14:textId="77777777" w:rsidR="002C5395" w:rsidRPr="00F30FD1" w:rsidRDefault="002C5395" w:rsidP="002C5395">
      <w:pPr>
        <w:jc w:val="center"/>
        <w:rPr>
          <w:rFonts w:cs="Calibri"/>
          <w:sz w:val="16"/>
          <w:szCs w:val="16"/>
          <w:lang w:val="es-MX"/>
        </w:rPr>
      </w:pPr>
      <w:r w:rsidRPr="00F30FD1">
        <w:rPr>
          <w:rFonts w:cs="Calibri"/>
          <w:sz w:val="16"/>
          <w:szCs w:val="16"/>
          <w:lang w:val="es-MX"/>
        </w:rPr>
        <w:t>Fuente: Subsecretaría Técnica Hacendaria de la SEFIPLAN con datos del IMCO 2017</w:t>
      </w:r>
    </w:p>
    <w:p w14:paraId="437D42F5" w14:textId="1A64A3FB" w:rsidR="00F765C3" w:rsidRPr="00F30FD1" w:rsidRDefault="00D07DFB" w:rsidP="00F765C3">
      <w:pPr>
        <w:rPr>
          <w:rFonts w:eastAsia="Times New Roman" w:cs="Futura"/>
          <w:color w:val="595959"/>
        </w:rPr>
      </w:pPr>
      <w:r w:rsidRPr="00F30FD1">
        <w:rPr>
          <w:rFonts w:eastAsia="Times New Roman" w:cs="Futura"/>
          <w:color w:val="595959"/>
        </w:rPr>
        <w:t>Parte de las finanzas p</w:t>
      </w:r>
      <w:r w:rsidR="00E954DE" w:rsidRPr="00F30FD1">
        <w:rPr>
          <w:rFonts w:eastAsia="Times New Roman" w:cs="Futura"/>
          <w:color w:val="595959"/>
        </w:rPr>
        <w:t>ú</w:t>
      </w:r>
      <w:r w:rsidRPr="00F30FD1">
        <w:rPr>
          <w:rFonts w:eastAsia="Times New Roman" w:cs="Futura"/>
          <w:color w:val="595959"/>
        </w:rPr>
        <w:t>blicas sanas,  involucra también el manejo adecuado de datos actualizados en materia de información territorial toda vez que las recaudaciones propias de los municipios (predial y traslativo de dominio) requieren ser resultado de un catastro actualizado y con valores catastrales similares a los del mercado, mismos que han de garantizar la equidad y la proporcionalidad como factores de justicia fiscal y de transparencia, sin omitir la incidencia que tiene en las participaciones federales el ejercicio del debido cobro del impuesto predial.</w:t>
      </w:r>
    </w:p>
    <w:p w14:paraId="2A141325" w14:textId="77777777" w:rsidR="008D7DE4" w:rsidRPr="00F30FD1" w:rsidRDefault="008D7DE4" w:rsidP="008D7DE4">
      <w:pPr>
        <w:rPr>
          <w:rFonts w:eastAsia="Times New Roman" w:cs="Futura"/>
          <w:color w:val="595959"/>
        </w:rPr>
      </w:pPr>
      <w:r w:rsidRPr="00F30FD1">
        <w:rPr>
          <w:rFonts w:eastAsia="Times New Roman" w:cs="Futura"/>
          <w:color w:val="595959"/>
        </w:rPr>
        <w:t>Gestión del Ingreso</w:t>
      </w:r>
    </w:p>
    <w:p w14:paraId="5F2F3CC5" w14:textId="77777777" w:rsidR="008D7DE4" w:rsidRPr="00F30FD1" w:rsidRDefault="008D7DE4" w:rsidP="008D7DE4">
      <w:pPr>
        <w:rPr>
          <w:rFonts w:eastAsia="Times New Roman" w:cs="Futura"/>
          <w:color w:val="595959"/>
        </w:rPr>
      </w:pPr>
      <w:r w:rsidRPr="00F30FD1">
        <w:rPr>
          <w:rFonts w:eastAsia="Times New Roman" w:cs="Futura"/>
          <w:color w:val="595959"/>
        </w:rPr>
        <w:t>A raíz de la creación del SATQ, la dependencia actual existente sobre los ingresos provenientes de fuentes federales como son las participaciones, aportaciones y los convenios representa el 80% del total del Ingreso al 2019, lo cual representa un área de oportunidad para fortalecer el ingreso propio que se puede generar a través de las facultades que le otorga la Ley de Ingresos.</w:t>
      </w:r>
    </w:p>
    <w:p w14:paraId="323B329A" w14:textId="77777777" w:rsidR="008D7DE4" w:rsidRPr="00F30FD1" w:rsidRDefault="008D7DE4" w:rsidP="008D7DE4">
      <w:pPr>
        <w:rPr>
          <w:rFonts w:eastAsia="Times New Roman" w:cs="Futura"/>
          <w:color w:val="595959"/>
        </w:rPr>
      </w:pPr>
      <w:r w:rsidRPr="00F30FD1">
        <w:rPr>
          <w:rFonts w:eastAsia="Times New Roman" w:cs="Futura"/>
          <w:color w:val="595959"/>
        </w:rPr>
        <w:lastRenderedPageBreak/>
        <w:t>Cabe comentar que en lo que va al mes de febrero de 2020, la dependencia con respecto a los ingresos federales, es del 70%.</w:t>
      </w:r>
    </w:p>
    <w:p w14:paraId="2410FA0A" w14:textId="77777777" w:rsidR="008D7DE4" w:rsidRPr="00F30FD1" w:rsidRDefault="008D7DE4" w:rsidP="008D7DE4">
      <w:pPr>
        <w:rPr>
          <w:rFonts w:eastAsia="Times New Roman" w:cs="Futura"/>
          <w:color w:val="595959"/>
        </w:rPr>
      </w:pPr>
      <w:r w:rsidRPr="00F30FD1">
        <w:rPr>
          <w:rFonts w:eastAsia="Times New Roman" w:cs="Futura"/>
          <w:color w:val="595959"/>
        </w:rPr>
        <w:t>A continuación, se presentan datos sobre la estructura del Ingreso:</w:t>
      </w:r>
    </w:p>
    <w:p w14:paraId="3A551F09" w14:textId="15A4030E" w:rsidR="008D7DE4" w:rsidRPr="00F30FD1" w:rsidRDefault="00E954DE" w:rsidP="001A6F17">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Tabla</w:t>
      </w:r>
      <w:r w:rsidR="008D7DE4" w:rsidRPr="00F30FD1">
        <w:rPr>
          <w:rFonts w:eastAsia="Arial" w:cs="Times New Roman"/>
          <w:b/>
          <w:bCs/>
          <w:color w:val="4BACC6" w:themeColor="accent5"/>
          <w:lang w:val="es-MX" w:eastAsia="en-US"/>
        </w:rPr>
        <w:t xml:space="preserve"> </w:t>
      </w:r>
      <w:r w:rsidRPr="00F30FD1">
        <w:rPr>
          <w:rFonts w:eastAsia="Arial" w:cs="Times New Roman"/>
          <w:b/>
          <w:bCs/>
          <w:color w:val="4BACC6" w:themeColor="accent5"/>
          <w:lang w:val="es-MX" w:eastAsia="en-US"/>
        </w:rPr>
        <w:t>T</w:t>
      </w:r>
      <w:r w:rsidR="008D7DE4" w:rsidRPr="00F30FD1">
        <w:rPr>
          <w:rFonts w:eastAsia="Arial" w:cs="Times New Roman"/>
          <w:b/>
          <w:bCs/>
          <w:color w:val="4BACC6" w:themeColor="accent5"/>
          <w:lang w:val="es-MX" w:eastAsia="en-US"/>
        </w:rPr>
        <w:t>.</w:t>
      </w:r>
      <w:r w:rsidRPr="00F30FD1">
        <w:rPr>
          <w:rFonts w:eastAsia="Arial" w:cs="Times New Roman"/>
          <w:b/>
          <w:bCs/>
          <w:color w:val="4BACC6" w:themeColor="accent5"/>
          <w:lang w:val="es-MX" w:eastAsia="en-US"/>
        </w:rPr>
        <w:t>2</w:t>
      </w:r>
      <w:r w:rsidR="008D7DE4" w:rsidRPr="00F30FD1">
        <w:rPr>
          <w:rFonts w:eastAsia="Arial" w:cs="Times New Roman"/>
          <w:b/>
          <w:bCs/>
          <w:color w:val="4BACC6" w:themeColor="accent5"/>
          <w:lang w:val="es-MX" w:eastAsia="en-US"/>
        </w:rPr>
        <w:t>.- Ingresos de la Administración Pública Central</w:t>
      </w:r>
    </w:p>
    <w:p w14:paraId="6E946818" w14:textId="77777777" w:rsidR="008D7DE4" w:rsidRPr="00F30FD1" w:rsidRDefault="008D7DE4" w:rsidP="001A6F17">
      <w:pPr>
        <w:spacing w:after="0" w:line="240" w:lineRule="auto"/>
        <w:jc w:val="center"/>
        <w:rPr>
          <w:rFonts w:eastAsia="Arial" w:cs="Times New Roman"/>
          <w:b/>
          <w:bCs/>
          <w:color w:val="4BACC6" w:themeColor="accent5"/>
          <w:sz w:val="22"/>
          <w:lang w:val="es-MX" w:eastAsia="en-US"/>
        </w:rPr>
      </w:pPr>
      <w:r w:rsidRPr="00F30FD1">
        <w:rPr>
          <w:rFonts w:eastAsia="Arial" w:cs="Times New Roman"/>
          <w:b/>
          <w:bCs/>
          <w:color w:val="4BACC6" w:themeColor="accent5"/>
          <w:sz w:val="22"/>
          <w:lang w:val="es-MX" w:eastAsia="en-US"/>
        </w:rPr>
        <w:t>(Valores en porcentaje)</w:t>
      </w:r>
    </w:p>
    <w:tbl>
      <w:tblPr>
        <w:tblW w:w="4444" w:type="pct"/>
        <w:jc w:val="center"/>
        <w:tblCellMar>
          <w:left w:w="70" w:type="dxa"/>
          <w:right w:w="70" w:type="dxa"/>
        </w:tblCellMar>
        <w:tblLook w:val="04A0" w:firstRow="1" w:lastRow="0" w:firstColumn="1" w:lastColumn="0" w:noHBand="0" w:noVBand="1"/>
      </w:tblPr>
      <w:tblGrid>
        <w:gridCol w:w="1600"/>
        <w:gridCol w:w="1029"/>
        <w:gridCol w:w="1029"/>
        <w:gridCol w:w="1029"/>
        <w:gridCol w:w="1029"/>
        <w:gridCol w:w="1029"/>
        <w:gridCol w:w="1029"/>
        <w:gridCol w:w="1029"/>
        <w:gridCol w:w="145"/>
        <w:gridCol w:w="739"/>
      </w:tblGrid>
      <w:tr w:rsidR="008D7DE4" w:rsidRPr="00F30FD1" w14:paraId="167F17C7" w14:textId="77777777" w:rsidTr="00E668AF">
        <w:trPr>
          <w:trHeight w:val="227"/>
          <w:jc w:val="center"/>
        </w:trPr>
        <w:tc>
          <w:tcPr>
            <w:tcW w:w="850"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14:paraId="4E6A5A07" w14:textId="77777777" w:rsidR="008D7DE4" w:rsidRPr="00F30FD1" w:rsidRDefault="008D7DE4" w:rsidP="00E668AF">
            <w:pPr>
              <w:spacing w:after="0" w:line="240" w:lineRule="auto"/>
              <w:jc w:val="center"/>
              <w:textboxTightWrap w:val="allLines"/>
              <w:rPr>
                <w:rFonts w:eastAsia="Times New Roman" w:cs="Futura"/>
                <w:color w:val="595959"/>
              </w:rPr>
            </w:pPr>
          </w:p>
        </w:tc>
        <w:tc>
          <w:tcPr>
            <w:tcW w:w="479" w:type="pct"/>
            <w:tcBorders>
              <w:top w:val="single" w:sz="4" w:space="0" w:color="auto"/>
              <w:left w:val="nil"/>
              <w:bottom w:val="single" w:sz="4" w:space="0" w:color="auto"/>
              <w:right w:val="single" w:sz="4" w:space="0" w:color="auto"/>
            </w:tcBorders>
            <w:shd w:val="clear" w:color="000000" w:fill="A6A6A6"/>
            <w:noWrap/>
            <w:vAlign w:val="center"/>
            <w:hideMark/>
          </w:tcPr>
          <w:p w14:paraId="610C9B61"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Recaudado</w:t>
            </w:r>
          </w:p>
          <w:p w14:paraId="3BB1B41A"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'13</w:t>
            </w:r>
          </w:p>
        </w:tc>
        <w:tc>
          <w:tcPr>
            <w:tcW w:w="480" w:type="pct"/>
            <w:tcBorders>
              <w:top w:val="single" w:sz="4" w:space="0" w:color="auto"/>
              <w:left w:val="nil"/>
              <w:bottom w:val="single" w:sz="4" w:space="0" w:color="auto"/>
              <w:right w:val="single" w:sz="4" w:space="0" w:color="auto"/>
            </w:tcBorders>
            <w:shd w:val="clear" w:color="000000" w:fill="A6A6A6"/>
            <w:noWrap/>
            <w:vAlign w:val="center"/>
            <w:hideMark/>
          </w:tcPr>
          <w:p w14:paraId="2B571772"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Recaudado</w:t>
            </w:r>
          </w:p>
          <w:p w14:paraId="472B4DA0"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'14</w:t>
            </w:r>
          </w:p>
        </w:tc>
        <w:tc>
          <w:tcPr>
            <w:tcW w:w="480" w:type="pct"/>
            <w:tcBorders>
              <w:top w:val="single" w:sz="4" w:space="0" w:color="auto"/>
              <w:left w:val="nil"/>
              <w:bottom w:val="single" w:sz="4" w:space="0" w:color="auto"/>
              <w:right w:val="single" w:sz="4" w:space="0" w:color="auto"/>
            </w:tcBorders>
            <w:shd w:val="clear" w:color="000000" w:fill="A6A6A6"/>
            <w:noWrap/>
            <w:vAlign w:val="center"/>
            <w:hideMark/>
          </w:tcPr>
          <w:p w14:paraId="634DCB77"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Recaudado</w:t>
            </w:r>
          </w:p>
          <w:p w14:paraId="3A8373FD"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'15</w:t>
            </w:r>
          </w:p>
        </w:tc>
        <w:tc>
          <w:tcPr>
            <w:tcW w:w="462" w:type="pct"/>
            <w:tcBorders>
              <w:top w:val="single" w:sz="4" w:space="0" w:color="auto"/>
              <w:left w:val="nil"/>
              <w:bottom w:val="single" w:sz="4" w:space="0" w:color="auto"/>
              <w:right w:val="single" w:sz="4" w:space="0" w:color="auto"/>
            </w:tcBorders>
            <w:shd w:val="clear" w:color="000000" w:fill="A6A6A6"/>
          </w:tcPr>
          <w:p w14:paraId="60058FFE"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Recaudado '16</w:t>
            </w:r>
          </w:p>
        </w:tc>
        <w:tc>
          <w:tcPr>
            <w:tcW w:w="462" w:type="pct"/>
            <w:tcBorders>
              <w:top w:val="single" w:sz="4" w:space="0" w:color="auto"/>
              <w:left w:val="single" w:sz="4" w:space="0" w:color="auto"/>
              <w:bottom w:val="single" w:sz="4" w:space="0" w:color="auto"/>
              <w:right w:val="single" w:sz="4" w:space="0" w:color="auto"/>
            </w:tcBorders>
            <w:shd w:val="clear" w:color="000000" w:fill="A6A6A6"/>
          </w:tcPr>
          <w:p w14:paraId="5071F05E"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Recaudado '17</w:t>
            </w:r>
          </w:p>
        </w:tc>
        <w:tc>
          <w:tcPr>
            <w:tcW w:w="462" w:type="pct"/>
            <w:tcBorders>
              <w:top w:val="single" w:sz="4" w:space="0" w:color="auto"/>
              <w:left w:val="single" w:sz="4" w:space="0" w:color="auto"/>
              <w:bottom w:val="single" w:sz="4" w:space="0" w:color="auto"/>
              <w:right w:val="single" w:sz="4" w:space="0" w:color="auto"/>
            </w:tcBorders>
            <w:shd w:val="clear" w:color="000000" w:fill="A6A6A6"/>
          </w:tcPr>
          <w:p w14:paraId="3E1F31F8"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Recaudado '18</w:t>
            </w:r>
          </w:p>
        </w:tc>
        <w:tc>
          <w:tcPr>
            <w:tcW w:w="462" w:type="pct"/>
            <w:tcBorders>
              <w:top w:val="single" w:sz="4" w:space="0" w:color="auto"/>
              <w:left w:val="single" w:sz="4" w:space="0" w:color="auto"/>
              <w:bottom w:val="single" w:sz="4" w:space="0" w:color="auto"/>
              <w:right w:val="single" w:sz="4" w:space="0" w:color="auto"/>
            </w:tcBorders>
            <w:shd w:val="clear" w:color="000000" w:fill="A6A6A6"/>
          </w:tcPr>
          <w:p w14:paraId="4DCCDF8B"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Recaudado '19</w:t>
            </w:r>
          </w:p>
        </w:tc>
        <w:tc>
          <w:tcPr>
            <w:tcW w:w="150" w:type="pct"/>
            <w:tcBorders>
              <w:left w:val="single" w:sz="4" w:space="0" w:color="auto"/>
              <w:right w:val="single" w:sz="4" w:space="0" w:color="auto"/>
            </w:tcBorders>
            <w:shd w:val="clear" w:color="auto" w:fill="auto"/>
          </w:tcPr>
          <w:p w14:paraId="47A8B947" w14:textId="77777777" w:rsidR="008D7DE4" w:rsidRPr="00F30FD1" w:rsidRDefault="008D7DE4" w:rsidP="00E668AF">
            <w:pPr>
              <w:spacing w:after="0" w:line="240" w:lineRule="auto"/>
              <w:jc w:val="center"/>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shd w:val="clear" w:color="000000" w:fill="A6A6A6"/>
            <w:vAlign w:val="center"/>
          </w:tcPr>
          <w:p w14:paraId="2ED8B435"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Enero-Febrero</w:t>
            </w:r>
          </w:p>
          <w:p w14:paraId="4A861FCF" w14:textId="77777777" w:rsidR="008D7DE4" w:rsidRPr="00F30FD1" w:rsidRDefault="008D7DE4" w:rsidP="00E668AF">
            <w:pPr>
              <w:spacing w:after="0" w:line="240" w:lineRule="auto"/>
              <w:jc w:val="center"/>
              <w:rPr>
                <w:rFonts w:eastAsia="Times New Roman" w:cs="Futura"/>
                <w:color w:val="595959"/>
              </w:rPr>
            </w:pPr>
            <w:r w:rsidRPr="00F30FD1">
              <w:rPr>
                <w:rFonts w:eastAsia="Times New Roman" w:cs="Futura"/>
                <w:color w:val="595959"/>
              </w:rPr>
              <w:t>‘20</w:t>
            </w:r>
          </w:p>
        </w:tc>
      </w:tr>
      <w:tr w:rsidR="008D7DE4" w:rsidRPr="00F30FD1" w14:paraId="03529CA0"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000000" w:fill="DAEEF3"/>
            <w:noWrap/>
            <w:vAlign w:val="center"/>
            <w:hideMark/>
          </w:tcPr>
          <w:p w14:paraId="24BFDD0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De Fuentes Locales</w:t>
            </w:r>
          </w:p>
        </w:tc>
        <w:tc>
          <w:tcPr>
            <w:tcW w:w="479" w:type="pct"/>
            <w:tcBorders>
              <w:top w:val="nil"/>
              <w:left w:val="nil"/>
              <w:bottom w:val="single" w:sz="4" w:space="0" w:color="auto"/>
              <w:right w:val="single" w:sz="4" w:space="0" w:color="auto"/>
            </w:tcBorders>
            <w:shd w:val="clear" w:color="000000" w:fill="DAEEF3"/>
            <w:noWrap/>
            <w:vAlign w:val="center"/>
          </w:tcPr>
          <w:p w14:paraId="6F8EFDB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16</w:t>
            </w:r>
          </w:p>
        </w:tc>
        <w:tc>
          <w:tcPr>
            <w:tcW w:w="480" w:type="pct"/>
            <w:tcBorders>
              <w:top w:val="nil"/>
              <w:left w:val="nil"/>
              <w:bottom w:val="single" w:sz="4" w:space="0" w:color="auto"/>
              <w:right w:val="single" w:sz="4" w:space="0" w:color="auto"/>
            </w:tcBorders>
            <w:shd w:val="clear" w:color="000000" w:fill="DAEEF3"/>
            <w:noWrap/>
            <w:vAlign w:val="center"/>
          </w:tcPr>
          <w:p w14:paraId="5BA7CA0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19</w:t>
            </w:r>
          </w:p>
        </w:tc>
        <w:tc>
          <w:tcPr>
            <w:tcW w:w="480" w:type="pct"/>
            <w:tcBorders>
              <w:top w:val="nil"/>
              <w:left w:val="nil"/>
              <w:bottom w:val="single" w:sz="4" w:space="0" w:color="auto"/>
              <w:right w:val="single" w:sz="4" w:space="0" w:color="auto"/>
            </w:tcBorders>
            <w:shd w:val="clear" w:color="000000" w:fill="DAEEF3"/>
            <w:noWrap/>
            <w:vAlign w:val="center"/>
          </w:tcPr>
          <w:p w14:paraId="4EFDDD62"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21</w:t>
            </w:r>
          </w:p>
        </w:tc>
        <w:tc>
          <w:tcPr>
            <w:tcW w:w="462" w:type="pct"/>
            <w:tcBorders>
              <w:top w:val="nil"/>
              <w:left w:val="nil"/>
              <w:bottom w:val="single" w:sz="4" w:space="0" w:color="auto"/>
              <w:right w:val="single" w:sz="4" w:space="0" w:color="auto"/>
            </w:tcBorders>
            <w:shd w:val="clear" w:color="000000" w:fill="DAEEF3"/>
            <w:vAlign w:val="center"/>
          </w:tcPr>
          <w:p w14:paraId="7C22E1F3"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w:t>
            </w:r>
          </w:p>
        </w:tc>
        <w:tc>
          <w:tcPr>
            <w:tcW w:w="462" w:type="pct"/>
            <w:tcBorders>
              <w:top w:val="single" w:sz="4" w:space="0" w:color="auto"/>
              <w:left w:val="single" w:sz="4" w:space="0" w:color="auto"/>
              <w:bottom w:val="single" w:sz="4" w:space="0" w:color="auto"/>
              <w:right w:val="single" w:sz="4" w:space="0" w:color="auto"/>
            </w:tcBorders>
            <w:shd w:val="clear" w:color="000000" w:fill="DAEEF3"/>
            <w:vAlign w:val="center"/>
          </w:tcPr>
          <w:p w14:paraId="61430FF3"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21</w:t>
            </w:r>
          </w:p>
        </w:tc>
        <w:tc>
          <w:tcPr>
            <w:tcW w:w="462" w:type="pct"/>
            <w:tcBorders>
              <w:top w:val="single" w:sz="4" w:space="0" w:color="auto"/>
              <w:left w:val="single" w:sz="4" w:space="0" w:color="auto"/>
              <w:bottom w:val="single" w:sz="4" w:space="0" w:color="auto"/>
              <w:right w:val="single" w:sz="4" w:space="0" w:color="auto"/>
            </w:tcBorders>
            <w:shd w:val="clear" w:color="000000" w:fill="DAEEF3"/>
            <w:vAlign w:val="center"/>
          </w:tcPr>
          <w:p w14:paraId="64C7D40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22</w:t>
            </w:r>
          </w:p>
        </w:tc>
        <w:tc>
          <w:tcPr>
            <w:tcW w:w="462" w:type="pct"/>
            <w:tcBorders>
              <w:top w:val="single" w:sz="4" w:space="0" w:color="auto"/>
              <w:left w:val="single" w:sz="4" w:space="0" w:color="auto"/>
              <w:bottom w:val="single" w:sz="4" w:space="0" w:color="auto"/>
              <w:right w:val="single" w:sz="4" w:space="0" w:color="auto"/>
            </w:tcBorders>
            <w:shd w:val="clear" w:color="000000" w:fill="DAEEF3"/>
            <w:vAlign w:val="center"/>
          </w:tcPr>
          <w:p w14:paraId="611E59A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w:t>
            </w:r>
          </w:p>
        </w:tc>
        <w:tc>
          <w:tcPr>
            <w:tcW w:w="150" w:type="pct"/>
            <w:tcBorders>
              <w:left w:val="single" w:sz="4" w:space="0" w:color="auto"/>
              <w:right w:val="single" w:sz="4" w:space="0" w:color="auto"/>
            </w:tcBorders>
            <w:shd w:val="clear" w:color="auto" w:fill="auto"/>
            <w:vAlign w:val="center"/>
          </w:tcPr>
          <w:p w14:paraId="64622339"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shd w:val="clear" w:color="000000" w:fill="DAEEF3"/>
            <w:vAlign w:val="center"/>
          </w:tcPr>
          <w:p w14:paraId="23EE2D7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30</w:t>
            </w:r>
          </w:p>
        </w:tc>
      </w:tr>
      <w:tr w:rsidR="008D7DE4" w:rsidRPr="00F30FD1" w14:paraId="6198B513"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134F65A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Impuestos</w:t>
            </w:r>
          </w:p>
        </w:tc>
        <w:tc>
          <w:tcPr>
            <w:tcW w:w="479" w:type="pct"/>
            <w:tcBorders>
              <w:top w:val="nil"/>
              <w:left w:val="nil"/>
              <w:bottom w:val="single" w:sz="4" w:space="0" w:color="auto"/>
              <w:right w:val="single" w:sz="4" w:space="0" w:color="auto"/>
            </w:tcBorders>
            <w:shd w:val="clear" w:color="auto" w:fill="auto"/>
            <w:noWrap/>
            <w:vAlign w:val="center"/>
          </w:tcPr>
          <w:p w14:paraId="67FC05CC"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40</w:t>
            </w:r>
          </w:p>
        </w:tc>
        <w:tc>
          <w:tcPr>
            <w:tcW w:w="480" w:type="pct"/>
            <w:tcBorders>
              <w:top w:val="nil"/>
              <w:left w:val="nil"/>
              <w:bottom w:val="single" w:sz="4" w:space="0" w:color="auto"/>
              <w:right w:val="single" w:sz="4" w:space="0" w:color="auto"/>
            </w:tcBorders>
            <w:shd w:val="clear" w:color="auto" w:fill="auto"/>
            <w:noWrap/>
            <w:vAlign w:val="center"/>
          </w:tcPr>
          <w:p w14:paraId="4A774830"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38</w:t>
            </w:r>
          </w:p>
        </w:tc>
        <w:tc>
          <w:tcPr>
            <w:tcW w:w="480" w:type="pct"/>
            <w:tcBorders>
              <w:top w:val="nil"/>
              <w:left w:val="nil"/>
              <w:bottom w:val="single" w:sz="4" w:space="0" w:color="auto"/>
              <w:right w:val="single" w:sz="4" w:space="0" w:color="auto"/>
            </w:tcBorders>
            <w:shd w:val="clear" w:color="auto" w:fill="auto"/>
            <w:noWrap/>
            <w:vAlign w:val="center"/>
          </w:tcPr>
          <w:p w14:paraId="5D19348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41</w:t>
            </w:r>
          </w:p>
        </w:tc>
        <w:tc>
          <w:tcPr>
            <w:tcW w:w="462" w:type="pct"/>
            <w:tcBorders>
              <w:top w:val="nil"/>
              <w:left w:val="nil"/>
              <w:bottom w:val="single" w:sz="4" w:space="0" w:color="auto"/>
              <w:right w:val="single" w:sz="4" w:space="0" w:color="auto"/>
            </w:tcBorders>
            <w:shd w:val="clear" w:color="auto" w:fill="auto"/>
            <w:vAlign w:val="center"/>
          </w:tcPr>
          <w:p w14:paraId="2B01DA4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47</w:t>
            </w:r>
          </w:p>
        </w:tc>
        <w:tc>
          <w:tcPr>
            <w:tcW w:w="462" w:type="pct"/>
            <w:tcBorders>
              <w:top w:val="single" w:sz="4" w:space="0" w:color="auto"/>
              <w:left w:val="single" w:sz="4" w:space="0" w:color="auto"/>
              <w:bottom w:val="single" w:sz="4" w:space="0" w:color="auto"/>
              <w:right w:val="single" w:sz="4" w:space="0" w:color="auto"/>
            </w:tcBorders>
            <w:vAlign w:val="center"/>
          </w:tcPr>
          <w:p w14:paraId="011F42C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54</w:t>
            </w:r>
          </w:p>
        </w:tc>
        <w:tc>
          <w:tcPr>
            <w:tcW w:w="462" w:type="pct"/>
            <w:tcBorders>
              <w:top w:val="single" w:sz="4" w:space="0" w:color="auto"/>
              <w:left w:val="single" w:sz="4" w:space="0" w:color="auto"/>
              <w:bottom w:val="single" w:sz="4" w:space="0" w:color="auto"/>
              <w:right w:val="single" w:sz="4" w:space="0" w:color="auto"/>
            </w:tcBorders>
            <w:vAlign w:val="center"/>
          </w:tcPr>
          <w:p w14:paraId="27510770"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52</w:t>
            </w:r>
          </w:p>
        </w:tc>
        <w:tc>
          <w:tcPr>
            <w:tcW w:w="462" w:type="pct"/>
            <w:tcBorders>
              <w:top w:val="single" w:sz="4" w:space="0" w:color="auto"/>
              <w:left w:val="single" w:sz="4" w:space="0" w:color="auto"/>
              <w:bottom w:val="single" w:sz="4" w:space="0" w:color="auto"/>
              <w:right w:val="single" w:sz="4" w:space="0" w:color="auto"/>
            </w:tcBorders>
            <w:vAlign w:val="center"/>
          </w:tcPr>
          <w:p w14:paraId="6A9709E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66</w:t>
            </w:r>
          </w:p>
        </w:tc>
        <w:tc>
          <w:tcPr>
            <w:tcW w:w="150" w:type="pct"/>
            <w:tcBorders>
              <w:left w:val="single" w:sz="4" w:space="0" w:color="auto"/>
              <w:right w:val="single" w:sz="4" w:space="0" w:color="auto"/>
            </w:tcBorders>
            <w:shd w:val="clear" w:color="auto" w:fill="auto"/>
            <w:vAlign w:val="center"/>
          </w:tcPr>
          <w:p w14:paraId="3F650EA5"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vAlign w:val="center"/>
          </w:tcPr>
          <w:p w14:paraId="22EFB8F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62</w:t>
            </w:r>
          </w:p>
        </w:tc>
      </w:tr>
      <w:tr w:rsidR="008D7DE4" w:rsidRPr="00F30FD1" w14:paraId="53074AB5"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3A677AB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Derechos</w:t>
            </w:r>
          </w:p>
        </w:tc>
        <w:tc>
          <w:tcPr>
            <w:tcW w:w="479" w:type="pct"/>
            <w:tcBorders>
              <w:top w:val="nil"/>
              <w:left w:val="nil"/>
              <w:bottom w:val="single" w:sz="4" w:space="0" w:color="auto"/>
              <w:right w:val="single" w:sz="4" w:space="0" w:color="auto"/>
            </w:tcBorders>
            <w:shd w:val="clear" w:color="auto" w:fill="auto"/>
            <w:noWrap/>
            <w:vAlign w:val="center"/>
          </w:tcPr>
          <w:p w14:paraId="2EDB65A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18</w:t>
            </w:r>
          </w:p>
        </w:tc>
        <w:tc>
          <w:tcPr>
            <w:tcW w:w="480" w:type="pct"/>
            <w:tcBorders>
              <w:top w:val="nil"/>
              <w:left w:val="nil"/>
              <w:bottom w:val="single" w:sz="4" w:space="0" w:color="auto"/>
              <w:right w:val="single" w:sz="4" w:space="0" w:color="auto"/>
            </w:tcBorders>
            <w:shd w:val="clear" w:color="auto" w:fill="auto"/>
            <w:noWrap/>
            <w:vAlign w:val="center"/>
          </w:tcPr>
          <w:p w14:paraId="31D82AE3"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17</w:t>
            </w:r>
          </w:p>
        </w:tc>
        <w:tc>
          <w:tcPr>
            <w:tcW w:w="480" w:type="pct"/>
            <w:tcBorders>
              <w:top w:val="nil"/>
              <w:left w:val="nil"/>
              <w:bottom w:val="single" w:sz="4" w:space="0" w:color="auto"/>
              <w:right w:val="single" w:sz="4" w:space="0" w:color="auto"/>
            </w:tcBorders>
            <w:shd w:val="clear" w:color="auto" w:fill="auto"/>
            <w:noWrap/>
            <w:vAlign w:val="center"/>
          </w:tcPr>
          <w:p w14:paraId="4CF2112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16</w:t>
            </w:r>
          </w:p>
        </w:tc>
        <w:tc>
          <w:tcPr>
            <w:tcW w:w="462" w:type="pct"/>
            <w:tcBorders>
              <w:top w:val="nil"/>
              <w:left w:val="nil"/>
              <w:bottom w:val="single" w:sz="4" w:space="0" w:color="auto"/>
              <w:right w:val="single" w:sz="4" w:space="0" w:color="auto"/>
            </w:tcBorders>
            <w:shd w:val="clear" w:color="auto" w:fill="auto"/>
            <w:vAlign w:val="center"/>
          </w:tcPr>
          <w:p w14:paraId="7D897C2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19</w:t>
            </w:r>
          </w:p>
        </w:tc>
        <w:tc>
          <w:tcPr>
            <w:tcW w:w="462" w:type="pct"/>
            <w:tcBorders>
              <w:top w:val="single" w:sz="4" w:space="0" w:color="auto"/>
              <w:left w:val="single" w:sz="4" w:space="0" w:color="auto"/>
              <w:bottom w:val="single" w:sz="4" w:space="0" w:color="auto"/>
              <w:right w:val="single" w:sz="4" w:space="0" w:color="auto"/>
            </w:tcBorders>
            <w:vAlign w:val="center"/>
          </w:tcPr>
          <w:p w14:paraId="1E6BF23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22</w:t>
            </w:r>
          </w:p>
        </w:tc>
        <w:tc>
          <w:tcPr>
            <w:tcW w:w="462" w:type="pct"/>
            <w:tcBorders>
              <w:top w:val="single" w:sz="4" w:space="0" w:color="auto"/>
              <w:left w:val="single" w:sz="4" w:space="0" w:color="auto"/>
              <w:bottom w:val="single" w:sz="4" w:space="0" w:color="auto"/>
              <w:right w:val="single" w:sz="4" w:space="0" w:color="auto"/>
            </w:tcBorders>
            <w:vAlign w:val="center"/>
          </w:tcPr>
          <w:p w14:paraId="2E37843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22</w:t>
            </w:r>
          </w:p>
        </w:tc>
        <w:tc>
          <w:tcPr>
            <w:tcW w:w="462" w:type="pct"/>
            <w:tcBorders>
              <w:top w:val="single" w:sz="4" w:space="0" w:color="auto"/>
              <w:left w:val="single" w:sz="4" w:space="0" w:color="auto"/>
              <w:bottom w:val="single" w:sz="4" w:space="0" w:color="auto"/>
              <w:right w:val="single" w:sz="4" w:space="0" w:color="auto"/>
            </w:tcBorders>
            <w:vAlign w:val="center"/>
          </w:tcPr>
          <w:p w14:paraId="22D8FFB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28</w:t>
            </w:r>
          </w:p>
        </w:tc>
        <w:tc>
          <w:tcPr>
            <w:tcW w:w="150" w:type="pct"/>
            <w:tcBorders>
              <w:left w:val="single" w:sz="4" w:space="0" w:color="auto"/>
              <w:right w:val="single" w:sz="4" w:space="0" w:color="auto"/>
            </w:tcBorders>
            <w:shd w:val="clear" w:color="auto" w:fill="auto"/>
            <w:vAlign w:val="center"/>
          </w:tcPr>
          <w:p w14:paraId="79D6C401"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vAlign w:val="center"/>
          </w:tcPr>
          <w:p w14:paraId="3F2A40D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36</w:t>
            </w:r>
          </w:p>
        </w:tc>
      </w:tr>
      <w:tr w:rsidR="008D7DE4" w:rsidRPr="00F30FD1" w14:paraId="58B3EE07"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59C9D53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Productos</w:t>
            </w:r>
          </w:p>
        </w:tc>
        <w:tc>
          <w:tcPr>
            <w:tcW w:w="479" w:type="pct"/>
            <w:tcBorders>
              <w:top w:val="nil"/>
              <w:left w:val="nil"/>
              <w:bottom w:val="single" w:sz="4" w:space="0" w:color="auto"/>
              <w:right w:val="single" w:sz="4" w:space="0" w:color="auto"/>
            </w:tcBorders>
            <w:shd w:val="clear" w:color="auto" w:fill="auto"/>
            <w:noWrap/>
            <w:vAlign w:val="center"/>
          </w:tcPr>
          <w:p w14:paraId="2F05D2E2"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w:t>
            </w:r>
          </w:p>
        </w:tc>
        <w:tc>
          <w:tcPr>
            <w:tcW w:w="480" w:type="pct"/>
            <w:tcBorders>
              <w:top w:val="nil"/>
              <w:left w:val="nil"/>
              <w:bottom w:val="single" w:sz="4" w:space="0" w:color="auto"/>
              <w:right w:val="single" w:sz="4" w:space="0" w:color="auto"/>
            </w:tcBorders>
            <w:shd w:val="clear" w:color="auto" w:fill="auto"/>
            <w:noWrap/>
            <w:vAlign w:val="center"/>
          </w:tcPr>
          <w:p w14:paraId="0D78068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w:t>
            </w:r>
          </w:p>
        </w:tc>
        <w:tc>
          <w:tcPr>
            <w:tcW w:w="480" w:type="pct"/>
            <w:tcBorders>
              <w:top w:val="nil"/>
              <w:left w:val="nil"/>
              <w:bottom w:val="single" w:sz="4" w:space="0" w:color="auto"/>
              <w:right w:val="single" w:sz="4" w:space="0" w:color="auto"/>
            </w:tcBorders>
            <w:shd w:val="clear" w:color="auto" w:fill="auto"/>
            <w:noWrap/>
            <w:vAlign w:val="center"/>
          </w:tcPr>
          <w:p w14:paraId="509EA45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w:t>
            </w:r>
          </w:p>
        </w:tc>
        <w:tc>
          <w:tcPr>
            <w:tcW w:w="462" w:type="pct"/>
            <w:tcBorders>
              <w:top w:val="nil"/>
              <w:left w:val="nil"/>
              <w:bottom w:val="single" w:sz="4" w:space="0" w:color="auto"/>
              <w:right w:val="single" w:sz="4" w:space="0" w:color="auto"/>
            </w:tcBorders>
            <w:shd w:val="clear" w:color="auto" w:fill="auto"/>
            <w:vAlign w:val="center"/>
          </w:tcPr>
          <w:p w14:paraId="71133B6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7</w:t>
            </w:r>
          </w:p>
        </w:tc>
        <w:tc>
          <w:tcPr>
            <w:tcW w:w="462" w:type="pct"/>
            <w:tcBorders>
              <w:top w:val="single" w:sz="4" w:space="0" w:color="auto"/>
              <w:left w:val="single" w:sz="4" w:space="0" w:color="auto"/>
              <w:bottom w:val="single" w:sz="4" w:space="0" w:color="auto"/>
              <w:right w:val="single" w:sz="4" w:space="0" w:color="auto"/>
            </w:tcBorders>
            <w:vAlign w:val="center"/>
          </w:tcPr>
          <w:p w14:paraId="09DBA9A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w:t>
            </w:r>
          </w:p>
        </w:tc>
        <w:tc>
          <w:tcPr>
            <w:tcW w:w="462" w:type="pct"/>
            <w:tcBorders>
              <w:top w:val="single" w:sz="4" w:space="0" w:color="auto"/>
              <w:left w:val="single" w:sz="4" w:space="0" w:color="auto"/>
              <w:bottom w:val="single" w:sz="4" w:space="0" w:color="auto"/>
              <w:right w:val="single" w:sz="4" w:space="0" w:color="auto"/>
            </w:tcBorders>
            <w:vAlign w:val="center"/>
          </w:tcPr>
          <w:p w14:paraId="4B092D0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w:t>
            </w:r>
          </w:p>
        </w:tc>
        <w:tc>
          <w:tcPr>
            <w:tcW w:w="462" w:type="pct"/>
            <w:tcBorders>
              <w:top w:val="single" w:sz="4" w:space="0" w:color="auto"/>
              <w:left w:val="single" w:sz="4" w:space="0" w:color="auto"/>
              <w:bottom w:val="single" w:sz="4" w:space="0" w:color="auto"/>
              <w:right w:val="single" w:sz="4" w:space="0" w:color="auto"/>
            </w:tcBorders>
            <w:vAlign w:val="center"/>
          </w:tcPr>
          <w:p w14:paraId="3A118E4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w:t>
            </w:r>
          </w:p>
        </w:tc>
        <w:tc>
          <w:tcPr>
            <w:tcW w:w="150" w:type="pct"/>
            <w:tcBorders>
              <w:left w:val="single" w:sz="4" w:space="0" w:color="auto"/>
              <w:right w:val="single" w:sz="4" w:space="0" w:color="auto"/>
            </w:tcBorders>
            <w:shd w:val="clear" w:color="auto" w:fill="auto"/>
            <w:vAlign w:val="center"/>
          </w:tcPr>
          <w:p w14:paraId="4E8C3C18"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vAlign w:val="center"/>
          </w:tcPr>
          <w:p w14:paraId="74EA39A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w:t>
            </w:r>
          </w:p>
        </w:tc>
      </w:tr>
      <w:tr w:rsidR="008D7DE4" w:rsidRPr="00F30FD1" w14:paraId="20C20A9A"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09BF5B5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Aprovechamientos</w:t>
            </w:r>
          </w:p>
        </w:tc>
        <w:tc>
          <w:tcPr>
            <w:tcW w:w="479" w:type="pct"/>
            <w:tcBorders>
              <w:top w:val="nil"/>
              <w:left w:val="nil"/>
              <w:bottom w:val="single" w:sz="4" w:space="0" w:color="auto"/>
              <w:right w:val="single" w:sz="4" w:space="0" w:color="auto"/>
            </w:tcBorders>
            <w:shd w:val="clear" w:color="auto" w:fill="auto"/>
            <w:noWrap/>
            <w:vAlign w:val="center"/>
          </w:tcPr>
          <w:p w14:paraId="0D1FAF1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39</w:t>
            </w:r>
          </w:p>
        </w:tc>
        <w:tc>
          <w:tcPr>
            <w:tcW w:w="480" w:type="pct"/>
            <w:tcBorders>
              <w:top w:val="nil"/>
              <w:left w:val="nil"/>
              <w:bottom w:val="single" w:sz="4" w:space="0" w:color="auto"/>
              <w:right w:val="single" w:sz="4" w:space="0" w:color="auto"/>
            </w:tcBorders>
            <w:shd w:val="clear" w:color="auto" w:fill="auto"/>
            <w:noWrap/>
            <w:vAlign w:val="center"/>
          </w:tcPr>
          <w:p w14:paraId="138CA55A"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42</w:t>
            </w:r>
          </w:p>
        </w:tc>
        <w:tc>
          <w:tcPr>
            <w:tcW w:w="480" w:type="pct"/>
            <w:tcBorders>
              <w:top w:val="nil"/>
              <w:left w:val="nil"/>
              <w:bottom w:val="single" w:sz="4" w:space="0" w:color="auto"/>
              <w:right w:val="single" w:sz="4" w:space="0" w:color="auto"/>
            </w:tcBorders>
            <w:shd w:val="clear" w:color="auto" w:fill="auto"/>
            <w:noWrap/>
            <w:vAlign w:val="center"/>
          </w:tcPr>
          <w:p w14:paraId="15B036A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37</w:t>
            </w:r>
          </w:p>
        </w:tc>
        <w:tc>
          <w:tcPr>
            <w:tcW w:w="462" w:type="pct"/>
            <w:tcBorders>
              <w:top w:val="nil"/>
              <w:left w:val="nil"/>
              <w:bottom w:val="single" w:sz="4" w:space="0" w:color="auto"/>
              <w:right w:val="single" w:sz="4" w:space="0" w:color="auto"/>
            </w:tcBorders>
            <w:shd w:val="clear" w:color="auto" w:fill="auto"/>
            <w:vAlign w:val="center"/>
          </w:tcPr>
          <w:p w14:paraId="242E618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27</w:t>
            </w:r>
          </w:p>
        </w:tc>
        <w:tc>
          <w:tcPr>
            <w:tcW w:w="462" w:type="pct"/>
            <w:tcBorders>
              <w:top w:val="single" w:sz="4" w:space="0" w:color="auto"/>
              <w:left w:val="single" w:sz="4" w:space="0" w:color="auto"/>
              <w:bottom w:val="single" w:sz="4" w:space="0" w:color="auto"/>
              <w:right w:val="single" w:sz="4" w:space="0" w:color="auto"/>
            </w:tcBorders>
            <w:vAlign w:val="center"/>
          </w:tcPr>
          <w:p w14:paraId="2260CB0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22</w:t>
            </w:r>
          </w:p>
        </w:tc>
        <w:tc>
          <w:tcPr>
            <w:tcW w:w="462" w:type="pct"/>
            <w:tcBorders>
              <w:top w:val="single" w:sz="4" w:space="0" w:color="auto"/>
              <w:left w:val="single" w:sz="4" w:space="0" w:color="auto"/>
              <w:bottom w:val="single" w:sz="4" w:space="0" w:color="auto"/>
              <w:right w:val="single" w:sz="4" w:space="0" w:color="auto"/>
            </w:tcBorders>
            <w:vAlign w:val="center"/>
          </w:tcPr>
          <w:p w14:paraId="765A2BA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w:t>
            </w:r>
          </w:p>
        </w:tc>
        <w:tc>
          <w:tcPr>
            <w:tcW w:w="462" w:type="pct"/>
            <w:tcBorders>
              <w:top w:val="single" w:sz="4" w:space="0" w:color="auto"/>
              <w:left w:val="single" w:sz="4" w:space="0" w:color="auto"/>
              <w:bottom w:val="single" w:sz="4" w:space="0" w:color="auto"/>
              <w:right w:val="single" w:sz="4" w:space="0" w:color="auto"/>
            </w:tcBorders>
            <w:vAlign w:val="center"/>
          </w:tcPr>
          <w:p w14:paraId="7C498A8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w:t>
            </w:r>
          </w:p>
        </w:tc>
        <w:tc>
          <w:tcPr>
            <w:tcW w:w="150" w:type="pct"/>
            <w:tcBorders>
              <w:left w:val="single" w:sz="4" w:space="0" w:color="auto"/>
              <w:right w:val="single" w:sz="4" w:space="0" w:color="auto"/>
            </w:tcBorders>
            <w:shd w:val="clear" w:color="auto" w:fill="auto"/>
            <w:vAlign w:val="center"/>
          </w:tcPr>
          <w:p w14:paraId="2C53FD0A"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vAlign w:val="center"/>
          </w:tcPr>
          <w:p w14:paraId="2D1F31B0"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w:t>
            </w:r>
          </w:p>
        </w:tc>
      </w:tr>
      <w:tr w:rsidR="008D7DE4" w:rsidRPr="00F30FD1" w14:paraId="021C164C"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000000" w:fill="DAEEF3"/>
            <w:noWrap/>
            <w:vAlign w:val="center"/>
            <w:hideMark/>
          </w:tcPr>
          <w:p w14:paraId="4F1D6B5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De Origen Federal</w:t>
            </w:r>
          </w:p>
        </w:tc>
        <w:tc>
          <w:tcPr>
            <w:tcW w:w="479" w:type="pct"/>
            <w:tcBorders>
              <w:top w:val="nil"/>
              <w:left w:val="nil"/>
              <w:bottom w:val="single" w:sz="4" w:space="0" w:color="auto"/>
              <w:right w:val="single" w:sz="4" w:space="0" w:color="auto"/>
            </w:tcBorders>
            <w:shd w:val="clear" w:color="000000" w:fill="DAEEF3"/>
            <w:noWrap/>
            <w:vAlign w:val="center"/>
          </w:tcPr>
          <w:p w14:paraId="36ACE28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84</w:t>
            </w:r>
          </w:p>
        </w:tc>
        <w:tc>
          <w:tcPr>
            <w:tcW w:w="480" w:type="pct"/>
            <w:tcBorders>
              <w:top w:val="nil"/>
              <w:left w:val="nil"/>
              <w:bottom w:val="single" w:sz="4" w:space="0" w:color="auto"/>
              <w:right w:val="single" w:sz="4" w:space="0" w:color="auto"/>
            </w:tcBorders>
            <w:shd w:val="clear" w:color="000000" w:fill="DAEEF3"/>
            <w:noWrap/>
            <w:vAlign w:val="center"/>
          </w:tcPr>
          <w:p w14:paraId="217BCFD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81</w:t>
            </w:r>
          </w:p>
        </w:tc>
        <w:tc>
          <w:tcPr>
            <w:tcW w:w="480" w:type="pct"/>
            <w:tcBorders>
              <w:top w:val="nil"/>
              <w:left w:val="nil"/>
              <w:bottom w:val="single" w:sz="4" w:space="0" w:color="auto"/>
              <w:right w:val="single" w:sz="4" w:space="0" w:color="auto"/>
            </w:tcBorders>
            <w:shd w:val="clear" w:color="000000" w:fill="DAEEF3"/>
            <w:noWrap/>
            <w:vAlign w:val="center"/>
          </w:tcPr>
          <w:p w14:paraId="25E0CFFC"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79</w:t>
            </w:r>
          </w:p>
        </w:tc>
        <w:tc>
          <w:tcPr>
            <w:tcW w:w="462" w:type="pct"/>
            <w:tcBorders>
              <w:top w:val="nil"/>
              <w:left w:val="nil"/>
              <w:bottom w:val="single" w:sz="4" w:space="0" w:color="auto"/>
              <w:right w:val="single" w:sz="4" w:space="0" w:color="auto"/>
            </w:tcBorders>
            <w:shd w:val="clear" w:color="000000" w:fill="DAEEF3"/>
            <w:vAlign w:val="center"/>
          </w:tcPr>
          <w:p w14:paraId="3C97B37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80</w:t>
            </w:r>
          </w:p>
        </w:tc>
        <w:tc>
          <w:tcPr>
            <w:tcW w:w="462" w:type="pct"/>
            <w:tcBorders>
              <w:top w:val="single" w:sz="4" w:space="0" w:color="auto"/>
              <w:left w:val="single" w:sz="4" w:space="0" w:color="auto"/>
              <w:bottom w:val="single" w:sz="4" w:space="0" w:color="auto"/>
              <w:right w:val="single" w:sz="4" w:space="0" w:color="auto"/>
            </w:tcBorders>
            <w:shd w:val="clear" w:color="000000" w:fill="DAEEF3"/>
            <w:vAlign w:val="center"/>
          </w:tcPr>
          <w:p w14:paraId="22CCA98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79</w:t>
            </w:r>
          </w:p>
        </w:tc>
        <w:tc>
          <w:tcPr>
            <w:tcW w:w="462" w:type="pct"/>
            <w:tcBorders>
              <w:top w:val="single" w:sz="4" w:space="0" w:color="auto"/>
              <w:left w:val="single" w:sz="4" w:space="0" w:color="auto"/>
              <w:bottom w:val="single" w:sz="4" w:space="0" w:color="auto"/>
              <w:right w:val="single" w:sz="4" w:space="0" w:color="auto"/>
            </w:tcBorders>
            <w:shd w:val="clear" w:color="000000" w:fill="DAEEF3"/>
            <w:vAlign w:val="center"/>
          </w:tcPr>
          <w:p w14:paraId="209197D0"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78</w:t>
            </w:r>
          </w:p>
        </w:tc>
        <w:tc>
          <w:tcPr>
            <w:tcW w:w="462" w:type="pct"/>
            <w:tcBorders>
              <w:top w:val="single" w:sz="4" w:space="0" w:color="auto"/>
              <w:left w:val="single" w:sz="4" w:space="0" w:color="auto"/>
              <w:bottom w:val="single" w:sz="4" w:space="0" w:color="auto"/>
              <w:right w:val="single" w:sz="4" w:space="0" w:color="auto"/>
            </w:tcBorders>
            <w:shd w:val="clear" w:color="000000" w:fill="DAEEF3"/>
            <w:vAlign w:val="center"/>
          </w:tcPr>
          <w:p w14:paraId="0C79B74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80</w:t>
            </w:r>
          </w:p>
        </w:tc>
        <w:tc>
          <w:tcPr>
            <w:tcW w:w="150" w:type="pct"/>
            <w:tcBorders>
              <w:left w:val="single" w:sz="4" w:space="0" w:color="auto"/>
              <w:right w:val="single" w:sz="4" w:space="0" w:color="auto"/>
            </w:tcBorders>
            <w:shd w:val="clear" w:color="auto" w:fill="auto"/>
            <w:vAlign w:val="center"/>
          </w:tcPr>
          <w:p w14:paraId="34788817"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shd w:val="clear" w:color="000000" w:fill="DAEEF3"/>
            <w:vAlign w:val="center"/>
          </w:tcPr>
          <w:p w14:paraId="0F09B2C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70</w:t>
            </w:r>
          </w:p>
        </w:tc>
      </w:tr>
      <w:tr w:rsidR="008D7DE4" w:rsidRPr="00F30FD1" w14:paraId="29082051"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0A90163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Participaciones</w:t>
            </w:r>
          </w:p>
        </w:tc>
        <w:tc>
          <w:tcPr>
            <w:tcW w:w="479" w:type="pct"/>
            <w:tcBorders>
              <w:top w:val="nil"/>
              <w:left w:val="nil"/>
              <w:bottom w:val="single" w:sz="4" w:space="0" w:color="auto"/>
              <w:right w:val="single" w:sz="4" w:space="0" w:color="auto"/>
            </w:tcBorders>
            <w:shd w:val="clear" w:color="auto" w:fill="auto"/>
            <w:noWrap/>
            <w:vAlign w:val="center"/>
          </w:tcPr>
          <w:p w14:paraId="54B0DCBA"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34</w:t>
            </w:r>
          </w:p>
        </w:tc>
        <w:tc>
          <w:tcPr>
            <w:tcW w:w="480" w:type="pct"/>
            <w:tcBorders>
              <w:top w:val="nil"/>
              <w:left w:val="nil"/>
              <w:bottom w:val="single" w:sz="4" w:space="0" w:color="auto"/>
              <w:right w:val="single" w:sz="4" w:space="0" w:color="auto"/>
            </w:tcBorders>
            <w:shd w:val="clear" w:color="auto" w:fill="auto"/>
            <w:noWrap/>
            <w:vAlign w:val="center"/>
          </w:tcPr>
          <w:p w14:paraId="2010A48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36</w:t>
            </w:r>
          </w:p>
        </w:tc>
        <w:tc>
          <w:tcPr>
            <w:tcW w:w="480" w:type="pct"/>
            <w:tcBorders>
              <w:top w:val="nil"/>
              <w:left w:val="nil"/>
              <w:bottom w:val="single" w:sz="4" w:space="0" w:color="auto"/>
              <w:right w:val="single" w:sz="4" w:space="0" w:color="auto"/>
            </w:tcBorders>
            <w:shd w:val="clear" w:color="auto" w:fill="auto"/>
            <w:noWrap/>
            <w:vAlign w:val="center"/>
          </w:tcPr>
          <w:p w14:paraId="3983A45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35</w:t>
            </w:r>
          </w:p>
        </w:tc>
        <w:tc>
          <w:tcPr>
            <w:tcW w:w="462" w:type="pct"/>
            <w:tcBorders>
              <w:top w:val="nil"/>
              <w:left w:val="nil"/>
              <w:bottom w:val="single" w:sz="4" w:space="0" w:color="auto"/>
              <w:right w:val="single" w:sz="4" w:space="0" w:color="auto"/>
            </w:tcBorders>
            <w:shd w:val="clear" w:color="auto" w:fill="auto"/>
            <w:vAlign w:val="center"/>
          </w:tcPr>
          <w:p w14:paraId="0A45197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38</w:t>
            </w:r>
          </w:p>
        </w:tc>
        <w:tc>
          <w:tcPr>
            <w:tcW w:w="462" w:type="pct"/>
            <w:tcBorders>
              <w:top w:val="single" w:sz="4" w:space="0" w:color="auto"/>
              <w:left w:val="single" w:sz="4" w:space="0" w:color="auto"/>
              <w:bottom w:val="single" w:sz="4" w:space="0" w:color="auto"/>
              <w:right w:val="single" w:sz="4" w:space="0" w:color="auto"/>
            </w:tcBorders>
            <w:vAlign w:val="center"/>
          </w:tcPr>
          <w:p w14:paraId="17EDCA7C"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42</w:t>
            </w:r>
          </w:p>
        </w:tc>
        <w:tc>
          <w:tcPr>
            <w:tcW w:w="462" w:type="pct"/>
            <w:tcBorders>
              <w:top w:val="single" w:sz="4" w:space="0" w:color="auto"/>
              <w:left w:val="single" w:sz="4" w:space="0" w:color="auto"/>
              <w:bottom w:val="single" w:sz="4" w:space="0" w:color="auto"/>
              <w:right w:val="single" w:sz="4" w:space="0" w:color="auto"/>
            </w:tcBorders>
            <w:vAlign w:val="center"/>
          </w:tcPr>
          <w:p w14:paraId="187DC700"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43</w:t>
            </w:r>
          </w:p>
        </w:tc>
        <w:tc>
          <w:tcPr>
            <w:tcW w:w="462" w:type="pct"/>
            <w:tcBorders>
              <w:top w:val="single" w:sz="4" w:space="0" w:color="auto"/>
              <w:left w:val="single" w:sz="4" w:space="0" w:color="auto"/>
              <w:bottom w:val="single" w:sz="4" w:space="0" w:color="auto"/>
              <w:right w:val="single" w:sz="4" w:space="0" w:color="auto"/>
            </w:tcBorders>
            <w:vAlign w:val="center"/>
          </w:tcPr>
          <w:p w14:paraId="2C47F73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46</w:t>
            </w:r>
          </w:p>
        </w:tc>
        <w:tc>
          <w:tcPr>
            <w:tcW w:w="150" w:type="pct"/>
            <w:tcBorders>
              <w:left w:val="single" w:sz="4" w:space="0" w:color="auto"/>
              <w:right w:val="single" w:sz="4" w:space="0" w:color="auto"/>
            </w:tcBorders>
            <w:shd w:val="clear" w:color="auto" w:fill="auto"/>
            <w:vAlign w:val="center"/>
          </w:tcPr>
          <w:p w14:paraId="5FE38C89"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vAlign w:val="center"/>
          </w:tcPr>
          <w:p w14:paraId="37934D4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69</w:t>
            </w:r>
          </w:p>
        </w:tc>
      </w:tr>
      <w:tr w:rsidR="008D7DE4" w:rsidRPr="00F30FD1" w14:paraId="2AADF146"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37CC8B82"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Aportaciones</w:t>
            </w:r>
          </w:p>
        </w:tc>
        <w:tc>
          <w:tcPr>
            <w:tcW w:w="479" w:type="pct"/>
            <w:tcBorders>
              <w:top w:val="nil"/>
              <w:left w:val="nil"/>
              <w:bottom w:val="single" w:sz="4" w:space="0" w:color="auto"/>
              <w:right w:val="single" w:sz="4" w:space="0" w:color="auto"/>
            </w:tcBorders>
            <w:shd w:val="clear" w:color="auto" w:fill="auto"/>
            <w:noWrap/>
            <w:vAlign w:val="center"/>
          </w:tcPr>
          <w:p w14:paraId="3D10CA0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39</w:t>
            </w:r>
          </w:p>
        </w:tc>
        <w:tc>
          <w:tcPr>
            <w:tcW w:w="480" w:type="pct"/>
            <w:tcBorders>
              <w:top w:val="nil"/>
              <w:left w:val="nil"/>
              <w:bottom w:val="single" w:sz="4" w:space="0" w:color="auto"/>
              <w:right w:val="single" w:sz="4" w:space="0" w:color="auto"/>
            </w:tcBorders>
            <w:shd w:val="clear" w:color="auto" w:fill="auto"/>
            <w:noWrap/>
            <w:vAlign w:val="center"/>
          </w:tcPr>
          <w:p w14:paraId="4823332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36</w:t>
            </w:r>
          </w:p>
        </w:tc>
        <w:tc>
          <w:tcPr>
            <w:tcW w:w="480" w:type="pct"/>
            <w:tcBorders>
              <w:top w:val="nil"/>
              <w:left w:val="nil"/>
              <w:bottom w:val="single" w:sz="4" w:space="0" w:color="auto"/>
              <w:right w:val="single" w:sz="4" w:space="0" w:color="auto"/>
            </w:tcBorders>
            <w:shd w:val="clear" w:color="auto" w:fill="auto"/>
            <w:noWrap/>
            <w:vAlign w:val="center"/>
          </w:tcPr>
          <w:p w14:paraId="096F2DE0"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42</w:t>
            </w:r>
          </w:p>
        </w:tc>
        <w:tc>
          <w:tcPr>
            <w:tcW w:w="462" w:type="pct"/>
            <w:tcBorders>
              <w:top w:val="nil"/>
              <w:left w:val="nil"/>
              <w:bottom w:val="single" w:sz="4" w:space="0" w:color="auto"/>
              <w:right w:val="single" w:sz="4" w:space="0" w:color="auto"/>
            </w:tcBorders>
            <w:shd w:val="clear" w:color="auto" w:fill="auto"/>
            <w:vAlign w:val="center"/>
          </w:tcPr>
          <w:p w14:paraId="093FACC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43</w:t>
            </w:r>
          </w:p>
        </w:tc>
        <w:tc>
          <w:tcPr>
            <w:tcW w:w="462" w:type="pct"/>
            <w:tcBorders>
              <w:top w:val="single" w:sz="4" w:space="0" w:color="auto"/>
              <w:left w:val="single" w:sz="4" w:space="0" w:color="auto"/>
              <w:bottom w:val="single" w:sz="4" w:space="0" w:color="auto"/>
              <w:right w:val="single" w:sz="4" w:space="0" w:color="auto"/>
            </w:tcBorders>
            <w:vAlign w:val="center"/>
          </w:tcPr>
          <w:p w14:paraId="6AD38C2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44</w:t>
            </w:r>
          </w:p>
        </w:tc>
        <w:tc>
          <w:tcPr>
            <w:tcW w:w="462" w:type="pct"/>
            <w:tcBorders>
              <w:top w:val="single" w:sz="4" w:space="0" w:color="auto"/>
              <w:left w:val="single" w:sz="4" w:space="0" w:color="auto"/>
              <w:bottom w:val="single" w:sz="4" w:space="0" w:color="auto"/>
              <w:right w:val="single" w:sz="4" w:space="0" w:color="auto"/>
            </w:tcBorders>
            <w:vAlign w:val="center"/>
          </w:tcPr>
          <w:p w14:paraId="50B3BF4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42</w:t>
            </w:r>
          </w:p>
        </w:tc>
        <w:tc>
          <w:tcPr>
            <w:tcW w:w="462" w:type="pct"/>
            <w:tcBorders>
              <w:top w:val="single" w:sz="4" w:space="0" w:color="auto"/>
              <w:left w:val="single" w:sz="4" w:space="0" w:color="auto"/>
              <w:bottom w:val="single" w:sz="4" w:space="0" w:color="auto"/>
              <w:right w:val="single" w:sz="4" w:space="0" w:color="auto"/>
            </w:tcBorders>
            <w:vAlign w:val="center"/>
          </w:tcPr>
          <w:p w14:paraId="1ABDF93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41</w:t>
            </w:r>
          </w:p>
        </w:tc>
        <w:tc>
          <w:tcPr>
            <w:tcW w:w="150" w:type="pct"/>
            <w:tcBorders>
              <w:left w:val="single" w:sz="4" w:space="0" w:color="auto"/>
              <w:right w:val="single" w:sz="4" w:space="0" w:color="auto"/>
            </w:tcBorders>
            <w:shd w:val="clear" w:color="auto" w:fill="auto"/>
            <w:vAlign w:val="center"/>
          </w:tcPr>
          <w:p w14:paraId="050E4E1C"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vAlign w:val="center"/>
          </w:tcPr>
          <w:p w14:paraId="10D7323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30</w:t>
            </w:r>
          </w:p>
        </w:tc>
      </w:tr>
      <w:tr w:rsidR="008D7DE4" w:rsidRPr="00F30FD1" w14:paraId="5FC4603C"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6E0DD1FC"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Convenios</w:t>
            </w:r>
          </w:p>
        </w:tc>
        <w:tc>
          <w:tcPr>
            <w:tcW w:w="479" w:type="pct"/>
            <w:tcBorders>
              <w:top w:val="nil"/>
              <w:left w:val="nil"/>
              <w:bottom w:val="single" w:sz="4" w:space="0" w:color="auto"/>
              <w:right w:val="single" w:sz="4" w:space="0" w:color="auto"/>
            </w:tcBorders>
            <w:shd w:val="clear" w:color="auto" w:fill="auto"/>
            <w:noWrap/>
            <w:vAlign w:val="center"/>
          </w:tcPr>
          <w:p w14:paraId="233D9C4C"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27</w:t>
            </w:r>
          </w:p>
        </w:tc>
        <w:tc>
          <w:tcPr>
            <w:tcW w:w="480" w:type="pct"/>
            <w:tcBorders>
              <w:top w:val="nil"/>
              <w:left w:val="nil"/>
              <w:bottom w:val="single" w:sz="4" w:space="0" w:color="auto"/>
              <w:right w:val="single" w:sz="4" w:space="0" w:color="auto"/>
            </w:tcBorders>
            <w:shd w:val="clear" w:color="auto" w:fill="auto"/>
            <w:noWrap/>
            <w:vAlign w:val="center"/>
          </w:tcPr>
          <w:p w14:paraId="0DA1CAE2"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28</w:t>
            </w:r>
          </w:p>
        </w:tc>
        <w:tc>
          <w:tcPr>
            <w:tcW w:w="480" w:type="pct"/>
            <w:tcBorders>
              <w:top w:val="nil"/>
              <w:left w:val="nil"/>
              <w:bottom w:val="single" w:sz="4" w:space="0" w:color="auto"/>
              <w:right w:val="single" w:sz="4" w:space="0" w:color="auto"/>
            </w:tcBorders>
            <w:shd w:val="clear" w:color="auto" w:fill="auto"/>
            <w:noWrap/>
            <w:vAlign w:val="center"/>
          </w:tcPr>
          <w:p w14:paraId="12F0E73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23</w:t>
            </w:r>
          </w:p>
        </w:tc>
        <w:tc>
          <w:tcPr>
            <w:tcW w:w="462" w:type="pct"/>
            <w:tcBorders>
              <w:top w:val="nil"/>
              <w:left w:val="nil"/>
              <w:bottom w:val="single" w:sz="4" w:space="0" w:color="auto"/>
              <w:right w:val="single" w:sz="4" w:space="0" w:color="auto"/>
            </w:tcBorders>
            <w:shd w:val="clear" w:color="auto" w:fill="auto"/>
            <w:vAlign w:val="center"/>
          </w:tcPr>
          <w:p w14:paraId="3EE2FBC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19</w:t>
            </w:r>
          </w:p>
        </w:tc>
        <w:tc>
          <w:tcPr>
            <w:tcW w:w="462" w:type="pct"/>
            <w:tcBorders>
              <w:top w:val="single" w:sz="4" w:space="0" w:color="auto"/>
              <w:left w:val="single" w:sz="4" w:space="0" w:color="auto"/>
              <w:bottom w:val="single" w:sz="4" w:space="0" w:color="auto"/>
              <w:right w:val="single" w:sz="4" w:space="0" w:color="auto"/>
            </w:tcBorders>
            <w:vAlign w:val="center"/>
          </w:tcPr>
          <w:p w14:paraId="24E1D01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15</w:t>
            </w:r>
          </w:p>
        </w:tc>
        <w:tc>
          <w:tcPr>
            <w:tcW w:w="462" w:type="pct"/>
            <w:tcBorders>
              <w:top w:val="single" w:sz="4" w:space="0" w:color="auto"/>
              <w:left w:val="single" w:sz="4" w:space="0" w:color="auto"/>
              <w:bottom w:val="single" w:sz="4" w:space="0" w:color="auto"/>
              <w:right w:val="single" w:sz="4" w:space="0" w:color="auto"/>
            </w:tcBorders>
            <w:vAlign w:val="center"/>
          </w:tcPr>
          <w:p w14:paraId="05F9EC0A"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15</w:t>
            </w:r>
          </w:p>
        </w:tc>
        <w:tc>
          <w:tcPr>
            <w:tcW w:w="462" w:type="pct"/>
            <w:tcBorders>
              <w:top w:val="single" w:sz="4" w:space="0" w:color="auto"/>
              <w:left w:val="single" w:sz="4" w:space="0" w:color="auto"/>
              <w:bottom w:val="single" w:sz="4" w:space="0" w:color="auto"/>
              <w:right w:val="single" w:sz="4" w:space="0" w:color="auto"/>
            </w:tcBorders>
            <w:vAlign w:val="center"/>
          </w:tcPr>
          <w:p w14:paraId="5FE0E6A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13</w:t>
            </w:r>
          </w:p>
        </w:tc>
        <w:tc>
          <w:tcPr>
            <w:tcW w:w="150" w:type="pct"/>
            <w:tcBorders>
              <w:left w:val="single" w:sz="4" w:space="0" w:color="auto"/>
              <w:right w:val="single" w:sz="4" w:space="0" w:color="auto"/>
            </w:tcBorders>
            <w:shd w:val="clear" w:color="auto" w:fill="auto"/>
            <w:vAlign w:val="center"/>
          </w:tcPr>
          <w:p w14:paraId="51FD0575"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vAlign w:val="center"/>
          </w:tcPr>
          <w:p w14:paraId="72C7383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w:t>
            </w:r>
          </w:p>
        </w:tc>
      </w:tr>
      <w:tr w:rsidR="008D7DE4" w:rsidRPr="00F30FD1" w14:paraId="098426CC"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auto" w:fill="auto"/>
            <w:noWrap/>
            <w:vAlign w:val="center"/>
            <w:hideMark/>
          </w:tcPr>
          <w:p w14:paraId="0BACB7F0" w14:textId="77777777" w:rsidR="008D7DE4" w:rsidRPr="00F30FD1" w:rsidRDefault="008D7DE4" w:rsidP="00E668AF">
            <w:pPr>
              <w:spacing w:after="0" w:line="240" w:lineRule="auto"/>
              <w:jc w:val="center"/>
              <w:textboxTightWrap w:val="allLines"/>
              <w:rPr>
                <w:rFonts w:eastAsia="Times New Roman" w:cs="Futura"/>
                <w:color w:val="595959"/>
              </w:rPr>
            </w:pPr>
          </w:p>
        </w:tc>
        <w:tc>
          <w:tcPr>
            <w:tcW w:w="479" w:type="pct"/>
            <w:tcBorders>
              <w:top w:val="nil"/>
              <w:left w:val="nil"/>
              <w:bottom w:val="single" w:sz="4" w:space="0" w:color="auto"/>
              <w:right w:val="single" w:sz="4" w:space="0" w:color="auto"/>
            </w:tcBorders>
            <w:shd w:val="clear" w:color="auto" w:fill="auto"/>
            <w:noWrap/>
            <w:vAlign w:val="center"/>
            <w:hideMark/>
          </w:tcPr>
          <w:p w14:paraId="7C19395E" w14:textId="77777777" w:rsidR="008D7DE4" w:rsidRPr="00F30FD1" w:rsidRDefault="008D7DE4" w:rsidP="00E668AF">
            <w:pPr>
              <w:spacing w:after="0" w:line="240" w:lineRule="auto"/>
              <w:jc w:val="center"/>
              <w:textboxTightWrap w:val="allLines"/>
              <w:rPr>
                <w:rFonts w:eastAsia="Times New Roman" w:cs="Futura"/>
                <w:color w:val="595959"/>
              </w:rPr>
            </w:pPr>
          </w:p>
        </w:tc>
        <w:tc>
          <w:tcPr>
            <w:tcW w:w="480" w:type="pct"/>
            <w:tcBorders>
              <w:top w:val="nil"/>
              <w:left w:val="nil"/>
              <w:bottom w:val="single" w:sz="4" w:space="0" w:color="auto"/>
              <w:right w:val="single" w:sz="4" w:space="0" w:color="auto"/>
            </w:tcBorders>
            <w:shd w:val="clear" w:color="auto" w:fill="auto"/>
            <w:noWrap/>
            <w:vAlign w:val="center"/>
            <w:hideMark/>
          </w:tcPr>
          <w:p w14:paraId="6EBABA6A" w14:textId="77777777" w:rsidR="008D7DE4" w:rsidRPr="00F30FD1" w:rsidRDefault="008D7DE4" w:rsidP="00E668AF">
            <w:pPr>
              <w:spacing w:after="0" w:line="240" w:lineRule="auto"/>
              <w:jc w:val="center"/>
              <w:textboxTightWrap w:val="allLines"/>
              <w:rPr>
                <w:rFonts w:eastAsia="Times New Roman" w:cs="Futura"/>
                <w:color w:val="595959"/>
              </w:rPr>
            </w:pPr>
          </w:p>
        </w:tc>
        <w:tc>
          <w:tcPr>
            <w:tcW w:w="480" w:type="pct"/>
            <w:tcBorders>
              <w:top w:val="nil"/>
              <w:left w:val="nil"/>
              <w:bottom w:val="single" w:sz="4" w:space="0" w:color="auto"/>
              <w:right w:val="single" w:sz="4" w:space="0" w:color="auto"/>
            </w:tcBorders>
            <w:shd w:val="clear" w:color="auto" w:fill="auto"/>
            <w:noWrap/>
            <w:vAlign w:val="center"/>
            <w:hideMark/>
          </w:tcPr>
          <w:p w14:paraId="0C8E6AAC" w14:textId="77777777" w:rsidR="008D7DE4" w:rsidRPr="00F30FD1" w:rsidRDefault="008D7DE4" w:rsidP="00E668AF">
            <w:pPr>
              <w:spacing w:after="0" w:line="240" w:lineRule="auto"/>
              <w:jc w:val="center"/>
              <w:textboxTightWrap w:val="allLines"/>
              <w:rPr>
                <w:rFonts w:eastAsia="Times New Roman" w:cs="Futura"/>
                <w:color w:val="595959"/>
              </w:rPr>
            </w:pPr>
          </w:p>
        </w:tc>
        <w:tc>
          <w:tcPr>
            <w:tcW w:w="462" w:type="pct"/>
            <w:tcBorders>
              <w:top w:val="single" w:sz="4" w:space="0" w:color="auto"/>
              <w:left w:val="nil"/>
              <w:bottom w:val="single" w:sz="4" w:space="0" w:color="auto"/>
              <w:right w:val="single" w:sz="4" w:space="0" w:color="auto"/>
            </w:tcBorders>
            <w:vAlign w:val="center"/>
          </w:tcPr>
          <w:p w14:paraId="4E9F0D31" w14:textId="77777777" w:rsidR="008D7DE4" w:rsidRPr="00F30FD1" w:rsidRDefault="008D7DE4" w:rsidP="00E668AF">
            <w:pPr>
              <w:spacing w:after="0" w:line="240" w:lineRule="auto"/>
              <w:jc w:val="center"/>
              <w:textboxTightWrap w:val="allLines"/>
              <w:rPr>
                <w:rFonts w:eastAsia="Times New Roman" w:cs="Futura"/>
                <w:color w:val="595959"/>
              </w:rPr>
            </w:pPr>
          </w:p>
        </w:tc>
        <w:tc>
          <w:tcPr>
            <w:tcW w:w="462" w:type="pct"/>
            <w:tcBorders>
              <w:top w:val="single" w:sz="4" w:space="0" w:color="auto"/>
              <w:left w:val="single" w:sz="4" w:space="0" w:color="auto"/>
              <w:bottom w:val="single" w:sz="4" w:space="0" w:color="auto"/>
              <w:right w:val="single" w:sz="4" w:space="0" w:color="auto"/>
            </w:tcBorders>
            <w:vAlign w:val="center"/>
          </w:tcPr>
          <w:p w14:paraId="46CA004B" w14:textId="77777777" w:rsidR="008D7DE4" w:rsidRPr="00F30FD1" w:rsidRDefault="008D7DE4" w:rsidP="00E668AF">
            <w:pPr>
              <w:spacing w:after="0" w:line="240" w:lineRule="auto"/>
              <w:jc w:val="center"/>
              <w:textboxTightWrap w:val="allLines"/>
              <w:rPr>
                <w:rFonts w:eastAsia="Times New Roman" w:cs="Futura"/>
                <w:color w:val="595959"/>
              </w:rPr>
            </w:pPr>
          </w:p>
        </w:tc>
        <w:tc>
          <w:tcPr>
            <w:tcW w:w="462" w:type="pct"/>
            <w:tcBorders>
              <w:top w:val="single" w:sz="4" w:space="0" w:color="auto"/>
              <w:left w:val="single" w:sz="4" w:space="0" w:color="auto"/>
              <w:bottom w:val="single" w:sz="4" w:space="0" w:color="auto"/>
              <w:right w:val="single" w:sz="4" w:space="0" w:color="auto"/>
            </w:tcBorders>
            <w:vAlign w:val="center"/>
          </w:tcPr>
          <w:p w14:paraId="4E7A21E0" w14:textId="77777777" w:rsidR="008D7DE4" w:rsidRPr="00F30FD1" w:rsidRDefault="008D7DE4" w:rsidP="00E668AF">
            <w:pPr>
              <w:spacing w:after="0" w:line="240" w:lineRule="auto"/>
              <w:jc w:val="center"/>
              <w:textboxTightWrap w:val="allLines"/>
              <w:rPr>
                <w:rFonts w:eastAsia="Times New Roman" w:cs="Futura"/>
                <w:color w:val="595959"/>
              </w:rPr>
            </w:pPr>
          </w:p>
        </w:tc>
        <w:tc>
          <w:tcPr>
            <w:tcW w:w="462" w:type="pct"/>
            <w:tcBorders>
              <w:top w:val="single" w:sz="4" w:space="0" w:color="auto"/>
              <w:left w:val="single" w:sz="4" w:space="0" w:color="auto"/>
              <w:bottom w:val="single" w:sz="4" w:space="0" w:color="auto"/>
              <w:right w:val="single" w:sz="4" w:space="0" w:color="auto"/>
            </w:tcBorders>
            <w:vAlign w:val="center"/>
          </w:tcPr>
          <w:p w14:paraId="3E72660B" w14:textId="77777777" w:rsidR="008D7DE4" w:rsidRPr="00F30FD1" w:rsidRDefault="008D7DE4" w:rsidP="00E668AF">
            <w:pPr>
              <w:spacing w:after="0" w:line="240" w:lineRule="auto"/>
              <w:jc w:val="center"/>
              <w:textboxTightWrap w:val="allLines"/>
              <w:rPr>
                <w:rFonts w:eastAsia="Times New Roman" w:cs="Futura"/>
                <w:color w:val="595959"/>
              </w:rPr>
            </w:pPr>
          </w:p>
        </w:tc>
        <w:tc>
          <w:tcPr>
            <w:tcW w:w="150" w:type="pct"/>
            <w:tcBorders>
              <w:left w:val="single" w:sz="4" w:space="0" w:color="auto"/>
              <w:right w:val="single" w:sz="4" w:space="0" w:color="auto"/>
            </w:tcBorders>
            <w:shd w:val="clear" w:color="auto" w:fill="auto"/>
            <w:vAlign w:val="center"/>
          </w:tcPr>
          <w:p w14:paraId="45C17B67"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vAlign w:val="center"/>
          </w:tcPr>
          <w:p w14:paraId="2AA7FC3B" w14:textId="77777777" w:rsidR="008D7DE4" w:rsidRPr="00F30FD1" w:rsidRDefault="008D7DE4" w:rsidP="00E668AF">
            <w:pPr>
              <w:spacing w:after="0" w:line="240" w:lineRule="auto"/>
              <w:jc w:val="center"/>
              <w:textboxTightWrap w:val="allLines"/>
              <w:rPr>
                <w:rFonts w:eastAsia="Times New Roman" w:cs="Futura"/>
                <w:color w:val="595959"/>
              </w:rPr>
            </w:pPr>
          </w:p>
        </w:tc>
      </w:tr>
      <w:tr w:rsidR="008D7DE4" w:rsidRPr="00F30FD1" w14:paraId="1755355D" w14:textId="77777777" w:rsidTr="00E668AF">
        <w:trPr>
          <w:trHeight w:val="227"/>
          <w:jc w:val="center"/>
        </w:trPr>
        <w:tc>
          <w:tcPr>
            <w:tcW w:w="850" w:type="pct"/>
            <w:tcBorders>
              <w:top w:val="nil"/>
              <w:left w:val="single" w:sz="4" w:space="0" w:color="auto"/>
              <w:bottom w:val="single" w:sz="4" w:space="0" w:color="auto"/>
              <w:right w:val="single" w:sz="4" w:space="0" w:color="auto"/>
            </w:tcBorders>
            <w:shd w:val="clear" w:color="000000" w:fill="A6A6A6"/>
            <w:noWrap/>
            <w:vAlign w:val="center"/>
            <w:hideMark/>
          </w:tcPr>
          <w:p w14:paraId="2DD11EE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Total</w:t>
            </w:r>
          </w:p>
        </w:tc>
        <w:tc>
          <w:tcPr>
            <w:tcW w:w="479" w:type="pct"/>
            <w:tcBorders>
              <w:top w:val="nil"/>
              <w:left w:val="nil"/>
              <w:bottom w:val="single" w:sz="4" w:space="0" w:color="auto"/>
              <w:right w:val="single" w:sz="4" w:space="0" w:color="auto"/>
            </w:tcBorders>
            <w:shd w:val="clear" w:color="000000" w:fill="A6A6A6"/>
            <w:noWrap/>
            <w:vAlign w:val="center"/>
            <w:hideMark/>
          </w:tcPr>
          <w:p w14:paraId="4A9B3FA3"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100</w:t>
            </w:r>
          </w:p>
        </w:tc>
        <w:tc>
          <w:tcPr>
            <w:tcW w:w="480" w:type="pct"/>
            <w:tcBorders>
              <w:top w:val="nil"/>
              <w:left w:val="nil"/>
              <w:bottom w:val="single" w:sz="4" w:space="0" w:color="auto"/>
              <w:right w:val="single" w:sz="4" w:space="0" w:color="auto"/>
            </w:tcBorders>
            <w:shd w:val="clear" w:color="000000" w:fill="A6A6A6"/>
            <w:noWrap/>
            <w:vAlign w:val="center"/>
            <w:hideMark/>
          </w:tcPr>
          <w:p w14:paraId="40E52123"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100</w:t>
            </w:r>
          </w:p>
        </w:tc>
        <w:tc>
          <w:tcPr>
            <w:tcW w:w="480" w:type="pct"/>
            <w:tcBorders>
              <w:top w:val="nil"/>
              <w:left w:val="nil"/>
              <w:bottom w:val="single" w:sz="4" w:space="0" w:color="auto"/>
              <w:right w:val="single" w:sz="4" w:space="0" w:color="auto"/>
            </w:tcBorders>
            <w:shd w:val="clear" w:color="000000" w:fill="A6A6A6"/>
            <w:noWrap/>
            <w:vAlign w:val="center"/>
            <w:hideMark/>
          </w:tcPr>
          <w:p w14:paraId="31351C2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100</w:t>
            </w:r>
          </w:p>
        </w:tc>
        <w:tc>
          <w:tcPr>
            <w:tcW w:w="462" w:type="pct"/>
            <w:tcBorders>
              <w:top w:val="single" w:sz="4" w:space="0" w:color="auto"/>
              <w:left w:val="nil"/>
              <w:bottom w:val="single" w:sz="4" w:space="0" w:color="auto"/>
              <w:right w:val="single" w:sz="4" w:space="0" w:color="auto"/>
            </w:tcBorders>
            <w:shd w:val="clear" w:color="000000" w:fill="A6A6A6"/>
            <w:vAlign w:val="center"/>
          </w:tcPr>
          <w:p w14:paraId="5D85AEE0"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100</w:t>
            </w:r>
          </w:p>
        </w:tc>
        <w:tc>
          <w:tcPr>
            <w:tcW w:w="462" w:type="pct"/>
            <w:tcBorders>
              <w:top w:val="single" w:sz="4" w:space="0" w:color="auto"/>
              <w:left w:val="single" w:sz="4" w:space="0" w:color="auto"/>
              <w:bottom w:val="single" w:sz="4" w:space="0" w:color="auto"/>
              <w:right w:val="single" w:sz="4" w:space="0" w:color="auto"/>
            </w:tcBorders>
            <w:shd w:val="clear" w:color="000000" w:fill="A6A6A6"/>
            <w:vAlign w:val="center"/>
          </w:tcPr>
          <w:p w14:paraId="6C92B5B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100</w:t>
            </w:r>
          </w:p>
        </w:tc>
        <w:tc>
          <w:tcPr>
            <w:tcW w:w="462" w:type="pct"/>
            <w:tcBorders>
              <w:top w:val="single" w:sz="4" w:space="0" w:color="auto"/>
              <w:left w:val="single" w:sz="4" w:space="0" w:color="auto"/>
              <w:bottom w:val="single" w:sz="4" w:space="0" w:color="auto"/>
              <w:right w:val="single" w:sz="4" w:space="0" w:color="auto"/>
            </w:tcBorders>
            <w:shd w:val="clear" w:color="000000" w:fill="A6A6A6"/>
            <w:vAlign w:val="center"/>
          </w:tcPr>
          <w:p w14:paraId="5353293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100</w:t>
            </w:r>
          </w:p>
        </w:tc>
        <w:tc>
          <w:tcPr>
            <w:tcW w:w="462" w:type="pct"/>
            <w:tcBorders>
              <w:top w:val="single" w:sz="4" w:space="0" w:color="auto"/>
              <w:left w:val="single" w:sz="4" w:space="0" w:color="auto"/>
              <w:bottom w:val="single" w:sz="4" w:space="0" w:color="auto"/>
              <w:right w:val="single" w:sz="4" w:space="0" w:color="auto"/>
            </w:tcBorders>
            <w:shd w:val="clear" w:color="000000" w:fill="A6A6A6"/>
            <w:vAlign w:val="center"/>
          </w:tcPr>
          <w:p w14:paraId="3861121A"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100</w:t>
            </w:r>
          </w:p>
        </w:tc>
        <w:tc>
          <w:tcPr>
            <w:tcW w:w="150" w:type="pct"/>
            <w:tcBorders>
              <w:left w:val="single" w:sz="4" w:space="0" w:color="auto"/>
              <w:right w:val="single" w:sz="4" w:space="0" w:color="auto"/>
            </w:tcBorders>
            <w:shd w:val="clear" w:color="auto" w:fill="auto"/>
            <w:vAlign w:val="center"/>
          </w:tcPr>
          <w:p w14:paraId="7F00313B" w14:textId="77777777" w:rsidR="008D7DE4" w:rsidRPr="00F30FD1" w:rsidRDefault="008D7DE4" w:rsidP="00E668AF">
            <w:pPr>
              <w:spacing w:after="0" w:line="240" w:lineRule="auto"/>
              <w:jc w:val="center"/>
              <w:textboxTightWrap w:val="allLines"/>
              <w:rPr>
                <w:rFonts w:eastAsia="Times New Roman" w:cs="Futura"/>
                <w:color w:val="595959"/>
              </w:rPr>
            </w:pPr>
          </w:p>
        </w:tc>
        <w:tc>
          <w:tcPr>
            <w:tcW w:w="712" w:type="pct"/>
            <w:tcBorders>
              <w:top w:val="single" w:sz="4" w:space="0" w:color="auto"/>
              <w:left w:val="single" w:sz="4" w:space="0" w:color="auto"/>
              <w:bottom w:val="single" w:sz="4" w:space="0" w:color="auto"/>
              <w:right w:val="single" w:sz="4" w:space="0" w:color="auto"/>
            </w:tcBorders>
            <w:shd w:val="clear" w:color="000000" w:fill="A6A6A6"/>
            <w:vAlign w:val="center"/>
          </w:tcPr>
          <w:p w14:paraId="456D90B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100</w:t>
            </w:r>
          </w:p>
        </w:tc>
      </w:tr>
    </w:tbl>
    <w:p w14:paraId="3AED00CF" w14:textId="77777777" w:rsidR="008D7DE4" w:rsidRPr="00F30FD1" w:rsidRDefault="008D7DE4" w:rsidP="008D7DE4">
      <w:pPr>
        <w:spacing w:after="0" w:line="240" w:lineRule="auto"/>
        <w:ind w:left="709"/>
        <w:rPr>
          <w:sz w:val="16"/>
          <w:szCs w:val="20"/>
        </w:rPr>
      </w:pPr>
      <w:r w:rsidRPr="00F30FD1">
        <w:rPr>
          <w:sz w:val="16"/>
          <w:szCs w:val="20"/>
        </w:rPr>
        <w:t>Fuente: * 2013 – 2019 Cuenta Pública.</w:t>
      </w:r>
    </w:p>
    <w:p w14:paraId="3144DEBD" w14:textId="77777777" w:rsidR="008D7DE4" w:rsidRPr="00F30FD1" w:rsidRDefault="008D7DE4" w:rsidP="008D7DE4">
      <w:pPr>
        <w:spacing w:after="0" w:line="240" w:lineRule="auto"/>
        <w:rPr>
          <w:sz w:val="16"/>
          <w:szCs w:val="20"/>
        </w:rPr>
      </w:pPr>
      <w:r w:rsidRPr="00F30FD1">
        <w:rPr>
          <w:sz w:val="16"/>
          <w:szCs w:val="20"/>
        </w:rPr>
        <w:t xml:space="preserve">            * Enero - febrero 2020 Servicio de Administración Tributaria de Quintana Roo (SATQ).</w:t>
      </w:r>
    </w:p>
    <w:p w14:paraId="3A21D4D3" w14:textId="77777777" w:rsidR="008D7DE4" w:rsidRPr="00F30FD1" w:rsidRDefault="008D7DE4" w:rsidP="008D7DE4"/>
    <w:p w14:paraId="3EEE662A" w14:textId="77777777" w:rsidR="008D7DE4" w:rsidRPr="00F30FD1" w:rsidRDefault="008D7DE4" w:rsidP="008D7DE4">
      <w:pPr>
        <w:rPr>
          <w:rFonts w:eastAsia="Times New Roman" w:cs="Futura"/>
          <w:color w:val="595959"/>
        </w:rPr>
      </w:pPr>
      <w:r w:rsidRPr="00F30FD1">
        <w:rPr>
          <w:rFonts w:eastAsia="Times New Roman" w:cs="Futura"/>
          <w:color w:val="595959"/>
        </w:rPr>
        <w:t>La pertinencia y oportunidad con la cual se pueda obtener información sobre el padrón de contribuyentes, vehicular e información catastral son la base para poder estimar la capacidad que tiene el Estado para obtener ingresos en un periodo determinado, para lo cual la coordinación y la dotación de capacitación hacia los municipios para mejorar la información al respecto son fundamentales. Así como también la participación de la población del Estado para mantener actualizada su situación como contribuyente.</w:t>
      </w:r>
    </w:p>
    <w:p w14:paraId="180D992A" w14:textId="29607813" w:rsidR="000847C4" w:rsidRPr="00F30FD1" w:rsidRDefault="008D7DE4" w:rsidP="00C920BF">
      <w:pPr>
        <w:rPr>
          <w:rFonts w:eastAsia="Times New Roman" w:cs="Futura"/>
        </w:rPr>
      </w:pPr>
      <w:r w:rsidRPr="00F30FD1">
        <w:rPr>
          <w:rFonts w:eastAsia="Times New Roman" w:cs="Futura"/>
          <w:color w:val="595959"/>
        </w:rPr>
        <w:t>En este sentido se muestra el crecimiento del padrón de contribuyentes y vehicular en los últimos años:</w:t>
      </w:r>
      <w:r w:rsidR="000847C4" w:rsidRPr="00F30FD1">
        <w:rPr>
          <w:rFonts w:eastAsia="Arial" w:cs="Times New Roman"/>
          <w:b/>
          <w:bCs/>
          <w:color w:val="4BACC6" w:themeColor="accent5"/>
          <w:lang w:val="es-MX" w:eastAsia="en-US"/>
        </w:rPr>
        <w:br w:type="page"/>
      </w:r>
    </w:p>
    <w:p w14:paraId="4B080E63" w14:textId="59A4884B" w:rsidR="008D7DE4" w:rsidRPr="00F30FD1" w:rsidRDefault="009A715A" w:rsidP="008D7DE4">
      <w:pPr>
        <w:jc w:val="center"/>
        <w:rPr>
          <w:rFonts w:eastAsia="Times New Roman" w:cs="Futura"/>
          <w:color w:val="595959"/>
        </w:rPr>
      </w:pPr>
      <w:r w:rsidRPr="00F30FD1">
        <w:rPr>
          <w:rFonts w:eastAsia="Arial" w:cs="Times New Roman"/>
          <w:b/>
          <w:bCs/>
          <w:color w:val="4BACC6" w:themeColor="accent5"/>
          <w:lang w:val="es-MX" w:eastAsia="en-US"/>
        </w:rPr>
        <w:lastRenderedPageBreak/>
        <w:t>Tabla</w:t>
      </w:r>
      <w:r w:rsidR="008D7DE4" w:rsidRPr="00F30FD1">
        <w:rPr>
          <w:rFonts w:eastAsia="Arial" w:cs="Times New Roman"/>
          <w:b/>
          <w:bCs/>
          <w:color w:val="4BACC6" w:themeColor="accent5"/>
          <w:lang w:val="es-MX" w:eastAsia="en-US"/>
        </w:rPr>
        <w:t xml:space="preserve"> </w:t>
      </w:r>
      <w:r w:rsidRPr="00F30FD1">
        <w:rPr>
          <w:rFonts w:eastAsia="Arial" w:cs="Times New Roman"/>
          <w:b/>
          <w:bCs/>
          <w:color w:val="4BACC6" w:themeColor="accent5"/>
          <w:lang w:val="es-MX" w:eastAsia="en-US"/>
        </w:rPr>
        <w:t>T</w:t>
      </w:r>
      <w:r w:rsidR="008D7DE4" w:rsidRPr="00F30FD1">
        <w:rPr>
          <w:rFonts w:eastAsia="Arial" w:cs="Times New Roman"/>
          <w:b/>
          <w:bCs/>
          <w:color w:val="4BACC6" w:themeColor="accent5"/>
          <w:lang w:val="es-MX" w:eastAsia="en-US"/>
        </w:rPr>
        <w:t>.</w:t>
      </w:r>
      <w:r w:rsidRPr="00F30FD1">
        <w:rPr>
          <w:rFonts w:eastAsia="Arial" w:cs="Times New Roman"/>
          <w:b/>
          <w:bCs/>
          <w:color w:val="4BACC6" w:themeColor="accent5"/>
          <w:lang w:val="es-MX" w:eastAsia="en-US"/>
        </w:rPr>
        <w:t>3</w:t>
      </w:r>
      <w:r w:rsidR="008D7DE4" w:rsidRPr="00F30FD1">
        <w:rPr>
          <w:rFonts w:eastAsia="Arial" w:cs="Times New Roman"/>
          <w:b/>
          <w:bCs/>
          <w:color w:val="4BACC6" w:themeColor="accent5"/>
          <w:lang w:val="es-MX" w:eastAsia="en-US"/>
        </w:rPr>
        <w:t>. Padrón de Contribuyentes del Estado por tipo de Impuesto</w:t>
      </w:r>
    </w:p>
    <w:tbl>
      <w:tblPr>
        <w:tblW w:w="7760" w:type="dxa"/>
        <w:jc w:val="center"/>
        <w:tblCellMar>
          <w:left w:w="70" w:type="dxa"/>
          <w:right w:w="70" w:type="dxa"/>
        </w:tblCellMar>
        <w:tblLook w:val="04A0" w:firstRow="1" w:lastRow="0" w:firstColumn="1" w:lastColumn="0" w:noHBand="0" w:noVBand="1"/>
      </w:tblPr>
      <w:tblGrid>
        <w:gridCol w:w="2400"/>
        <w:gridCol w:w="1340"/>
        <w:gridCol w:w="1340"/>
        <w:gridCol w:w="1340"/>
        <w:gridCol w:w="1340"/>
      </w:tblGrid>
      <w:tr w:rsidR="008D7DE4" w:rsidRPr="00F30FD1" w14:paraId="68BBDFE9"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0F1CBDA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Ejercicio Fiscal</w:t>
            </w:r>
          </w:p>
        </w:tc>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CA3EF9A"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Impuesto Sobre Nómina</w:t>
            </w:r>
          </w:p>
        </w:tc>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182BDB8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Impuesto al Hospedaje</w:t>
            </w:r>
          </w:p>
        </w:tc>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591E28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Libre Ejercicio de Prof.</w:t>
            </w:r>
          </w:p>
        </w:tc>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28ABFAA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Extracción de Materiales</w:t>
            </w:r>
          </w:p>
        </w:tc>
      </w:tr>
      <w:tr w:rsidR="008D7DE4" w:rsidRPr="00F30FD1" w14:paraId="17D9F48B"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9E88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2013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A58A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33,599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19230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1,334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12A72"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1,177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610A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116</w:t>
            </w:r>
          </w:p>
        </w:tc>
      </w:tr>
      <w:tr w:rsidR="008D7DE4" w:rsidRPr="00F30FD1" w14:paraId="38A27130"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87477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2014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DB1A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39,162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5B64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1,413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D99E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1,240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5246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136</w:t>
            </w:r>
          </w:p>
        </w:tc>
      </w:tr>
      <w:tr w:rsidR="008D7DE4" w:rsidRPr="00F30FD1" w14:paraId="0E4D6CC8"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DD1C3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2015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1869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44,586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5F3D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1,526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7C7B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1,387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6483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153</w:t>
            </w:r>
          </w:p>
        </w:tc>
      </w:tr>
      <w:tr w:rsidR="008D7DE4" w:rsidRPr="00F30FD1" w14:paraId="4DF54094"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2DF5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2016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FE12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49,390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D845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1,658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4BAC8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1,509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27124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148</w:t>
            </w:r>
          </w:p>
        </w:tc>
      </w:tr>
      <w:tr w:rsidR="008D7DE4" w:rsidRPr="00F30FD1" w14:paraId="53BBBC66"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B413C"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2017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281F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55,900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10BD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1,927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1186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1,682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819EF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166</w:t>
            </w:r>
          </w:p>
        </w:tc>
      </w:tr>
      <w:tr w:rsidR="008D7DE4" w:rsidRPr="00F30FD1" w14:paraId="6CBC2B03"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77303"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431C0"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60,536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56FA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2,159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9893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1,814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23FF2"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169</w:t>
            </w:r>
          </w:p>
        </w:tc>
      </w:tr>
      <w:tr w:rsidR="008D7DE4" w:rsidRPr="00F30FD1" w14:paraId="33CF5C7C"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AF4E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2019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2CBB0"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63,883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ED037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2,326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BC979"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1,933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5CF27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173</w:t>
            </w:r>
          </w:p>
        </w:tc>
      </w:tr>
    </w:tbl>
    <w:p w14:paraId="351BC7EE" w14:textId="77777777" w:rsidR="008D7DE4" w:rsidRPr="00F30FD1" w:rsidRDefault="008D7DE4" w:rsidP="008D7DE4">
      <w:pPr>
        <w:spacing w:after="0" w:line="240" w:lineRule="auto"/>
        <w:ind w:left="709"/>
        <w:rPr>
          <w:sz w:val="16"/>
          <w:szCs w:val="20"/>
        </w:rPr>
      </w:pPr>
      <w:r w:rsidRPr="00F30FD1">
        <w:rPr>
          <w:sz w:val="16"/>
          <w:szCs w:val="20"/>
        </w:rPr>
        <w:t>Fuente: Servicio de Administración Tributaria de Quintana Roo (SATQ).</w:t>
      </w:r>
    </w:p>
    <w:p w14:paraId="05D1C8DC" w14:textId="77777777" w:rsidR="008D7DE4" w:rsidRPr="00F30FD1" w:rsidRDefault="008D7DE4" w:rsidP="008D7DE4">
      <w:pPr>
        <w:spacing w:after="0" w:line="240" w:lineRule="auto"/>
        <w:jc w:val="left"/>
      </w:pPr>
    </w:p>
    <w:p w14:paraId="5C1359C4" w14:textId="21D47DA2" w:rsidR="008D7DE4" w:rsidRPr="00F30FD1" w:rsidRDefault="009A715A" w:rsidP="008D7DE4">
      <w:pPr>
        <w:jc w:val="center"/>
        <w:rPr>
          <w:rFonts w:eastAsia="Times New Roman" w:cs="Futura"/>
          <w:color w:val="595959"/>
        </w:rPr>
      </w:pPr>
      <w:r w:rsidRPr="00F30FD1">
        <w:rPr>
          <w:rFonts w:eastAsia="Arial" w:cs="Times New Roman"/>
          <w:b/>
          <w:bCs/>
          <w:color w:val="4BACC6" w:themeColor="accent5"/>
          <w:lang w:val="es-MX" w:eastAsia="en-US"/>
        </w:rPr>
        <w:t xml:space="preserve">Tabla T.4 </w:t>
      </w:r>
      <w:r w:rsidR="008D7DE4" w:rsidRPr="00F30FD1">
        <w:rPr>
          <w:rFonts w:eastAsia="Arial" w:cs="Times New Roman"/>
          <w:b/>
          <w:bCs/>
          <w:color w:val="4BACC6" w:themeColor="accent5"/>
          <w:lang w:val="es-MX" w:eastAsia="en-US"/>
        </w:rPr>
        <w:t xml:space="preserve">Variación en el Padrón de Contribuyentes del Estado </w:t>
      </w:r>
    </w:p>
    <w:tbl>
      <w:tblPr>
        <w:tblW w:w="7760" w:type="dxa"/>
        <w:jc w:val="center"/>
        <w:tblCellMar>
          <w:left w:w="70" w:type="dxa"/>
          <w:right w:w="70" w:type="dxa"/>
        </w:tblCellMar>
        <w:tblLook w:val="04A0" w:firstRow="1" w:lastRow="0" w:firstColumn="1" w:lastColumn="0" w:noHBand="0" w:noVBand="1"/>
      </w:tblPr>
      <w:tblGrid>
        <w:gridCol w:w="2400"/>
        <w:gridCol w:w="1340"/>
        <w:gridCol w:w="1340"/>
        <w:gridCol w:w="1340"/>
        <w:gridCol w:w="1340"/>
      </w:tblGrid>
      <w:tr w:rsidR="008D7DE4" w:rsidRPr="00F30FD1" w14:paraId="5DF37AD0"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6D6796B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Ejercicio Fiscal</w:t>
            </w:r>
          </w:p>
        </w:tc>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A0E7EA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Impuesto Sobre Nómina</w:t>
            </w:r>
          </w:p>
        </w:tc>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91E2DFA"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Impuesto al Hospedaje</w:t>
            </w:r>
          </w:p>
        </w:tc>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5D6B113"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Libre Ejercicio de Prof.</w:t>
            </w:r>
          </w:p>
        </w:tc>
        <w:tc>
          <w:tcPr>
            <w:tcW w:w="134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8541D43"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Extracción de Materiales</w:t>
            </w:r>
          </w:p>
        </w:tc>
      </w:tr>
      <w:tr w:rsidR="008D7DE4" w:rsidRPr="00F30FD1" w14:paraId="02F4ADDA"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77D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14 - 13</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1841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5526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7106A"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D618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17%</w:t>
            </w:r>
          </w:p>
        </w:tc>
      </w:tr>
      <w:tr w:rsidR="008D7DE4" w:rsidRPr="00F30FD1" w14:paraId="4F2C35F9"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E444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15 - 14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D7D6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1D3A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0AC32"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AB26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13%</w:t>
            </w:r>
          </w:p>
        </w:tc>
      </w:tr>
      <w:tr w:rsidR="008D7DE4" w:rsidRPr="00F30FD1" w14:paraId="041142F1"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F6FA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16 - 15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ACCC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11%</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EE53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BDFD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9%</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17472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-3%</w:t>
            </w:r>
          </w:p>
        </w:tc>
      </w:tr>
      <w:tr w:rsidR="008D7DE4" w:rsidRPr="00F30FD1" w14:paraId="355225BD"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1CBA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17 - 16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D9C2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5%</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D6F7F"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4%</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B2C5C"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9B5D"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11%</w:t>
            </w:r>
          </w:p>
        </w:tc>
      </w:tr>
      <w:tr w:rsidR="008D7DE4" w:rsidRPr="00F30FD1" w14:paraId="0328CAE8"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7E8D2B"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18 - 17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FA655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F8A3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12%</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602E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19FDC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w:t>
            </w:r>
          </w:p>
        </w:tc>
      </w:tr>
      <w:tr w:rsidR="008D7DE4" w:rsidRPr="00F30FD1" w14:paraId="27768616"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CC813"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19 - 18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9457AC"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6%</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43901"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B94D5"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7%</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9956E"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2%</w:t>
            </w:r>
          </w:p>
        </w:tc>
      </w:tr>
      <w:tr w:rsidR="008D7DE4" w:rsidRPr="00F30FD1" w14:paraId="6FF551C6" w14:textId="77777777" w:rsidTr="00E668AF">
        <w:trPr>
          <w:trHeight w:val="283"/>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2CDC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 CRECIMIENTO ANUAL</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C8E87"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10%</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49EF8"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36656"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8%</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9CDB4" w14:textId="77777777" w:rsidR="008D7DE4" w:rsidRPr="00F30FD1" w:rsidRDefault="008D7DE4" w:rsidP="00E668AF">
            <w:pPr>
              <w:spacing w:after="0" w:line="240" w:lineRule="auto"/>
              <w:jc w:val="center"/>
              <w:textboxTightWrap w:val="allLines"/>
              <w:rPr>
                <w:rFonts w:eastAsia="Times New Roman" w:cs="Futura"/>
                <w:color w:val="595959"/>
              </w:rPr>
            </w:pPr>
            <w:r w:rsidRPr="00F30FD1">
              <w:rPr>
                <w:rFonts w:eastAsia="Times New Roman" w:cs="Futura"/>
                <w:color w:val="595959"/>
              </w:rPr>
              <w:t>7%</w:t>
            </w:r>
          </w:p>
        </w:tc>
      </w:tr>
    </w:tbl>
    <w:p w14:paraId="314EFB89" w14:textId="77777777" w:rsidR="008D7DE4" w:rsidRPr="00F30FD1" w:rsidRDefault="008D7DE4" w:rsidP="008D7DE4">
      <w:pPr>
        <w:spacing w:after="0" w:line="240" w:lineRule="auto"/>
        <w:ind w:left="709"/>
        <w:rPr>
          <w:sz w:val="16"/>
          <w:szCs w:val="20"/>
        </w:rPr>
      </w:pPr>
      <w:r w:rsidRPr="00F30FD1">
        <w:rPr>
          <w:sz w:val="16"/>
          <w:szCs w:val="20"/>
        </w:rPr>
        <w:t>Fuente: Servicio de Administración Tributaria de Quintana Roo (SATQ).</w:t>
      </w:r>
    </w:p>
    <w:p w14:paraId="3635FFC2" w14:textId="77777777" w:rsidR="008D7DE4" w:rsidRPr="00F30FD1" w:rsidRDefault="008D7DE4" w:rsidP="008D7DE4">
      <w:pPr>
        <w:rPr>
          <w:rFonts w:eastAsia="Times New Roman" w:cs="Futura"/>
          <w:color w:val="595959"/>
        </w:rPr>
      </w:pPr>
      <w:r w:rsidRPr="00F30FD1">
        <w:rPr>
          <w:rFonts w:eastAsia="Times New Roman" w:cs="Futura"/>
          <w:color w:val="595959"/>
        </w:rPr>
        <w:t>Se puede observar que el crecimiento de los padrones en términos generales ha sido entre un 7% y 10% en promedio anual del 2013 al cierre de 2019</w:t>
      </w:r>
    </w:p>
    <w:p w14:paraId="50A1892C" w14:textId="77777777" w:rsidR="008D7DE4" w:rsidRPr="00F30FD1" w:rsidRDefault="008D7DE4" w:rsidP="008D7DE4">
      <w:pPr>
        <w:rPr>
          <w:rFonts w:eastAsia="Times New Roman" w:cs="Futura"/>
          <w:color w:val="595959"/>
        </w:rPr>
      </w:pPr>
      <w:r w:rsidRPr="00F30FD1">
        <w:rPr>
          <w:rFonts w:eastAsia="Times New Roman" w:cs="Futura"/>
          <w:color w:val="595959"/>
        </w:rPr>
        <w:t>Para ello, la SEFIPLAN ha llevado a cabo tareas tales como, barrido de calles, mejoras en los procesos de notificación, calidad en el servicio, mejoras en los procesos informáticos, envío de invitaciones de pago vía correo electrónico, entre otros.</w:t>
      </w:r>
    </w:p>
    <w:p w14:paraId="601832B3" w14:textId="71CCA3E9" w:rsidR="008D7DE4" w:rsidRPr="00F30FD1" w:rsidRDefault="00C920BF" w:rsidP="003124C1">
      <w:pPr>
        <w:spacing w:after="0" w:line="240" w:lineRule="auto"/>
        <w:jc w:val="center"/>
        <w:rPr>
          <w:b/>
        </w:rPr>
      </w:pPr>
      <w:r w:rsidRPr="00F30FD1">
        <w:rPr>
          <w:rFonts w:eastAsia="Arial" w:cs="Times New Roman"/>
          <w:b/>
          <w:bCs/>
          <w:color w:val="4BACC6" w:themeColor="accent5"/>
          <w:lang w:val="es-MX" w:eastAsia="en-US"/>
        </w:rPr>
        <w:br w:type="page"/>
      </w:r>
      <w:r w:rsidR="00D30DC7" w:rsidRPr="00F30FD1">
        <w:rPr>
          <w:rFonts w:eastAsia="Arial" w:cs="Times New Roman"/>
          <w:b/>
          <w:bCs/>
          <w:color w:val="4BACC6" w:themeColor="accent5"/>
          <w:lang w:val="es-MX" w:eastAsia="en-US"/>
        </w:rPr>
        <w:lastRenderedPageBreak/>
        <w:t>Tabla</w:t>
      </w:r>
      <w:r w:rsidR="008D7DE4" w:rsidRPr="00F30FD1">
        <w:rPr>
          <w:rFonts w:eastAsia="Arial" w:cs="Times New Roman"/>
          <w:b/>
          <w:bCs/>
          <w:color w:val="4BACC6" w:themeColor="accent5"/>
          <w:lang w:val="es-MX" w:eastAsia="en-US"/>
        </w:rPr>
        <w:t xml:space="preserve"> </w:t>
      </w:r>
      <w:r w:rsidR="00D30DC7" w:rsidRPr="00F30FD1">
        <w:rPr>
          <w:rFonts w:eastAsia="Arial" w:cs="Times New Roman"/>
          <w:b/>
          <w:bCs/>
          <w:color w:val="4BACC6" w:themeColor="accent5"/>
          <w:lang w:val="es-MX" w:eastAsia="en-US"/>
        </w:rPr>
        <w:t>T</w:t>
      </w:r>
      <w:r w:rsidR="008D7DE4" w:rsidRPr="00F30FD1">
        <w:rPr>
          <w:rFonts w:eastAsia="Arial" w:cs="Times New Roman"/>
          <w:b/>
          <w:bCs/>
          <w:color w:val="4BACC6" w:themeColor="accent5"/>
          <w:lang w:val="es-MX" w:eastAsia="en-US"/>
        </w:rPr>
        <w:t>.5.-Matriculación de Vehículos en el Estado</w:t>
      </w:r>
    </w:p>
    <w:tbl>
      <w:tblPr>
        <w:tblW w:w="51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4"/>
        <w:gridCol w:w="1132"/>
        <w:gridCol w:w="50"/>
        <w:gridCol w:w="1086"/>
        <w:gridCol w:w="48"/>
        <w:gridCol w:w="1086"/>
        <w:gridCol w:w="48"/>
        <w:gridCol w:w="1088"/>
        <w:gridCol w:w="46"/>
        <w:gridCol w:w="1088"/>
        <w:gridCol w:w="46"/>
        <w:gridCol w:w="1088"/>
        <w:gridCol w:w="24"/>
        <w:gridCol w:w="1038"/>
        <w:gridCol w:w="73"/>
      </w:tblGrid>
      <w:tr w:rsidR="00D30DC7" w:rsidRPr="00F30FD1" w14:paraId="0CE9DE0A" w14:textId="77777777" w:rsidTr="00D30DC7">
        <w:trPr>
          <w:gridAfter w:val="1"/>
          <w:wAfter w:w="37" w:type="pct"/>
          <w:trHeight w:val="660"/>
          <w:jc w:val="center"/>
        </w:trPr>
        <w:tc>
          <w:tcPr>
            <w:tcW w:w="999" w:type="pct"/>
            <w:shd w:val="clear" w:color="auto" w:fill="A6A6A6" w:themeFill="background1" w:themeFillShade="A6"/>
            <w:noWrap/>
            <w:vAlign w:val="center"/>
            <w:hideMark/>
          </w:tcPr>
          <w:p w14:paraId="1B5DF571"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Concepto</w:t>
            </w:r>
          </w:p>
        </w:tc>
        <w:tc>
          <w:tcPr>
            <w:tcW w:w="595" w:type="pct"/>
            <w:gridSpan w:val="2"/>
            <w:shd w:val="clear" w:color="auto" w:fill="A6A6A6" w:themeFill="background1" w:themeFillShade="A6"/>
            <w:vAlign w:val="center"/>
          </w:tcPr>
          <w:p w14:paraId="7E9D9F8D"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2013</w:t>
            </w:r>
          </w:p>
        </w:tc>
        <w:tc>
          <w:tcPr>
            <w:tcW w:w="571" w:type="pct"/>
            <w:gridSpan w:val="2"/>
            <w:shd w:val="clear" w:color="auto" w:fill="A6A6A6" w:themeFill="background1" w:themeFillShade="A6"/>
            <w:vAlign w:val="center"/>
          </w:tcPr>
          <w:p w14:paraId="7FFEEA91"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2014</w:t>
            </w:r>
          </w:p>
        </w:tc>
        <w:tc>
          <w:tcPr>
            <w:tcW w:w="571" w:type="pct"/>
            <w:gridSpan w:val="2"/>
            <w:shd w:val="clear" w:color="auto" w:fill="A6A6A6" w:themeFill="background1" w:themeFillShade="A6"/>
            <w:vAlign w:val="center"/>
          </w:tcPr>
          <w:p w14:paraId="7179B0BD"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2015</w:t>
            </w:r>
          </w:p>
        </w:tc>
        <w:tc>
          <w:tcPr>
            <w:tcW w:w="571" w:type="pct"/>
            <w:gridSpan w:val="2"/>
            <w:shd w:val="clear" w:color="auto" w:fill="A6A6A6" w:themeFill="background1" w:themeFillShade="A6"/>
            <w:vAlign w:val="center"/>
          </w:tcPr>
          <w:p w14:paraId="647E2A6F"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2016</w:t>
            </w:r>
          </w:p>
        </w:tc>
        <w:tc>
          <w:tcPr>
            <w:tcW w:w="571" w:type="pct"/>
            <w:gridSpan w:val="2"/>
            <w:shd w:val="clear" w:color="auto" w:fill="A6A6A6" w:themeFill="background1" w:themeFillShade="A6"/>
            <w:noWrap/>
            <w:vAlign w:val="center"/>
            <w:hideMark/>
          </w:tcPr>
          <w:p w14:paraId="572ED431"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2017</w:t>
            </w:r>
          </w:p>
        </w:tc>
        <w:tc>
          <w:tcPr>
            <w:tcW w:w="560" w:type="pct"/>
            <w:gridSpan w:val="2"/>
            <w:shd w:val="clear" w:color="auto" w:fill="A6A6A6" w:themeFill="background1" w:themeFillShade="A6"/>
            <w:noWrap/>
            <w:vAlign w:val="center"/>
            <w:hideMark/>
          </w:tcPr>
          <w:p w14:paraId="3A8F3CE9"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2018</w:t>
            </w:r>
          </w:p>
        </w:tc>
        <w:tc>
          <w:tcPr>
            <w:tcW w:w="523" w:type="pct"/>
            <w:shd w:val="clear" w:color="auto" w:fill="A6A6A6" w:themeFill="background1" w:themeFillShade="A6"/>
            <w:noWrap/>
            <w:vAlign w:val="center"/>
            <w:hideMark/>
          </w:tcPr>
          <w:p w14:paraId="242079B5"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2019</w:t>
            </w:r>
          </w:p>
        </w:tc>
      </w:tr>
      <w:tr w:rsidR="00D30DC7" w:rsidRPr="00F30FD1" w14:paraId="4A6CCC1B" w14:textId="77777777" w:rsidTr="00D30DC7">
        <w:trPr>
          <w:trHeight w:val="300"/>
          <w:jc w:val="center"/>
        </w:trPr>
        <w:tc>
          <w:tcPr>
            <w:tcW w:w="999" w:type="pct"/>
            <w:shd w:val="clear" w:color="auto" w:fill="auto"/>
            <w:noWrap/>
            <w:vAlign w:val="center"/>
            <w:hideMark/>
          </w:tcPr>
          <w:p w14:paraId="02F7CB7A" w14:textId="77777777" w:rsidR="008D7DE4" w:rsidRPr="00F30FD1" w:rsidRDefault="008D7DE4" w:rsidP="009A715A">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Sobre uso o tenencia vehicular</w:t>
            </w:r>
          </w:p>
        </w:tc>
        <w:tc>
          <w:tcPr>
            <w:tcW w:w="570" w:type="pct"/>
            <w:vAlign w:val="center"/>
          </w:tcPr>
          <w:p w14:paraId="7745B061"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39,386,372</w:t>
            </w:r>
          </w:p>
        </w:tc>
        <w:tc>
          <w:tcPr>
            <w:tcW w:w="572" w:type="pct"/>
            <w:gridSpan w:val="2"/>
            <w:vAlign w:val="center"/>
          </w:tcPr>
          <w:p w14:paraId="478C67C2"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48,541,009</w:t>
            </w:r>
          </w:p>
        </w:tc>
        <w:tc>
          <w:tcPr>
            <w:tcW w:w="571" w:type="pct"/>
            <w:gridSpan w:val="2"/>
            <w:vAlign w:val="center"/>
          </w:tcPr>
          <w:p w14:paraId="70756B3E"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51,731,653</w:t>
            </w:r>
          </w:p>
        </w:tc>
        <w:tc>
          <w:tcPr>
            <w:tcW w:w="572" w:type="pct"/>
            <w:gridSpan w:val="2"/>
            <w:vAlign w:val="center"/>
          </w:tcPr>
          <w:p w14:paraId="63A02DB2"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53,445,749</w:t>
            </w:r>
          </w:p>
        </w:tc>
        <w:tc>
          <w:tcPr>
            <w:tcW w:w="571" w:type="pct"/>
            <w:gridSpan w:val="2"/>
            <w:shd w:val="clear" w:color="auto" w:fill="auto"/>
            <w:noWrap/>
            <w:vAlign w:val="center"/>
            <w:hideMark/>
          </w:tcPr>
          <w:p w14:paraId="1305EF64"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139,758,438</w:t>
            </w:r>
          </w:p>
        </w:tc>
        <w:tc>
          <w:tcPr>
            <w:tcW w:w="571" w:type="pct"/>
            <w:gridSpan w:val="2"/>
            <w:shd w:val="clear" w:color="auto" w:fill="auto"/>
            <w:noWrap/>
            <w:vAlign w:val="center"/>
            <w:hideMark/>
          </w:tcPr>
          <w:p w14:paraId="65BD8E1E"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88,200,539</w:t>
            </w:r>
          </w:p>
        </w:tc>
        <w:tc>
          <w:tcPr>
            <w:tcW w:w="572" w:type="pct"/>
            <w:gridSpan w:val="3"/>
            <w:shd w:val="clear" w:color="auto" w:fill="auto"/>
            <w:noWrap/>
            <w:vAlign w:val="center"/>
            <w:hideMark/>
          </w:tcPr>
          <w:p w14:paraId="3401F6FB"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121,416,806</w:t>
            </w:r>
          </w:p>
        </w:tc>
      </w:tr>
      <w:tr w:rsidR="00D30DC7" w:rsidRPr="00F30FD1" w14:paraId="3A53DC08" w14:textId="77777777" w:rsidTr="00D30DC7">
        <w:trPr>
          <w:trHeight w:val="300"/>
          <w:jc w:val="center"/>
        </w:trPr>
        <w:tc>
          <w:tcPr>
            <w:tcW w:w="999" w:type="pct"/>
            <w:shd w:val="clear" w:color="auto" w:fill="auto"/>
            <w:noWrap/>
            <w:vAlign w:val="center"/>
            <w:hideMark/>
          </w:tcPr>
          <w:p w14:paraId="4ADF083E" w14:textId="77777777" w:rsidR="008D7DE4" w:rsidRPr="00F30FD1" w:rsidRDefault="008D7DE4" w:rsidP="009A715A">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Sobre enajenación de vehículos de motor usados entre particulares</w:t>
            </w:r>
          </w:p>
        </w:tc>
        <w:tc>
          <w:tcPr>
            <w:tcW w:w="570" w:type="pct"/>
            <w:vAlign w:val="center"/>
          </w:tcPr>
          <w:p w14:paraId="694C0398"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11,386,605</w:t>
            </w:r>
          </w:p>
        </w:tc>
        <w:tc>
          <w:tcPr>
            <w:tcW w:w="572" w:type="pct"/>
            <w:gridSpan w:val="2"/>
            <w:vAlign w:val="center"/>
          </w:tcPr>
          <w:p w14:paraId="2432CC97"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6,749,919</w:t>
            </w:r>
          </w:p>
        </w:tc>
        <w:tc>
          <w:tcPr>
            <w:tcW w:w="571" w:type="pct"/>
            <w:gridSpan w:val="2"/>
            <w:vAlign w:val="center"/>
          </w:tcPr>
          <w:p w14:paraId="4BDF85AF"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20,457,516</w:t>
            </w:r>
          </w:p>
        </w:tc>
        <w:tc>
          <w:tcPr>
            <w:tcW w:w="572" w:type="pct"/>
            <w:gridSpan w:val="2"/>
            <w:vAlign w:val="center"/>
          </w:tcPr>
          <w:p w14:paraId="591879B1"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23,393,950</w:t>
            </w:r>
          </w:p>
        </w:tc>
        <w:tc>
          <w:tcPr>
            <w:tcW w:w="571" w:type="pct"/>
            <w:gridSpan w:val="2"/>
            <w:shd w:val="clear" w:color="auto" w:fill="auto"/>
            <w:noWrap/>
            <w:vAlign w:val="center"/>
            <w:hideMark/>
          </w:tcPr>
          <w:p w14:paraId="1B016374"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5,682,634</w:t>
            </w:r>
          </w:p>
        </w:tc>
        <w:tc>
          <w:tcPr>
            <w:tcW w:w="571" w:type="pct"/>
            <w:gridSpan w:val="2"/>
            <w:shd w:val="clear" w:color="auto" w:fill="auto"/>
            <w:noWrap/>
            <w:vAlign w:val="center"/>
            <w:hideMark/>
          </w:tcPr>
          <w:p w14:paraId="1F511F0D"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23,061,783</w:t>
            </w:r>
          </w:p>
        </w:tc>
        <w:tc>
          <w:tcPr>
            <w:tcW w:w="572" w:type="pct"/>
            <w:gridSpan w:val="3"/>
            <w:shd w:val="clear" w:color="auto" w:fill="auto"/>
            <w:noWrap/>
            <w:vAlign w:val="center"/>
            <w:hideMark/>
          </w:tcPr>
          <w:p w14:paraId="0620FB43"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20,950,034</w:t>
            </w:r>
          </w:p>
        </w:tc>
      </w:tr>
      <w:tr w:rsidR="00D30DC7" w:rsidRPr="00F30FD1" w14:paraId="701D243B" w14:textId="77777777" w:rsidTr="00D30DC7">
        <w:trPr>
          <w:trHeight w:val="300"/>
          <w:jc w:val="center"/>
        </w:trPr>
        <w:tc>
          <w:tcPr>
            <w:tcW w:w="999" w:type="pct"/>
            <w:shd w:val="clear" w:color="auto" w:fill="auto"/>
            <w:noWrap/>
            <w:vAlign w:val="center"/>
            <w:hideMark/>
          </w:tcPr>
          <w:p w14:paraId="3E2CFC91" w14:textId="77777777" w:rsidR="008D7DE4" w:rsidRPr="00F30FD1" w:rsidRDefault="008D7DE4" w:rsidP="009A715A">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Servicios de tránsito y control vehicular</w:t>
            </w:r>
          </w:p>
        </w:tc>
        <w:tc>
          <w:tcPr>
            <w:tcW w:w="570" w:type="pct"/>
            <w:vAlign w:val="center"/>
          </w:tcPr>
          <w:p w14:paraId="5EE22276"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99,421,106</w:t>
            </w:r>
          </w:p>
        </w:tc>
        <w:tc>
          <w:tcPr>
            <w:tcW w:w="572" w:type="pct"/>
            <w:gridSpan w:val="2"/>
            <w:vAlign w:val="center"/>
          </w:tcPr>
          <w:p w14:paraId="2450F644"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243,480,841</w:t>
            </w:r>
          </w:p>
        </w:tc>
        <w:tc>
          <w:tcPr>
            <w:tcW w:w="571" w:type="pct"/>
            <w:gridSpan w:val="2"/>
            <w:vAlign w:val="center"/>
          </w:tcPr>
          <w:p w14:paraId="510449AC"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133,325,358</w:t>
            </w:r>
          </w:p>
        </w:tc>
        <w:tc>
          <w:tcPr>
            <w:tcW w:w="572" w:type="pct"/>
            <w:gridSpan w:val="2"/>
            <w:vAlign w:val="center"/>
          </w:tcPr>
          <w:p w14:paraId="2C8B2374"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164,414,559</w:t>
            </w:r>
          </w:p>
        </w:tc>
        <w:tc>
          <w:tcPr>
            <w:tcW w:w="571" w:type="pct"/>
            <w:gridSpan w:val="2"/>
            <w:shd w:val="clear" w:color="auto" w:fill="auto"/>
            <w:noWrap/>
            <w:vAlign w:val="center"/>
            <w:hideMark/>
          </w:tcPr>
          <w:p w14:paraId="70DBD60E"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285,762,020</w:t>
            </w:r>
          </w:p>
        </w:tc>
        <w:tc>
          <w:tcPr>
            <w:tcW w:w="571" w:type="pct"/>
            <w:gridSpan w:val="2"/>
            <w:shd w:val="clear" w:color="auto" w:fill="auto"/>
            <w:noWrap/>
            <w:vAlign w:val="center"/>
            <w:hideMark/>
          </w:tcPr>
          <w:p w14:paraId="3CAFCAC7"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196,568,207</w:t>
            </w:r>
          </w:p>
        </w:tc>
        <w:tc>
          <w:tcPr>
            <w:tcW w:w="572" w:type="pct"/>
            <w:gridSpan w:val="3"/>
            <w:shd w:val="clear" w:color="auto" w:fill="auto"/>
            <w:noWrap/>
            <w:vAlign w:val="center"/>
            <w:hideMark/>
          </w:tcPr>
          <w:p w14:paraId="3F02F927"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193,268,694</w:t>
            </w:r>
          </w:p>
        </w:tc>
      </w:tr>
      <w:tr w:rsidR="00D30DC7" w:rsidRPr="00F30FD1" w14:paraId="3EFD5064" w14:textId="77777777" w:rsidTr="00D30DC7">
        <w:trPr>
          <w:trHeight w:val="300"/>
          <w:jc w:val="center"/>
        </w:trPr>
        <w:tc>
          <w:tcPr>
            <w:tcW w:w="999" w:type="pct"/>
            <w:shd w:val="clear" w:color="auto" w:fill="auto"/>
            <w:noWrap/>
            <w:vAlign w:val="center"/>
            <w:hideMark/>
          </w:tcPr>
          <w:p w14:paraId="2903EE2F" w14:textId="77777777" w:rsidR="008D7DE4" w:rsidRPr="00F30FD1" w:rsidRDefault="008D7DE4" w:rsidP="009A715A">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Impuesto Sobre Tenencia o Uso de Vehículos</w:t>
            </w:r>
          </w:p>
        </w:tc>
        <w:tc>
          <w:tcPr>
            <w:tcW w:w="570" w:type="pct"/>
            <w:vAlign w:val="center"/>
          </w:tcPr>
          <w:p w14:paraId="16D55991"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32,795,324</w:t>
            </w:r>
          </w:p>
        </w:tc>
        <w:tc>
          <w:tcPr>
            <w:tcW w:w="572" w:type="pct"/>
            <w:gridSpan w:val="2"/>
            <w:vAlign w:val="center"/>
          </w:tcPr>
          <w:p w14:paraId="11D9D703"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26,286,993</w:t>
            </w:r>
          </w:p>
        </w:tc>
        <w:tc>
          <w:tcPr>
            <w:tcW w:w="571" w:type="pct"/>
            <w:gridSpan w:val="2"/>
            <w:vAlign w:val="center"/>
          </w:tcPr>
          <w:p w14:paraId="6D1A3E91"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12,061,495</w:t>
            </w:r>
          </w:p>
        </w:tc>
        <w:tc>
          <w:tcPr>
            <w:tcW w:w="572" w:type="pct"/>
            <w:gridSpan w:val="2"/>
            <w:vAlign w:val="center"/>
          </w:tcPr>
          <w:p w14:paraId="22DF2E86"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4,480,778</w:t>
            </w:r>
          </w:p>
        </w:tc>
        <w:tc>
          <w:tcPr>
            <w:tcW w:w="571" w:type="pct"/>
            <w:gridSpan w:val="2"/>
            <w:shd w:val="clear" w:color="auto" w:fill="auto"/>
            <w:noWrap/>
            <w:vAlign w:val="center"/>
            <w:hideMark/>
          </w:tcPr>
          <w:p w14:paraId="6708893E"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3,347,122</w:t>
            </w:r>
          </w:p>
        </w:tc>
        <w:tc>
          <w:tcPr>
            <w:tcW w:w="571" w:type="pct"/>
            <w:gridSpan w:val="2"/>
            <w:shd w:val="clear" w:color="auto" w:fill="auto"/>
            <w:noWrap/>
            <w:vAlign w:val="center"/>
            <w:hideMark/>
          </w:tcPr>
          <w:p w14:paraId="4D860310"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880,753</w:t>
            </w:r>
          </w:p>
        </w:tc>
        <w:tc>
          <w:tcPr>
            <w:tcW w:w="572" w:type="pct"/>
            <w:gridSpan w:val="3"/>
            <w:shd w:val="clear" w:color="auto" w:fill="auto"/>
            <w:noWrap/>
            <w:vAlign w:val="center"/>
            <w:hideMark/>
          </w:tcPr>
          <w:p w14:paraId="29305A1A"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816,107</w:t>
            </w:r>
          </w:p>
        </w:tc>
      </w:tr>
      <w:tr w:rsidR="00D30DC7" w:rsidRPr="00F30FD1" w14:paraId="0319589F" w14:textId="77777777" w:rsidTr="00D30DC7">
        <w:trPr>
          <w:trHeight w:val="300"/>
          <w:jc w:val="center"/>
        </w:trPr>
        <w:tc>
          <w:tcPr>
            <w:tcW w:w="999" w:type="pct"/>
            <w:shd w:val="clear" w:color="auto" w:fill="auto"/>
            <w:noWrap/>
            <w:vAlign w:val="center"/>
            <w:hideMark/>
          </w:tcPr>
          <w:p w14:paraId="1701E7F8" w14:textId="77777777" w:rsidR="008D7DE4" w:rsidRPr="00F30FD1" w:rsidRDefault="008D7DE4" w:rsidP="009A715A">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TOTAL</w:t>
            </w:r>
          </w:p>
        </w:tc>
        <w:tc>
          <w:tcPr>
            <w:tcW w:w="570" w:type="pct"/>
            <w:vAlign w:val="center"/>
          </w:tcPr>
          <w:p w14:paraId="3F2CCE31"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182,989,407</w:t>
            </w:r>
          </w:p>
        </w:tc>
        <w:tc>
          <w:tcPr>
            <w:tcW w:w="572" w:type="pct"/>
            <w:gridSpan w:val="2"/>
            <w:vAlign w:val="center"/>
          </w:tcPr>
          <w:p w14:paraId="34EEF103"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325,058,762</w:t>
            </w:r>
          </w:p>
        </w:tc>
        <w:tc>
          <w:tcPr>
            <w:tcW w:w="571" w:type="pct"/>
            <w:gridSpan w:val="2"/>
            <w:vAlign w:val="center"/>
          </w:tcPr>
          <w:p w14:paraId="4DA0D74E"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217,576,022</w:t>
            </w:r>
          </w:p>
        </w:tc>
        <w:tc>
          <w:tcPr>
            <w:tcW w:w="572" w:type="pct"/>
            <w:gridSpan w:val="2"/>
            <w:vAlign w:val="center"/>
          </w:tcPr>
          <w:p w14:paraId="2E70B5A9"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245,735,036</w:t>
            </w:r>
          </w:p>
        </w:tc>
        <w:tc>
          <w:tcPr>
            <w:tcW w:w="571" w:type="pct"/>
            <w:gridSpan w:val="2"/>
            <w:shd w:val="clear" w:color="auto" w:fill="auto"/>
            <w:noWrap/>
            <w:vAlign w:val="center"/>
            <w:hideMark/>
          </w:tcPr>
          <w:p w14:paraId="34F5E492"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434,550,214</w:t>
            </w:r>
          </w:p>
        </w:tc>
        <w:tc>
          <w:tcPr>
            <w:tcW w:w="571" w:type="pct"/>
            <w:gridSpan w:val="2"/>
            <w:shd w:val="clear" w:color="auto" w:fill="auto"/>
            <w:noWrap/>
            <w:vAlign w:val="center"/>
            <w:hideMark/>
          </w:tcPr>
          <w:p w14:paraId="584E7627"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308,711,282</w:t>
            </w:r>
          </w:p>
        </w:tc>
        <w:tc>
          <w:tcPr>
            <w:tcW w:w="572" w:type="pct"/>
            <w:gridSpan w:val="3"/>
            <w:shd w:val="clear" w:color="auto" w:fill="auto"/>
            <w:noWrap/>
            <w:vAlign w:val="center"/>
            <w:hideMark/>
          </w:tcPr>
          <w:p w14:paraId="55178A16" w14:textId="77777777" w:rsidR="008D7DE4" w:rsidRPr="00F30FD1" w:rsidRDefault="008D7DE4" w:rsidP="009A715A">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336,451,641</w:t>
            </w:r>
          </w:p>
        </w:tc>
      </w:tr>
      <w:tr w:rsidR="00D30DC7" w:rsidRPr="00F30FD1" w14:paraId="794E82DC" w14:textId="77777777" w:rsidTr="0047725C">
        <w:trPr>
          <w:trHeight w:val="300"/>
          <w:jc w:val="center"/>
        </w:trPr>
        <w:tc>
          <w:tcPr>
            <w:tcW w:w="999" w:type="pct"/>
            <w:shd w:val="clear" w:color="auto" w:fill="BFBFBF" w:themeFill="background1" w:themeFillShade="BF"/>
            <w:noWrap/>
            <w:vAlign w:val="center"/>
            <w:hideMark/>
          </w:tcPr>
          <w:p w14:paraId="7E696B14"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Padrón vehicular registrado.</w:t>
            </w:r>
          </w:p>
        </w:tc>
        <w:tc>
          <w:tcPr>
            <w:tcW w:w="570" w:type="pct"/>
            <w:shd w:val="clear" w:color="auto" w:fill="BFBFBF" w:themeFill="background1" w:themeFillShade="BF"/>
            <w:vAlign w:val="center"/>
          </w:tcPr>
          <w:p w14:paraId="2D3DDBA0" w14:textId="77777777" w:rsidR="008D7DE4" w:rsidRPr="00F30FD1" w:rsidRDefault="008D7DE4" w:rsidP="00E668AF">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544,365</w:t>
            </w:r>
          </w:p>
        </w:tc>
        <w:tc>
          <w:tcPr>
            <w:tcW w:w="572" w:type="pct"/>
            <w:gridSpan w:val="2"/>
            <w:shd w:val="clear" w:color="auto" w:fill="BFBFBF" w:themeFill="background1" w:themeFillShade="BF"/>
            <w:vAlign w:val="center"/>
          </w:tcPr>
          <w:p w14:paraId="391F4F2F" w14:textId="77777777" w:rsidR="008D7DE4" w:rsidRPr="00F30FD1" w:rsidRDefault="008D7DE4" w:rsidP="00E668AF">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587,890</w:t>
            </w:r>
          </w:p>
        </w:tc>
        <w:tc>
          <w:tcPr>
            <w:tcW w:w="571" w:type="pct"/>
            <w:gridSpan w:val="2"/>
            <w:shd w:val="clear" w:color="auto" w:fill="BFBFBF" w:themeFill="background1" w:themeFillShade="BF"/>
            <w:vAlign w:val="center"/>
          </w:tcPr>
          <w:p w14:paraId="012D918C" w14:textId="77777777" w:rsidR="008D7DE4" w:rsidRPr="00F30FD1" w:rsidRDefault="008D7DE4" w:rsidP="00E668AF">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634,906</w:t>
            </w:r>
          </w:p>
        </w:tc>
        <w:tc>
          <w:tcPr>
            <w:tcW w:w="572" w:type="pct"/>
            <w:gridSpan w:val="2"/>
            <w:shd w:val="clear" w:color="auto" w:fill="BFBFBF" w:themeFill="background1" w:themeFillShade="BF"/>
            <w:vAlign w:val="center"/>
          </w:tcPr>
          <w:p w14:paraId="4C3568AC" w14:textId="77777777" w:rsidR="008D7DE4" w:rsidRPr="00F30FD1" w:rsidRDefault="008D7DE4" w:rsidP="00E668AF">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675,213</w:t>
            </w:r>
          </w:p>
        </w:tc>
        <w:tc>
          <w:tcPr>
            <w:tcW w:w="571" w:type="pct"/>
            <w:gridSpan w:val="2"/>
            <w:shd w:val="clear" w:color="auto" w:fill="BFBFBF" w:themeFill="background1" w:themeFillShade="BF"/>
            <w:noWrap/>
            <w:vAlign w:val="center"/>
          </w:tcPr>
          <w:p w14:paraId="37FD6CE5" w14:textId="406A0298" w:rsidR="008D7DE4" w:rsidRPr="00F30FD1" w:rsidRDefault="0047725C" w:rsidP="00E668AF">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756.672</w:t>
            </w:r>
          </w:p>
        </w:tc>
        <w:tc>
          <w:tcPr>
            <w:tcW w:w="571" w:type="pct"/>
            <w:gridSpan w:val="2"/>
            <w:shd w:val="clear" w:color="auto" w:fill="BFBFBF" w:themeFill="background1" w:themeFillShade="BF"/>
            <w:noWrap/>
            <w:vAlign w:val="center"/>
          </w:tcPr>
          <w:p w14:paraId="10476D67" w14:textId="5C34B3C2" w:rsidR="008D7DE4" w:rsidRPr="00F30FD1" w:rsidRDefault="0047725C" w:rsidP="00E668AF">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815.612</w:t>
            </w:r>
          </w:p>
        </w:tc>
        <w:tc>
          <w:tcPr>
            <w:tcW w:w="572" w:type="pct"/>
            <w:gridSpan w:val="3"/>
            <w:shd w:val="clear" w:color="auto" w:fill="BFBFBF" w:themeFill="background1" w:themeFillShade="BF"/>
            <w:noWrap/>
            <w:vAlign w:val="center"/>
          </w:tcPr>
          <w:p w14:paraId="1F3CC496" w14:textId="718B205D" w:rsidR="008D7DE4" w:rsidRPr="00F30FD1" w:rsidRDefault="0047725C" w:rsidP="00E668AF">
            <w:pPr>
              <w:spacing w:after="0" w:line="240" w:lineRule="auto"/>
              <w:jc w:val="center"/>
              <w:textboxTightWrap w:val="allLines"/>
              <w:rPr>
                <w:rFonts w:eastAsia="Times New Roman" w:cs="Futura"/>
                <w:color w:val="595959"/>
                <w:sz w:val="16"/>
                <w:szCs w:val="16"/>
              </w:rPr>
            </w:pPr>
            <w:r w:rsidRPr="00F30FD1">
              <w:rPr>
                <w:rFonts w:eastAsia="Times New Roman" w:cs="Futura"/>
                <w:color w:val="595959"/>
                <w:sz w:val="16"/>
                <w:szCs w:val="16"/>
              </w:rPr>
              <w:t>867.895</w:t>
            </w:r>
          </w:p>
        </w:tc>
      </w:tr>
    </w:tbl>
    <w:p w14:paraId="53FF1FFE" w14:textId="77777777" w:rsidR="008D7DE4" w:rsidRPr="00F30FD1" w:rsidRDefault="008D7DE4" w:rsidP="008D7DE4">
      <w:pPr>
        <w:spacing w:after="0" w:line="240" w:lineRule="auto"/>
        <w:ind w:left="709"/>
        <w:rPr>
          <w:sz w:val="16"/>
          <w:szCs w:val="20"/>
        </w:rPr>
      </w:pPr>
      <w:r w:rsidRPr="00F30FD1">
        <w:rPr>
          <w:sz w:val="16"/>
          <w:szCs w:val="20"/>
        </w:rPr>
        <w:t>Nota: Se registró canje de placas en 2011, 2014 y 2017</w:t>
      </w:r>
    </w:p>
    <w:p w14:paraId="7D7B26AA" w14:textId="77777777" w:rsidR="008D7DE4" w:rsidRPr="00F30FD1" w:rsidRDefault="008D7DE4" w:rsidP="008D7DE4">
      <w:pPr>
        <w:spacing w:after="0" w:line="240" w:lineRule="auto"/>
        <w:ind w:left="709"/>
        <w:rPr>
          <w:sz w:val="16"/>
          <w:szCs w:val="20"/>
        </w:rPr>
      </w:pPr>
      <w:r w:rsidRPr="00F30FD1">
        <w:rPr>
          <w:sz w:val="16"/>
          <w:szCs w:val="20"/>
        </w:rPr>
        <w:t>Fuente: Secretaría de Finanzas y Planeación.</w:t>
      </w:r>
    </w:p>
    <w:p w14:paraId="78874E53" w14:textId="77777777" w:rsidR="008D7DE4" w:rsidRPr="00F30FD1" w:rsidRDefault="008D7DE4" w:rsidP="0047725C">
      <w:pPr>
        <w:spacing w:after="0" w:line="240" w:lineRule="auto"/>
        <w:jc w:val="center"/>
        <w:textboxTightWrap w:val="allLines"/>
      </w:pPr>
    </w:p>
    <w:p w14:paraId="3D9DCEFC" w14:textId="77777777" w:rsidR="00B43376" w:rsidRPr="00F30FD1" w:rsidRDefault="00B43376" w:rsidP="00B43376">
      <w:pPr>
        <w:rPr>
          <w:rFonts w:eastAsia="Times New Roman" w:cs="Futura"/>
          <w:color w:val="595959"/>
        </w:rPr>
      </w:pPr>
      <w:r w:rsidRPr="00F30FD1">
        <w:rPr>
          <w:rFonts w:eastAsia="Times New Roman" w:cs="Futura"/>
          <w:color w:val="595959"/>
        </w:rPr>
        <w:t xml:space="preserve">Existe una debilidad en lo que respecta a la información catastral, fuentes oficiales de información dan a conocer que la modernización de los catastros se ha dado en 22 estados de la República, </w:t>
      </w:r>
    </w:p>
    <w:p w14:paraId="64129AB2" w14:textId="56628519" w:rsidR="00D30DC7" w:rsidRPr="00F30FD1" w:rsidRDefault="00B43376" w:rsidP="000847C4">
      <w:pPr>
        <w:rPr>
          <w:rFonts w:eastAsia="Arial" w:cs="Times New Roman"/>
          <w:b/>
          <w:bCs/>
          <w:color w:val="4BACC6" w:themeColor="accent5"/>
          <w:lang w:val="es-MX" w:eastAsia="en-US"/>
        </w:rPr>
      </w:pPr>
      <w:r w:rsidRPr="00F30FD1">
        <w:rPr>
          <w:rFonts w:eastAsia="Times New Roman" w:cs="Futura"/>
          <w:color w:val="595959"/>
        </w:rPr>
        <w:t>Para efectos de poder minimizar la morosidad en el pago de contribuciones por parte de los contribuyentes, Gobierno del Estado en coordinación con la Federación genera diligencias para la recuperación de contribuciones vencidas, lo cual genera incentivos hacia el Estado como ingresos adicionales:</w:t>
      </w:r>
    </w:p>
    <w:p w14:paraId="678C69AE" w14:textId="77777777" w:rsidR="00C920BF" w:rsidRPr="00F30FD1" w:rsidRDefault="00C920BF">
      <w:pPr>
        <w:spacing w:after="0" w:line="240" w:lineRule="auto"/>
        <w:jc w:val="left"/>
        <w:rPr>
          <w:rFonts w:eastAsia="Arial" w:cs="Times New Roman"/>
          <w:b/>
          <w:bCs/>
          <w:color w:val="4BACC6" w:themeColor="accent5"/>
          <w:lang w:val="es-MX" w:eastAsia="en-US"/>
        </w:rPr>
      </w:pPr>
      <w:r w:rsidRPr="00F30FD1">
        <w:rPr>
          <w:rFonts w:eastAsia="Arial" w:cs="Times New Roman"/>
          <w:b/>
          <w:bCs/>
          <w:color w:val="4BACC6" w:themeColor="accent5"/>
          <w:lang w:val="es-MX" w:eastAsia="en-US"/>
        </w:rPr>
        <w:br w:type="page"/>
      </w:r>
    </w:p>
    <w:p w14:paraId="1C664DDD" w14:textId="436A7EB9" w:rsidR="008D7DE4" w:rsidRPr="00F30FD1" w:rsidRDefault="00D30DC7" w:rsidP="008D7DE4">
      <w:pPr>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lastRenderedPageBreak/>
        <w:t>Tabla</w:t>
      </w:r>
      <w:r w:rsidR="008D7DE4" w:rsidRPr="00F30FD1">
        <w:rPr>
          <w:rFonts w:eastAsia="Arial" w:cs="Times New Roman"/>
          <w:b/>
          <w:bCs/>
          <w:color w:val="4BACC6" w:themeColor="accent5"/>
          <w:lang w:val="es-MX" w:eastAsia="en-US"/>
        </w:rPr>
        <w:t xml:space="preserve"> </w:t>
      </w:r>
      <w:r w:rsidRPr="00F30FD1">
        <w:rPr>
          <w:rFonts w:eastAsia="Arial" w:cs="Times New Roman"/>
          <w:b/>
          <w:bCs/>
          <w:color w:val="4BACC6" w:themeColor="accent5"/>
          <w:lang w:val="es-MX" w:eastAsia="en-US"/>
        </w:rPr>
        <w:t>T</w:t>
      </w:r>
      <w:r w:rsidR="008D7DE4" w:rsidRPr="00F30FD1">
        <w:rPr>
          <w:rFonts w:eastAsia="Arial" w:cs="Times New Roman"/>
          <w:b/>
          <w:bCs/>
          <w:color w:val="4BACC6" w:themeColor="accent5"/>
          <w:lang w:val="es-MX" w:eastAsia="en-US"/>
        </w:rPr>
        <w:t>.6.- Vigilancias Federales Coordinadas</w:t>
      </w:r>
    </w:p>
    <w:tbl>
      <w:tblPr>
        <w:tblW w:w="5000" w:type="pct"/>
        <w:tblCellMar>
          <w:left w:w="70" w:type="dxa"/>
          <w:right w:w="70" w:type="dxa"/>
        </w:tblCellMar>
        <w:tblLook w:val="04A0" w:firstRow="1" w:lastRow="0" w:firstColumn="1" w:lastColumn="0" w:noHBand="0" w:noVBand="1"/>
      </w:tblPr>
      <w:tblGrid>
        <w:gridCol w:w="1762"/>
        <w:gridCol w:w="639"/>
        <w:gridCol w:w="1230"/>
        <w:gridCol w:w="745"/>
        <w:gridCol w:w="1028"/>
        <w:gridCol w:w="788"/>
        <w:gridCol w:w="1064"/>
        <w:gridCol w:w="791"/>
        <w:gridCol w:w="1640"/>
      </w:tblGrid>
      <w:tr w:rsidR="008D7DE4" w:rsidRPr="00F30FD1" w14:paraId="4877E1B7" w14:textId="77777777" w:rsidTr="00E668AF">
        <w:trPr>
          <w:trHeight w:val="600"/>
        </w:trPr>
        <w:tc>
          <w:tcPr>
            <w:tcW w:w="8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C5D388"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bookmarkStart w:id="5" w:name="_Hlk34837064"/>
            <w:r w:rsidRPr="00F30FD1">
              <w:rPr>
                <w:rFonts w:eastAsia="Times New Roman" w:cs="Futura"/>
                <w:color w:val="595959"/>
                <w:sz w:val="20"/>
                <w:szCs w:val="20"/>
              </w:rPr>
              <w:t>Vigilancia Plus 2015</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0F50BD62"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Meta 2015</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277E1C3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Diligenciados</w:t>
            </w:r>
          </w:p>
        </w:tc>
        <w:tc>
          <w:tcPr>
            <w:tcW w:w="393" w:type="pct"/>
            <w:tcBorders>
              <w:top w:val="single" w:sz="4" w:space="0" w:color="auto"/>
              <w:left w:val="nil"/>
              <w:bottom w:val="single" w:sz="4" w:space="0" w:color="auto"/>
              <w:right w:val="single" w:sz="4" w:space="0" w:color="auto"/>
            </w:tcBorders>
            <w:shd w:val="clear" w:color="000000" w:fill="BFBFBF"/>
            <w:vAlign w:val="center"/>
            <w:hideMark/>
          </w:tcPr>
          <w:p w14:paraId="2C0C3122"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Avance</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6AC5BB11"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Entregados</w:t>
            </w:r>
          </w:p>
        </w:tc>
        <w:tc>
          <w:tcPr>
            <w:tcW w:w="415" w:type="pct"/>
            <w:tcBorders>
              <w:top w:val="single" w:sz="4" w:space="0" w:color="auto"/>
              <w:left w:val="nil"/>
              <w:bottom w:val="single" w:sz="4" w:space="0" w:color="auto"/>
              <w:right w:val="single" w:sz="4" w:space="0" w:color="auto"/>
            </w:tcBorders>
            <w:shd w:val="clear" w:color="000000" w:fill="BFBFBF"/>
            <w:vAlign w:val="center"/>
            <w:hideMark/>
          </w:tcPr>
          <w:p w14:paraId="3EA67396"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12AD177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No localizados</w:t>
            </w:r>
          </w:p>
        </w:tc>
        <w:tc>
          <w:tcPr>
            <w:tcW w:w="416" w:type="pct"/>
            <w:tcBorders>
              <w:top w:val="single" w:sz="4" w:space="0" w:color="auto"/>
              <w:left w:val="nil"/>
              <w:bottom w:val="single" w:sz="4" w:space="0" w:color="auto"/>
              <w:right w:val="single" w:sz="4" w:space="0" w:color="auto"/>
            </w:tcBorders>
            <w:shd w:val="clear" w:color="000000" w:fill="BFBFBF"/>
            <w:vAlign w:val="center"/>
            <w:hideMark/>
          </w:tcPr>
          <w:p w14:paraId="1568E447"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854" w:type="pct"/>
            <w:tcBorders>
              <w:top w:val="single" w:sz="4" w:space="0" w:color="auto"/>
              <w:left w:val="nil"/>
              <w:bottom w:val="single" w:sz="4" w:space="0" w:color="auto"/>
              <w:right w:val="single" w:sz="4" w:space="0" w:color="auto"/>
            </w:tcBorders>
            <w:shd w:val="clear" w:color="000000" w:fill="BFBFBF"/>
            <w:vAlign w:val="center"/>
            <w:hideMark/>
          </w:tcPr>
          <w:p w14:paraId="740A414B"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incentivos obtenidos</w:t>
            </w:r>
          </w:p>
        </w:tc>
      </w:tr>
      <w:tr w:rsidR="008D7DE4" w:rsidRPr="00F30FD1" w14:paraId="1DE3C69A" w14:textId="77777777" w:rsidTr="00E668AF">
        <w:trPr>
          <w:trHeight w:val="30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3A1B12E8"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p>
        </w:tc>
        <w:tc>
          <w:tcPr>
            <w:tcW w:w="336" w:type="pct"/>
            <w:tcBorders>
              <w:top w:val="nil"/>
              <w:left w:val="nil"/>
              <w:bottom w:val="single" w:sz="4" w:space="0" w:color="auto"/>
              <w:right w:val="single" w:sz="4" w:space="0" w:color="auto"/>
            </w:tcBorders>
            <w:shd w:val="clear" w:color="auto" w:fill="auto"/>
            <w:noWrap/>
            <w:vAlign w:val="center"/>
            <w:hideMark/>
          </w:tcPr>
          <w:p w14:paraId="3BB1179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7,800</w:t>
            </w:r>
          </w:p>
        </w:tc>
        <w:tc>
          <w:tcPr>
            <w:tcW w:w="645" w:type="pct"/>
            <w:tcBorders>
              <w:top w:val="nil"/>
              <w:left w:val="nil"/>
              <w:bottom w:val="single" w:sz="4" w:space="0" w:color="auto"/>
              <w:right w:val="single" w:sz="4" w:space="0" w:color="auto"/>
            </w:tcBorders>
            <w:shd w:val="clear" w:color="auto" w:fill="auto"/>
            <w:noWrap/>
            <w:vAlign w:val="center"/>
            <w:hideMark/>
          </w:tcPr>
          <w:p w14:paraId="13E1BB85"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7,781</w:t>
            </w:r>
          </w:p>
        </w:tc>
        <w:tc>
          <w:tcPr>
            <w:tcW w:w="393" w:type="pct"/>
            <w:tcBorders>
              <w:top w:val="nil"/>
              <w:left w:val="nil"/>
              <w:bottom w:val="single" w:sz="4" w:space="0" w:color="auto"/>
              <w:right w:val="single" w:sz="4" w:space="0" w:color="auto"/>
            </w:tcBorders>
            <w:shd w:val="clear" w:color="000000" w:fill="BFBFBF"/>
            <w:noWrap/>
            <w:vAlign w:val="center"/>
            <w:hideMark/>
          </w:tcPr>
          <w:p w14:paraId="55E3866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100%</w:t>
            </w:r>
          </w:p>
        </w:tc>
        <w:tc>
          <w:tcPr>
            <w:tcW w:w="539" w:type="pct"/>
            <w:tcBorders>
              <w:top w:val="nil"/>
              <w:left w:val="nil"/>
              <w:bottom w:val="single" w:sz="4" w:space="0" w:color="auto"/>
              <w:right w:val="single" w:sz="4" w:space="0" w:color="auto"/>
            </w:tcBorders>
            <w:shd w:val="clear" w:color="auto" w:fill="auto"/>
            <w:noWrap/>
            <w:vAlign w:val="center"/>
            <w:hideMark/>
          </w:tcPr>
          <w:p w14:paraId="14A6FF66"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6,205</w:t>
            </w:r>
          </w:p>
        </w:tc>
        <w:tc>
          <w:tcPr>
            <w:tcW w:w="415" w:type="pct"/>
            <w:tcBorders>
              <w:top w:val="nil"/>
              <w:left w:val="nil"/>
              <w:bottom w:val="single" w:sz="4" w:space="0" w:color="auto"/>
              <w:right w:val="single" w:sz="4" w:space="0" w:color="auto"/>
            </w:tcBorders>
            <w:shd w:val="clear" w:color="000000" w:fill="BFBFBF"/>
            <w:noWrap/>
            <w:vAlign w:val="center"/>
            <w:hideMark/>
          </w:tcPr>
          <w:p w14:paraId="65A09C75"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80%</w:t>
            </w:r>
          </w:p>
        </w:tc>
        <w:tc>
          <w:tcPr>
            <w:tcW w:w="557" w:type="pct"/>
            <w:tcBorders>
              <w:top w:val="nil"/>
              <w:left w:val="nil"/>
              <w:bottom w:val="single" w:sz="4" w:space="0" w:color="auto"/>
              <w:right w:val="single" w:sz="4" w:space="0" w:color="auto"/>
            </w:tcBorders>
            <w:shd w:val="clear" w:color="auto" w:fill="auto"/>
            <w:noWrap/>
            <w:vAlign w:val="center"/>
            <w:hideMark/>
          </w:tcPr>
          <w:p w14:paraId="5D9F1B61"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1576</w:t>
            </w:r>
          </w:p>
        </w:tc>
        <w:tc>
          <w:tcPr>
            <w:tcW w:w="416" w:type="pct"/>
            <w:tcBorders>
              <w:top w:val="nil"/>
              <w:left w:val="nil"/>
              <w:bottom w:val="single" w:sz="4" w:space="0" w:color="auto"/>
              <w:right w:val="single" w:sz="4" w:space="0" w:color="auto"/>
            </w:tcBorders>
            <w:shd w:val="clear" w:color="000000" w:fill="BFBFBF"/>
            <w:noWrap/>
            <w:vAlign w:val="center"/>
            <w:hideMark/>
          </w:tcPr>
          <w:p w14:paraId="3BEA4123"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w:t>
            </w:r>
          </w:p>
        </w:tc>
        <w:tc>
          <w:tcPr>
            <w:tcW w:w="854" w:type="pct"/>
            <w:tcBorders>
              <w:top w:val="nil"/>
              <w:left w:val="nil"/>
              <w:bottom w:val="single" w:sz="4" w:space="0" w:color="auto"/>
              <w:right w:val="single" w:sz="4" w:space="0" w:color="auto"/>
            </w:tcBorders>
            <w:shd w:val="clear" w:color="000000" w:fill="BFBFBF"/>
            <w:noWrap/>
            <w:vAlign w:val="center"/>
            <w:hideMark/>
          </w:tcPr>
          <w:p w14:paraId="24D1C0F2"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$37,752,958.00</w:t>
            </w:r>
          </w:p>
        </w:tc>
      </w:tr>
      <w:tr w:rsidR="008D7DE4" w:rsidRPr="00F30FD1" w14:paraId="25765632" w14:textId="77777777" w:rsidTr="00E668AF">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646CEBF"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p>
        </w:tc>
      </w:tr>
      <w:tr w:rsidR="008D7DE4" w:rsidRPr="00F30FD1" w14:paraId="45752D32" w14:textId="77777777" w:rsidTr="00E668AF">
        <w:trPr>
          <w:trHeight w:val="600"/>
        </w:trPr>
        <w:tc>
          <w:tcPr>
            <w:tcW w:w="8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7D589B7"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Vigilancia Plus 2016</w:t>
            </w:r>
          </w:p>
        </w:tc>
        <w:tc>
          <w:tcPr>
            <w:tcW w:w="336" w:type="pct"/>
            <w:tcBorders>
              <w:top w:val="nil"/>
              <w:left w:val="nil"/>
              <w:bottom w:val="single" w:sz="4" w:space="0" w:color="auto"/>
              <w:right w:val="single" w:sz="4" w:space="0" w:color="auto"/>
            </w:tcBorders>
            <w:shd w:val="clear" w:color="auto" w:fill="auto"/>
            <w:vAlign w:val="center"/>
            <w:hideMark/>
          </w:tcPr>
          <w:p w14:paraId="66110B3E"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Meta 2016</w:t>
            </w:r>
          </w:p>
        </w:tc>
        <w:tc>
          <w:tcPr>
            <w:tcW w:w="645" w:type="pct"/>
            <w:tcBorders>
              <w:top w:val="nil"/>
              <w:left w:val="nil"/>
              <w:bottom w:val="single" w:sz="4" w:space="0" w:color="auto"/>
              <w:right w:val="single" w:sz="4" w:space="0" w:color="auto"/>
            </w:tcBorders>
            <w:shd w:val="clear" w:color="auto" w:fill="auto"/>
            <w:vAlign w:val="center"/>
            <w:hideMark/>
          </w:tcPr>
          <w:p w14:paraId="36E93A97"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Diligenciados</w:t>
            </w:r>
          </w:p>
        </w:tc>
        <w:tc>
          <w:tcPr>
            <w:tcW w:w="393" w:type="pct"/>
            <w:tcBorders>
              <w:top w:val="nil"/>
              <w:left w:val="nil"/>
              <w:bottom w:val="single" w:sz="4" w:space="0" w:color="auto"/>
              <w:right w:val="single" w:sz="4" w:space="0" w:color="auto"/>
            </w:tcBorders>
            <w:shd w:val="clear" w:color="000000" w:fill="BFBFBF"/>
            <w:vAlign w:val="center"/>
            <w:hideMark/>
          </w:tcPr>
          <w:p w14:paraId="2C79905E"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Avance</w:t>
            </w:r>
          </w:p>
        </w:tc>
        <w:tc>
          <w:tcPr>
            <w:tcW w:w="539" w:type="pct"/>
            <w:tcBorders>
              <w:top w:val="nil"/>
              <w:left w:val="nil"/>
              <w:bottom w:val="single" w:sz="4" w:space="0" w:color="auto"/>
              <w:right w:val="single" w:sz="4" w:space="0" w:color="auto"/>
            </w:tcBorders>
            <w:shd w:val="clear" w:color="auto" w:fill="auto"/>
            <w:vAlign w:val="center"/>
            <w:hideMark/>
          </w:tcPr>
          <w:p w14:paraId="4EA4340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Entregados</w:t>
            </w:r>
          </w:p>
        </w:tc>
        <w:tc>
          <w:tcPr>
            <w:tcW w:w="415" w:type="pct"/>
            <w:tcBorders>
              <w:top w:val="nil"/>
              <w:left w:val="nil"/>
              <w:bottom w:val="single" w:sz="4" w:space="0" w:color="auto"/>
              <w:right w:val="single" w:sz="4" w:space="0" w:color="auto"/>
            </w:tcBorders>
            <w:shd w:val="clear" w:color="000000" w:fill="BFBFBF"/>
            <w:vAlign w:val="center"/>
            <w:hideMark/>
          </w:tcPr>
          <w:p w14:paraId="0C6BB347"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557" w:type="pct"/>
            <w:tcBorders>
              <w:top w:val="nil"/>
              <w:left w:val="nil"/>
              <w:bottom w:val="single" w:sz="4" w:space="0" w:color="auto"/>
              <w:right w:val="single" w:sz="4" w:space="0" w:color="auto"/>
            </w:tcBorders>
            <w:shd w:val="clear" w:color="auto" w:fill="auto"/>
            <w:vAlign w:val="center"/>
            <w:hideMark/>
          </w:tcPr>
          <w:p w14:paraId="1AC96504"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No localizados</w:t>
            </w:r>
          </w:p>
        </w:tc>
        <w:tc>
          <w:tcPr>
            <w:tcW w:w="416" w:type="pct"/>
            <w:tcBorders>
              <w:top w:val="nil"/>
              <w:left w:val="nil"/>
              <w:bottom w:val="single" w:sz="4" w:space="0" w:color="auto"/>
              <w:right w:val="single" w:sz="4" w:space="0" w:color="auto"/>
            </w:tcBorders>
            <w:shd w:val="clear" w:color="000000" w:fill="BFBFBF"/>
            <w:vAlign w:val="center"/>
            <w:hideMark/>
          </w:tcPr>
          <w:p w14:paraId="3B350319"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854" w:type="pct"/>
            <w:tcBorders>
              <w:top w:val="nil"/>
              <w:left w:val="nil"/>
              <w:bottom w:val="single" w:sz="4" w:space="0" w:color="auto"/>
              <w:right w:val="single" w:sz="4" w:space="0" w:color="auto"/>
            </w:tcBorders>
            <w:shd w:val="clear" w:color="000000" w:fill="BFBFBF"/>
            <w:vAlign w:val="center"/>
            <w:hideMark/>
          </w:tcPr>
          <w:p w14:paraId="7BC4BC35"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incentivos obtenidos</w:t>
            </w:r>
          </w:p>
        </w:tc>
      </w:tr>
      <w:tr w:rsidR="008D7DE4" w:rsidRPr="00F30FD1" w14:paraId="575155D9" w14:textId="77777777" w:rsidTr="00E668AF">
        <w:trPr>
          <w:trHeight w:val="300"/>
        </w:trPr>
        <w:tc>
          <w:tcPr>
            <w:tcW w:w="845" w:type="pct"/>
            <w:vMerge/>
            <w:tcBorders>
              <w:top w:val="nil"/>
              <w:left w:val="single" w:sz="4" w:space="0" w:color="auto"/>
              <w:bottom w:val="single" w:sz="4" w:space="0" w:color="auto"/>
              <w:right w:val="single" w:sz="4" w:space="0" w:color="auto"/>
            </w:tcBorders>
            <w:vAlign w:val="center"/>
            <w:hideMark/>
          </w:tcPr>
          <w:p w14:paraId="3B53BF64"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p>
        </w:tc>
        <w:tc>
          <w:tcPr>
            <w:tcW w:w="336" w:type="pct"/>
            <w:tcBorders>
              <w:top w:val="nil"/>
              <w:left w:val="nil"/>
              <w:bottom w:val="single" w:sz="4" w:space="0" w:color="auto"/>
              <w:right w:val="single" w:sz="4" w:space="0" w:color="auto"/>
            </w:tcBorders>
            <w:shd w:val="clear" w:color="auto" w:fill="auto"/>
            <w:noWrap/>
            <w:vAlign w:val="center"/>
            <w:hideMark/>
          </w:tcPr>
          <w:p w14:paraId="16E22C35"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7,800</w:t>
            </w:r>
          </w:p>
        </w:tc>
        <w:tc>
          <w:tcPr>
            <w:tcW w:w="645" w:type="pct"/>
            <w:tcBorders>
              <w:top w:val="nil"/>
              <w:left w:val="nil"/>
              <w:bottom w:val="single" w:sz="4" w:space="0" w:color="auto"/>
              <w:right w:val="single" w:sz="4" w:space="0" w:color="auto"/>
            </w:tcBorders>
            <w:shd w:val="clear" w:color="auto" w:fill="auto"/>
            <w:noWrap/>
            <w:vAlign w:val="center"/>
            <w:hideMark/>
          </w:tcPr>
          <w:p w14:paraId="7DC6AEAA"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7,795</w:t>
            </w:r>
          </w:p>
        </w:tc>
        <w:tc>
          <w:tcPr>
            <w:tcW w:w="393" w:type="pct"/>
            <w:tcBorders>
              <w:top w:val="nil"/>
              <w:left w:val="nil"/>
              <w:bottom w:val="single" w:sz="4" w:space="0" w:color="auto"/>
              <w:right w:val="single" w:sz="4" w:space="0" w:color="auto"/>
            </w:tcBorders>
            <w:shd w:val="clear" w:color="000000" w:fill="BFBFBF"/>
            <w:noWrap/>
            <w:vAlign w:val="center"/>
            <w:hideMark/>
          </w:tcPr>
          <w:p w14:paraId="4A279F8D"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100%</w:t>
            </w:r>
          </w:p>
        </w:tc>
        <w:tc>
          <w:tcPr>
            <w:tcW w:w="539" w:type="pct"/>
            <w:tcBorders>
              <w:top w:val="nil"/>
              <w:left w:val="nil"/>
              <w:bottom w:val="single" w:sz="4" w:space="0" w:color="auto"/>
              <w:right w:val="single" w:sz="4" w:space="0" w:color="auto"/>
            </w:tcBorders>
            <w:shd w:val="clear" w:color="auto" w:fill="auto"/>
            <w:noWrap/>
            <w:vAlign w:val="center"/>
            <w:hideMark/>
          </w:tcPr>
          <w:p w14:paraId="6D20BE5C"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5,698</w:t>
            </w:r>
          </w:p>
        </w:tc>
        <w:tc>
          <w:tcPr>
            <w:tcW w:w="415" w:type="pct"/>
            <w:tcBorders>
              <w:top w:val="nil"/>
              <w:left w:val="nil"/>
              <w:bottom w:val="single" w:sz="4" w:space="0" w:color="auto"/>
              <w:right w:val="single" w:sz="4" w:space="0" w:color="auto"/>
            </w:tcBorders>
            <w:shd w:val="clear" w:color="000000" w:fill="BFBFBF"/>
            <w:noWrap/>
            <w:vAlign w:val="center"/>
            <w:hideMark/>
          </w:tcPr>
          <w:p w14:paraId="1C33BCF8"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73%</w:t>
            </w:r>
          </w:p>
        </w:tc>
        <w:tc>
          <w:tcPr>
            <w:tcW w:w="557" w:type="pct"/>
            <w:tcBorders>
              <w:top w:val="nil"/>
              <w:left w:val="nil"/>
              <w:bottom w:val="single" w:sz="4" w:space="0" w:color="auto"/>
              <w:right w:val="single" w:sz="4" w:space="0" w:color="auto"/>
            </w:tcBorders>
            <w:shd w:val="clear" w:color="auto" w:fill="auto"/>
            <w:noWrap/>
            <w:vAlign w:val="center"/>
            <w:hideMark/>
          </w:tcPr>
          <w:p w14:paraId="07E53F27"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2097</w:t>
            </w:r>
          </w:p>
        </w:tc>
        <w:tc>
          <w:tcPr>
            <w:tcW w:w="416" w:type="pct"/>
            <w:tcBorders>
              <w:top w:val="nil"/>
              <w:left w:val="nil"/>
              <w:bottom w:val="single" w:sz="4" w:space="0" w:color="auto"/>
              <w:right w:val="single" w:sz="4" w:space="0" w:color="auto"/>
            </w:tcBorders>
            <w:shd w:val="clear" w:color="000000" w:fill="BFBFBF"/>
            <w:noWrap/>
            <w:vAlign w:val="center"/>
            <w:hideMark/>
          </w:tcPr>
          <w:p w14:paraId="00B47278"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27%</w:t>
            </w:r>
          </w:p>
        </w:tc>
        <w:tc>
          <w:tcPr>
            <w:tcW w:w="854" w:type="pct"/>
            <w:tcBorders>
              <w:top w:val="nil"/>
              <w:left w:val="nil"/>
              <w:bottom w:val="single" w:sz="4" w:space="0" w:color="auto"/>
              <w:right w:val="single" w:sz="4" w:space="0" w:color="auto"/>
            </w:tcBorders>
            <w:shd w:val="clear" w:color="000000" w:fill="BFBFBF"/>
            <w:noWrap/>
            <w:vAlign w:val="center"/>
            <w:hideMark/>
          </w:tcPr>
          <w:p w14:paraId="25981B05"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$31,017,759.00</w:t>
            </w:r>
          </w:p>
        </w:tc>
      </w:tr>
      <w:bookmarkEnd w:id="5"/>
      <w:tr w:rsidR="008D7DE4" w:rsidRPr="00F30FD1" w14:paraId="3F0B2A69" w14:textId="77777777" w:rsidTr="00E668AF">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5752AA"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p>
        </w:tc>
      </w:tr>
      <w:tr w:rsidR="008D7DE4" w:rsidRPr="00F30FD1" w14:paraId="666F1DA3" w14:textId="77777777" w:rsidTr="00E668AF">
        <w:trPr>
          <w:trHeight w:val="600"/>
        </w:trPr>
        <w:tc>
          <w:tcPr>
            <w:tcW w:w="8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A66D224"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Vigilancia Plus 2017</w:t>
            </w:r>
          </w:p>
        </w:tc>
        <w:tc>
          <w:tcPr>
            <w:tcW w:w="336" w:type="pct"/>
            <w:tcBorders>
              <w:top w:val="nil"/>
              <w:left w:val="nil"/>
              <w:bottom w:val="single" w:sz="4" w:space="0" w:color="auto"/>
              <w:right w:val="single" w:sz="4" w:space="0" w:color="auto"/>
            </w:tcBorders>
            <w:shd w:val="clear" w:color="auto" w:fill="auto"/>
            <w:vAlign w:val="center"/>
            <w:hideMark/>
          </w:tcPr>
          <w:p w14:paraId="45987A4E"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Meta 2017</w:t>
            </w:r>
          </w:p>
        </w:tc>
        <w:tc>
          <w:tcPr>
            <w:tcW w:w="645" w:type="pct"/>
            <w:tcBorders>
              <w:top w:val="nil"/>
              <w:left w:val="nil"/>
              <w:bottom w:val="single" w:sz="4" w:space="0" w:color="auto"/>
              <w:right w:val="single" w:sz="4" w:space="0" w:color="auto"/>
            </w:tcBorders>
            <w:shd w:val="clear" w:color="auto" w:fill="auto"/>
            <w:vAlign w:val="center"/>
            <w:hideMark/>
          </w:tcPr>
          <w:p w14:paraId="0598EA44"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Diligenciados</w:t>
            </w:r>
          </w:p>
        </w:tc>
        <w:tc>
          <w:tcPr>
            <w:tcW w:w="393" w:type="pct"/>
            <w:tcBorders>
              <w:top w:val="nil"/>
              <w:left w:val="nil"/>
              <w:bottom w:val="single" w:sz="4" w:space="0" w:color="auto"/>
              <w:right w:val="single" w:sz="4" w:space="0" w:color="auto"/>
            </w:tcBorders>
            <w:shd w:val="clear" w:color="000000" w:fill="BFBFBF"/>
            <w:vAlign w:val="center"/>
            <w:hideMark/>
          </w:tcPr>
          <w:p w14:paraId="565FE3B5"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Avance</w:t>
            </w:r>
          </w:p>
        </w:tc>
        <w:tc>
          <w:tcPr>
            <w:tcW w:w="539" w:type="pct"/>
            <w:tcBorders>
              <w:top w:val="nil"/>
              <w:left w:val="nil"/>
              <w:bottom w:val="single" w:sz="4" w:space="0" w:color="auto"/>
              <w:right w:val="single" w:sz="4" w:space="0" w:color="auto"/>
            </w:tcBorders>
            <w:shd w:val="clear" w:color="auto" w:fill="auto"/>
            <w:vAlign w:val="center"/>
            <w:hideMark/>
          </w:tcPr>
          <w:p w14:paraId="37AF68A7"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Entregados</w:t>
            </w:r>
          </w:p>
        </w:tc>
        <w:tc>
          <w:tcPr>
            <w:tcW w:w="415" w:type="pct"/>
            <w:tcBorders>
              <w:top w:val="nil"/>
              <w:left w:val="nil"/>
              <w:bottom w:val="single" w:sz="4" w:space="0" w:color="auto"/>
              <w:right w:val="single" w:sz="4" w:space="0" w:color="auto"/>
            </w:tcBorders>
            <w:shd w:val="clear" w:color="000000" w:fill="BFBFBF"/>
            <w:vAlign w:val="center"/>
            <w:hideMark/>
          </w:tcPr>
          <w:p w14:paraId="5F4E9699"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557" w:type="pct"/>
            <w:tcBorders>
              <w:top w:val="nil"/>
              <w:left w:val="nil"/>
              <w:bottom w:val="single" w:sz="4" w:space="0" w:color="auto"/>
              <w:right w:val="single" w:sz="4" w:space="0" w:color="auto"/>
            </w:tcBorders>
            <w:shd w:val="clear" w:color="auto" w:fill="auto"/>
            <w:vAlign w:val="center"/>
            <w:hideMark/>
          </w:tcPr>
          <w:p w14:paraId="64F453CE"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No localizados</w:t>
            </w:r>
          </w:p>
        </w:tc>
        <w:tc>
          <w:tcPr>
            <w:tcW w:w="416" w:type="pct"/>
            <w:tcBorders>
              <w:top w:val="nil"/>
              <w:left w:val="nil"/>
              <w:bottom w:val="single" w:sz="4" w:space="0" w:color="auto"/>
              <w:right w:val="single" w:sz="4" w:space="0" w:color="auto"/>
            </w:tcBorders>
            <w:shd w:val="clear" w:color="000000" w:fill="BFBFBF"/>
            <w:vAlign w:val="center"/>
            <w:hideMark/>
          </w:tcPr>
          <w:p w14:paraId="0C3FF914"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854" w:type="pct"/>
            <w:tcBorders>
              <w:top w:val="nil"/>
              <w:left w:val="nil"/>
              <w:bottom w:val="single" w:sz="4" w:space="0" w:color="auto"/>
              <w:right w:val="single" w:sz="4" w:space="0" w:color="auto"/>
            </w:tcBorders>
            <w:shd w:val="clear" w:color="000000" w:fill="BFBFBF"/>
            <w:vAlign w:val="center"/>
            <w:hideMark/>
          </w:tcPr>
          <w:p w14:paraId="0D4335AE"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incentivos obtenidos</w:t>
            </w:r>
          </w:p>
        </w:tc>
      </w:tr>
      <w:tr w:rsidR="008D7DE4" w:rsidRPr="00F30FD1" w14:paraId="38E8DC92" w14:textId="77777777" w:rsidTr="00E668AF">
        <w:trPr>
          <w:trHeight w:val="300"/>
        </w:trPr>
        <w:tc>
          <w:tcPr>
            <w:tcW w:w="845" w:type="pct"/>
            <w:vMerge/>
            <w:tcBorders>
              <w:top w:val="nil"/>
              <w:left w:val="single" w:sz="4" w:space="0" w:color="auto"/>
              <w:bottom w:val="single" w:sz="4" w:space="0" w:color="auto"/>
              <w:right w:val="single" w:sz="4" w:space="0" w:color="auto"/>
            </w:tcBorders>
            <w:vAlign w:val="center"/>
            <w:hideMark/>
          </w:tcPr>
          <w:p w14:paraId="4FD0F6B7"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p>
        </w:tc>
        <w:tc>
          <w:tcPr>
            <w:tcW w:w="336" w:type="pct"/>
            <w:tcBorders>
              <w:top w:val="nil"/>
              <w:left w:val="nil"/>
              <w:bottom w:val="single" w:sz="4" w:space="0" w:color="auto"/>
              <w:right w:val="single" w:sz="4" w:space="0" w:color="auto"/>
            </w:tcBorders>
            <w:shd w:val="clear" w:color="auto" w:fill="auto"/>
            <w:noWrap/>
            <w:vAlign w:val="center"/>
            <w:hideMark/>
          </w:tcPr>
          <w:p w14:paraId="1E95B807"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7,800</w:t>
            </w:r>
          </w:p>
        </w:tc>
        <w:tc>
          <w:tcPr>
            <w:tcW w:w="645" w:type="pct"/>
            <w:tcBorders>
              <w:top w:val="nil"/>
              <w:left w:val="nil"/>
              <w:bottom w:val="single" w:sz="4" w:space="0" w:color="auto"/>
              <w:right w:val="single" w:sz="4" w:space="0" w:color="auto"/>
            </w:tcBorders>
            <w:shd w:val="clear" w:color="auto" w:fill="auto"/>
            <w:noWrap/>
            <w:vAlign w:val="center"/>
            <w:hideMark/>
          </w:tcPr>
          <w:p w14:paraId="70C1AD72"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2,600</w:t>
            </w:r>
          </w:p>
        </w:tc>
        <w:tc>
          <w:tcPr>
            <w:tcW w:w="393" w:type="pct"/>
            <w:tcBorders>
              <w:top w:val="nil"/>
              <w:left w:val="nil"/>
              <w:bottom w:val="single" w:sz="4" w:space="0" w:color="auto"/>
              <w:right w:val="single" w:sz="4" w:space="0" w:color="auto"/>
            </w:tcBorders>
            <w:shd w:val="clear" w:color="000000" w:fill="BFBFBF"/>
            <w:noWrap/>
            <w:vAlign w:val="center"/>
            <w:hideMark/>
          </w:tcPr>
          <w:p w14:paraId="5127E48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33%</w:t>
            </w:r>
          </w:p>
        </w:tc>
        <w:tc>
          <w:tcPr>
            <w:tcW w:w="539" w:type="pct"/>
            <w:tcBorders>
              <w:top w:val="nil"/>
              <w:left w:val="nil"/>
              <w:bottom w:val="single" w:sz="4" w:space="0" w:color="auto"/>
              <w:right w:val="single" w:sz="4" w:space="0" w:color="auto"/>
            </w:tcBorders>
            <w:shd w:val="clear" w:color="auto" w:fill="auto"/>
            <w:noWrap/>
            <w:vAlign w:val="center"/>
            <w:hideMark/>
          </w:tcPr>
          <w:p w14:paraId="0275E689"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1,975</w:t>
            </w:r>
          </w:p>
        </w:tc>
        <w:tc>
          <w:tcPr>
            <w:tcW w:w="415" w:type="pct"/>
            <w:tcBorders>
              <w:top w:val="nil"/>
              <w:left w:val="nil"/>
              <w:bottom w:val="single" w:sz="4" w:space="0" w:color="auto"/>
              <w:right w:val="single" w:sz="4" w:space="0" w:color="auto"/>
            </w:tcBorders>
            <w:shd w:val="clear" w:color="000000" w:fill="BFBFBF"/>
            <w:noWrap/>
            <w:vAlign w:val="center"/>
            <w:hideMark/>
          </w:tcPr>
          <w:p w14:paraId="0019B5B1"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76%</w:t>
            </w:r>
          </w:p>
        </w:tc>
        <w:tc>
          <w:tcPr>
            <w:tcW w:w="557" w:type="pct"/>
            <w:tcBorders>
              <w:top w:val="nil"/>
              <w:left w:val="nil"/>
              <w:bottom w:val="single" w:sz="4" w:space="0" w:color="auto"/>
              <w:right w:val="single" w:sz="4" w:space="0" w:color="auto"/>
            </w:tcBorders>
            <w:shd w:val="clear" w:color="auto" w:fill="auto"/>
            <w:noWrap/>
            <w:vAlign w:val="center"/>
            <w:hideMark/>
          </w:tcPr>
          <w:p w14:paraId="755C095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625</w:t>
            </w:r>
          </w:p>
        </w:tc>
        <w:tc>
          <w:tcPr>
            <w:tcW w:w="416" w:type="pct"/>
            <w:tcBorders>
              <w:top w:val="nil"/>
              <w:left w:val="nil"/>
              <w:bottom w:val="single" w:sz="4" w:space="0" w:color="auto"/>
              <w:right w:val="single" w:sz="4" w:space="0" w:color="auto"/>
            </w:tcBorders>
            <w:shd w:val="clear" w:color="000000" w:fill="BFBFBF"/>
            <w:noWrap/>
            <w:vAlign w:val="center"/>
            <w:hideMark/>
          </w:tcPr>
          <w:p w14:paraId="66DE33DF"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24%</w:t>
            </w:r>
          </w:p>
        </w:tc>
        <w:tc>
          <w:tcPr>
            <w:tcW w:w="854" w:type="pct"/>
            <w:tcBorders>
              <w:top w:val="nil"/>
              <w:left w:val="nil"/>
              <w:bottom w:val="single" w:sz="4" w:space="0" w:color="auto"/>
              <w:right w:val="single" w:sz="4" w:space="0" w:color="auto"/>
            </w:tcBorders>
            <w:shd w:val="clear" w:color="000000" w:fill="BFBFBF"/>
            <w:noWrap/>
            <w:vAlign w:val="center"/>
            <w:hideMark/>
          </w:tcPr>
          <w:p w14:paraId="7578DDFB"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$26,266,509.00</w:t>
            </w:r>
          </w:p>
        </w:tc>
      </w:tr>
      <w:tr w:rsidR="008D7DE4" w:rsidRPr="00F30FD1" w14:paraId="5B9D57ED" w14:textId="77777777" w:rsidTr="00E668AF">
        <w:trPr>
          <w:trHeight w:val="300"/>
        </w:trPr>
        <w:tc>
          <w:tcPr>
            <w:tcW w:w="5000" w:type="pct"/>
            <w:gridSpan w:val="9"/>
            <w:tcBorders>
              <w:top w:val="nil"/>
              <w:left w:val="single" w:sz="4" w:space="0" w:color="auto"/>
              <w:bottom w:val="single" w:sz="4" w:space="0" w:color="auto"/>
              <w:right w:val="single" w:sz="4" w:space="0" w:color="auto"/>
            </w:tcBorders>
            <w:vAlign w:val="center"/>
          </w:tcPr>
          <w:p w14:paraId="5862A694"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p>
        </w:tc>
      </w:tr>
      <w:tr w:rsidR="008D7DE4" w:rsidRPr="00F30FD1" w14:paraId="28AD4F9A" w14:textId="77777777" w:rsidTr="00E668AF">
        <w:trPr>
          <w:trHeight w:val="600"/>
        </w:trPr>
        <w:tc>
          <w:tcPr>
            <w:tcW w:w="84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308F9"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Vigilancia Plus 2018</w:t>
            </w:r>
          </w:p>
        </w:tc>
        <w:tc>
          <w:tcPr>
            <w:tcW w:w="336" w:type="pct"/>
            <w:tcBorders>
              <w:top w:val="single" w:sz="4" w:space="0" w:color="auto"/>
              <w:left w:val="nil"/>
              <w:bottom w:val="single" w:sz="4" w:space="0" w:color="auto"/>
              <w:right w:val="single" w:sz="4" w:space="0" w:color="auto"/>
            </w:tcBorders>
            <w:shd w:val="clear" w:color="auto" w:fill="auto"/>
            <w:vAlign w:val="center"/>
            <w:hideMark/>
          </w:tcPr>
          <w:p w14:paraId="2CBC052F"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Meta 2018</w:t>
            </w:r>
          </w:p>
        </w:tc>
        <w:tc>
          <w:tcPr>
            <w:tcW w:w="645" w:type="pct"/>
            <w:tcBorders>
              <w:top w:val="single" w:sz="4" w:space="0" w:color="auto"/>
              <w:left w:val="nil"/>
              <w:bottom w:val="single" w:sz="4" w:space="0" w:color="auto"/>
              <w:right w:val="single" w:sz="4" w:space="0" w:color="auto"/>
            </w:tcBorders>
            <w:shd w:val="clear" w:color="auto" w:fill="auto"/>
            <w:vAlign w:val="center"/>
            <w:hideMark/>
          </w:tcPr>
          <w:p w14:paraId="441FB5EA"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Diligenciados</w:t>
            </w:r>
          </w:p>
        </w:tc>
        <w:tc>
          <w:tcPr>
            <w:tcW w:w="393" w:type="pct"/>
            <w:tcBorders>
              <w:top w:val="single" w:sz="4" w:space="0" w:color="auto"/>
              <w:left w:val="nil"/>
              <w:bottom w:val="single" w:sz="4" w:space="0" w:color="auto"/>
              <w:right w:val="single" w:sz="4" w:space="0" w:color="auto"/>
            </w:tcBorders>
            <w:shd w:val="clear" w:color="000000" w:fill="BFBFBF"/>
            <w:vAlign w:val="center"/>
            <w:hideMark/>
          </w:tcPr>
          <w:p w14:paraId="0F92A3AF"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Avance</w:t>
            </w:r>
          </w:p>
        </w:tc>
        <w:tc>
          <w:tcPr>
            <w:tcW w:w="539" w:type="pct"/>
            <w:tcBorders>
              <w:top w:val="single" w:sz="4" w:space="0" w:color="auto"/>
              <w:left w:val="nil"/>
              <w:bottom w:val="single" w:sz="4" w:space="0" w:color="auto"/>
              <w:right w:val="single" w:sz="4" w:space="0" w:color="auto"/>
            </w:tcBorders>
            <w:shd w:val="clear" w:color="auto" w:fill="auto"/>
            <w:vAlign w:val="center"/>
            <w:hideMark/>
          </w:tcPr>
          <w:p w14:paraId="079E239B"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Entregados</w:t>
            </w:r>
          </w:p>
        </w:tc>
        <w:tc>
          <w:tcPr>
            <w:tcW w:w="415" w:type="pct"/>
            <w:tcBorders>
              <w:top w:val="single" w:sz="4" w:space="0" w:color="auto"/>
              <w:left w:val="nil"/>
              <w:bottom w:val="single" w:sz="4" w:space="0" w:color="auto"/>
              <w:right w:val="single" w:sz="4" w:space="0" w:color="auto"/>
            </w:tcBorders>
            <w:shd w:val="clear" w:color="000000" w:fill="BFBFBF"/>
            <w:vAlign w:val="center"/>
            <w:hideMark/>
          </w:tcPr>
          <w:p w14:paraId="58C8992B"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22A8F8BD"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No localizados</w:t>
            </w:r>
          </w:p>
        </w:tc>
        <w:tc>
          <w:tcPr>
            <w:tcW w:w="416" w:type="pct"/>
            <w:tcBorders>
              <w:top w:val="single" w:sz="4" w:space="0" w:color="auto"/>
              <w:left w:val="nil"/>
              <w:bottom w:val="single" w:sz="4" w:space="0" w:color="auto"/>
              <w:right w:val="single" w:sz="4" w:space="0" w:color="auto"/>
            </w:tcBorders>
            <w:shd w:val="clear" w:color="000000" w:fill="BFBFBF"/>
            <w:vAlign w:val="center"/>
            <w:hideMark/>
          </w:tcPr>
          <w:p w14:paraId="475B36A3"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854" w:type="pct"/>
            <w:tcBorders>
              <w:top w:val="single" w:sz="4" w:space="0" w:color="auto"/>
              <w:left w:val="nil"/>
              <w:bottom w:val="single" w:sz="4" w:space="0" w:color="auto"/>
              <w:right w:val="single" w:sz="4" w:space="0" w:color="auto"/>
            </w:tcBorders>
            <w:shd w:val="clear" w:color="000000" w:fill="BFBFBF"/>
            <w:vAlign w:val="center"/>
            <w:hideMark/>
          </w:tcPr>
          <w:p w14:paraId="114BEC1A"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incentivos obtenidos</w:t>
            </w:r>
          </w:p>
        </w:tc>
      </w:tr>
      <w:tr w:rsidR="008D7DE4" w:rsidRPr="00F30FD1" w14:paraId="5ADA4B91" w14:textId="77777777" w:rsidTr="00E668AF">
        <w:trPr>
          <w:trHeight w:val="300"/>
        </w:trPr>
        <w:tc>
          <w:tcPr>
            <w:tcW w:w="845" w:type="pct"/>
            <w:vMerge/>
            <w:tcBorders>
              <w:top w:val="single" w:sz="4" w:space="0" w:color="auto"/>
              <w:left w:val="single" w:sz="4" w:space="0" w:color="auto"/>
              <w:bottom w:val="single" w:sz="4" w:space="0" w:color="auto"/>
              <w:right w:val="single" w:sz="4" w:space="0" w:color="auto"/>
            </w:tcBorders>
            <w:vAlign w:val="center"/>
            <w:hideMark/>
          </w:tcPr>
          <w:p w14:paraId="1BD39C97"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p>
        </w:tc>
        <w:tc>
          <w:tcPr>
            <w:tcW w:w="336" w:type="pct"/>
            <w:tcBorders>
              <w:top w:val="nil"/>
              <w:left w:val="nil"/>
              <w:bottom w:val="single" w:sz="4" w:space="0" w:color="auto"/>
              <w:right w:val="single" w:sz="4" w:space="0" w:color="auto"/>
            </w:tcBorders>
            <w:shd w:val="clear" w:color="auto" w:fill="auto"/>
            <w:noWrap/>
            <w:vAlign w:val="center"/>
            <w:hideMark/>
          </w:tcPr>
          <w:p w14:paraId="202B17F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8,400</w:t>
            </w:r>
          </w:p>
        </w:tc>
        <w:tc>
          <w:tcPr>
            <w:tcW w:w="645" w:type="pct"/>
            <w:tcBorders>
              <w:top w:val="nil"/>
              <w:left w:val="nil"/>
              <w:bottom w:val="single" w:sz="4" w:space="0" w:color="auto"/>
              <w:right w:val="single" w:sz="4" w:space="0" w:color="auto"/>
            </w:tcBorders>
            <w:shd w:val="clear" w:color="auto" w:fill="auto"/>
            <w:noWrap/>
            <w:vAlign w:val="center"/>
            <w:hideMark/>
          </w:tcPr>
          <w:p w14:paraId="304205D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16,925</w:t>
            </w:r>
          </w:p>
        </w:tc>
        <w:tc>
          <w:tcPr>
            <w:tcW w:w="393" w:type="pct"/>
            <w:tcBorders>
              <w:top w:val="nil"/>
              <w:left w:val="nil"/>
              <w:bottom w:val="single" w:sz="4" w:space="0" w:color="auto"/>
              <w:right w:val="single" w:sz="4" w:space="0" w:color="auto"/>
            </w:tcBorders>
            <w:shd w:val="clear" w:color="000000" w:fill="BFBFBF"/>
            <w:noWrap/>
            <w:vAlign w:val="center"/>
            <w:hideMark/>
          </w:tcPr>
          <w:p w14:paraId="6FE5DC2B"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201%</w:t>
            </w:r>
          </w:p>
        </w:tc>
        <w:tc>
          <w:tcPr>
            <w:tcW w:w="539" w:type="pct"/>
            <w:tcBorders>
              <w:top w:val="nil"/>
              <w:left w:val="nil"/>
              <w:bottom w:val="single" w:sz="4" w:space="0" w:color="auto"/>
              <w:right w:val="single" w:sz="4" w:space="0" w:color="auto"/>
            </w:tcBorders>
            <w:shd w:val="clear" w:color="auto" w:fill="auto"/>
            <w:noWrap/>
            <w:vAlign w:val="center"/>
            <w:hideMark/>
          </w:tcPr>
          <w:p w14:paraId="603C5521"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12,743</w:t>
            </w:r>
          </w:p>
        </w:tc>
        <w:tc>
          <w:tcPr>
            <w:tcW w:w="415" w:type="pct"/>
            <w:tcBorders>
              <w:top w:val="nil"/>
              <w:left w:val="nil"/>
              <w:bottom w:val="single" w:sz="4" w:space="0" w:color="auto"/>
              <w:right w:val="single" w:sz="4" w:space="0" w:color="auto"/>
            </w:tcBorders>
            <w:shd w:val="clear" w:color="000000" w:fill="BFBFBF"/>
            <w:noWrap/>
            <w:vAlign w:val="center"/>
            <w:hideMark/>
          </w:tcPr>
          <w:p w14:paraId="059AC868"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76.66%</w:t>
            </w:r>
          </w:p>
        </w:tc>
        <w:tc>
          <w:tcPr>
            <w:tcW w:w="557" w:type="pct"/>
            <w:tcBorders>
              <w:top w:val="nil"/>
              <w:left w:val="nil"/>
              <w:bottom w:val="single" w:sz="4" w:space="0" w:color="auto"/>
              <w:right w:val="single" w:sz="4" w:space="0" w:color="auto"/>
            </w:tcBorders>
            <w:shd w:val="clear" w:color="auto" w:fill="auto"/>
            <w:noWrap/>
            <w:vAlign w:val="center"/>
            <w:hideMark/>
          </w:tcPr>
          <w:p w14:paraId="1E06E319"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4182</w:t>
            </w:r>
          </w:p>
        </w:tc>
        <w:tc>
          <w:tcPr>
            <w:tcW w:w="416" w:type="pct"/>
            <w:tcBorders>
              <w:top w:val="nil"/>
              <w:left w:val="nil"/>
              <w:bottom w:val="single" w:sz="4" w:space="0" w:color="auto"/>
              <w:right w:val="single" w:sz="4" w:space="0" w:color="auto"/>
            </w:tcBorders>
            <w:shd w:val="clear" w:color="000000" w:fill="BFBFBF"/>
            <w:noWrap/>
            <w:vAlign w:val="center"/>
            <w:hideMark/>
          </w:tcPr>
          <w:p w14:paraId="0942FB18"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23.34%</w:t>
            </w:r>
          </w:p>
        </w:tc>
        <w:tc>
          <w:tcPr>
            <w:tcW w:w="854" w:type="pct"/>
            <w:tcBorders>
              <w:top w:val="nil"/>
              <w:left w:val="nil"/>
              <w:bottom w:val="single" w:sz="4" w:space="0" w:color="auto"/>
              <w:right w:val="single" w:sz="4" w:space="0" w:color="auto"/>
            </w:tcBorders>
            <w:shd w:val="clear" w:color="000000" w:fill="BFBFBF"/>
            <w:noWrap/>
            <w:vAlign w:val="center"/>
            <w:hideMark/>
          </w:tcPr>
          <w:p w14:paraId="69A7865B"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$87,438,174.00</w:t>
            </w:r>
          </w:p>
        </w:tc>
      </w:tr>
      <w:tr w:rsidR="008D7DE4" w:rsidRPr="00F30FD1" w14:paraId="0C5261CB" w14:textId="77777777" w:rsidTr="00E668AF">
        <w:trPr>
          <w:trHeight w:val="300"/>
        </w:trPr>
        <w:tc>
          <w:tcPr>
            <w:tcW w:w="5000" w:type="pct"/>
            <w:gridSpan w:val="9"/>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91D2D8"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p>
        </w:tc>
      </w:tr>
      <w:tr w:rsidR="008D7DE4" w:rsidRPr="00F30FD1" w14:paraId="1F06D593" w14:textId="77777777" w:rsidTr="00E668AF">
        <w:trPr>
          <w:trHeight w:val="600"/>
        </w:trPr>
        <w:tc>
          <w:tcPr>
            <w:tcW w:w="84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7E5A7F"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Vigilancia Plus 2019</w:t>
            </w:r>
          </w:p>
        </w:tc>
        <w:tc>
          <w:tcPr>
            <w:tcW w:w="336" w:type="pct"/>
            <w:tcBorders>
              <w:top w:val="nil"/>
              <w:left w:val="nil"/>
              <w:bottom w:val="single" w:sz="4" w:space="0" w:color="auto"/>
              <w:right w:val="single" w:sz="4" w:space="0" w:color="auto"/>
            </w:tcBorders>
            <w:shd w:val="clear" w:color="auto" w:fill="auto"/>
            <w:vAlign w:val="center"/>
            <w:hideMark/>
          </w:tcPr>
          <w:p w14:paraId="3D62AB5B"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Meta 2019</w:t>
            </w:r>
          </w:p>
        </w:tc>
        <w:tc>
          <w:tcPr>
            <w:tcW w:w="645" w:type="pct"/>
            <w:tcBorders>
              <w:top w:val="nil"/>
              <w:left w:val="nil"/>
              <w:bottom w:val="single" w:sz="4" w:space="0" w:color="auto"/>
              <w:right w:val="single" w:sz="4" w:space="0" w:color="auto"/>
            </w:tcBorders>
            <w:shd w:val="clear" w:color="auto" w:fill="auto"/>
            <w:vAlign w:val="center"/>
            <w:hideMark/>
          </w:tcPr>
          <w:p w14:paraId="0D548725"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Diligenciados</w:t>
            </w:r>
          </w:p>
        </w:tc>
        <w:tc>
          <w:tcPr>
            <w:tcW w:w="393" w:type="pct"/>
            <w:tcBorders>
              <w:top w:val="nil"/>
              <w:left w:val="nil"/>
              <w:bottom w:val="single" w:sz="4" w:space="0" w:color="auto"/>
              <w:right w:val="single" w:sz="4" w:space="0" w:color="auto"/>
            </w:tcBorders>
            <w:shd w:val="clear" w:color="000000" w:fill="BFBFBF"/>
            <w:vAlign w:val="center"/>
            <w:hideMark/>
          </w:tcPr>
          <w:p w14:paraId="7ED15C0C"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Avance</w:t>
            </w:r>
          </w:p>
        </w:tc>
        <w:tc>
          <w:tcPr>
            <w:tcW w:w="539" w:type="pct"/>
            <w:tcBorders>
              <w:top w:val="nil"/>
              <w:left w:val="nil"/>
              <w:bottom w:val="single" w:sz="4" w:space="0" w:color="auto"/>
              <w:right w:val="single" w:sz="4" w:space="0" w:color="auto"/>
            </w:tcBorders>
            <w:shd w:val="clear" w:color="auto" w:fill="auto"/>
            <w:vAlign w:val="center"/>
            <w:hideMark/>
          </w:tcPr>
          <w:p w14:paraId="40C52EBF"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Entregados</w:t>
            </w:r>
          </w:p>
        </w:tc>
        <w:tc>
          <w:tcPr>
            <w:tcW w:w="415" w:type="pct"/>
            <w:tcBorders>
              <w:top w:val="nil"/>
              <w:left w:val="nil"/>
              <w:bottom w:val="single" w:sz="4" w:space="0" w:color="auto"/>
              <w:right w:val="single" w:sz="4" w:space="0" w:color="auto"/>
            </w:tcBorders>
            <w:shd w:val="clear" w:color="000000" w:fill="BFBFBF"/>
            <w:vAlign w:val="center"/>
            <w:hideMark/>
          </w:tcPr>
          <w:p w14:paraId="679F2EED"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557" w:type="pct"/>
            <w:tcBorders>
              <w:top w:val="nil"/>
              <w:left w:val="nil"/>
              <w:bottom w:val="single" w:sz="4" w:space="0" w:color="auto"/>
              <w:right w:val="single" w:sz="4" w:space="0" w:color="auto"/>
            </w:tcBorders>
            <w:shd w:val="clear" w:color="auto" w:fill="auto"/>
            <w:vAlign w:val="center"/>
            <w:hideMark/>
          </w:tcPr>
          <w:p w14:paraId="60D81642"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No localizados</w:t>
            </w:r>
          </w:p>
        </w:tc>
        <w:tc>
          <w:tcPr>
            <w:tcW w:w="416" w:type="pct"/>
            <w:tcBorders>
              <w:top w:val="nil"/>
              <w:left w:val="nil"/>
              <w:bottom w:val="single" w:sz="4" w:space="0" w:color="auto"/>
              <w:right w:val="single" w:sz="4" w:space="0" w:color="auto"/>
            </w:tcBorders>
            <w:shd w:val="clear" w:color="000000" w:fill="BFBFBF"/>
            <w:vAlign w:val="center"/>
            <w:hideMark/>
          </w:tcPr>
          <w:p w14:paraId="5CDACBD9"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w:t>
            </w:r>
          </w:p>
        </w:tc>
        <w:tc>
          <w:tcPr>
            <w:tcW w:w="854" w:type="pct"/>
            <w:tcBorders>
              <w:top w:val="nil"/>
              <w:left w:val="nil"/>
              <w:bottom w:val="single" w:sz="4" w:space="0" w:color="auto"/>
              <w:right w:val="single" w:sz="4" w:space="0" w:color="auto"/>
            </w:tcBorders>
            <w:shd w:val="clear" w:color="000000" w:fill="BFBFBF"/>
            <w:vAlign w:val="center"/>
            <w:hideMark/>
          </w:tcPr>
          <w:p w14:paraId="50CB36EC"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incentivos obtenidos</w:t>
            </w:r>
          </w:p>
        </w:tc>
      </w:tr>
      <w:tr w:rsidR="008D7DE4" w:rsidRPr="00F30FD1" w14:paraId="04B51BDF" w14:textId="77777777" w:rsidTr="00E668AF">
        <w:trPr>
          <w:trHeight w:val="300"/>
        </w:trPr>
        <w:tc>
          <w:tcPr>
            <w:tcW w:w="845" w:type="pct"/>
            <w:vMerge/>
            <w:tcBorders>
              <w:top w:val="nil"/>
              <w:left w:val="single" w:sz="4" w:space="0" w:color="auto"/>
              <w:bottom w:val="single" w:sz="4" w:space="0" w:color="auto"/>
              <w:right w:val="single" w:sz="4" w:space="0" w:color="auto"/>
            </w:tcBorders>
            <w:vAlign w:val="center"/>
            <w:hideMark/>
          </w:tcPr>
          <w:p w14:paraId="643C3A13"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p>
        </w:tc>
        <w:tc>
          <w:tcPr>
            <w:tcW w:w="336" w:type="pct"/>
            <w:tcBorders>
              <w:top w:val="nil"/>
              <w:left w:val="nil"/>
              <w:bottom w:val="single" w:sz="4" w:space="0" w:color="auto"/>
              <w:right w:val="single" w:sz="4" w:space="0" w:color="auto"/>
            </w:tcBorders>
            <w:shd w:val="clear" w:color="auto" w:fill="auto"/>
            <w:noWrap/>
            <w:vAlign w:val="center"/>
            <w:hideMark/>
          </w:tcPr>
          <w:p w14:paraId="758CC44A"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8,400</w:t>
            </w:r>
          </w:p>
        </w:tc>
        <w:tc>
          <w:tcPr>
            <w:tcW w:w="645" w:type="pct"/>
            <w:tcBorders>
              <w:top w:val="nil"/>
              <w:left w:val="nil"/>
              <w:bottom w:val="single" w:sz="4" w:space="0" w:color="auto"/>
              <w:right w:val="single" w:sz="4" w:space="0" w:color="auto"/>
            </w:tcBorders>
            <w:shd w:val="clear" w:color="auto" w:fill="auto"/>
            <w:noWrap/>
            <w:vAlign w:val="center"/>
            <w:hideMark/>
          </w:tcPr>
          <w:p w14:paraId="34533F79"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21,254</w:t>
            </w:r>
          </w:p>
        </w:tc>
        <w:tc>
          <w:tcPr>
            <w:tcW w:w="393" w:type="pct"/>
            <w:tcBorders>
              <w:top w:val="nil"/>
              <w:left w:val="nil"/>
              <w:bottom w:val="single" w:sz="4" w:space="0" w:color="auto"/>
              <w:right w:val="single" w:sz="4" w:space="0" w:color="auto"/>
            </w:tcBorders>
            <w:shd w:val="clear" w:color="000000" w:fill="BFBFBF"/>
            <w:noWrap/>
            <w:vAlign w:val="center"/>
            <w:hideMark/>
          </w:tcPr>
          <w:p w14:paraId="78B6D0B5"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253%</w:t>
            </w:r>
          </w:p>
        </w:tc>
        <w:tc>
          <w:tcPr>
            <w:tcW w:w="539" w:type="pct"/>
            <w:tcBorders>
              <w:top w:val="nil"/>
              <w:left w:val="nil"/>
              <w:bottom w:val="single" w:sz="4" w:space="0" w:color="auto"/>
              <w:right w:val="single" w:sz="4" w:space="0" w:color="auto"/>
            </w:tcBorders>
            <w:shd w:val="clear" w:color="auto" w:fill="auto"/>
            <w:noWrap/>
            <w:vAlign w:val="center"/>
            <w:hideMark/>
          </w:tcPr>
          <w:p w14:paraId="1871A219"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18,086</w:t>
            </w:r>
          </w:p>
        </w:tc>
        <w:tc>
          <w:tcPr>
            <w:tcW w:w="415" w:type="pct"/>
            <w:tcBorders>
              <w:top w:val="nil"/>
              <w:left w:val="nil"/>
              <w:bottom w:val="single" w:sz="4" w:space="0" w:color="auto"/>
              <w:right w:val="single" w:sz="4" w:space="0" w:color="auto"/>
            </w:tcBorders>
            <w:shd w:val="clear" w:color="000000" w:fill="BFBFBF"/>
            <w:noWrap/>
            <w:vAlign w:val="center"/>
            <w:hideMark/>
          </w:tcPr>
          <w:p w14:paraId="5A6453C0"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85.70</w:t>
            </w:r>
          </w:p>
        </w:tc>
        <w:tc>
          <w:tcPr>
            <w:tcW w:w="557" w:type="pct"/>
            <w:tcBorders>
              <w:top w:val="nil"/>
              <w:left w:val="nil"/>
              <w:bottom w:val="single" w:sz="4" w:space="0" w:color="auto"/>
              <w:right w:val="single" w:sz="4" w:space="0" w:color="auto"/>
            </w:tcBorders>
            <w:shd w:val="clear" w:color="auto" w:fill="auto"/>
            <w:noWrap/>
            <w:vAlign w:val="center"/>
            <w:hideMark/>
          </w:tcPr>
          <w:p w14:paraId="55EDCF34"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3168</w:t>
            </w:r>
          </w:p>
        </w:tc>
        <w:tc>
          <w:tcPr>
            <w:tcW w:w="416" w:type="pct"/>
            <w:tcBorders>
              <w:top w:val="nil"/>
              <w:left w:val="nil"/>
              <w:bottom w:val="single" w:sz="4" w:space="0" w:color="auto"/>
              <w:right w:val="single" w:sz="4" w:space="0" w:color="auto"/>
            </w:tcBorders>
            <w:shd w:val="clear" w:color="000000" w:fill="BFBFBF"/>
            <w:noWrap/>
            <w:vAlign w:val="center"/>
            <w:hideMark/>
          </w:tcPr>
          <w:p w14:paraId="1F32F1A8"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14.30</w:t>
            </w:r>
          </w:p>
        </w:tc>
        <w:tc>
          <w:tcPr>
            <w:tcW w:w="854" w:type="pct"/>
            <w:tcBorders>
              <w:top w:val="nil"/>
              <w:left w:val="nil"/>
              <w:bottom w:val="single" w:sz="4" w:space="0" w:color="auto"/>
              <w:right w:val="single" w:sz="4" w:space="0" w:color="auto"/>
            </w:tcBorders>
            <w:shd w:val="clear" w:color="000000" w:fill="BFBFBF"/>
            <w:noWrap/>
            <w:vAlign w:val="center"/>
            <w:hideMark/>
          </w:tcPr>
          <w:p w14:paraId="006D85DD" w14:textId="77777777" w:rsidR="008D7DE4" w:rsidRPr="00F30FD1" w:rsidRDefault="008D7DE4" w:rsidP="00E668AF">
            <w:pPr>
              <w:spacing w:after="0" w:line="240" w:lineRule="auto"/>
              <w:jc w:val="center"/>
              <w:textboxTightWrap w:val="allLines"/>
              <w:rPr>
                <w:rFonts w:eastAsia="Times New Roman" w:cs="Futura"/>
                <w:color w:val="595959"/>
                <w:sz w:val="20"/>
                <w:szCs w:val="20"/>
              </w:rPr>
            </w:pPr>
            <w:r w:rsidRPr="00F30FD1">
              <w:rPr>
                <w:rFonts w:eastAsia="Times New Roman" w:cs="Futura"/>
                <w:color w:val="595959"/>
                <w:sz w:val="20"/>
                <w:szCs w:val="20"/>
              </w:rPr>
              <w:t>$80,950,582.00</w:t>
            </w:r>
          </w:p>
        </w:tc>
      </w:tr>
    </w:tbl>
    <w:p w14:paraId="32FAF069" w14:textId="77777777" w:rsidR="008D7DE4" w:rsidRPr="00F30FD1" w:rsidRDefault="008D7DE4" w:rsidP="008D7DE4">
      <w:pPr>
        <w:spacing w:after="0" w:line="240" w:lineRule="auto"/>
        <w:rPr>
          <w:sz w:val="16"/>
          <w:szCs w:val="20"/>
        </w:rPr>
      </w:pPr>
      <w:r w:rsidRPr="00F30FD1">
        <w:rPr>
          <w:sz w:val="16"/>
          <w:szCs w:val="20"/>
        </w:rPr>
        <w:t>Fuente: Servicio de Administración Tributaria de Quintana Roo (SATQ). Subdirección de Recaudación Zona Norte.</w:t>
      </w:r>
    </w:p>
    <w:p w14:paraId="097FDA54" w14:textId="77777777" w:rsidR="008D7DE4" w:rsidRPr="00F30FD1" w:rsidRDefault="008D7DE4" w:rsidP="008D7DE4">
      <w:pPr>
        <w:rPr>
          <w:rFonts w:eastAsia="Times New Roman" w:cs="Futura"/>
          <w:color w:val="595959"/>
        </w:rPr>
      </w:pPr>
      <w:r w:rsidRPr="00F30FD1">
        <w:rPr>
          <w:rFonts w:eastAsia="Times New Roman" w:cs="Futura"/>
          <w:color w:val="595959"/>
        </w:rPr>
        <w:tab/>
      </w:r>
    </w:p>
    <w:p w14:paraId="1739087D" w14:textId="77777777" w:rsidR="00B43376" w:rsidRPr="00F30FD1" w:rsidRDefault="00B43376" w:rsidP="00B43376">
      <w:pPr>
        <w:rPr>
          <w:rFonts w:eastAsia="Times New Roman" w:cs="Futura"/>
          <w:color w:val="595959"/>
        </w:rPr>
      </w:pPr>
      <w:r w:rsidRPr="00F30FD1">
        <w:rPr>
          <w:rFonts w:eastAsia="Times New Roman" w:cs="Futura"/>
          <w:color w:val="595959"/>
        </w:rPr>
        <w:t>Ahora bien, el 01 de abril de 2019 entré en funciones el Servicio de Administración Tributaria del Estado de Quintana Roo (SATQ), como órgano desconcentrado de la Secretaría de Finanzas y Planeación del Estado de Quintana Roo, con el objeto de recaudar, controlar y cobrar los impuestos, derechos, contribuciones de mejoras, aprovechamientos, productos estatales, federal y municipales coordinados, realizar e cobro persuasivo y coactivo; la defensa jurídica de los interés de la hacienda pública del Estado.</w:t>
      </w:r>
    </w:p>
    <w:p w14:paraId="02076B7F" w14:textId="6813B411" w:rsidR="00B43376" w:rsidRPr="00F30FD1" w:rsidRDefault="00B43376" w:rsidP="00B43376">
      <w:pPr>
        <w:rPr>
          <w:rFonts w:eastAsia="Times New Roman" w:cs="Futura"/>
          <w:color w:val="595959"/>
        </w:rPr>
      </w:pPr>
      <w:r w:rsidRPr="00F30FD1">
        <w:rPr>
          <w:rFonts w:eastAsia="Times New Roman" w:cs="Futura"/>
          <w:color w:val="595959"/>
        </w:rPr>
        <w:t>Por lo anterior, de las unidad</w:t>
      </w:r>
      <w:r w:rsidR="00E17BDC" w:rsidRPr="00F30FD1">
        <w:rPr>
          <w:rFonts w:eastAsia="Times New Roman" w:cs="Futura"/>
          <w:color w:val="595959"/>
        </w:rPr>
        <w:t>es</w:t>
      </w:r>
      <w:r w:rsidRPr="00F30FD1">
        <w:rPr>
          <w:rFonts w:eastAsia="Times New Roman" w:cs="Futura"/>
          <w:color w:val="595959"/>
        </w:rPr>
        <w:t xml:space="preserve"> administrativas del SATQ, se encuentra la Dirección Estatal de Recaudación quien es la encargada de administrar los datos sobre la estructura del Ingreso en el Estado, a partir del 2019, por lo cual, se presenta a continuación la actualización de dichos datos:</w:t>
      </w:r>
    </w:p>
    <w:p w14:paraId="684684DF" w14:textId="77777777" w:rsidR="00B43376" w:rsidRPr="00F30FD1" w:rsidRDefault="00B43376" w:rsidP="00B43376">
      <w:pPr>
        <w:rPr>
          <w:rFonts w:eastAsia="Times New Roman" w:cs="Futura"/>
          <w:color w:val="595959"/>
        </w:rPr>
      </w:pPr>
      <w:r w:rsidRPr="00F30FD1">
        <w:rPr>
          <w:rFonts w:eastAsia="Times New Roman" w:cs="Futura"/>
          <w:color w:val="595959"/>
        </w:rPr>
        <w:lastRenderedPageBreak/>
        <w:t>En este orden, en el uso de su derecho de audiencia, los contribuyentes cuentan con medios de defensa contra los actos de fiscalización, y es a través de la Dirección Estatal Jurídica del Servicio de Administración Tributaria del Estado de Quintana Roo, donde se realizan los sustentos jurídicos para la atención correspondiente. De dichos medios de defensa, del inicio de facultades del SATQ, en abril de 2019, se presenta el siguiente reporte:</w:t>
      </w:r>
    </w:p>
    <w:p w14:paraId="55046EFD" w14:textId="6DD99B2B" w:rsidR="008D7DE4" w:rsidRPr="00F30FD1" w:rsidRDefault="00F30FD1" w:rsidP="008D7DE4">
      <w:pPr>
        <w:jc w:val="center"/>
        <w:rPr>
          <w:rFonts w:cs="Arial"/>
          <w:b/>
          <w:sz w:val="22"/>
          <w:szCs w:val="22"/>
        </w:rPr>
      </w:pPr>
      <w:r>
        <w:rPr>
          <w:rFonts w:eastAsia="Arial" w:cs="Times New Roman"/>
          <w:b/>
          <w:bCs/>
          <w:color w:val="4BACC6" w:themeColor="accent5"/>
          <w:lang w:val="es-MX" w:eastAsia="en-US"/>
        </w:rPr>
        <w:t xml:space="preserve">Tabla T.7.- </w:t>
      </w:r>
      <w:r w:rsidR="008D7DE4" w:rsidRPr="00F30FD1">
        <w:rPr>
          <w:rFonts w:eastAsia="Arial" w:cs="Times New Roman"/>
          <w:b/>
          <w:bCs/>
          <w:color w:val="4BACC6" w:themeColor="accent5"/>
          <w:lang w:val="es-MX" w:eastAsia="en-US"/>
        </w:rPr>
        <w:t>Juicios de Nulidad</w:t>
      </w:r>
      <w:r w:rsidR="008D7DE4" w:rsidRPr="00F30FD1">
        <w:rPr>
          <w:rFonts w:eastAsia="Arial" w:cs="Arial"/>
          <w:b/>
          <w:bCs/>
          <w:sz w:val="22"/>
          <w:szCs w:val="22"/>
          <w:lang w:val="es-MX" w:eastAsia="en-US"/>
        </w:rPr>
        <w:t>.</w:t>
      </w:r>
    </w:p>
    <w:tbl>
      <w:tblPr>
        <w:tblStyle w:val="Tablaconcuadrcula"/>
        <w:tblW w:w="0" w:type="auto"/>
        <w:jc w:val="center"/>
        <w:tblLook w:val="04A0" w:firstRow="1" w:lastRow="0" w:firstColumn="1" w:lastColumn="0" w:noHBand="0" w:noVBand="1"/>
      </w:tblPr>
      <w:tblGrid>
        <w:gridCol w:w="1795"/>
        <w:gridCol w:w="1795"/>
        <w:gridCol w:w="1796"/>
      </w:tblGrid>
      <w:tr w:rsidR="008D7DE4" w:rsidRPr="00F30FD1" w14:paraId="3A2E8B52" w14:textId="77777777" w:rsidTr="00E668AF">
        <w:trPr>
          <w:jc w:val="center"/>
        </w:trPr>
        <w:tc>
          <w:tcPr>
            <w:tcW w:w="1795" w:type="dxa"/>
            <w:shd w:val="clear" w:color="auto" w:fill="A6A6A6" w:themeFill="background1" w:themeFillShade="A6"/>
          </w:tcPr>
          <w:p w14:paraId="2622B375" w14:textId="77777777" w:rsidR="008D7DE4" w:rsidRPr="00F30FD1" w:rsidRDefault="008D7DE4" w:rsidP="00E668AF">
            <w:pPr>
              <w:jc w:val="center"/>
              <w:textboxTightWrap w:val="allLines"/>
              <w:rPr>
                <w:rFonts w:eastAsia="Calibri" w:cs="Arial"/>
                <w:sz w:val="20"/>
                <w:szCs w:val="20"/>
              </w:rPr>
            </w:pPr>
            <w:r w:rsidRPr="00F30FD1">
              <w:rPr>
                <w:rFonts w:eastAsia="Calibri" w:cs="Arial"/>
                <w:sz w:val="20"/>
                <w:szCs w:val="20"/>
              </w:rPr>
              <w:t>Año</w:t>
            </w:r>
          </w:p>
        </w:tc>
        <w:tc>
          <w:tcPr>
            <w:tcW w:w="1795" w:type="dxa"/>
            <w:shd w:val="clear" w:color="auto" w:fill="A6A6A6" w:themeFill="background1" w:themeFillShade="A6"/>
          </w:tcPr>
          <w:p w14:paraId="1C4B574A" w14:textId="77777777" w:rsidR="008D7DE4" w:rsidRPr="00F30FD1" w:rsidRDefault="008D7DE4" w:rsidP="00E668AF">
            <w:pPr>
              <w:jc w:val="center"/>
              <w:textboxTightWrap w:val="allLines"/>
              <w:rPr>
                <w:rFonts w:eastAsia="Calibri" w:cs="Arial"/>
                <w:sz w:val="20"/>
                <w:szCs w:val="20"/>
              </w:rPr>
            </w:pPr>
            <w:r w:rsidRPr="00F30FD1">
              <w:rPr>
                <w:rFonts w:eastAsia="Calibri" w:cs="Arial"/>
                <w:sz w:val="20"/>
                <w:szCs w:val="20"/>
              </w:rPr>
              <w:t>Validez</w:t>
            </w:r>
          </w:p>
        </w:tc>
        <w:tc>
          <w:tcPr>
            <w:tcW w:w="1796" w:type="dxa"/>
            <w:shd w:val="clear" w:color="auto" w:fill="A6A6A6" w:themeFill="background1" w:themeFillShade="A6"/>
          </w:tcPr>
          <w:p w14:paraId="116065D0" w14:textId="77777777" w:rsidR="008D7DE4" w:rsidRPr="00F30FD1" w:rsidRDefault="008D7DE4" w:rsidP="00E668AF">
            <w:pPr>
              <w:jc w:val="center"/>
              <w:textboxTightWrap w:val="allLines"/>
              <w:rPr>
                <w:rFonts w:eastAsia="Calibri" w:cs="Arial"/>
                <w:sz w:val="20"/>
                <w:szCs w:val="20"/>
              </w:rPr>
            </w:pPr>
            <w:r w:rsidRPr="00F30FD1">
              <w:rPr>
                <w:rFonts w:eastAsia="Calibri" w:cs="Arial"/>
                <w:sz w:val="20"/>
                <w:szCs w:val="20"/>
              </w:rPr>
              <w:t>Nulidad</w:t>
            </w:r>
          </w:p>
        </w:tc>
      </w:tr>
      <w:tr w:rsidR="008D7DE4" w:rsidRPr="00F30FD1" w14:paraId="6F8962F7" w14:textId="77777777" w:rsidTr="00E668AF">
        <w:trPr>
          <w:jc w:val="center"/>
        </w:trPr>
        <w:tc>
          <w:tcPr>
            <w:tcW w:w="1795" w:type="dxa"/>
          </w:tcPr>
          <w:p w14:paraId="239D8A84" w14:textId="523C0C9F"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2013</w:t>
            </w:r>
          </w:p>
        </w:tc>
        <w:tc>
          <w:tcPr>
            <w:tcW w:w="1795" w:type="dxa"/>
          </w:tcPr>
          <w:p w14:paraId="6DD7B5B4" w14:textId="64BD0DCB"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112</w:t>
            </w:r>
          </w:p>
        </w:tc>
        <w:tc>
          <w:tcPr>
            <w:tcW w:w="1796" w:type="dxa"/>
          </w:tcPr>
          <w:p w14:paraId="0762ACBC" w14:textId="43C72360"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46</w:t>
            </w:r>
          </w:p>
        </w:tc>
      </w:tr>
      <w:tr w:rsidR="008D7DE4" w:rsidRPr="00F30FD1" w14:paraId="38027C8E" w14:textId="77777777" w:rsidTr="00E668AF">
        <w:trPr>
          <w:jc w:val="center"/>
        </w:trPr>
        <w:tc>
          <w:tcPr>
            <w:tcW w:w="1795" w:type="dxa"/>
          </w:tcPr>
          <w:p w14:paraId="04A68031" w14:textId="49A4F2AA"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2014</w:t>
            </w:r>
          </w:p>
        </w:tc>
        <w:tc>
          <w:tcPr>
            <w:tcW w:w="1795" w:type="dxa"/>
          </w:tcPr>
          <w:p w14:paraId="02907EFE" w14:textId="57FE46F6"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66</w:t>
            </w:r>
          </w:p>
        </w:tc>
        <w:tc>
          <w:tcPr>
            <w:tcW w:w="1796" w:type="dxa"/>
          </w:tcPr>
          <w:p w14:paraId="7C6489AC" w14:textId="50F53816"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94</w:t>
            </w:r>
          </w:p>
        </w:tc>
      </w:tr>
      <w:tr w:rsidR="008D7DE4" w:rsidRPr="00F30FD1" w14:paraId="1F75CE61" w14:textId="77777777" w:rsidTr="00E668AF">
        <w:trPr>
          <w:jc w:val="center"/>
        </w:trPr>
        <w:tc>
          <w:tcPr>
            <w:tcW w:w="1795" w:type="dxa"/>
          </w:tcPr>
          <w:p w14:paraId="19E402F5" w14:textId="057B17D0"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2015</w:t>
            </w:r>
          </w:p>
        </w:tc>
        <w:tc>
          <w:tcPr>
            <w:tcW w:w="1795" w:type="dxa"/>
          </w:tcPr>
          <w:p w14:paraId="5B522F7E" w14:textId="5E4D3F5B"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211</w:t>
            </w:r>
          </w:p>
        </w:tc>
        <w:tc>
          <w:tcPr>
            <w:tcW w:w="1796" w:type="dxa"/>
          </w:tcPr>
          <w:p w14:paraId="7AF4E157" w14:textId="54847A1F"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126</w:t>
            </w:r>
          </w:p>
        </w:tc>
      </w:tr>
      <w:tr w:rsidR="008D7DE4" w:rsidRPr="00F30FD1" w14:paraId="5EA5EF47" w14:textId="77777777" w:rsidTr="00E668AF">
        <w:trPr>
          <w:jc w:val="center"/>
        </w:trPr>
        <w:tc>
          <w:tcPr>
            <w:tcW w:w="1795" w:type="dxa"/>
          </w:tcPr>
          <w:p w14:paraId="6D5DF714" w14:textId="1ED95461"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2016</w:t>
            </w:r>
          </w:p>
        </w:tc>
        <w:tc>
          <w:tcPr>
            <w:tcW w:w="1795" w:type="dxa"/>
          </w:tcPr>
          <w:p w14:paraId="48DCBE5D" w14:textId="1286E20F"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35</w:t>
            </w:r>
          </w:p>
        </w:tc>
        <w:tc>
          <w:tcPr>
            <w:tcW w:w="1796" w:type="dxa"/>
          </w:tcPr>
          <w:p w14:paraId="577FD89D" w14:textId="5B9B249A"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68</w:t>
            </w:r>
          </w:p>
        </w:tc>
      </w:tr>
      <w:tr w:rsidR="008D7DE4" w:rsidRPr="00F30FD1" w14:paraId="1528A11E" w14:textId="77777777" w:rsidTr="00E668AF">
        <w:trPr>
          <w:jc w:val="center"/>
        </w:trPr>
        <w:tc>
          <w:tcPr>
            <w:tcW w:w="1795" w:type="dxa"/>
          </w:tcPr>
          <w:p w14:paraId="1A53D8DD" w14:textId="52B9B9F0"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2017</w:t>
            </w:r>
          </w:p>
        </w:tc>
        <w:tc>
          <w:tcPr>
            <w:tcW w:w="1795" w:type="dxa"/>
          </w:tcPr>
          <w:p w14:paraId="1DB35D8B" w14:textId="3A1F1550" w:rsidR="008D7DE4" w:rsidRPr="00F30FD1" w:rsidRDefault="008D7DE4" w:rsidP="008D7DE4">
            <w:pPr>
              <w:jc w:val="center"/>
              <w:textboxTightWrap w:val="allLines"/>
              <w:rPr>
                <w:rFonts w:eastAsia="Calibri" w:cs="Calibri"/>
                <w:sz w:val="16"/>
                <w:szCs w:val="16"/>
                <w:vertAlign w:val="superscript"/>
              </w:rPr>
            </w:pPr>
            <w:r w:rsidRPr="00F30FD1">
              <w:rPr>
                <w:rFonts w:eastAsia="Calibri" w:cs="Calibri"/>
                <w:sz w:val="16"/>
                <w:szCs w:val="16"/>
              </w:rPr>
              <w:t>13</w:t>
            </w:r>
          </w:p>
        </w:tc>
        <w:tc>
          <w:tcPr>
            <w:tcW w:w="1796" w:type="dxa"/>
          </w:tcPr>
          <w:p w14:paraId="05186D60" w14:textId="558171D5"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72</w:t>
            </w:r>
          </w:p>
        </w:tc>
      </w:tr>
      <w:tr w:rsidR="008D7DE4" w:rsidRPr="00F30FD1" w14:paraId="2C72BA7F" w14:textId="77777777" w:rsidTr="00E668AF">
        <w:trPr>
          <w:jc w:val="center"/>
        </w:trPr>
        <w:tc>
          <w:tcPr>
            <w:tcW w:w="1795" w:type="dxa"/>
          </w:tcPr>
          <w:p w14:paraId="0F1CF5F7" w14:textId="437C5ADA"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2018</w:t>
            </w:r>
          </w:p>
        </w:tc>
        <w:tc>
          <w:tcPr>
            <w:tcW w:w="1795" w:type="dxa"/>
          </w:tcPr>
          <w:p w14:paraId="6514C697" w14:textId="42391D4C" w:rsidR="008D7DE4" w:rsidRPr="00F30FD1" w:rsidRDefault="00581E5E" w:rsidP="008D7DE4">
            <w:pPr>
              <w:jc w:val="center"/>
              <w:textboxTightWrap w:val="allLines"/>
              <w:rPr>
                <w:rFonts w:eastAsia="Calibri" w:cs="Calibri"/>
                <w:sz w:val="16"/>
                <w:szCs w:val="16"/>
              </w:rPr>
            </w:pPr>
            <w:r w:rsidRPr="00F30FD1">
              <w:rPr>
                <w:rFonts w:eastAsia="Calibri" w:cs="Calibri"/>
                <w:sz w:val="16"/>
                <w:szCs w:val="16"/>
              </w:rPr>
              <w:t>42</w:t>
            </w:r>
          </w:p>
        </w:tc>
        <w:tc>
          <w:tcPr>
            <w:tcW w:w="1796" w:type="dxa"/>
          </w:tcPr>
          <w:p w14:paraId="69138218" w14:textId="2425CD7E" w:rsidR="008D7DE4" w:rsidRPr="00F30FD1" w:rsidRDefault="00581E5E" w:rsidP="008D7DE4">
            <w:pPr>
              <w:jc w:val="center"/>
              <w:textboxTightWrap w:val="allLines"/>
              <w:rPr>
                <w:rFonts w:eastAsia="Calibri" w:cs="Calibri"/>
                <w:sz w:val="16"/>
                <w:szCs w:val="16"/>
              </w:rPr>
            </w:pPr>
            <w:r w:rsidRPr="00F30FD1">
              <w:rPr>
                <w:rFonts w:eastAsia="Calibri" w:cs="Calibri"/>
                <w:sz w:val="16"/>
                <w:szCs w:val="16"/>
              </w:rPr>
              <w:t>61</w:t>
            </w:r>
          </w:p>
        </w:tc>
      </w:tr>
      <w:tr w:rsidR="008D7DE4" w:rsidRPr="00F30FD1" w14:paraId="04199596" w14:textId="77777777" w:rsidTr="00E668AF">
        <w:trPr>
          <w:jc w:val="center"/>
        </w:trPr>
        <w:tc>
          <w:tcPr>
            <w:tcW w:w="1795" w:type="dxa"/>
          </w:tcPr>
          <w:p w14:paraId="05C0FE67" w14:textId="21FA516B"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Abril-Dic 2019.</w:t>
            </w:r>
          </w:p>
        </w:tc>
        <w:tc>
          <w:tcPr>
            <w:tcW w:w="1795" w:type="dxa"/>
          </w:tcPr>
          <w:p w14:paraId="57EC6E70" w14:textId="1B124872"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23</w:t>
            </w:r>
          </w:p>
        </w:tc>
        <w:tc>
          <w:tcPr>
            <w:tcW w:w="1796" w:type="dxa"/>
          </w:tcPr>
          <w:p w14:paraId="2455A14C" w14:textId="2771F756"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62</w:t>
            </w:r>
          </w:p>
        </w:tc>
      </w:tr>
    </w:tbl>
    <w:p w14:paraId="0A1E0220" w14:textId="77777777" w:rsidR="008D7DE4" w:rsidRPr="00F30FD1" w:rsidRDefault="008D7DE4" w:rsidP="008D7DE4">
      <w:r w:rsidRPr="00F30FD1">
        <w:rPr>
          <w:sz w:val="20"/>
          <w:szCs w:val="20"/>
        </w:rPr>
        <w:t>Fuente: Servicio de Administración Tributaria del Estado de Quintana Roo. Dirección Estatal Jurídica.</w:t>
      </w:r>
    </w:p>
    <w:p w14:paraId="628EC956" w14:textId="77777777" w:rsidR="00B43376" w:rsidRPr="00F30FD1" w:rsidRDefault="00B43376" w:rsidP="00B43376">
      <w:pPr>
        <w:rPr>
          <w:rFonts w:eastAsia="Times New Roman" w:cs="Futura"/>
          <w:color w:val="595959"/>
        </w:rPr>
      </w:pPr>
      <w:r w:rsidRPr="00F30FD1">
        <w:rPr>
          <w:rFonts w:eastAsia="Times New Roman" w:cs="Futura"/>
          <w:color w:val="595959"/>
        </w:rPr>
        <w:t>Los conceptos de nulidad recurrentes son:</w:t>
      </w:r>
    </w:p>
    <w:p w14:paraId="1ACEE41A" w14:textId="77777777" w:rsidR="00B43376" w:rsidRPr="00F30FD1" w:rsidRDefault="00B43376" w:rsidP="00B43376">
      <w:pPr>
        <w:pStyle w:val="Prrafodelista"/>
        <w:numPr>
          <w:ilvl w:val="0"/>
          <w:numId w:val="12"/>
        </w:numPr>
        <w:rPr>
          <w:rFonts w:eastAsia="Times New Roman" w:cs="Futura"/>
          <w:color w:val="595959"/>
        </w:rPr>
      </w:pPr>
      <w:r w:rsidRPr="00F30FD1">
        <w:rPr>
          <w:rFonts w:eastAsia="Times New Roman" w:cs="Futura"/>
          <w:color w:val="595959"/>
        </w:rPr>
        <w:t>Falta de fundamentación de la competencia material de la Autoridad fiscalizadora para ejercer facultades de comprobación en materia fiscal federal.</w:t>
      </w:r>
    </w:p>
    <w:p w14:paraId="0E117697" w14:textId="77777777" w:rsidR="00B43376" w:rsidRPr="00F30FD1" w:rsidRDefault="00B43376" w:rsidP="00B43376">
      <w:pPr>
        <w:pStyle w:val="Prrafodelista"/>
        <w:numPr>
          <w:ilvl w:val="0"/>
          <w:numId w:val="12"/>
        </w:numPr>
        <w:rPr>
          <w:rFonts w:eastAsia="Times New Roman" w:cs="Futura"/>
          <w:color w:val="595959"/>
        </w:rPr>
      </w:pPr>
      <w:r w:rsidRPr="00F30FD1">
        <w:rPr>
          <w:rFonts w:eastAsia="Times New Roman" w:cs="Futura"/>
          <w:color w:val="595959"/>
        </w:rPr>
        <w:t>Falta de fundamentación y motivación en la determinación del crédito fiscal.</w:t>
      </w:r>
    </w:p>
    <w:p w14:paraId="4EFF3AB9" w14:textId="77777777" w:rsidR="00B43376" w:rsidRPr="00F30FD1" w:rsidRDefault="00B43376" w:rsidP="00B43376">
      <w:pPr>
        <w:pStyle w:val="Prrafodelista"/>
        <w:numPr>
          <w:ilvl w:val="0"/>
          <w:numId w:val="12"/>
        </w:numPr>
        <w:rPr>
          <w:rFonts w:eastAsia="Times New Roman" w:cs="Futura"/>
          <w:color w:val="595959"/>
        </w:rPr>
      </w:pPr>
      <w:r w:rsidRPr="00F30FD1">
        <w:rPr>
          <w:rFonts w:eastAsia="Times New Roman" w:cs="Futura"/>
          <w:color w:val="595959"/>
        </w:rPr>
        <w:t>Incompetencia de la autoridad fiscalizadora para emitir órdenes de visita domiciliaria.</w:t>
      </w:r>
    </w:p>
    <w:p w14:paraId="307CAA11" w14:textId="77777777" w:rsidR="00B43376" w:rsidRPr="00F30FD1" w:rsidRDefault="00B43376" w:rsidP="00B43376">
      <w:pPr>
        <w:pStyle w:val="Prrafodelista"/>
        <w:numPr>
          <w:ilvl w:val="0"/>
          <w:numId w:val="12"/>
        </w:numPr>
        <w:rPr>
          <w:rFonts w:eastAsia="Times New Roman" w:cs="Futura"/>
          <w:color w:val="595959"/>
        </w:rPr>
      </w:pPr>
      <w:r w:rsidRPr="00F30FD1">
        <w:rPr>
          <w:rFonts w:eastAsia="Times New Roman" w:cs="Futura"/>
          <w:color w:val="595959"/>
        </w:rPr>
        <w:t>Señalan una multa mayor a la mínima y no la motivan ni fundamentan.</w:t>
      </w:r>
    </w:p>
    <w:p w14:paraId="3995265E" w14:textId="77777777" w:rsidR="00B43376" w:rsidRPr="00F30FD1" w:rsidRDefault="00B43376" w:rsidP="00B43376">
      <w:pPr>
        <w:pStyle w:val="Prrafodelista"/>
        <w:numPr>
          <w:ilvl w:val="0"/>
          <w:numId w:val="12"/>
        </w:numPr>
        <w:rPr>
          <w:rFonts w:eastAsia="Times New Roman" w:cs="Futura"/>
          <w:color w:val="595959"/>
        </w:rPr>
      </w:pPr>
      <w:r w:rsidRPr="00F30FD1">
        <w:rPr>
          <w:rFonts w:eastAsia="Times New Roman" w:cs="Futura"/>
          <w:color w:val="595959"/>
        </w:rPr>
        <w:t>Indebida notificación.</w:t>
      </w:r>
    </w:p>
    <w:p w14:paraId="29EDB5F9" w14:textId="77777777" w:rsidR="00B43376" w:rsidRPr="00F30FD1" w:rsidRDefault="00B43376" w:rsidP="00B43376">
      <w:pPr>
        <w:pStyle w:val="Prrafodelista"/>
        <w:numPr>
          <w:ilvl w:val="0"/>
          <w:numId w:val="12"/>
        </w:numPr>
        <w:rPr>
          <w:rFonts w:eastAsia="Times New Roman" w:cs="Futura"/>
          <w:color w:val="595959"/>
        </w:rPr>
      </w:pPr>
      <w:r w:rsidRPr="00F30FD1">
        <w:rPr>
          <w:rFonts w:eastAsia="Times New Roman" w:cs="Futura"/>
          <w:color w:val="595959"/>
        </w:rPr>
        <w:t>Multas de ventanilla.</w:t>
      </w:r>
    </w:p>
    <w:p w14:paraId="1F6AD26C" w14:textId="77777777" w:rsidR="00B43376" w:rsidRPr="00F30FD1" w:rsidRDefault="00B43376" w:rsidP="00B43376">
      <w:pPr>
        <w:pStyle w:val="Prrafodelista"/>
        <w:numPr>
          <w:ilvl w:val="0"/>
          <w:numId w:val="12"/>
        </w:numPr>
        <w:rPr>
          <w:rFonts w:eastAsia="Times New Roman" w:cs="Futura"/>
          <w:color w:val="595959"/>
        </w:rPr>
      </w:pPr>
      <w:r w:rsidRPr="00F30FD1">
        <w:rPr>
          <w:rFonts w:eastAsia="Times New Roman" w:cs="Futura"/>
          <w:color w:val="595959"/>
        </w:rPr>
        <w:t>La falta del requerimiento.</w:t>
      </w:r>
    </w:p>
    <w:p w14:paraId="60173F37" w14:textId="77777777" w:rsidR="00B43376" w:rsidRPr="00F30FD1" w:rsidRDefault="00B43376" w:rsidP="00B43376">
      <w:pPr>
        <w:pStyle w:val="Prrafodelista"/>
        <w:numPr>
          <w:ilvl w:val="0"/>
          <w:numId w:val="12"/>
        </w:numPr>
        <w:rPr>
          <w:rFonts w:eastAsia="Times New Roman" w:cs="Futura"/>
          <w:color w:val="595959"/>
        </w:rPr>
      </w:pPr>
      <w:r w:rsidRPr="00F30FD1">
        <w:rPr>
          <w:rFonts w:eastAsia="Times New Roman" w:cs="Futura"/>
          <w:color w:val="595959"/>
        </w:rPr>
        <w:t>Refrendo de las normas.</w:t>
      </w:r>
    </w:p>
    <w:p w14:paraId="5B098725" w14:textId="77777777" w:rsidR="000847C4" w:rsidRPr="00F30FD1" w:rsidRDefault="000847C4">
      <w:pPr>
        <w:spacing w:after="0" w:line="240" w:lineRule="auto"/>
        <w:jc w:val="left"/>
        <w:rPr>
          <w:rFonts w:eastAsia="Arial" w:cs="Arial"/>
          <w:b/>
          <w:bCs/>
          <w:sz w:val="22"/>
          <w:szCs w:val="22"/>
          <w:lang w:val="es-MX" w:eastAsia="en-US"/>
        </w:rPr>
      </w:pPr>
      <w:r w:rsidRPr="00F30FD1">
        <w:rPr>
          <w:rFonts w:eastAsia="Arial" w:cs="Arial"/>
          <w:b/>
          <w:bCs/>
          <w:sz w:val="22"/>
          <w:szCs w:val="22"/>
          <w:lang w:val="es-MX" w:eastAsia="en-US"/>
        </w:rPr>
        <w:br w:type="page"/>
      </w:r>
    </w:p>
    <w:p w14:paraId="49C61FAB" w14:textId="613C8A30" w:rsidR="008D7DE4" w:rsidRPr="00F30FD1" w:rsidRDefault="00F30FD1" w:rsidP="008D7DE4">
      <w:pPr>
        <w:pStyle w:val="Prrafodelista"/>
        <w:spacing w:after="0" w:line="240" w:lineRule="auto"/>
        <w:jc w:val="center"/>
        <w:rPr>
          <w:rFonts w:eastAsia="Arial" w:cs="Arial"/>
          <w:b/>
          <w:bCs/>
          <w:sz w:val="22"/>
          <w:szCs w:val="22"/>
          <w:highlight w:val="yellow"/>
          <w:lang w:val="es-MX" w:eastAsia="en-US"/>
        </w:rPr>
      </w:pPr>
      <w:r>
        <w:rPr>
          <w:rFonts w:eastAsia="Arial" w:cs="Times New Roman"/>
          <w:b/>
          <w:bCs/>
          <w:color w:val="4BACC6" w:themeColor="accent5"/>
          <w:lang w:val="es-MX" w:eastAsia="en-US"/>
        </w:rPr>
        <w:lastRenderedPageBreak/>
        <w:t xml:space="preserve">Tabla T8.- </w:t>
      </w:r>
      <w:r w:rsidR="008D7DE4" w:rsidRPr="00F30FD1">
        <w:rPr>
          <w:rFonts w:eastAsia="Arial" w:cs="Times New Roman"/>
          <w:b/>
          <w:bCs/>
          <w:color w:val="4BACC6" w:themeColor="accent5"/>
          <w:lang w:val="es-MX" w:eastAsia="en-US"/>
        </w:rPr>
        <w:t>Recursos de Revocación</w:t>
      </w:r>
      <w:r w:rsidR="008D7DE4" w:rsidRPr="00F30FD1">
        <w:rPr>
          <w:rFonts w:eastAsia="Arial" w:cs="Arial"/>
          <w:b/>
          <w:bCs/>
          <w:sz w:val="22"/>
          <w:szCs w:val="22"/>
          <w:lang w:val="es-MX" w:eastAsia="en-US"/>
        </w:rPr>
        <w:t>.</w:t>
      </w:r>
    </w:p>
    <w:p w14:paraId="50B9BB89" w14:textId="77777777" w:rsidR="008D7DE4" w:rsidRPr="00F30FD1" w:rsidRDefault="008D7DE4" w:rsidP="008D7DE4">
      <w:pPr>
        <w:pStyle w:val="Prrafodelista"/>
        <w:spacing w:after="0" w:line="240" w:lineRule="auto"/>
        <w:jc w:val="center"/>
        <w:rPr>
          <w:b/>
          <w:bCs/>
          <w:sz w:val="28"/>
          <w:szCs w:val="28"/>
        </w:rPr>
      </w:pPr>
    </w:p>
    <w:tbl>
      <w:tblPr>
        <w:tblStyle w:val="Tablaconcuadrcula"/>
        <w:tblW w:w="0" w:type="auto"/>
        <w:jc w:val="center"/>
        <w:tblLook w:val="04A0" w:firstRow="1" w:lastRow="0" w:firstColumn="1" w:lastColumn="0" w:noHBand="0" w:noVBand="1"/>
      </w:tblPr>
      <w:tblGrid>
        <w:gridCol w:w="1185"/>
        <w:gridCol w:w="1027"/>
        <w:gridCol w:w="1757"/>
      </w:tblGrid>
      <w:tr w:rsidR="008D7DE4" w:rsidRPr="00F30FD1" w14:paraId="6ECE9FFB" w14:textId="77777777" w:rsidTr="00E668AF">
        <w:trPr>
          <w:trHeight w:val="235"/>
          <w:jc w:val="center"/>
        </w:trPr>
        <w:tc>
          <w:tcPr>
            <w:tcW w:w="0" w:type="auto"/>
            <w:shd w:val="clear" w:color="auto" w:fill="A6A6A6" w:themeFill="background1" w:themeFillShade="A6"/>
          </w:tcPr>
          <w:p w14:paraId="005C5D80" w14:textId="77777777" w:rsidR="008D7DE4" w:rsidRPr="00F30FD1" w:rsidRDefault="008D7DE4" w:rsidP="00E668AF">
            <w:pPr>
              <w:jc w:val="center"/>
              <w:textboxTightWrap w:val="allLines"/>
              <w:rPr>
                <w:rFonts w:eastAsia="Calibri" w:cs="Arial"/>
                <w:sz w:val="20"/>
                <w:szCs w:val="20"/>
              </w:rPr>
            </w:pPr>
            <w:r w:rsidRPr="00F30FD1">
              <w:rPr>
                <w:rFonts w:eastAsia="Calibri" w:cs="Arial"/>
                <w:sz w:val="20"/>
                <w:szCs w:val="20"/>
              </w:rPr>
              <w:t>Año</w:t>
            </w:r>
          </w:p>
        </w:tc>
        <w:tc>
          <w:tcPr>
            <w:tcW w:w="0" w:type="auto"/>
            <w:shd w:val="clear" w:color="auto" w:fill="A6A6A6" w:themeFill="background1" w:themeFillShade="A6"/>
          </w:tcPr>
          <w:p w14:paraId="727BAC19" w14:textId="77777777" w:rsidR="008D7DE4" w:rsidRPr="00F30FD1" w:rsidRDefault="008D7DE4" w:rsidP="00E668AF">
            <w:pPr>
              <w:jc w:val="center"/>
              <w:textboxTightWrap w:val="allLines"/>
              <w:rPr>
                <w:rFonts w:eastAsia="Calibri" w:cs="Arial"/>
                <w:sz w:val="20"/>
                <w:szCs w:val="20"/>
              </w:rPr>
            </w:pPr>
            <w:r w:rsidRPr="00F30FD1">
              <w:rPr>
                <w:rFonts w:eastAsia="Calibri" w:cs="Arial"/>
                <w:sz w:val="20"/>
                <w:szCs w:val="20"/>
              </w:rPr>
              <w:t xml:space="preserve">Confirman </w:t>
            </w:r>
          </w:p>
        </w:tc>
        <w:tc>
          <w:tcPr>
            <w:tcW w:w="0" w:type="auto"/>
            <w:shd w:val="clear" w:color="auto" w:fill="A6A6A6" w:themeFill="background1" w:themeFillShade="A6"/>
          </w:tcPr>
          <w:p w14:paraId="0D86288F" w14:textId="77777777" w:rsidR="008D7DE4" w:rsidRPr="00F30FD1" w:rsidRDefault="008D7DE4" w:rsidP="00E668AF">
            <w:pPr>
              <w:jc w:val="center"/>
              <w:textboxTightWrap w:val="allLines"/>
              <w:rPr>
                <w:rFonts w:eastAsia="Calibri" w:cs="Arial"/>
                <w:sz w:val="20"/>
                <w:szCs w:val="20"/>
              </w:rPr>
            </w:pPr>
            <w:r w:rsidRPr="00F30FD1">
              <w:rPr>
                <w:rFonts w:eastAsia="Calibri" w:cs="Arial"/>
                <w:sz w:val="20"/>
                <w:szCs w:val="20"/>
              </w:rPr>
              <w:t>Se dejan sin efectos</w:t>
            </w:r>
          </w:p>
        </w:tc>
      </w:tr>
      <w:tr w:rsidR="008D7DE4" w:rsidRPr="00F30FD1" w14:paraId="6F9B3CF0" w14:textId="77777777" w:rsidTr="00E668AF">
        <w:trPr>
          <w:trHeight w:val="235"/>
          <w:jc w:val="center"/>
        </w:trPr>
        <w:tc>
          <w:tcPr>
            <w:tcW w:w="0" w:type="auto"/>
          </w:tcPr>
          <w:p w14:paraId="4AB33664" w14:textId="20DDCADD"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2013</w:t>
            </w:r>
          </w:p>
        </w:tc>
        <w:tc>
          <w:tcPr>
            <w:tcW w:w="0" w:type="auto"/>
          </w:tcPr>
          <w:p w14:paraId="583A80FB" w14:textId="77BC4DC2"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112</w:t>
            </w:r>
          </w:p>
        </w:tc>
        <w:tc>
          <w:tcPr>
            <w:tcW w:w="0" w:type="auto"/>
          </w:tcPr>
          <w:p w14:paraId="5772F12D" w14:textId="0E0004A4"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46</w:t>
            </w:r>
          </w:p>
        </w:tc>
      </w:tr>
      <w:tr w:rsidR="008D7DE4" w:rsidRPr="00F30FD1" w14:paraId="64F36DDF" w14:textId="77777777" w:rsidTr="00E668AF">
        <w:trPr>
          <w:trHeight w:val="235"/>
          <w:jc w:val="center"/>
        </w:trPr>
        <w:tc>
          <w:tcPr>
            <w:tcW w:w="0" w:type="auto"/>
          </w:tcPr>
          <w:p w14:paraId="0B6514C0" w14:textId="31BEB01E"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2014</w:t>
            </w:r>
          </w:p>
        </w:tc>
        <w:tc>
          <w:tcPr>
            <w:tcW w:w="0" w:type="auto"/>
          </w:tcPr>
          <w:p w14:paraId="3FD9CBFD" w14:textId="7B772CA3"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66</w:t>
            </w:r>
          </w:p>
        </w:tc>
        <w:tc>
          <w:tcPr>
            <w:tcW w:w="0" w:type="auto"/>
          </w:tcPr>
          <w:p w14:paraId="21737244" w14:textId="25F85CD5"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94</w:t>
            </w:r>
          </w:p>
        </w:tc>
      </w:tr>
      <w:tr w:rsidR="008D7DE4" w:rsidRPr="00F30FD1" w14:paraId="4D2B7F2B" w14:textId="77777777" w:rsidTr="00E668AF">
        <w:trPr>
          <w:trHeight w:val="235"/>
          <w:jc w:val="center"/>
        </w:trPr>
        <w:tc>
          <w:tcPr>
            <w:tcW w:w="0" w:type="auto"/>
          </w:tcPr>
          <w:p w14:paraId="1611F641" w14:textId="440E1558"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2015</w:t>
            </w:r>
          </w:p>
        </w:tc>
        <w:tc>
          <w:tcPr>
            <w:tcW w:w="0" w:type="auto"/>
          </w:tcPr>
          <w:p w14:paraId="4A20D469" w14:textId="6B55B31F"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211</w:t>
            </w:r>
          </w:p>
        </w:tc>
        <w:tc>
          <w:tcPr>
            <w:tcW w:w="0" w:type="auto"/>
          </w:tcPr>
          <w:p w14:paraId="68818DD8" w14:textId="51C5AA84"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126</w:t>
            </w:r>
          </w:p>
        </w:tc>
      </w:tr>
      <w:tr w:rsidR="008D7DE4" w:rsidRPr="00F30FD1" w14:paraId="355D3C53" w14:textId="77777777" w:rsidTr="00E668AF">
        <w:trPr>
          <w:trHeight w:val="235"/>
          <w:jc w:val="center"/>
        </w:trPr>
        <w:tc>
          <w:tcPr>
            <w:tcW w:w="0" w:type="auto"/>
          </w:tcPr>
          <w:p w14:paraId="34706D76" w14:textId="54DFF985"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2016</w:t>
            </w:r>
          </w:p>
        </w:tc>
        <w:tc>
          <w:tcPr>
            <w:tcW w:w="0" w:type="auto"/>
          </w:tcPr>
          <w:p w14:paraId="58240EF9" w14:textId="2F743417"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35</w:t>
            </w:r>
          </w:p>
        </w:tc>
        <w:tc>
          <w:tcPr>
            <w:tcW w:w="0" w:type="auto"/>
          </w:tcPr>
          <w:p w14:paraId="7A5F4EC1" w14:textId="17FF28DB"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68</w:t>
            </w:r>
          </w:p>
        </w:tc>
      </w:tr>
      <w:tr w:rsidR="008D7DE4" w:rsidRPr="00F30FD1" w14:paraId="718A577C" w14:textId="77777777" w:rsidTr="00E668AF">
        <w:trPr>
          <w:trHeight w:val="235"/>
          <w:jc w:val="center"/>
        </w:trPr>
        <w:tc>
          <w:tcPr>
            <w:tcW w:w="0" w:type="auto"/>
          </w:tcPr>
          <w:p w14:paraId="51F47FA3" w14:textId="634B350B"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2017</w:t>
            </w:r>
          </w:p>
        </w:tc>
        <w:tc>
          <w:tcPr>
            <w:tcW w:w="0" w:type="auto"/>
          </w:tcPr>
          <w:p w14:paraId="2BD1845B" w14:textId="573ED0B8"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13</w:t>
            </w:r>
          </w:p>
        </w:tc>
        <w:tc>
          <w:tcPr>
            <w:tcW w:w="0" w:type="auto"/>
          </w:tcPr>
          <w:p w14:paraId="1FCF5F5E" w14:textId="1FDA0800"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72</w:t>
            </w:r>
          </w:p>
        </w:tc>
      </w:tr>
      <w:tr w:rsidR="008D7DE4" w:rsidRPr="00F30FD1" w14:paraId="51072A70" w14:textId="77777777" w:rsidTr="00E668AF">
        <w:trPr>
          <w:trHeight w:val="235"/>
          <w:jc w:val="center"/>
        </w:trPr>
        <w:tc>
          <w:tcPr>
            <w:tcW w:w="0" w:type="auto"/>
          </w:tcPr>
          <w:p w14:paraId="5392E9D3" w14:textId="35EA73B4"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2018</w:t>
            </w:r>
          </w:p>
        </w:tc>
        <w:tc>
          <w:tcPr>
            <w:tcW w:w="0" w:type="auto"/>
          </w:tcPr>
          <w:p w14:paraId="462133AC" w14:textId="38C266E8" w:rsidR="008D7DE4" w:rsidRPr="00F30FD1" w:rsidRDefault="00581E5E" w:rsidP="008D7DE4">
            <w:pPr>
              <w:jc w:val="center"/>
              <w:textboxTightWrap w:val="allLines"/>
              <w:rPr>
                <w:rFonts w:eastAsia="Calibri" w:cs="Calibri"/>
                <w:sz w:val="16"/>
                <w:szCs w:val="16"/>
              </w:rPr>
            </w:pPr>
            <w:r w:rsidRPr="00F30FD1">
              <w:rPr>
                <w:rFonts w:eastAsia="Calibri" w:cs="Calibri"/>
                <w:sz w:val="16"/>
                <w:szCs w:val="16"/>
              </w:rPr>
              <w:t>85</w:t>
            </w:r>
          </w:p>
        </w:tc>
        <w:tc>
          <w:tcPr>
            <w:tcW w:w="0" w:type="auto"/>
          </w:tcPr>
          <w:p w14:paraId="02C8162B" w14:textId="14F2AC46" w:rsidR="008D7DE4" w:rsidRPr="00F30FD1" w:rsidRDefault="00581E5E" w:rsidP="008D7DE4">
            <w:pPr>
              <w:jc w:val="center"/>
              <w:textboxTightWrap w:val="allLines"/>
              <w:rPr>
                <w:rFonts w:eastAsia="Calibri" w:cs="Calibri"/>
                <w:sz w:val="16"/>
                <w:szCs w:val="16"/>
              </w:rPr>
            </w:pPr>
            <w:r w:rsidRPr="00F30FD1">
              <w:rPr>
                <w:rFonts w:eastAsia="Calibri" w:cs="Calibri"/>
                <w:sz w:val="16"/>
                <w:szCs w:val="16"/>
              </w:rPr>
              <w:t>98</w:t>
            </w:r>
          </w:p>
        </w:tc>
      </w:tr>
      <w:tr w:rsidR="008D7DE4" w:rsidRPr="00F30FD1" w14:paraId="608AE826" w14:textId="77777777" w:rsidTr="00E668AF">
        <w:trPr>
          <w:trHeight w:val="235"/>
          <w:jc w:val="center"/>
        </w:trPr>
        <w:tc>
          <w:tcPr>
            <w:tcW w:w="0" w:type="auto"/>
          </w:tcPr>
          <w:p w14:paraId="14350B4A" w14:textId="2EA05D55"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Abril-Dic 2019.</w:t>
            </w:r>
          </w:p>
        </w:tc>
        <w:tc>
          <w:tcPr>
            <w:tcW w:w="0" w:type="auto"/>
          </w:tcPr>
          <w:p w14:paraId="51FEDDE3" w14:textId="592950A8"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50</w:t>
            </w:r>
          </w:p>
        </w:tc>
        <w:tc>
          <w:tcPr>
            <w:tcW w:w="0" w:type="auto"/>
          </w:tcPr>
          <w:p w14:paraId="39933CA9" w14:textId="21082183"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9</w:t>
            </w:r>
          </w:p>
        </w:tc>
      </w:tr>
    </w:tbl>
    <w:p w14:paraId="69DBECB3" w14:textId="77777777" w:rsidR="008D7DE4" w:rsidRPr="00F30FD1" w:rsidRDefault="008D7DE4" w:rsidP="008D7DE4">
      <w:r w:rsidRPr="00F30FD1">
        <w:rPr>
          <w:sz w:val="20"/>
          <w:szCs w:val="20"/>
        </w:rPr>
        <w:t>Fuente: Servicio de Administración Tributaria del Estado de Quintana Roo. Dirección Estatal Jurídica.</w:t>
      </w:r>
    </w:p>
    <w:p w14:paraId="3514906E" w14:textId="77777777" w:rsidR="008D7DE4" w:rsidRPr="00F30FD1" w:rsidRDefault="008D7DE4" w:rsidP="008D7DE4">
      <w:pPr>
        <w:rPr>
          <w:rFonts w:eastAsia="Times New Roman" w:cs="Arial"/>
          <w:color w:val="FF0000"/>
          <w:sz w:val="20"/>
          <w:szCs w:val="20"/>
        </w:rPr>
      </w:pPr>
    </w:p>
    <w:p w14:paraId="0DC1CDC2" w14:textId="77777777" w:rsidR="00B43376" w:rsidRPr="00F30FD1" w:rsidRDefault="00B43376" w:rsidP="00B43376">
      <w:pPr>
        <w:rPr>
          <w:rFonts w:eastAsia="Times New Roman" w:cs="Futura"/>
          <w:color w:val="595959"/>
        </w:rPr>
      </w:pPr>
      <w:r w:rsidRPr="00F30FD1">
        <w:rPr>
          <w:rFonts w:eastAsia="Times New Roman" w:cs="Futura"/>
          <w:color w:val="595959"/>
        </w:rPr>
        <w:t>Los agravios recurrentes son:</w:t>
      </w:r>
    </w:p>
    <w:p w14:paraId="5EFF3CDA" w14:textId="77777777" w:rsidR="00B43376" w:rsidRPr="00F30FD1" w:rsidRDefault="00B43376" w:rsidP="00B43376">
      <w:pPr>
        <w:pStyle w:val="Prrafodelista"/>
        <w:numPr>
          <w:ilvl w:val="0"/>
          <w:numId w:val="5"/>
        </w:numPr>
        <w:rPr>
          <w:rFonts w:eastAsia="Times New Roman" w:cs="Futura"/>
          <w:color w:val="595959"/>
        </w:rPr>
      </w:pPr>
      <w:r w:rsidRPr="00F30FD1">
        <w:rPr>
          <w:rFonts w:eastAsia="Times New Roman" w:cs="Futura"/>
          <w:color w:val="595959"/>
        </w:rPr>
        <w:t>Incompetencia del funcionario emisor de la multa.</w:t>
      </w:r>
    </w:p>
    <w:p w14:paraId="00CE6BF0" w14:textId="77777777" w:rsidR="00B43376" w:rsidRPr="00F30FD1" w:rsidRDefault="00B43376" w:rsidP="00B43376">
      <w:pPr>
        <w:pStyle w:val="Prrafodelista"/>
        <w:numPr>
          <w:ilvl w:val="0"/>
          <w:numId w:val="5"/>
        </w:numPr>
        <w:rPr>
          <w:rFonts w:eastAsia="Times New Roman" w:cs="Futura"/>
          <w:color w:val="595959"/>
        </w:rPr>
      </w:pPr>
      <w:r w:rsidRPr="00F30FD1">
        <w:rPr>
          <w:rFonts w:eastAsia="Times New Roman" w:cs="Futura"/>
          <w:color w:val="595959"/>
        </w:rPr>
        <w:t>Indebida fundamentación de la multa, señalan un supuesto e infraccionan por otro.</w:t>
      </w:r>
    </w:p>
    <w:p w14:paraId="0A0F8984" w14:textId="77777777" w:rsidR="00B43376" w:rsidRPr="00F30FD1" w:rsidRDefault="00B43376" w:rsidP="00B43376">
      <w:pPr>
        <w:pStyle w:val="Prrafodelista"/>
        <w:numPr>
          <w:ilvl w:val="0"/>
          <w:numId w:val="5"/>
        </w:numPr>
        <w:rPr>
          <w:rFonts w:eastAsia="Times New Roman" w:cs="Futura"/>
          <w:color w:val="595959"/>
        </w:rPr>
      </w:pPr>
      <w:r w:rsidRPr="00F30FD1">
        <w:rPr>
          <w:rFonts w:eastAsia="Times New Roman" w:cs="Futura"/>
          <w:color w:val="595959"/>
        </w:rPr>
        <w:t>Señalan una multa mayor a la mínima y no la motivan ni fundamentan.</w:t>
      </w:r>
    </w:p>
    <w:p w14:paraId="111B50B1" w14:textId="77777777" w:rsidR="00B43376" w:rsidRPr="00F30FD1" w:rsidRDefault="00B43376" w:rsidP="00B43376">
      <w:pPr>
        <w:pStyle w:val="Prrafodelista"/>
        <w:numPr>
          <w:ilvl w:val="0"/>
          <w:numId w:val="5"/>
        </w:numPr>
        <w:rPr>
          <w:rFonts w:eastAsia="Times New Roman" w:cs="Futura"/>
          <w:color w:val="595959"/>
        </w:rPr>
      </w:pPr>
      <w:r w:rsidRPr="00F30FD1">
        <w:rPr>
          <w:rFonts w:eastAsia="Times New Roman" w:cs="Futura"/>
          <w:color w:val="595959"/>
        </w:rPr>
        <w:t>Indebida notificación.</w:t>
      </w:r>
    </w:p>
    <w:p w14:paraId="5FF35D12" w14:textId="77777777" w:rsidR="00B43376" w:rsidRPr="00F30FD1" w:rsidRDefault="00B43376" w:rsidP="00B43376">
      <w:pPr>
        <w:pStyle w:val="Prrafodelista"/>
        <w:numPr>
          <w:ilvl w:val="0"/>
          <w:numId w:val="5"/>
        </w:numPr>
        <w:rPr>
          <w:rFonts w:eastAsia="Times New Roman" w:cs="Futura"/>
          <w:color w:val="595959"/>
        </w:rPr>
      </w:pPr>
      <w:r w:rsidRPr="00F30FD1">
        <w:rPr>
          <w:rFonts w:eastAsia="Times New Roman" w:cs="Futura"/>
          <w:color w:val="595959"/>
        </w:rPr>
        <w:t>Multas de ventanilla.</w:t>
      </w:r>
    </w:p>
    <w:p w14:paraId="164657AB" w14:textId="77777777" w:rsidR="00B43376" w:rsidRPr="00F30FD1" w:rsidRDefault="00B43376" w:rsidP="00B43376">
      <w:pPr>
        <w:pStyle w:val="Prrafodelista"/>
        <w:numPr>
          <w:ilvl w:val="0"/>
          <w:numId w:val="5"/>
        </w:numPr>
        <w:rPr>
          <w:rFonts w:eastAsia="Times New Roman" w:cs="Futura"/>
          <w:color w:val="595959"/>
        </w:rPr>
      </w:pPr>
      <w:r w:rsidRPr="00F30FD1">
        <w:rPr>
          <w:rFonts w:eastAsia="Times New Roman" w:cs="Futura"/>
          <w:color w:val="595959"/>
        </w:rPr>
        <w:t xml:space="preserve">Utilizan formatos </w:t>
      </w:r>
      <w:proofErr w:type="spellStart"/>
      <w:r w:rsidRPr="00F30FD1">
        <w:rPr>
          <w:rFonts w:eastAsia="Times New Roman" w:cs="Futura"/>
          <w:color w:val="595959"/>
        </w:rPr>
        <w:t>preimpresos</w:t>
      </w:r>
      <w:proofErr w:type="spellEnd"/>
      <w:r w:rsidRPr="00F30FD1">
        <w:rPr>
          <w:rFonts w:eastAsia="Times New Roman" w:cs="Futura"/>
          <w:color w:val="595959"/>
        </w:rPr>
        <w:t xml:space="preserve"> en órdenes de visita.</w:t>
      </w:r>
    </w:p>
    <w:p w14:paraId="239DE7EE" w14:textId="77777777" w:rsidR="00B43376" w:rsidRPr="00F30FD1" w:rsidRDefault="00B43376" w:rsidP="00B43376">
      <w:pPr>
        <w:pStyle w:val="Prrafodelista"/>
        <w:numPr>
          <w:ilvl w:val="0"/>
          <w:numId w:val="5"/>
        </w:numPr>
        <w:rPr>
          <w:rFonts w:eastAsia="Times New Roman" w:cs="Futura"/>
          <w:color w:val="595959"/>
        </w:rPr>
      </w:pPr>
      <w:r w:rsidRPr="00F30FD1">
        <w:rPr>
          <w:rFonts w:eastAsia="Times New Roman" w:cs="Futura"/>
          <w:color w:val="595959"/>
        </w:rPr>
        <w:t xml:space="preserve">No se encuentra debidamente fundamentado cuando firma el </w:t>
      </w:r>
      <w:proofErr w:type="spellStart"/>
      <w:r w:rsidRPr="00F30FD1">
        <w:rPr>
          <w:rFonts w:eastAsia="Times New Roman" w:cs="Futura"/>
          <w:color w:val="595959"/>
        </w:rPr>
        <w:t>Subrecaudador</w:t>
      </w:r>
      <w:proofErr w:type="spellEnd"/>
      <w:r w:rsidRPr="00F30FD1">
        <w:rPr>
          <w:rFonts w:eastAsia="Times New Roman" w:cs="Futura"/>
          <w:color w:val="595959"/>
        </w:rPr>
        <w:t xml:space="preserve"> en suplencia por ausencia, debiendo establecerse el precepto legal que señala que es el subalterno quien goza de facultades para suplir al Recaudador.</w:t>
      </w:r>
    </w:p>
    <w:p w14:paraId="7BD760C3" w14:textId="77777777" w:rsidR="00B43376" w:rsidRPr="00F30FD1" w:rsidRDefault="00B43376" w:rsidP="00B43376">
      <w:pPr>
        <w:pStyle w:val="Prrafodelista"/>
        <w:numPr>
          <w:ilvl w:val="0"/>
          <w:numId w:val="5"/>
        </w:numPr>
        <w:rPr>
          <w:rFonts w:eastAsia="Times New Roman" w:cs="Futura"/>
          <w:color w:val="595959"/>
        </w:rPr>
      </w:pPr>
      <w:r w:rsidRPr="00F30FD1">
        <w:rPr>
          <w:rFonts w:eastAsia="Times New Roman" w:cs="Futura"/>
          <w:color w:val="595959"/>
        </w:rPr>
        <w:t>La falta del requerimiento.</w:t>
      </w:r>
    </w:p>
    <w:p w14:paraId="10A807BD" w14:textId="77777777" w:rsidR="00B43376" w:rsidRPr="00F30FD1" w:rsidRDefault="00B43376" w:rsidP="00B43376">
      <w:pPr>
        <w:numPr>
          <w:ilvl w:val="0"/>
          <w:numId w:val="5"/>
        </w:numPr>
        <w:pBdr>
          <w:top w:val="nil"/>
          <w:left w:val="nil"/>
          <w:bottom w:val="nil"/>
          <w:right w:val="nil"/>
          <w:between w:val="nil"/>
        </w:pBdr>
        <w:spacing w:after="100" w:afterAutospacing="1" w:line="240" w:lineRule="auto"/>
        <w:rPr>
          <w:rFonts w:eastAsia="Times New Roman" w:cs="Futura"/>
          <w:color w:val="595959"/>
        </w:rPr>
      </w:pPr>
      <w:r w:rsidRPr="00F30FD1">
        <w:rPr>
          <w:rFonts w:eastAsia="Times New Roman" w:cs="Futura"/>
          <w:color w:val="595959"/>
        </w:rPr>
        <w:t>Indebida fundamentación y motivación de la competencia territorial, material y de grado en las órdenes de visitas domiciliarias y resoluciones determinantes de crédito fiscal.</w:t>
      </w:r>
    </w:p>
    <w:p w14:paraId="193D8A8B" w14:textId="77777777" w:rsidR="00B43376" w:rsidRPr="00F30FD1" w:rsidRDefault="00B43376" w:rsidP="00B43376">
      <w:pPr>
        <w:numPr>
          <w:ilvl w:val="0"/>
          <w:numId w:val="5"/>
        </w:numPr>
        <w:pBdr>
          <w:top w:val="nil"/>
          <w:left w:val="nil"/>
          <w:bottom w:val="nil"/>
          <w:right w:val="nil"/>
          <w:between w:val="nil"/>
        </w:pBdr>
        <w:spacing w:after="100" w:afterAutospacing="1" w:line="240" w:lineRule="auto"/>
        <w:rPr>
          <w:rFonts w:eastAsia="Times New Roman" w:cs="Futura"/>
          <w:color w:val="595959"/>
        </w:rPr>
      </w:pPr>
      <w:r w:rsidRPr="00F30FD1">
        <w:rPr>
          <w:rFonts w:eastAsia="Times New Roman" w:cs="Futura"/>
          <w:color w:val="595959"/>
        </w:rPr>
        <w:t>Indebida fundamentación y motivación de la competencia territorial, material y de grado en las órdenes de revisiones de gabinete y resoluciones determinantes de crédito fiscal.</w:t>
      </w:r>
    </w:p>
    <w:p w14:paraId="36C6F1D8" w14:textId="77777777" w:rsidR="00F30FD1" w:rsidRDefault="00F30FD1">
      <w:pPr>
        <w:spacing w:after="0" w:line="240" w:lineRule="auto"/>
        <w:jc w:val="left"/>
        <w:rPr>
          <w:rFonts w:eastAsia="Arial" w:cs="Times New Roman"/>
          <w:b/>
          <w:bCs/>
          <w:color w:val="4BACC6" w:themeColor="accent5"/>
          <w:lang w:val="es-MX" w:eastAsia="en-US"/>
        </w:rPr>
      </w:pPr>
      <w:r>
        <w:rPr>
          <w:rFonts w:eastAsia="Arial" w:cs="Times New Roman"/>
          <w:b/>
          <w:bCs/>
          <w:color w:val="4BACC6" w:themeColor="accent5"/>
          <w:lang w:val="es-MX" w:eastAsia="en-US"/>
        </w:rPr>
        <w:br w:type="page"/>
      </w:r>
    </w:p>
    <w:p w14:paraId="5A70DEA5" w14:textId="22BFE528" w:rsidR="008D7DE4" w:rsidRPr="00F30FD1" w:rsidRDefault="00F30FD1" w:rsidP="003124C1">
      <w:pPr>
        <w:spacing w:after="0" w:line="240" w:lineRule="auto"/>
        <w:jc w:val="center"/>
        <w:rPr>
          <w:rFonts w:eastAsia="Arial" w:cs="Times New Roman"/>
          <w:b/>
          <w:bCs/>
          <w:color w:val="4BACC6" w:themeColor="accent5"/>
          <w:lang w:val="es-MX" w:eastAsia="en-US"/>
        </w:rPr>
      </w:pPr>
      <w:r>
        <w:rPr>
          <w:rFonts w:eastAsia="Arial" w:cs="Times New Roman"/>
          <w:b/>
          <w:bCs/>
          <w:color w:val="4BACC6" w:themeColor="accent5"/>
          <w:lang w:val="es-MX" w:eastAsia="en-US"/>
        </w:rPr>
        <w:lastRenderedPageBreak/>
        <w:t xml:space="preserve">Tabla T9.- </w:t>
      </w:r>
      <w:r w:rsidR="008D7DE4" w:rsidRPr="00F30FD1">
        <w:rPr>
          <w:rFonts w:eastAsia="Arial" w:cs="Times New Roman"/>
          <w:b/>
          <w:bCs/>
          <w:color w:val="4BACC6" w:themeColor="accent5"/>
          <w:lang w:val="es-MX" w:eastAsia="en-US"/>
        </w:rPr>
        <w:t>Juicios de Amparo.</w:t>
      </w:r>
    </w:p>
    <w:tbl>
      <w:tblPr>
        <w:tblStyle w:val="Tablaconcuadrcula"/>
        <w:tblW w:w="0" w:type="auto"/>
        <w:jc w:val="center"/>
        <w:tblLook w:val="04A0" w:firstRow="1" w:lastRow="0" w:firstColumn="1" w:lastColumn="0" w:noHBand="0" w:noVBand="1"/>
      </w:tblPr>
      <w:tblGrid>
        <w:gridCol w:w="1795"/>
        <w:gridCol w:w="1795"/>
        <w:gridCol w:w="1796"/>
      </w:tblGrid>
      <w:tr w:rsidR="008D7DE4" w:rsidRPr="00F30FD1" w14:paraId="44710AAA" w14:textId="77777777" w:rsidTr="00E668AF">
        <w:trPr>
          <w:jc w:val="center"/>
        </w:trPr>
        <w:tc>
          <w:tcPr>
            <w:tcW w:w="1795" w:type="dxa"/>
            <w:shd w:val="clear" w:color="auto" w:fill="A6A6A6" w:themeFill="background1" w:themeFillShade="A6"/>
            <w:vAlign w:val="center"/>
          </w:tcPr>
          <w:p w14:paraId="371A3330" w14:textId="77777777" w:rsidR="008D7DE4" w:rsidRPr="00F30FD1" w:rsidRDefault="008D7DE4" w:rsidP="00E668AF">
            <w:pPr>
              <w:jc w:val="center"/>
              <w:textboxTightWrap w:val="allLines"/>
              <w:rPr>
                <w:rFonts w:eastAsia="Calibri" w:cs="Arial"/>
                <w:sz w:val="20"/>
                <w:szCs w:val="20"/>
              </w:rPr>
            </w:pPr>
            <w:r w:rsidRPr="00F30FD1">
              <w:rPr>
                <w:rFonts w:eastAsia="Calibri" w:cs="Arial"/>
                <w:sz w:val="20"/>
                <w:szCs w:val="20"/>
              </w:rPr>
              <w:t>Año</w:t>
            </w:r>
          </w:p>
        </w:tc>
        <w:tc>
          <w:tcPr>
            <w:tcW w:w="1795" w:type="dxa"/>
            <w:shd w:val="clear" w:color="auto" w:fill="A6A6A6" w:themeFill="background1" w:themeFillShade="A6"/>
            <w:vAlign w:val="center"/>
          </w:tcPr>
          <w:p w14:paraId="032A8AB6" w14:textId="77777777" w:rsidR="008D7DE4" w:rsidRPr="00F30FD1" w:rsidRDefault="008D7DE4" w:rsidP="00E668AF">
            <w:pPr>
              <w:jc w:val="center"/>
              <w:textboxTightWrap w:val="allLines"/>
              <w:rPr>
                <w:rFonts w:eastAsia="Calibri" w:cs="Arial"/>
                <w:sz w:val="20"/>
                <w:szCs w:val="20"/>
              </w:rPr>
            </w:pPr>
            <w:r w:rsidRPr="00F30FD1">
              <w:rPr>
                <w:rFonts w:eastAsia="Calibri" w:cs="Arial"/>
                <w:sz w:val="20"/>
                <w:szCs w:val="20"/>
              </w:rPr>
              <w:t>Ampara y protege</w:t>
            </w:r>
          </w:p>
        </w:tc>
        <w:tc>
          <w:tcPr>
            <w:tcW w:w="1796" w:type="dxa"/>
            <w:shd w:val="clear" w:color="auto" w:fill="A6A6A6" w:themeFill="background1" w:themeFillShade="A6"/>
            <w:vAlign w:val="center"/>
          </w:tcPr>
          <w:p w14:paraId="12182C88" w14:textId="77777777" w:rsidR="008D7DE4" w:rsidRPr="00F30FD1" w:rsidRDefault="008D7DE4" w:rsidP="00E668AF">
            <w:pPr>
              <w:jc w:val="center"/>
              <w:textboxTightWrap w:val="allLines"/>
              <w:rPr>
                <w:rFonts w:eastAsia="Calibri" w:cs="Arial"/>
                <w:sz w:val="20"/>
                <w:szCs w:val="20"/>
              </w:rPr>
            </w:pPr>
            <w:r w:rsidRPr="00F30FD1">
              <w:rPr>
                <w:rFonts w:eastAsia="Calibri" w:cs="Arial"/>
                <w:sz w:val="20"/>
                <w:szCs w:val="20"/>
              </w:rPr>
              <w:t>Niega el amparo</w:t>
            </w:r>
          </w:p>
        </w:tc>
      </w:tr>
      <w:tr w:rsidR="008D7DE4" w:rsidRPr="00F30FD1" w14:paraId="39A4F0BB" w14:textId="77777777" w:rsidTr="00E668AF">
        <w:trPr>
          <w:jc w:val="center"/>
        </w:trPr>
        <w:tc>
          <w:tcPr>
            <w:tcW w:w="1795" w:type="dxa"/>
          </w:tcPr>
          <w:p w14:paraId="17C52348" w14:textId="0C37F43B"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2013</w:t>
            </w:r>
          </w:p>
        </w:tc>
        <w:tc>
          <w:tcPr>
            <w:tcW w:w="1795" w:type="dxa"/>
          </w:tcPr>
          <w:p w14:paraId="00E73DC7" w14:textId="59A133C7"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w:t>
            </w:r>
          </w:p>
        </w:tc>
        <w:tc>
          <w:tcPr>
            <w:tcW w:w="1796" w:type="dxa"/>
          </w:tcPr>
          <w:p w14:paraId="4239ACBF" w14:textId="184C49EA"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33</w:t>
            </w:r>
          </w:p>
        </w:tc>
      </w:tr>
      <w:tr w:rsidR="008D7DE4" w:rsidRPr="00F30FD1" w14:paraId="2DD44DEF" w14:textId="77777777" w:rsidTr="00E668AF">
        <w:trPr>
          <w:jc w:val="center"/>
        </w:trPr>
        <w:tc>
          <w:tcPr>
            <w:tcW w:w="1795" w:type="dxa"/>
          </w:tcPr>
          <w:p w14:paraId="07B416F8" w14:textId="41BC49B5"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2014</w:t>
            </w:r>
          </w:p>
        </w:tc>
        <w:tc>
          <w:tcPr>
            <w:tcW w:w="1795" w:type="dxa"/>
          </w:tcPr>
          <w:p w14:paraId="22E1E430" w14:textId="6F648B54"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30</w:t>
            </w:r>
          </w:p>
        </w:tc>
        <w:tc>
          <w:tcPr>
            <w:tcW w:w="1796" w:type="dxa"/>
          </w:tcPr>
          <w:p w14:paraId="4EFBD2D6" w14:textId="7F4208E7"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57</w:t>
            </w:r>
          </w:p>
        </w:tc>
      </w:tr>
      <w:tr w:rsidR="008D7DE4" w:rsidRPr="00F30FD1" w14:paraId="4B746B44" w14:textId="77777777" w:rsidTr="00E668AF">
        <w:trPr>
          <w:jc w:val="center"/>
        </w:trPr>
        <w:tc>
          <w:tcPr>
            <w:tcW w:w="1795" w:type="dxa"/>
          </w:tcPr>
          <w:p w14:paraId="44BE9CC5" w14:textId="235C7BA2"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2015</w:t>
            </w:r>
          </w:p>
        </w:tc>
        <w:tc>
          <w:tcPr>
            <w:tcW w:w="1795" w:type="dxa"/>
          </w:tcPr>
          <w:p w14:paraId="5F910E53" w14:textId="2DFFB71E"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5</w:t>
            </w:r>
          </w:p>
        </w:tc>
        <w:tc>
          <w:tcPr>
            <w:tcW w:w="1796" w:type="dxa"/>
          </w:tcPr>
          <w:p w14:paraId="5ADF8168" w14:textId="4620B564"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28</w:t>
            </w:r>
          </w:p>
        </w:tc>
      </w:tr>
      <w:tr w:rsidR="008D7DE4" w:rsidRPr="00F30FD1" w14:paraId="6772EB6C" w14:textId="77777777" w:rsidTr="00E668AF">
        <w:trPr>
          <w:trHeight w:val="238"/>
          <w:jc w:val="center"/>
        </w:trPr>
        <w:tc>
          <w:tcPr>
            <w:tcW w:w="1795" w:type="dxa"/>
          </w:tcPr>
          <w:p w14:paraId="4C43EC8A" w14:textId="6FDB9FB5"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2016</w:t>
            </w:r>
          </w:p>
        </w:tc>
        <w:tc>
          <w:tcPr>
            <w:tcW w:w="1795" w:type="dxa"/>
          </w:tcPr>
          <w:p w14:paraId="64D645FE" w14:textId="578ACF8C"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16</w:t>
            </w:r>
          </w:p>
        </w:tc>
        <w:tc>
          <w:tcPr>
            <w:tcW w:w="1796" w:type="dxa"/>
          </w:tcPr>
          <w:p w14:paraId="0B4815A4" w14:textId="0349242D" w:rsidR="008D7DE4" w:rsidRPr="00F30FD1" w:rsidRDefault="008D7DE4" w:rsidP="008D7DE4">
            <w:pPr>
              <w:jc w:val="center"/>
              <w:textboxTightWrap w:val="allLines"/>
              <w:rPr>
                <w:rFonts w:eastAsia="Calibri" w:cs="Arial"/>
                <w:sz w:val="20"/>
                <w:szCs w:val="20"/>
              </w:rPr>
            </w:pPr>
            <w:r w:rsidRPr="00F30FD1">
              <w:rPr>
                <w:rFonts w:eastAsia="Calibri" w:cs="Calibri"/>
                <w:sz w:val="16"/>
                <w:szCs w:val="16"/>
              </w:rPr>
              <w:t>36</w:t>
            </w:r>
          </w:p>
        </w:tc>
      </w:tr>
      <w:tr w:rsidR="008D7DE4" w:rsidRPr="00F30FD1" w14:paraId="0AF50127" w14:textId="77777777" w:rsidTr="00E668AF">
        <w:trPr>
          <w:trHeight w:val="238"/>
          <w:jc w:val="center"/>
        </w:trPr>
        <w:tc>
          <w:tcPr>
            <w:tcW w:w="1795" w:type="dxa"/>
          </w:tcPr>
          <w:p w14:paraId="231EC55A" w14:textId="7439FB73"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2017</w:t>
            </w:r>
          </w:p>
        </w:tc>
        <w:tc>
          <w:tcPr>
            <w:tcW w:w="1795" w:type="dxa"/>
          </w:tcPr>
          <w:p w14:paraId="6E85D699" w14:textId="6F705326"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3</w:t>
            </w:r>
          </w:p>
        </w:tc>
        <w:tc>
          <w:tcPr>
            <w:tcW w:w="1796" w:type="dxa"/>
          </w:tcPr>
          <w:p w14:paraId="1F86A1AC" w14:textId="4332DA0E"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3</w:t>
            </w:r>
          </w:p>
        </w:tc>
      </w:tr>
      <w:tr w:rsidR="008D7DE4" w:rsidRPr="00F30FD1" w14:paraId="0DE933E4" w14:textId="77777777" w:rsidTr="00E668AF">
        <w:trPr>
          <w:trHeight w:val="238"/>
          <w:jc w:val="center"/>
        </w:trPr>
        <w:tc>
          <w:tcPr>
            <w:tcW w:w="1795" w:type="dxa"/>
          </w:tcPr>
          <w:p w14:paraId="2C90FD35" w14:textId="08C4503A"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2018</w:t>
            </w:r>
          </w:p>
        </w:tc>
        <w:tc>
          <w:tcPr>
            <w:tcW w:w="1795" w:type="dxa"/>
          </w:tcPr>
          <w:p w14:paraId="514EAD20" w14:textId="3CC7B2AD" w:rsidR="008D7DE4" w:rsidRPr="00F30FD1" w:rsidRDefault="00581E5E" w:rsidP="008D7DE4">
            <w:pPr>
              <w:jc w:val="center"/>
              <w:textboxTightWrap w:val="allLines"/>
              <w:rPr>
                <w:rFonts w:eastAsia="Calibri" w:cs="Calibri"/>
                <w:sz w:val="16"/>
                <w:szCs w:val="16"/>
              </w:rPr>
            </w:pPr>
            <w:r w:rsidRPr="00F30FD1">
              <w:rPr>
                <w:rFonts w:eastAsia="Calibri" w:cs="Calibri"/>
                <w:sz w:val="16"/>
                <w:szCs w:val="16"/>
              </w:rPr>
              <w:t>65</w:t>
            </w:r>
          </w:p>
        </w:tc>
        <w:tc>
          <w:tcPr>
            <w:tcW w:w="1796" w:type="dxa"/>
          </w:tcPr>
          <w:p w14:paraId="52547A6B" w14:textId="541E67FE" w:rsidR="008D7DE4" w:rsidRPr="00F30FD1" w:rsidRDefault="00581E5E" w:rsidP="008D7DE4">
            <w:pPr>
              <w:jc w:val="center"/>
              <w:textboxTightWrap w:val="allLines"/>
              <w:rPr>
                <w:rFonts w:eastAsia="Calibri" w:cs="Calibri"/>
                <w:sz w:val="16"/>
                <w:szCs w:val="16"/>
              </w:rPr>
            </w:pPr>
            <w:r w:rsidRPr="00F30FD1">
              <w:rPr>
                <w:rFonts w:eastAsia="Calibri" w:cs="Calibri"/>
                <w:sz w:val="16"/>
                <w:szCs w:val="16"/>
              </w:rPr>
              <w:t>45</w:t>
            </w:r>
          </w:p>
        </w:tc>
      </w:tr>
      <w:tr w:rsidR="008D7DE4" w:rsidRPr="00F30FD1" w14:paraId="5390A16E" w14:textId="77777777" w:rsidTr="00E668AF">
        <w:trPr>
          <w:trHeight w:val="238"/>
          <w:jc w:val="center"/>
        </w:trPr>
        <w:tc>
          <w:tcPr>
            <w:tcW w:w="1795" w:type="dxa"/>
          </w:tcPr>
          <w:p w14:paraId="237F5EB4" w14:textId="640829EE"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Abril- Dic 2019.</w:t>
            </w:r>
          </w:p>
        </w:tc>
        <w:tc>
          <w:tcPr>
            <w:tcW w:w="1795" w:type="dxa"/>
          </w:tcPr>
          <w:p w14:paraId="6860D410" w14:textId="283D7A76"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6</w:t>
            </w:r>
          </w:p>
        </w:tc>
        <w:tc>
          <w:tcPr>
            <w:tcW w:w="1796" w:type="dxa"/>
          </w:tcPr>
          <w:p w14:paraId="65B45E40" w14:textId="598FC307" w:rsidR="008D7DE4" w:rsidRPr="00F30FD1" w:rsidRDefault="008D7DE4" w:rsidP="008D7DE4">
            <w:pPr>
              <w:jc w:val="center"/>
              <w:textboxTightWrap w:val="allLines"/>
              <w:rPr>
                <w:rFonts w:eastAsia="Calibri" w:cs="Calibri"/>
                <w:sz w:val="16"/>
                <w:szCs w:val="16"/>
              </w:rPr>
            </w:pPr>
            <w:r w:rsidRPr="00F30FD1">
              <w:rPr>
                <w:rFonts w:eastAsia="Calibri" w:cs="Calibri"/>
                <w:sz w:val="16"/>
                <w:szCs w:val="16"/>
              </w:rPr>
              <w:t>161</w:t>
            </w:r>
          </w:p>
        </w:tc>
      </w:tr>
    </w:tbl>
    <w:p w14:paraId="19F76F49" w14:textId="77777777" w:rsidR="00F72B3A" w:rsidRPr="00F30FD1" w:rsidRDefault="00F72B3A" w:rsidP="00F72B3A">
      <w:r w:rsidRPr="00F30FD1">
        <w:rPr>
          <w:sz w:val="20"/>
          <w:szCs w:val="20"/>
        </w:rPr>
        <w:t>Fuente: Servicio de Administración Tributaria del Estado de Quintana Roo. Dirección Estatal Jurídica.</w:t>
      </w:r>
    </w:p>
    <w:p w14:paraId="44750C80" w14:textId="77777777" w:rsidR="00F72B3A" w:rsidRPr="00F30FD1" w:rsidRDefault="00F72B3A" w:rsidP="00F72B3A">
      <w:pPr>
        <w:spacing w:after="0" w:line="240" w:lineRule="auto"/>
        <w:jc w:val="left"/>
        <w:rPr>
          <w:rFonts w:eastAsia="Times New Roman" w:cs="Futura"/>
        </w:rPr>
      </w:pPr>
    </w:p>
    <w:p w14:paraId="596D6131" w14:textId="77777777" w:rsidR="00F72B3A" w:rsidRPr="00F30FD1" w:rsidRDefault="00F72B3A" w:rsidP="00F72B3A">
      <w:pPr>
        <w:rPr>
          <w:rFonts w:eastAsia="Times New Roman" w:cs="Futura"/>
          <w:color w:val="595959"/>
        </w:rPr>
      </w:pPr>
      <w:r w:rsidRPr="00F30FD1">
        <w:rPr>
          <w:rFonts w:eastAsia="Times New Roman" w:cs="Futura"/>
          <w:color w:val="595959"/>
        </w:rPr>
        <w:t>Los conceptos de violación recurrentes son:</w:t>
      </w:r>
    </w:p>
    <w:p w14:paraId="543674B5" w14:textId="77777777" w:rsidR="00F72B3A" w:rsidRPr="00F30FD1" w:rsidRDefault="00F72B3A" w:rsidP="00F72B3A">
      <w:pPr>
        <w:rPr>
          <w:rFonts w:eastAsia="Times New Roman" w:cs="Futura"/>
          <w:color w:val="595959"/>
        </w:rPr>
      </w:pPr>
    </w:p>
    <w:p w14:paraId="482830C6"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Falta de refrendo de las normas.</w:t>
      </w:r>
    </w:p>
    <w:p w14:paraId="48E400C8"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Inconstitucionalidad de las Leyes Tributarias del Estado.</w:t>
      </w:r>
    </w:p>
    <w:p w14:paraId="6DFEE53A"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 xml:space="preserve">Incompetencia del funcionario emisor de la multa. </w:t>
      </w:r>
    </w:p>
    <w:p w14:paraId="66ACC37A"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Falta de fundamentación y motivación de multas y actos de autoridad.</w:t>
      </w:r>
    </w:p>
    <w:p w14:paraId="0CD3FE42"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Embargo de cuentas bancarias.</w:t>
      </w:r>
    </w:p>
    <w:p w14:paraId="3BCDE2C6"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Incompetencia del funcionario emisor de las órdenes de visita y de la determinación del crédito.</w:t>
      </w:r>
    </w:p>
    <w:p w14:paraId="648193A1"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 xml:space="preserve">El uso de formatos </w:t>
      </w:r>
      <w:proofErr w:type="spellStart"/>
      <w:r w:rsidRPr="00F30FD1">
        <w:rPr>
          <w:rFonts w:eastAsia="Times New Roman" w:cs="Futura"/>
          <w:color w:val="595959"/>
        </w:rPr>
        <w:t>preimpresos</w:t>
      </w:r>
      <w:proofErr w:type="spellEnd"/>
      <w:r w:rsidRPr="00F30FD1">
        <w:rPr>
          <w:rFonts w:eastAsia="Times New Roman" w:cs="Futura"/>
          <w:color w:val="595959"/>
        </w:rPr>
        <w:t xml:space="preserve"> en órdenes de visita.</w:t>
      </w:r>
    </w:p>
    <w:p w14:paraId="5A096F30"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Falta de contestación a escritos de petición.</w:t>
      </w:r>
    </w:p>
    <w:p w14:paraId="36FB6D43"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Falta de notificación y desconocimiento del origen de multas.</w:t>
      </w:r>
    </w:p>
    <w:p w14:paraId="669B8199"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Actos de naturaleza omisiva por parte de la autoridad.</w:t>
      </w:r>
    </w:p>
    <w:p w14:paraId="76C7B7C0" w14:textId="77777777" w:rsidR="00F72B3A" w:rsidRPr="00F30FD1" w:rsidRDefault="00F72B3A" w:rsidP="00F72B3A">
      <w:pPr>
        <w:pStyle w:val="Prrafodelista"/>
        <w:numPr>
          <w:ilvl w:val="0"/>
          <w:numId w:val="13"/>
        </w:numPr>
        <w:rPr>
          <w:rFonts w:eastAsia="Times New Roman" w:cs="Futura"/>
          <w:color w:val="595959"/>
        </w:rPr>
      </w:pPr>
      <w:r w:rsidRPr="00F30FD1">
        <w:rPr>
          <w:rFonts w:eastAsia="Times New Roman" w:cs="Futura"/>
          <w:color w:val="595959"/>
        </w:rPr>
        <w:t>Amparos se promovieron en contra de sentencias dictadas en Juicios de Nulidad en los que declararon la VALIDEZ de los actos.</w:t>
      </w:r>
    </w:p>
    <w:p w14:paraId="28B7996A" w14:textId="77777777" w:rsidR="00C920BF" w:rsidRPr="00F30FD1" w:rsidRDefault="00C920BF">
      <w:pPr>
        <w:spacing w:after="0" w:line="240" w:lineRule="auto"/>
        <w:jc w:val="left"/>
        <w:rPr>
          <w:rFonts w:eastAsia="Times New Roman" w:cs="Futura"/>
          <w:b/>
          <w:color w:val="595959"/>
          <w:sz w:val="20"/>
          <w:szCs w:val="20"/>
        </w:rPr>
      </w:pPr>
      <w:r w:rsidRPr="00F30FD1">
        <w:rPr>
          <w:rFonts w:eastAsia="Times New Roman" w:cs="Futura"/>
          <w:b/>
          <w:color w:val="595959"/>
          <w:sz w:val="20"/>
          <w:szCs w:val="20"/>
        </w:rPr>
        <w:br w:type="page"/>
      </w:r>
    </w:p>
    <w:p w14:paraId="1116582B" w14:textId="528DE5D9" w:rsidR="00677A1B" w:rsidRPr="00F30FD1" w:rsidRDefault="00677A1B" w:rsidP="00677A1B">
      <w:pPr>
        <w:rPr>
          <w:rFonts w:eastAsia="Times New Roman" w:cs="Futura"/>
          <w:b/>
          <w:color w:val="595959"/>
          <w:sz w:val="20"/>
          <w:szCs w:val="20"/>
        </w:rPr>
      </w:pPr>
      <w:r w:rsidRPr="00F30FD1">
        <w:rPr>
          <w:rFonts w:eastAsia="Times New Roman" w:cs="Futura"/>
          <w:b/>
          <w:color w:val="595959"/>
          <w:sz w:val="20"/>
          <w:szCs w:val="20"/>
        </w:rPr>
        <w:lastRenderedPageBreak/>
        <w:t>Situación de la deuda pública</w:t>
      </w:r>
    </w:p>
    <w:p w14:paraId="21411BC0" w14:textId="7C3F60C8" w:rsidR="00677A1B" w:rsidRPr="00F30FD1" w:rsidRDefault="000721ED" w:rsidP="000721ED">
      <w:pPr>
        <w:rPr>
          <w:rFonts w:eastAsia="Times New Roman" w:cs="Futura"/>
          <w:color w:val="595959"/>
          <w:sz w:val="20"/>
          <w:szCs w:val="20"/>
        </w:rPr>
      </w:pPr>
      <w:r w:rsidRPr="00F30FD1">
        <w:rPr>
          <w:rFonts w:eastAsia="Times New Roman" w:cs="Futura"/>
          <w:color w:val="595959"/>
          <w:sz w:val="20"/>
          <w:szCs w:val="20"/>
        </w:rPr>
        <w:t xml:space="preserve">En Quintana Roo la Deuda Pública es uno de los rubros importantes en las finanzas públicas. En los años 2011 al 2014, el nivel de endeudamiento del Estado se incrementó en $7,723.8 millones de pesos (MDP) que representó el 70.7%, llevándolo a ser uno de los estados más endeudados de la República. Del periodo 2017 al 2019; se ha amortizado 228.4mdp al pasar de 19,227.5 a 18,999.4 </w:t>
      </w:r>
      <w:proofErr w:type="spellStart"/>
      <w:r w:rsidRPr="00F30FD1">
        <w:rPr>
          <w:rFonts w:eastAsia="Times New Roman" w:cs="Futura"/>
          <w:color w:val="595959"/>
          <w:sz w:val="20"/>
          <w:szCs w:val="20"/>
        </w:rPr>
        <w:t>mdp</w:t>
      </w:r>
      <w:proofErr w:type="spellEnd"/>
      <w:r w:rsidRPr="00F30FD1">
        <w:rPr>
          <w:rFonts w:eastAsia="Times New Roman" w:cs="Futura"/>
          <w:color w:val="595959"/>
          <w:sz w:val="20"/>
          <w:szCs w:val="20"/>
        </w:rPr>
        <w:t>.; esta última cifra corresponde al saldo de la deuda pública directa de largo plazo, con fecha de corte 31 de diciembre de 2019</w:t>
      </w:r>
      <w:proofErr w:type="gramStart"/>
      <w:r w:rsidRPr="00F30FD1">
        <w:rPr>
          <w:rFonts w:eastAsia="Times New Roman" w:cs="Futura"/>
          <w:color w:val="595959"/>
          <w:sz w:val="20"/>
          <w:szCs w:val="20"/>
        </w:rPr>
        <w:t>.</w:t>
      </w:r>
      <w:r w:rsidR="00677A1B" w:rsidRPr="00F30FD1">
        <w:rPr>
          <w:rFonts w:eastAsia="Times New Roman" w:cs="Futura"/>
          <w:color w:val="595959"/>
          <w:sz w:val="20"/>
          <w:szCs w:val="20"/>
        </w:rPr>
        <w:t>.</w:t>
      </w:r>
      <w:proofErr w:type="gramEnd"/>
      <w:r w:rsidR="00677A1B" w:rsidRPr="00F30FD1">
        <w:rPr>
          <w:rFonts w:eastAsia="Times New Roman" w:cs="Futura"/>
          <w:color w:val="595959"/>
          <w:sz w:val="20"/>
          <w:szCs w:val="20"/>
        </w:rPr>
        <w:t xml:space="preserve"> (Ver gráfica </w:t>
      </w:r>
      <w:r w:rsidR="00D30DC7" w:rsidRPr="00F30FD1">
        <w:rPr>
          <w:rFonts w:eastAsia="Times New Roman" w:cs="Futura"/>
          <w:color w:val="595959"/>
          <w:sz w:val="20"/>
          <w:szCs w:val="20"/>
        </w:rPr>
        <w:t>7</w:t>
      </w:r>
      <w:r w:rsidR="00677A1B" w:rsidRPr="00F30FD1">
        <w:rPr>
          <w:rFonts w:eastAsia="Times New Roman" w:cs="Futura"/>
          <w:color w:val="595959"/>
          <w:sz w:val="20"/>
          <w:szCs w:val="20"/>
        </w:rPr>
        <w:t>).</w:t>
      </w:r>
    </w:p>
    <w:p w14:paraId="76236878" w14:textId="5C258F6D" w:rsidR="00677A1B" w:rsidRPr="00F30FD1" w:rsidRDefault="00677A1B" w:rsidP="00677A1B">
      <w:pPr>
        <w:pStyle w:val="Epgrafe"/>
        <w:rPr>
          <w:rFonts w:ascii="Futura T OT" w:hAnsi="Futura T OT"/>
        </w:rPr>
      </w:pPr>
      <w:r w:rsidRPr="00F30FD1">
        <w:rPr>
          <w:rFonts w:ascii="Futura T OT" w:eastAsia="Times New Roman" w:hAnsi="Futura T OT"/>
          <w:lang w:eastAsia="es-MX"/>
        </w:rPr>
        <w:tab/>
      </w:r>
      <w:r w:rsidRPr="00F30FD1">
        <w:rPr>
          <w:rFonts w:ascii="Futura T OT" w:hAnsi="Futura T OT"/>
        </w:rPr>
        <w:t xml:space="preserve">Gráfica </w:t>
      </w:r>
      <w:r w:rsidR="00D30DC7" w:rsidRPr="00F30FD1">
        <w:rPr>
          <w:rFonts w:ascii="Futura T OT" w:hAnsi="Futura T OT"/>
        </w:rPr>
        <w:t>G.7</w:t>
      </w:r>
      <w:r w:rsidRPr="00F30FD1">
        <w:rPr>
          <w:rFonts w:ascii="Futura T OT" w:hAnsi="Futura T OT"/>
        </w:rPr>
        <w:t xml:space="preserve"> Comportamiento histórico de la Deuda Publica</w:t>
      </w:r>
    </w:p>
    <w:p w14:paraId="476BB170" w14:textId="3C462671" w:rsidR="00677A1B" w:rsidRPr="00F30FD1" w:rsidRDefault="00677A1B" w:rsidP="00677A1B">
      <w:pPr>
        <w:rPr>
          <w:lang w:eastAsia="en-US"/>
        </w:rPr>
      </w:pPr>
    </w:p>
    <w:p w14:paraId="5711E5CB" w14:textId="6A3D8188" w:rsidR="00AD7DB5" w:rsidRPr="00F30FD1" w:rsidRDefault="000721ED" w:rsidP="00677A1B">
      <w:pPr>
        <w:rPr>
          <w:lang w:eastAsia="en-US"/>
        </w:rPr>
      </w:pPr>
      <w:r w:rsidRPr="00F30FD1">
        <w:rPr>
          <w:rFonts w:eastAsia="Times New Roman"/>
          <w:noProof/>
          <w:lang w:val="es-MX" w:eastAsia="es-MX"/>
        </w:rPr>
        <w:drawing>
          <wp:anchor distT="0" distB="0" distL="114300" distR="114300" simplePos="0" relativeHeight="251672576" behindDoc="1" locked="0" layoutInCell="1" allowOverlap="1" wp14:anchorId="0FDA8EF0" wp14:editId="371863D2">
            <wp:simplePos x="0" y="0"/>
            <wp:positionH relativeFrom="column">
              <wp:posOffset>76835</wp:posOffset>
            </wp:positionH>
            <wp:positionV relativeFrom="paragraph">
              <wp:posOffset>65405</wp:posOffset>
            </wp:positionV>
            <wp:extent cx="5486400" cy="2686050"/>
            <wp:effectExtent l="0" t="0" r="0" b="0"/>
            <wp:wrapNone/>
            <wp:docPr id="1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a:srcRect l="1350" t="2359" r="1463" b="2584"/>
                    <a:stretch/>
                  </pic:blipFill>
                  <pic:spPr bwMode="auto">
                    <a:xfrm>
                      <a:off x="0" y="0"/>
                      <a:ext cx="5486400"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97E4D" w14:textId="77777777" w:rsidR="00AD7DB5" w:rsidRPr="00F30FD1" w:rsidRDefault="00AD7DB5" w:rsidP="00677A1B">
      <w:pPr>
        <w:rPr>
          <w:lang w:eastAsia="en-US"/>
        </w:rPr>
      </w:pPr>
    </w:p>
    <w:p w14:paraId="555F3CD8" w14:textId="77777777" w:rsidR="00AD7DB5" w:rsidRPr="00F30FD1" w:rsidRDefault="00AD7DB5" w:rsidP="00677A1B">
      <w:pPr>
        <w:rPr>
          <w:lang w:eastAsia="en-US"/>
        </w:rPr>
      </w:pPr>
    </w:p>
    <w:p w14:paraId="41AE0163" w14:textId="77777777" w:rsidR="00AD7DB5" w:rsidRPr="00F30FD1" w:rsidRDefault="00AD7DB5" w:rsidP="00677A1B">
      <w:pPr>
        <w:rPr>
          <w:lang w:eastAsia="en-US"/>
        </w:rPr>
      </w:pPr>
    </w:p>
    <w:p w14:paraId="4B78016A" w14:textId="77777777" w:rsidR="00AD7DB5" w:rsidRPr="00F30FD1" w:rsidRDefault="00AD7DB5" w:rsidP="00677A1B">
      <w:pPr>
        <w:rPr>
          <w:lang w:eastAsia="en-US"/>
        </w:rPr>
      </w:pPr>
    </w:p>
    <w:p w14:paraId="55DB202A" w14:textId="77777777" w:rsidR="00AD7DB5" w:rsidRPr="00F30FD1" w:rsidRDefault="00AD7DB5" w:rsidP="00677A1B">
      <w:pPr>
        <w:rPr>
          <w:lang w:eastAsia="en-US"/>
        </w:rPr>
      </w:pPr>
    </w:p>
    <w:p w14:paraId="26853A59" w14:textId="77777777" w:rsidR="00C920BF" w:rsidRPr="00F30FD1" w:rsidRDefault="00C920BF" w:rsidP="000721ED">
      <w:pPr>
        <w:spacing w:after="0" w:line="240" w:lineRule="auto"/>
        <w:rPr>
          <w:rFonts w:eastAsia="Times New Roman" w:cs="Futura"/>
          <w:color w:val="595959"/>
          <w:sz w:val="20"/>
          <w:szCs w:val="20"/>
        </w:rPr>
      </w:pPr>
      <w:bookmarkStart w:id="6" w:name="_MON_1645462605"/>
      <w:bookmarkStart w:id="7" w:name="_MON_1645462662"/>
      <w:bookmarkStart w:id="8" w:name="_MON_1645462698"/>
      <w:bookmarkStart w:id="9" w:name="_MON_1645442082"/>
      <w:bookmarkStart w:id="10" w:name="_MON_1645442122"/>
      <w:bookmarkEnd w:id="6"/>
      <w:bookmarkEnd w:id="7"/>
      <w:bookmarkEnd w:id="8"/>
      <w:bookmarkEnd w:id="9"/>
      <w:bookmarkEnd w:id="10"/>
    </w:p>
    <w:p w14:paraId="601C1CB5" w14:textId="77777777" w:rsidR="00C920BF" w:rsidRPr="00F30FD1" w:rsidRDefault="00C920BF" w:rsidP="000721ED">
      <w:pPr>
        <w:spacing w:after="0" w:line="240" w:lineRule="auto"/>
        <w:rPr>
          <w:rFonts w:eastAsia="Times New Roman" w:cs="Futura"/>
          <w:color w:val="595959"/>
          <w:sz w:val="20"/>
          <w:szCs w:val="20"/>
        </w:rPr>
      </w:pPr>
    </w:p>
    <w:p w14:paraId="31862452" w14:textId="77777777" w:rsidR="00C920BF" w:rsidRPr="00F30FD1" w:rsidRDefault="00C920BF" w:rsidP="000721ED">
      <w:pPr>
        <w:spacing w:after="0" w:line="240" w:lineRule="auto"/>
        <w:rPr>
          <w:rFonts w:eastAsia="Times New Roman" w:cs="Futura"/>
          <w:color w:val="595959"/>
          <w:sz w:val="20"/>
          <w:szCs w:val="20"/>
        </w:rPr>
      </w:pPr>
    </w:p>
    <w:p w14:paraId="022C2C18" w14:textId="77777777" w:rsidR="00C920BF" w:rsidRPr="00F30FD1" w:rsidRDefault="00C920BF" w:rsidP="000721ED">
      <w:pPr>
        <w:spacing w:after="0" w:line="240" w:lineRule="auto"/>
        <w:rPr>
          <w:rFonts w:eastAsia="Times New Roman" w:cs="Futura"/>
          <w:color w:val="595959"/>
          <w:sz w:val="20"/>
          <w:szCs w:val="20"/>
        </w:rPr>
      </w:pPr>
    </w:p>
    <w:p w14:paraId="73A44113" w14:textId="77777777" w:rsidR="00C920BF" w:rsidRPr="00F30FD1" w:rsidRDefault="00C920BF" w:rsidP="000721ED">
      <w:pPr>
        <w:spacing w:after="0" w:line="240" w:lineRule="auto"/>
        <w:rPr>
          <w:rFonts w:eastAsia="Times New Roman" w:cs="Futura"/>
          <w:color w:val="595959"/>
          <w:sz w:val="20"/>
          <w:szCs w:val="20"/>
        </w:rPr>
      </w:pPr>
    </w:p>
    <w:p w14:paraId="7F61641F" w14:textId="77777777" w:rsidR="00C920BF" w:rsidRPr="00F30FD1" w:rsidRDefault="00C920BF" w:rsidP="000721ED">
      <w:pPr>
        <w:spacing w:after="0" w:line="240" w:lineRule="auto"/>
        <w:rPr>
          <w:rFonts w:eastAsia="Times New Roman" w:cs="Futura"/>
          <w:color w:val="595959"/>
          <w:sz w:val="20"/>
          <w:szCs w:val="20"/>
        </w:rPr>
      </w:pPr>
    </w:p>
    <w:p w14:paraId="02AFFE44" w14:textId="6353F6BB" w:rsidR="00677A1B" w:rsidRPr="00F30FD1" w:rsidRDefault="000721ED" w:rsidP="000721ED">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Al 31 de diciembre de 2019, el Estado de la Deuda Pública Directa y Contingente del Estado de Quintana Roo, refleja un total de obligaciones por 21,247.62mdp </w:t>
      </w:r>
      <w:r w:rsidR="00677A1B" w:rsidRPr="00F30FD1">
        <w:rPr>
          <w:rFonts w:eastAsia="Times New Roman" w:cs="Futura"/>
          <w:color w:val="595959"/>
          <w:sz w:val="20"/>
          <w:szCs w:val="20"/>
        </w:rPr>
        <w:t xml:space="preserve"> (ver </w:t>
      </w:r>
      <w:r w:rsidR="00AD7DB5" w:rsidRPr="00F30FD1">
        <w:rPr>
          <w:rFonts w:eastAsia="Times New Roman" w:cs="Futura"/>
          <w:color w:val="595959"/>
          <w:sz w:val="20"/>
          <w:szCs w:val="20"/>
        </w:rPr>
        <w:t>Grafica 8</w:t>
      </w:r>
      <w:r w:rsidR="00677A1B" w:rsidRPr="00F30FD1">
        <w:rPr>
          <w:rFonts w:eastAsia="Times New Roman" w:cs="Futura"/>
          <w:color w:val="595959"/>
          <w:sz w:val="20"/>
          <w:szCs w:val="20"/>
        </w:rPr>
        <w:t>).</w:t>
      </w:r>
    </w:p>
    <w:p w14:paraId="63E2C48A" w14:textId="17927587" w:rsidR="00AD7DB5" w:rsidRPr="00F30FD1" w:rsidRDefault="00AD7DB5">
      <w:pPr>
        <w:spacing w:after="0" w:line="240" w:lineRule="auto"/>
        <w:jc w:val="left"/>
        <w:rPr>
          <w:rFonts w:eastAsia="Arial" w:cs="Times New Roman"/>
          <w:b/>
          <w:bCs/>
          <w:color w:val="4BACC6" w:themeColor="accent5"/>
          <w:sz w:val="20"/>
          <w:szCs w:val="20"/>
          <w:lang w:val="es-MX" w:eastAsia="en-US"/>
        </w:rPr>
      </w:pPr>
      <w:bookmarkStart w:id="11" w:name="_MON_1645462685"/>
      <w:bookmarkStart w:id="12" w:name="_MON_1645443207"/>
      <w:bookmarkStart w:id="13" w:name="_MON_1645448199"/>
      <w:bookmarkStart w:id="14" w:name="_MON_1645520752"/>
      <w:bookmarkEnd w:id="11"/>
      <w:bookmarkEnd w:id="12"/>
      <w:bookmarkEnd w:id="13"/>
      <w:bookmarkEnd w:id="14"/>
    </w:p>
    <w:p w14:paraId="142069B0" w14:textId="77777777" w:rsidR="00C920BF" w:rsidRPr="00F30FD1" w:rsidRDefault="00C920BF">
      <w:pPr>
        <w:spacing w:after="0" w:line="240" w:lineRule="auto"/>
        <w:jc w:val="left"/>
        <w:rPr>
          <w:rFonts w:eastAsia="Arial" w:cs="Times New Roman"/>
          <w:b/>
          <w:bCs/>
          <w:color w:val="4BACC6" w:themeColor="accent5"/>
          <w:sz w:val="20"/>
          <w:szCs w:val="20"/>
          <w:lang w:val="es-MX" w:eastAsia="en-US"/>
        </w:rPr>
      </w:pPr>
      <w:r w:rsidRPr="00F30FD1">
        <w:rPr>
          <w:rFonts w:eastAsia="Arial" w:cs="Times New Roman"/>
          <w:b/>
          <w:bCs/>
          <w:color w:val="4BACC6" w:themeColor="accent5"/>
          <w:sz w:val="20"/>
          <w:szCs w:val="20"/>
          <w:lang w:val="es-MX" w:eastAsia="en-US"/>
        </w:rPr>
        <w:br w:type="page"/>
      </w:r>
    </w:p>
    <w:p w14:paraId="081B03BD" w14:textId="091542CA" w:rsidR="00677A1B" w:rsidRPr="00F30FD1" w:rsidRDefault="00AD7DB5" w:rsidP="00677A1B">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lastRenderedPageBreak/>
        <w:t>Tabla</w:t>
      </w:r>
      <w:r w:rsidR="00677A1B" w:rsidRPr="00F30FD1">
        <w:rPr>
          <w:rFonts w:eastAsia="Arial" w:cs="Times New Roman"/>
          <w:b/>
          <w:bCs/>
          <w:color w:val="4BACC6" w:themeColor="accent5"/>
          <w:lang w:val="es-MX" w:eastAsia="en-US"/>
        </w:rPr>
        <w:t xml:space="preserve"> </w:t>
      </w:r>
      <w:r w:rsidR="00F30FD1" w:rsidRPr="00F30FD1">
        <w:rPr>
          <w:rFonts w:eastAsia="Arial" w:cs="Times New Roman"/>
          <w:b/>
          <w:bCs/>
          <w:color w:val="4BACC6" w:themeColor="accent5"/>
          <w:lang w:val="es-MX" w:eastAsia="en-US"/>
        </w:rPr>
        <w:t>T.10</w:t>
      </w:r>
      <w:r w:rsidR="00677A1B" w:rsidRPr="00F30FD1">
        <w:rPr>
          <w:rFonts w:eastAsia="Arial" w:cs="Times New Roman"/>
          <w:b/>
          <w:bCs/>
          <w:color w:val="4BACC6" w:themeColor="accent5"/>
          <w:lang w:val="es-MX" w:eastAsia="en-US"/>
        </w:rPr>
        <w:t>.- Deuda Pública Directa y Contingente (al 31 de diciembre de 2019)</w:t>
      </w:r>
    </w:p>
    <w:p w14:paraId="0F594C39" w14:textId="77777777" w:rsidR="00AD7DB5" w:rsidRPr="00F30FD1" w:rsidRDefault="00AD7DB5" w:rsidP="00AD7DB5">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ESTADO DE LA DEUDA PÚBLICA DIRECTA A LARGO PLAZO</w:t>
      </w:r>
    </w:p>
    <w:p w14:paraId="681F9449" w14:textId="7C0D43A3" w:rsidR="00AD7DB5" w:rsidRPr="00F30FD1" w:rsidRDefault="00AD7DB5" w:rsidP="00AD7DB5">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 xml:space="preserve"> (Cifras en Millones de pesos)</w:t>
      </w:r>
    </w:p>
    <w:p w14:paraId="26C4D50C" w14:textId="77777777" w:rsidR="000721ED" w:rsidRPr="00F30FD1" w:rsidRDefault="000721ED" w:rsidP="00AD7DB5">
      <w:pPr>
        <w:spacing w:after="0" w:line="240" w:lineRule="auto"/>
        <w:jc w:val="center"/>
        <w:rPr>
          <w:rFonts w:eastAsia="Arial" w:cs="Times New Roman"/>
          <w:b/>
          <w:bCs/>
          <w:color w:val="4BACC6" w:themeColor="accent5"/>
          <w:sz w:val="20"/>
          <w:szCs w:val="20"/>
          <w:lang w:val="es-MX" w:eastAsia="en-US"/>
        </w:rPr>
      </w:pPr>
    </w:p>
    <w:p w14:paraId="682DEF98" w14:textId="454D89F0" w:rsidR="000721ED" w:rsidRPr="00F30FD1" w:rsidRDefault="000721ED" w:rsidP="00AD7DB5">
      <w:pPr>
        <w:spacing w:after="0" w:line="240" w:lineRule="auto"/>
        <w:jc w:val="center"/>
        <w:rPr>
          <w:rFonts w:eastAsia="Arial" w:cs="Times New Roman"/>
          <w:b/>
          <w:bCs/>
          <w:color w:val="4BACC6" w:themeColor="accent5"/>
          <w:sz w:val="20"/>
          <w:szCs w:val="20"/>
          <w:lang w:val="es-MX" w:eastAsia="en-US"/>
        </w:rPr>
      </w:pPr>
      <w:r w:rsidRPr="00F30FD1">
        <w:rPr>
          <w:noProof/>
          <w:szCs w:val="20"/>
          <w:lang w:val="es-MX" w:eastAsia="es-MX"/>
        </w:rPr>
        <w:drawing>
          <wp:anchor distT="0" distB="0" distL="114300" distR="114300" simplePos="0" relativeHeight="251674624" behindDoc="1" locked="0" layoutInCell="1" allowOverlap="1" wp14:anchorId="4AB18F5C" wp14:editId="031657EA">
            <wp:simplePos x="0" y="0"/>
            <wp:positionH relativeFrom="column">
              <wp:posOffset>635</wp:posOffset>
            </wp:positionH>
            <wp:positionV relativeFrom="paragraph">
              <wp:posOffset>144780</wp:posOffset>
            </wp:positionV>
            <wp:extent cx="5568315" cy="3766185"/>
            <wp:effectExtent l="0" t="0" r="0" b="5715"/>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grayscl/>
                    </a:blip>
                    <a:srcRect/>
                    <a:stretch>
                      <a:fillRect/>
                    </a:stretch>
                  </pic:blipFill>
                  <pic:spPr bwMode="auto">
                    <a:xfrm>
                      <a:off x="0" y="0"/>
                      <a:ext cx="5568315" cy="3766185"/>
                    </a:xfrm>
                    <a:prstGeom prst="rect">
                      <a:avLst/>
                    </a:prstGeom>
                    <a:noFill/>
                    <a:ln w="9525">
                      <a:noFill/>
                      <a:miter lim="800000"/>
                      <a:headEnd/>
                      <a:tailEnd/>
                    </a:ln>
                  </pic:spPr>
                </pic:pic>
              </a:graphicData>
            </a:graphic>
          </wp:anchor>
        </w:drawing>
      </w:r>
    </w:p>
    <w:p w14:paraId="1E88964E" w14:textId="77777777" w:rsidR="00AD7DB5" w:rsidRPr="00F30FD1" w:rsidRDefault="00AD7DB5" w:rsidP="00677A1B">
      <w:pPr>
        <w:spacing w:after="0" w:line="240" w:lineRule="auto"/>
        <w:jc w:val="center"/>
        <w:rPr>
          <w:rFonts w:eastAsia="Arial" w:cs="Times New Roman"/>
          <w:b/>
          <w:bCs/>
          <w:color w:val="4BACC6" w:themeColor="accent5"/>
          <w:sz w:val="20"/>
          <w:szCs w:val="20"/>
          <w:lang w:val="es-MX" w:eastAsia="en-US"/>
        </w:rPr>
      </w:pPr>
    </w:p>
    <w:p w14:paraId="67703E80" w14:textId="77777777" w:rsidR="00677A1B" w:rsidRPr="00F30FD1" w:rsidRDefault="00677A1B" w:rsidP="00677A1B">
      <w:pPr>
        <w:spacing w:after="0" w:line="240" w:lineRule="auto"/>
        <w:jc w:val="center"/>
        <w:rPr>
          <w:rFonts w:eastAsia="Times New Roman" w:cs="Futura"/>
          <w:color w:val="595959"/>
          <w:sz w:val="20"/>
          <w:szCs w:val="20"/>
        </w:rPr>
      </w:pPr>
    </w:p>
    <w:p w14:paraId="5305AABD" w14:textId="77777777" w:rsidR="000721ED" w:rsidRPr="00F30FD1" w:rsidRDefault="000721ED" w:rsidP="00677A1B">
      <w:pPr>
        <w:spacing w:after="0" w:line="240" w:lineRule="auto"/>
        <w:jc w:val="center"/>
        <w:rPr>
          <w:rFonts w:eastAsia="Times New Roman" w:cs="Futura"/>
          <w:color w:val="595959"/>
          <w:sz w:val="20"/>
          <w:szCs w:val="20"/>
        </w:rPr>
      </w:pPr>
    </w:p>
    <w:p w14:paraId="1B73E429" w14:textId="77777777" w:rsidR="000721ED" w:rsidRPr="00F30FD1" w:rsidRDefault="000721ED" w:rsidP="00677A1B">
      <w:pPr>
        <w:spacing w:after="0" w:line="240" w:lineRule="auto"/>
        <w:jc w:val="center"/>
        <w:rPr>
          <w:rFonts w:eastAsia="Times New Roman" w:cs="Futura"/>
          <w:color w:val="595959"/>
          <w:sz w:val="20"/>
          <w:szCs w:val="20"/>
        </w:rPr>
      </w:pPr>
    </w:p>
    <w:p w14:paraId="4804C805" w14:textId="77777777" w:rsidR="000721ED" w:rsidRPr="00F30FD1" w:rsidRDefault="000721ED" w:rsidP="00677A1B">
      <w:pPr>
        <w:spacing w:after="0" w:line="240" w:lineRule="auto"/>
        <w:jc w:val="center"/>
        <w:rPr>
          <w:rFonts w:eastAsia="Times New Roman" w:cs="Futura"/>
          <w:color w:val="595959"/>
          <w:sz w:val="20"/>
          <w:szCs w:val="20"/>
        </w:rPr>
      </w:pPr>
    </w:p>
    <w:p w14:paraId="7A7A3A76" w14:textId="77777777" w:rsidR="000721ED" w:rsidRPr="00F30FD1" w:rsidRDefault="000721ED" w:rsidP="00677A1B">
      <w:pPr>
        <w:spacing w:after="0" w:line="240" w:lineRule="auto"/>
        <w:jc w:val="center"/>
        <w:rPr>
          <w:rFonts w:eastAsia="Times New Roman" w:cs="Futura"/>
          <w:color w:val="595959"/>
          <w:sz w:val="20"/>
          <w:szCs w:val="20"/>
        </w:rPr>
      </w:pPr>
    </w:p>
    <w:p w14:paraId="3E21A81E" w14:textId="77777777" w:rsidR="000721ED" w:rsidRPr="00F30FD1" w:rsidRDefault="000721ED" w:rsidP="00677A1B">
      <w:pPr>
        <w:spacing w:after="0" w:line="240" w:lineRule="auto"/>
        <w:jc w:val="center"/>
        <w:rPr>
          <w:rFonts w:eastAsia="Times New Roman" w:cs="Futura"/>
          <w:color w:val="595959"/>
          <w:sz w:val="20"/>
          <w:szCs w:val="20"/>
        </w:rPr>
      </w:pPr>
    </w:p>
    <w:p w14:paraId="2C3B6C6E" w14:textId="77777777" w:rsidR="000721ED" w:rsidRPr="00F30FD1" w:rsidRDefault="000721ED" w:rsidP="00677A1B">
      <w:pPr>
        <w:spacing w:after="0" w:line="240" w:lineRule="auto"/>
        <w:jc w:val="center"/>
        <w:rPr>
          <w:rFonts w:eastAsia="Times New Roman" w:cs="Futura"/>
          <w:color w:val="595959"/>
          <w:sz w:val="20"/>
          <w:szCs w:val="20"/>
        </w:rPr>
      </w:pPr>
    </w:p>
    <w:p w14:paraId="7EBB7027" w14:textId="77777777" w:rsidR="000721ED" w:rsidRPr="00F30FD1" w:rsidRDefault="000721ED" w:rsidP="00677A1B">
      <w:pPr>
        <w:spacing w:after="0" w:line="240" w:lineRule="auto"/>
        <w:jc w:val="center"/>
        <w:rPr>
          <w:rFonts w:eastAsia="Times New Roman" w:cs="Futura"/>
          <w:color w:val="595959"/>
          <w:sz w:val="20"/>
          <w:szCs w:val="20"/>
        </w:rPr>
      </w:pPr>
    </w:p>
    <w:p w14:paraId="77CA9135" w14:textId="77777777" w:rsidR="000721ED" w:rsidRPr="00F30FD1" w:rsidRDefault="000721ED" w:rsidP="00677A1B">
      <w:pPr>
        <w:spacing w:after="0" w:line="240" w:lineRule="auto"/>
        <w:jc w:val="center"/>
        <w:rPr>
          <w:rFonts w:eastAsia="Times New Roman" w:cs="Futura"/>
          <w:color w:val="595959"/>
          <w:sz w:val="20"/>
          <w:szCs w:val="20"/>
        </w:rPr>
      </w:pPr>
    </w:p>
    <w:p w14:paraId="3131A700" w14:textId="77777777" w:rsidR="000721ED" w:rsidRPr="00F30FD1" w:rsidRDefault="000721ED" w:rsidP="00677A1B">
      <w:pPr>
        <w:spacing w:after="0" w:line="240" w:lineRule="auto"/>
        <w:jc w:val="center"/>
        <w:rPr>
          <w:rFonts w:eastAsia="Times New Roman" w:cs="Futura"/>
          <w:color w:val="595959"/>
          <w:sz w:val="20"/>
          <w:szCs w:val="20"/>
        </w:rPr>
      </w:pPr>
    </w:p>
    <w:p w14:paraId="58E07182" w14:textId="77777777" w:rsidR="000721ED" w:rsidRPr="00F30FD1" w:rsidRDefault="000721ED" w:rsidP="00677A1B">
      <w:pPr>
        <w:spacing w:after="0" w:line="240" w:lineRule="auto"/>
        <w:jc w:val="center"/>
        <w:rPr>
          <w:rFonts w:eastAsia="Times New Roman" w:cs="Futura"/>
          <w:color w:val="595959"/>
          <w:sz w:val="20"/>
          <w:szCs w:val="20"/>
        </w:rPr>
      </w:pPr>
    </w:p>
    <w:p w14:paraId="356F5F25" w14:textId="77777777" w:rsidR="000721ED" w:rsidRPr="00F30FD1" w:rsidRDefault="000721ED" w:rsidP="00677A1B">
      <w:pPr>
        <w:spacing w:after="0" w:line="240" w:lineRule="auto"/>
        <w:jc w:val="center"/>
        <w:rPr>
          <w:rFonts w:eastAsia="Times New Roman" w:cs="Futura"/>
          <w:color w:val="595959"/>
          <w:sz w:val="20"/>
          <w:szCs w:val="20"/>
        </w:rPr>
      </w:pPr>
    </w:p>
    <w:p w14:paraId="0CA1DCE5" w14:textId="77777777" w:rsidR="000721ED" w:rsidRPr="00F30FD1" w:rsidRDefault="000721ED" w:rsidP="00677A1B">
      <w:pPr>
        <w:spacing w:after="0" w:line="240" w:lineRule="auto"/>
        <w:jc w:val="center"/>
        <w:rPr>
          <w:rFonts w:eastAsia="Times New Roman" w:cs="Futura"/>
          <w:color w:val="595959"/>
          <w:sz w:val="20"/>
          <w:szCs w:val="20"/>
        </w:rPr>
      </w:pPr>
    </w:p>
    <w:p w14:paraId="38A3F77D" w14:textId="77777777" w:rsidR="000721ED" w:rsidRPr="00F30FD1" w:rsidRDefault="000721ED" w:rsidP="00677A1B">
      <w:pPr>
        <w:spacing w:after="0" w:line="240" w:lineRule="auto"/>
        <w:jc w:val="center"/>
        <w:rPr>
          <w:rFonts w:eastAsia="Times New Roman" w:cs="Futura"/>
          <w:color w:val="595959"/>
          <w:sz w:val="20"/>
          <w:szCs w:val="20"/>
        </w:rPr>
      </w:pPr>
    </w:p>
    <w:p w14:paraId="055A3607" w14:textId="77777777" w:rsidR="000721ED" w:rsidRPr="00F30FD1" w:rsidRDefault="000721ED" w:rsidP="00677A1B">
      <w:pPr>
        <w:spacing w:after="0" w:line="240" w:lineRule="auto"/>
        <w:jc w:val="center"/>
        <w:rPr>
          <w:rFonts w:eastAsia="Times New Roman" w:cs="Futura"/>
          <w:color w:val="595959"/>
          <w:sz w:val="20"/>
          <w:szCs w:val="20"/>
        </w:rPr>
      </w:pPr>
    </w:p>
    <w:p w14:paraId="70D7662F" w14:textId="77777777" w:rsidR="000721ED" w:rsidRPr="00F30FD1" w:rsidRDefault="000721ED" w:rsidP="00677A1B">
      <w:pPr>
        <w:spacing w:after="0" w:line="240" w:lineRule="auto"/>
        <w:jc w:val="center"/>
        <w:rPr>
          <w:rFonts w:eastAsia="Times New Roman" w:cs="Futura"/>
          <w:color w:val="595959"/>
          <w:sz w:val="20"/>
          <w:szCs w:val="20"/>
        </w:rPr>
      </w:pPr>
    </w:p>
    <w:p w14:paraId="12780965" w14:textId="77777777" w:rsidR="000721ED" w:rsidRPr="00F30FD1" w:rsidRDefault="000721ED" w:rsidP="00677A1B">
      <w:pPr>
        <w:spacing w:after="0" w:line="240" w:lineRule="auto"/>
        <w:jc w:val="center"/>
        <w:rPr>
          <w:rFonts w:eastAsia="Times New Roman" w:cs="Futura"/>
          <w:color w:val="595959"/>
          <w:sz w:val="20"/>
          <w:szCs w:val="20"/>
        </w:rPr>
      </w:pPr>
    </w:p>
    <w:p w14:paraId="220D25F5" w14:textId="77777777" w:rsidR="000721ED" w:rsidRPr="00F30FD1" w:rsidRDefault="000721ED" w:rsidP="00677A1B">
      <w:pPr>
        <w:spacing w:after="0" w:line="240" w:lineRule="auto"/>
        <w:jc w:val="center"/>
        <w:rPr>
          <w:rFonts w:eastAsia="Times New Roman" w:cs="Futura"/>
          <w:color w:val="595959"/>
          <w:sz w:val="20"/>
          <w:szCs w:val="20"/>
        </w:rPr>
      </w:pPr>
    </w:p>
    <w:p w14:paraId="6D75FFAB" w14:textId="77777777" w:rsidR="000721ED" w:rsidRPr="00F30FD1" w:rsidRDefault="000721ED" w:rsidP="00677A1B">
      <w:pPr>
        <w:spacing w:after="0" w:line="240" w:lineRule="auto"/>
        <w:jc w:val="center"/>
        <w:rPr>
          <w:rFonts w:eastAsia="Times New Roman" w:cs="Futura"/>
          <w:color w:val="595959"/>
          <w:sz w:val="20"/>
          <w:szCs w:val="20"/>
        </w:rPr>
      </w:pPr>
    </w:p>
    <w:p w14:paraId="62DE30E4" w14:textId="77777777" w:rsidR="000721ED" w:rsidRPr="00F30FD1" w:rsidRDefault="000721ED" w:rsidP="00677A1B">
      <w:pPr>
        <w:spacing w:after="0" w:line="240" w:lineRule="auto"/>
        <w:jc w:val="center"/>
        <w:rPr>
          <w:rFonts w:eastAsia="Times New Roman" w:cs="Futura"/>
          <w:color w:val="595959"/>
          <w:sz w:val="20"/>
          <w:szCs w:val="20"/>
        </w:rPr>
      </w:pPr>
    </w:p>
    <w:p w14:paraId="010678B8" w14:textId="77777777" w:rsidR="000721ED" w:rsidRPr="00F30FD1" w:rsidRDefault="000721ED" w:rsidP="00677A1B">
      <w:pPr>
        <w:spacing w:after="0" w:line="240" w:lineRule="auto"/>
        <w:jc w:val="center"/>
        <w:rPr>
          <w:rFonts w:eastAsia="Times New Roman" w:cs="Futura"/>
          <w:color w:val="595959"/>
          <w:sz w:val="20"/>
          <w:szCs w:val="20"/>
        </w:rPr>
      </w:pPr>
    </w:p>
    <w:p w14:paraId="7051CECF" w14:textId="77777777" w:rsidR="000721ED" w:rsidRPr="00F30FD1" w:rsidRDefault="000721ED" w:rsidP="00677A1B">
      <w:pPr>
        <w:spacing w:after="0" w:line="240" w:lineRule="auto"/>
        <w:jc w:val="center"/>
        <w:rPr>
          <w:rFonts w:eastAsia="Times New Roman" w:cs="Futura"/>
          <w:color w:val="595959"/>
          <w:sz w:val="20"/>
          <w:szCs w:val="20"/>
        </w:rPr>
      </w:pPr>
    </w:p>
    <w:p w14:paraId="0D77BC3C" w14:textId="77777777" w:rsidR="000721ED" w:rsidRPr="00F30FD1" w:rsidRDefault="000721ED" w:rsidP="00677A1B">
      <w:pPr>
        <w:spacing w:after="0" w:line="240" w:lineRule="auto"/>
        <w:jc w:val="center"/>
        <w:rPr>
          <w:rFonts w:eastAsia="Times New Roman" w:cs="Futura"/>
          <w:color w:val="595959"/>
          <w:sz w:val="20"/>
          <w:szCs w:val="20"/>
        </w:rPr>
      </w:pPr>
    </w:p>
    <w:p w14:paraId="457D1181" w14:textId="77777777" w:rsidR="000721ED" w:rsidRPr="00F30FD1" w:rsidRDefault="000721ED" w:rsidP="00677A1B">
      <w:pPr>
        <w:spacing w:after="0" w:line="240" w:lineRule="auto"/>
        <w:jc w:val="center"/>
        <w:rPr>
          <w:rFonts w:eastAsia="Times New Roman" w:cs="Futura"/>
          <w:color w:val="595959"/>
          <w:sz w:val="20"/>
          <w:szCs w:val="20"/>
        </w:rPr>
      </w:pPr>
    </w:p>
    <w:p w14:paraId="6A15552E" w14:textId="77777777" w:rsidR="000721ED" w:rsidRPr="00F30FD1" w:rsidRDefault="000721ED" w:rsidP="00677A1B">
      <w:pPr>
        <w:spacing w:after="0" w:line="240" w:lineRule="auto"/>
        <w:jc w:val="center"/>
        <w:rPr>
          <w:rFonts w:eastAsia="Times New Roman" w:cs="Futura"/>
          <w:color w:val="595959"/>
          <w:sz w:val="20"/>
          <w:szCs w:val="20"/>
        </w:rPr>
      </w:pPr>
    </w:p>
    <w:p w14:paraId="4F71C550" w14:textId="77777777" w:rsidR="000721ED" w:rsidRPr="00F30FD1" w:rsidRDefault="000721ED" w:rsidP="00677A1B">
      <w:pPr>
        <w:spacing w:after="0" w:line="240" w:lineRule="auto"/>
        <w:jc w:val="center"/>
        <w:rPr>
          <w:rFonts w:eastAsia="Times New Roman" w:cs="Futura"/>
          <w:color w:val="595959"/>
          <w:sz w:val="20"/>
          <w:szCs w:val="20"/>
        </w:rPr>
      </w:pPr>
    </w:p>
    <w:p w14:paraId="581A92AF" w14:textId="007FCDC5" w:rsidR="00677A1B" w:rsidRPr="00F30FD1" w:rsidRDefault="000721ED" w:rsidP="00677A1B">
      <w:pPr>
        <w:spacing w:after="0" w:line="240" w:lineRule="auto"/>
        <w:rPr>
          <w:rFonts w:eastAsia="Times New Roman" w:cs="Futura"/>
          <w:color w:val="595959"/>
          <w:sz w:val="20"/>
          <w:szCs w:val="20"/>
        </w:rPr>
      </w:pPr>
      <w:bookmarkStart w:id="15" w:name="_MON_1645462289"/>
      <w:bookmarkStart w:id="16" w:name="_MON_1645448209"/>
      <w:bookmarkEnd w:id="15"/>
      <w:bookmarkEnd w:id="16"/>
      <w:r w:rsidRPr="00F30FD1">
        <w:rPr>
          <w:rFonts w:eastAsia="Times New Roman" w:cs="Futura"/>
          <w:color w:val="595959"/>
          <w:sz w:val="20"/>
          <w:szCs w:val="20"/>
        </w:rPr>
        <w:t xml:space="preserve">La deuda pública del Estado se compone de seis créditos, de los cuales uno fue destinado a inversión pública productiva, mientras que los otros cinco créditos se destinaron al refinanciamiento de deuda </w:t>
      </w:r>
      <w:r w:rsidR="00677A1B" w:rsidRPr="00F30FD1">
        <w:rPr>
          <w:rFonts w:eastAsia="Times New Roman" w:cs="Futura"/>
          <w:color w:val="595959"/>
          <w:sz w:val="20"/>
          <w:szCs w:val="20"/>
        </w:rPr>
        <w:t xml:space="preserve">(ver </w:t>
      </w:r>
      <w:r w:rsidR="00AD7DB5" w:rsidRPr="00F30FD1">
        <w:rPr>
          <w:rFonts w:eastAsia="Times New Roman" w:cs="Futura"/>
          <w:color w:val="595959"/>
          <w:sz w:val="20"/>
          <w:szCs w:val="20"/>
        </w:rPr>
        <w:t>tabla</w:t>
      </w:r>
      <w:r w:rsidR="00677A1B" w:rsidRPr="00F30FD1">
        <w:rPr>
          <w:rFonts w:eastAsia="Times New Roman" w:cs="Futura"/>
          <w:color w:val="595959"/>
          <w:sz w:val="20"/>
          <w:szCs w:val="20"/>
        </w:rPr>
        <w:t xml:space="preserve"> </w:t>
      </w:r>
      <w:r w:rsidR="00AD7DB5" w:rsidRPr="00F30FD1">
        <w:rPr>
          <w:rFonts w:eastAsia="Times New Roman" w:cs="Futura"/>
          <w:color w:val="595959"/>
          <w:sz w:val="20"/>
          <w:szCs w:val="20"/>
        </w:rPr>
        <w:t>4</w:t>
      </w:r>
      <w:r w:rsidR="00677A1B" w:rsidRPr="00F30FD1">
        <w:rPr>
          <w:rFonts w:eastAsia="Times New Roman" w:cs="Futura"/>
          <w:color w:val="595959"/>
          <w:sz w:val="20"/>
          <w:szCs w:val="20"/>
        </w:rPr>
        <w:t>).</w:t>
      </w:r>
    </w:p>
    <w:p w14:paraId="0E7A29C8" w14:textId="77777777" w:rsidR="00677A1B" w:rsidRPr="00F30FD1" w:rsidRDefault="00677A1B" w:rsidP="00677A1B">
      <w:pPr>
        <w:spacing w:after="0" w:line="240" w:lineRule="auto"/>
        <w:rPr>
          <w:rFonts w:eastAsia="Times New Roman" w:cs="Futura"/>
          <w:color w:val="595959"/>
          <w:sz w:val="20"/>
          <w:szCs w:val="20"/>
        </w:rPr>
      </w:pPr>
    </w:p>
    <w:p w14:paraId="14EB5DEC" w14:textId="77777777" w:rsidR="00AD7DB5" w:rsidRPr="00F30FD1" w:rsidRDefault="00AD7DB5" w:rsidP="00677A1B">
      <w:pPr>
        <w:spacing w:after="0" w:line="240" w:lineRule="auto"/>
        <w:rPr>
          <w:rFonts w:eastAsia="Times New Roman" w:cs="Futura"/>
          <w:color w:val="595959"/>
          <w:sz w:val="20"/>
          <w:szCs w:val="20"/>
        </w:rPr>
      </w:pPr>
    </w:p>
    <w:p w14:paraId="247EF51D" w14:textId="77777777" w:rsidR="00AD7DB5" w:rsidRPr="00F30FD1" w:rsidRDefault="00AD7DB5" w:rsidP="00677A1B">
      <w:pPr>
        <w:spacing w:after="0" w:line="240" w:lineRule="auto"/>
        <w:rPr>
          <w:rFonts w:eastAsia="Times New Roman" w:cs="Futura"/>
          <w:color w:val="595959"/>
          <w:sz w:val="20"/>
          <w:szCs w:val="20"/>
        </w:rPr>
      </w:pPr>
    </w:p>
    <w:p w14:paraId="49ACD1C0" w14:textId="77777777" w:rsidR="000847C4" w:rsidRPr="00F30FD1" w:rsidRDefault="000847C4">
      <w:pPr>
        <w:spacing w:after="0" w:line="240" w:lineRule="auto"/>
        <w:jc w:val="left"/>
        <w:rPr>
          <w:rFonts w:eastAsia="Arial" w:cs="Times New Roman"/>
          <w:b/>
          <w:bCs/>
          <w:color w:val="4BACC6" w:themeColor="accent5"/>
          <w:sz w:val="20"/>
          <w:szCs w:val="20"/>
          <w:lang w:val="es-MX" w:eastAsia="en-US"/>
        </w:rPr>
      </w:pPr>
      <w:r w:rsidRPr="00F30FD1">
        <w:rPr>
          <w:rFonts w:eastAsia="Arial" w:cs="Times New Roman"/>
          <w:b/>
          <w:bCs/>
          <w:color w:val="4BACC6" w:themeColor="accent5"/>
          <w:sz w:val="20"/>
          <w:szCs w:val="20"/>
          <w:lang w:val="es-MX" w:eastAsia="en-US"/>
        </w:rPr>
        <w:br w:type="page"/>
      </w:r>
    </w:p>
    <w:p w14:paraId="7FA187D6" w14:textId="196E296C" w:rsidR="00677A1B" w:rsidRPr="00F30FD1" w:rsidRDefault="00AD7DB5" w:rsidP="00677A1B">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lastRenderedPageBreak/>
        <w:t>Tabla T.</w:t>
      </w:r>
      <w:r w:rsidR="00F30FD1" w:rsidRPr="00F30FD1">
        <w:rPr>
          <w:rFonts w:eastAsia="Arial" w:cs="Times New Roman"/>
          <w:b/>
          <w:bCs/>
          <w:color w:val="4BACC6" w:themeColor="accent5"/>
          <w:lang w:val="es-MX" w:eastAsia="en-US"/>
        </w:rPr>
        <w:t>11</w:t>
      </w:r>
      <w:r w:rsidR="00677A1B" w:rsidRPr="00F30FD1">
        <w:rPr>
          <w:rFonts w:eastAsia="Arial" w:cs="Times New Roman"/>
          <w:b/>
          <w:bCs/>
          <w:color w:val="4BACC6" w:themeColor="accent5"/>
          <w:lang w:val="es-MX" w:eastAsia="en-US"/>
        </w:rPr>
        <w:t>.- Deuda Pública de Largo Plazo (al 31 de diciembre de 2019)</w:t>
      </w:r>
    </w:p>
    <w:p w14:paraId="72E5270F" w14:textId="77777777" w:rsidR="00677A1B" w:rsidRPr="00F30FD1" w:rsidRDefault="00677A1B" w:rsidP="00677A1B">
      <w:pPr>
        <w:spacing w:after="0" w:line="240" w:lineRule="auto"/>
        <w:rPr>
          <w:rFonts w:eastAsia="Arial" w:cs="Times New Roman"/>
          <w:b/>
          <w:bCs/>
          <w:color w:val="4BACC6" w:themeColor="accent5"/>
          <w:lang w:val="es-MX" w:eastAsia="en-US"/>
        </w:rPr>
      </w:pPr>
    </w:p>
    <w:p w14:paraId="5C185046" w14:textId="77777777" w:rsidR="00677A1B" w:rsidRPr="00F30FD1" w:rsidRDefault="00677A1B" w:rsidP="00677A1B">
      <w:pPr>
        <w:spacing w:after="0" w:line="240" w:lineRule="auto"/>
        <w:jc w:val="center"/>
        <w:rPr>
          <w:rFonts w:eastAsia="Times New Roman" w:cs="Futura"/>
          <w:color w:val="595959"/>
          <w:sz w:val="18"/>
          <w:szCs w:val="18"/>
        </w:rPr>
      </w:pPr>
      <w:r w:rsidRPr="00F30FD1">
        <w:rPr>
          <w:rFonts w:eastAsia="Times New Roman" w:cs="Futura"/>
          <w:color w:val="595959"/>
          <w:sz w:val="18"/>
          <w:szCs w:val="18"/>
        </w:rPr>
        <w:t>(Cifras en millones de pesos)</w:t>
      </w:r>
    </w:p>
    <w:p w14:paraId="21E8C383" w14:textId="77777777" w:rsidR="00A53759" w:rsidRPr="00F30FD1" w:rsidRDefault="00A53759" w:rsidP="00677A1B">
      <w:pPr>
        <w:spacing w:after="0" w:line="240" w:lineRule="auto"/>
        <w:jc w:val="center"/>
        <w:rPr>
          <w:rFonts w:eastAsia="Times New Roman" w:cs="Futura"/>
          <w:color w:val="595959"/>
          <w:sz w:val="18"/>
          <w:szCs w:val="18"/>
        </w:rPr>
      </w:pPr>
    </w:p>
    <w:p w14:paraId="2B45F557" w14:textId="3A834DC5" w:rsidR="000721ED" w:rsidRPr="00F30FD1" w:rsidRDefault="000721ED" w:rsidP="00677A1B">
      <w:pPr>
        <w:spacing w:after="0" w:line="240" w:lineRule="auto"/>
        <w:jc w:val="center"/>
        <w:rPr>
          <w:rFonts w:eastAsia="Times New Roman" w:cs="Futura"/>
          <w:color w:val="595959"/>
          <w:sz w:val="18"/>
          <w:szCs w:val="18"/>
        </w:rPr>
      </w:pPr>
      <w:r w:rsidRPr="00F30FD1">
        <w:rPr>
          <w:rFonts w:eastAsia="Times New Roman" w:cs="Futura"/>
          <w:noProof/>
          <w:color w:val="595959"/>
          <w:sz w:val="20"/>
          <w:szCs w:val="20"/>
          <w:lang w:val="es-MX" w:eastAsia="es-MX"/>
        </w:rPr>
        <w:drawing>
          <wp:anchor distT="0" distB="0" distL="114300" distR="114300" simplePos="0" relativeHeight="251676672" behindDoc="1" locked="0" layoutInCell="1" allowOverlap="1" wp14:anchorId="2F049A54" wp14:editId="7D8D6AAA">
            <wp:simplePos x="0" y="0"/>
            <wp:positionH relativeFrom="column">
              <wp:posOffset>635</wp:posOffset>
            </wp:positionH>
            <wp:positionV relativeFrom="paragraph">
              <wp:posOffset>128905</wp:posOffset>
            </wp:positionV>
            <wp:extent cx="5941695" cy="1828800"/>
            <wp:effectExtent l="0" t="0" r="1905"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
                      <a:grayscl/>
                    </a:blip>
                    <a:srcRect/>
                    <a:stretch>
                      <a:fillRect/>
                    </a:stretch>
                  </pic:blipFill>
                  <pic:spPr bwMode="auto">
                    <a:xfrm>
                      <a:off x="0" y="0"/>
                      <a:ext cx="5941695" cy="1828800"/>
                    </a:xfrm>
                    <a:prstGeom prst="rect">
                      <a:avLst/>
                    </a:prstGeom>
                    <a:noFill/>
                    <a:ln w="9525">
                      <a:noFill/>
                      <a:miter lim="800000"/>
                      <a:headEnd/>
                      <a:tailEnd/>
                    </a:ln>
                  </pic:spPr>
                </pic:pic>
              </a:graphicData>
            </a:graphic>
          </wp:anchor>
        </w:drawing>
      </w:r>
    </w:p>
    <w:p w14:paraId="35E1DF93" w14:textId="47333C64" w:rsidR="000721ED" w:rsidRPr="00F30FD1" w:rsidRDefault="000721ED" w:rsidP="00677A1B">
      <w:pPr>
        <w:spacing w:after="0" w:line="240" w:lineRule="auto"/>
        <w:jc w:val="center"/>
        <w:rPr>
          <w:rFonts w:eastAsia="Times New Roman" w:cs="Futura"/>
          <w:color w:val="595959"/>
          <w:sz w:val="18"/>
          <w:szCs w:val="18"/>
        </w:rPr>
      </w:pPr>
    </w:p>
    <w:p w14:paraId="354AE37E" w14:textId="72741E53" w:rsidR="000721ED" w:rsidRPr="00F30FD1" w:rsidRDefault="000721ED" w:rsidP="00677A1B">
      <w:pPr>
        <w:spacing w:after="0" w:line="240" w:lineRule="auto"/>
        <w:jc w:val="center"/>
        <w:rPr>
          <w:rFonts w:eastAsia="Times New Roman" w:cs="Futura"/>
          <w:color w:val="595959"/>
          <w:sz w:val="18"/>
          <w:szCs w:val="18"/>
        </w:rPr>
      </w:pPr>
    </w:p>
    <w:p w14:paraId="1506317E" w14:textId="1328F4FE" w:rsidR="000721ED" w:rsidRPr="00F30FD1" w:rsidRDefault="000721ED" w:rsidP="00677A1B">
      <w:pPr>
        <w:spacing w:after="0" w:line="240" w:lineRule="auto"/>
        <w:jc w:val="center"/>
        <w:rPr>
          <w:rFonts w:eastAsia="Times New Roman" w:cs="Futura"/>
          <w:color w:val="595959"/>
          <w:sz w:val="18"/>
          <w:szCs w:val="18"/>
        </w:rPr>
      </w:pPr>
    </w:p>
    <w:p w14:paraId="29A564A6" w14:textId="2702C572" w:rsidR="000721ED" w:rsidRPr="00F30FD1" w:rsidRDefault="000721ED" w:rsidP="00677A1B">
      <w:pPr>
        <w:spacing w:after="0" w:line="240" w:lineRule="auto"/>
        <w:jc w:val="center"/>
        <w:rPr>
          <w:rFonts w:eastAsia="Times New Roman" w:cs="Futura"/>
          <w:color w:val="595959"/>
          <w:sz w:val="18"/>
          <w:szCs w:val="18"/>
        </w:rPr>
      </w:pPr>
    </w:p>
    <w:p w14:paraId="4912FEC8" w14:textId="589E81DA" w:rsidR="000721ED" w:rsidRPr="00F30FD1" w:rsidRDefault="000721ED" w:rsidP="00677A1B">
      <w:pPr>
        <w:spacing w:after="0" w:line="240" w:lineRule="auto"/>
        <w:jc w:val="center"/>
        <w:rPr>
          <w:rFonts w:eastAsia="Times New Roman" w:cs="Futura"/>
          <w:color w:val="595959"/>
          <w:sz w:val="18"/>
          <w:szCs w:val="18"/>
        </w:rPr>
      </w:pPr>
    </w:p>
    <w:p w14:paraId="78C52D9F" w14:textId="77777777" w:rsidR="000721ED" w:rsidRPr="00F30FD1" w:rsidRDefault="000721ED" w:rsidP="00677A1B">
      <w:pPr>
        <w:spacing w:after="0" w:line="240" w:lineRule="auto"/>
        <w:jc w:val="center"/>
        <w:rPr>
          <w:rFonts w:eastAsia="Times New Roman" w:cs="Futura"/>
          <w:color w:val="595959"/>
          <w:sz w:val="18"/>
          <w:szCs w:val="18"/>
        </w:rPr>
      </w:pPr>
    </w:p>
    <w:p w14:paraId="3F742D57" w14:textId="4E0C19E2" w:rsidR="000721ED" w:rsidRPr="00F30FD1" w:rsidRDefault="000721ED" w:rsidP="00677A1B">
      <w:pPr>
        <w:spacing w:after="0" w:line="240" w:lineRule="auto"/>
        <w:jc w:val="center"/>
        <w:rPr>
          <w:rFonts w:eastAsia="Times New Roman" w:cs="Futura"/>
          <w:color w:val="595959"/>
          <w:sz w:val="18"/>
          <w:szCs w:val="18"/>
        </w:rPr>
      </w:pPr>
    </w:p>
    <w:p w14:paraId="66FC30C1" w14:textId="77777777" w:rsidR="000721ED" w:rsidRPr="00F30FD1" w:rsidRDefault="000721ED" w:rsidP="00677A1B">
      <w:pPr>
        <w:spacing w:after="0" w:line="240" w:lineRule="auto"/>
        <w:jc w:val="center"/>
        <w:rPr>
          <w:rFonts w:eastAsia="Times New Roman" w:cs="Futura"/>
          <w:color w:val="595959"/>
          <w:sz w:val="18"/>
          <w:szCs w:val="18"/>
        </w:rPr>
      </w:pPr>
    </w:p>
    <w:p w14:paraId="73E74742" w14:textId="77777777" w:rsidR="000721ED" w:rsidRPr="00F30FD1" w:rsidRDefault="000721ED" w:rsidP="00677A1B">
      <w:pPr>
        <w:spacing w:after="0" w:line="240" w:lineRule="auto"/>
        <w:jc w:val="center"/>
        <w:rPr>
          <w:rFonts w:eastAsia="Times New Roman" w:cs="Futura"/>
          <w:color w:val="595959"/>
          <w:sz w:val="18"/>
          <w:szCs w:val="18"/>
        </w:rPr>
      </w:pPr>
    </w:p>
    <w:p w14:paraId="0AA5A571" w14:textId="77777777" w:rsidR="000721ED" w:rsidRPr="00F30FD1" w:rsidRDefault="000721ED" w:rsidP="00677A1B">
      <w:pPr>
        <w:spacing w:after="0" w:line="240" w:lineRule="auto"/>
        <w:jc w:val="center"/>
        <w:rPr>
          <w:rFonts w:eastAsia="Times New Roman" w:cs="Futura"/>
          <w:color w:val="595959"/>
          <w:sz w:val="18"/>
          <w:szCs w:val="18"/>
        </w:rPr>
      </w:pPr>
    </w:p>
    <w:p w14:paraId="0FC89A46" w14:textId="77777777" w:rsidR="000721ED" w:rsidRPr="00F30FD1" w:rsidRDefault="000721ED" w:rsidP="00677A1B">
      <w:pPr>
        <w:spacing w:after="0" w:line="240" w:lineRule="auto"/>
        <w:jc w:val="center"/>
        <w:rPr>
          <w:rFonts w:eastAsia="Times New Roman" w:cs="Futura"/>
          <w:color w:val="595959"/>
          <w:sz w:val="18"/>
          <w:szCs w:val="18"/>
        </w:rPr>
      </w:pPr>
    </w:p>
    <w:p w14:paraId="5F3F847F" w14:textId="19229671" w:rsidR="000721ED" w:rsidRPr="00F30FD1" w:rsidRDefault="000721ED" w:rsidP="00677A1B">
      <w:pPr>
        <w:spacing w:after="0" w:line="240" w:lineRule="auto"/>
        <w:jc w:val="center"/>
        <w:rPr>
          <w:rFonts w:eastAsia="Times New Roman" w:cs="Futura"/>
          <w:color w:val="595959"/>
          <w:sz w:val="18"/>
          <w:szCs w:val="18"/>
        </w:rPr>
      </w:pPr>
    </w:p>
    <w:p w14:paraId="22CADC1F" w14:textId="77777777" w:rsidR="000721ED" w:rsidRPr="00F30FD1" w:rsidRDefault="000721ED" w:rsidP="00677A1B">
      <w:pPr>
        <w:spacing w:after="0" w:line="240" w:lineRule="auto"/>
        <w:jc w:val="center"/>
        <w:rPr>
          <w:rFonts w:eastAsia="Times New Roman" w:cs="Futura"/>
          <w:color w:val="595959"/>
          <w:sz w:val="18"/>
          <w:szCs w:val="18"/>
        </w:rPr>
      </w:pPr>
    </w:p>
    <w:p w14:paraId="5B6B5EE3" w14:textId="77777777" w:rsidR="000721ED" w:rsidRPr="00F30FD1" w:rsidRDefault="000721ED" w:rsidP="00677A1B">
      <w:pPr>
        <w:spacing w:after="0" w:line="240" w:lineRule="auto"/>
        <w:jc w:val="center"/>
        <w:rPr>
          <w:rFonts w:eastAsia="Times New Roman" w:cs="Futura"/>
          <w:color w:val="595959"/>
          <w:sz w:val="18"/>
          <w:szCs w:val="18"/>
        </w:rPr>
      </w:pPr>
    </w:p>
    <w:p w14:paraId="56F6EB61" w14:textId="545D49D4" w:rsidR="00677A1B" w:rsidRPr="00F30FD1" w:rsidRDefault="000721ED" w:rsidP="00677A1B">
      <w:pPr>
        <w:spacing w:after="0" w:line="240" w:lineRule="auto"/>
        <w:rPr>
          <w:rFonts w:eastAsia="Times New Roman" w:cs="Futura"/>
          <w:color w:val="595959"/>
          <w:sz w:val="20"/>
          <w:szCs w:val="20"/>
        </w:rPr>
      </w:pPr>
      <w:bookmarkStart w:id="17" w:name="_MON_1645462150"/>
      <w:bookmarkEnd w:id="17"/>
      <w:r w:rsidRPr="00F30FD1">
        <w:rPr>
          <w:rFonts w:eastAsia="Times New Roman" w:cs="Futura"/>
          <w:color w:val="595959"/>
          <w:sz w:val="20"/>
          <w:szCs w:val="20"/>
        </w:rPr>
        <w:t>Las obligaciones financieras de largo plazo asumidas por el Estado están garantizadas en su totalidad por el Fondo General de Participaciones, así mismo respecto de la Deuda Contingente; a continuación se muestra el porcentaje de afectación por institución crediticia</w:t>
      </w:r>
      <w:r w:rsidR="00677A1B" w:rsidRPr="00F30FD1">
        <w:rPr>
          <w:rFonts w:eastAsia="Times New Roman" w:cs="Futura"/>
          <w:color w:val="595959"/>
          <w:sz w:val="20"/>
          <w:szCs w:val="20"/>
        </w:rPr>
        <w:t>.</w:t>
      </w:r>
    </w:p>
    <w:p w14:paraId="0DDCA5AC" w14:textId="77777777" w:rsidR="00A53759" w:rsidRPr="00F30FD1" w:rsidRDefault="00A53759" w:rsidP="00677A1B">
      <w:pPr>
        <w:spacing w:after="0" w:line="240" w:lineRule="auto"/>
        <w:rPr>
          <w:rFonts w:eastAsia="Times New Roman" w:cs="Futura"/>
          <w:color w:val="595959"/>
          <w:sz w:val="20"/>
          <w:szCs w:val="20"/>
        </w:rPr>
      </w:pPr>
    </w:p>
    <w:p w14:paraId="79A0BE62" w14:textId="22E0ECAD" w:rsidR="00A53759" w:rsidRPr="00F30FD1" w:rsidRDefault="00A53759" w:rsidP="00A53759">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Tabla T.</w:t>
      </w:r>
      <w:r w:rsidR="00F30FD1" w:rsidRPr="00F30FD1">
        <w:rPr>
          <w:rFonts w:eastAsia="Arial" w:cs="Times New Roman"/>
          <w:b/>
          <w:bCs/>
          <w:color w:val="4BACC6" w:themeColor="accent5"/>
          <w:lang w:val="es-MX" w:eastAsia="en-US"/>
        </w:rPr>
        <w:t>12</w:t>
      </w:r>
      <w:r w:rsidRPr="00F30FD1">
        <w:rPr>
          <w:rFonts w:eastAsia="Arial" w:cs="Times New Roman"/>
          <w:b/>
          <w:bCs/>
          <w:color w:val="4BACC6" w:themeColor="accent5"/>
          <w:lang w:val="es-MX" w:eastAsia="en-US"/>
        </w:rPr>
        <w:t>.- Deuda Pública de Largo Plazo (al 31 de diciembre de 2019)</w:t>
      </w:r>
    </w:p>
    <w:p w14:paraId="26B4B475" w14:textId="7214A6AE" w:rsidR="00A53759" w:rsidRPr="00F30FD1" w:rsidRDefault="00A53759" w:rsidP="00A53759">
      <w:pPr>
        <w:spacing w:after="0" w:line="240" w:lineRule="auto"/>
        <w:rPr>
          <w:rFonts w:eastAsia="Times New Roman" w:cs="Times New Roman"/>
          <w:sz w:val="20"/>
          <w:szCs w:val="20"/>
          <w:lang w:eastAsia="es-MX"/>
        </w:rPr>
      </w:pPr>
    </w:p>
    <w:p w14:paraId="7D7BB3E8" w14:textId="77777777" w:rsidR="00A53759" w:rsidRPr="00F30FD1" w:rsidRDefault="00A53759" w:rsidP="00A53759">
      <w:pPr>
        <w:spacing w:after="0" w:line="240" w:lineRule="auto"/>
        <w:jc w:val="center"/>
        <w:rPr>
          <w:rFonts w:eastAsia="Times New Roman" w:cs="Futura"/>
          <w:color w:val="595959"/>
          <w:sz w:val="18"/>
          <w:szCs w:val="18"/>
        </w:rPr>
      </w:pPr>
      <w:r w:rsidRPr="00F30FD1">
        <w:rPr>
          <w:rFonts w:eastAsia="Times New Roman" w:cs="Futura"/>
          <w:color w:val="595959"/>
          <w:sz w:val="18"/>
          <w:szCs w:val="18"/>
        </w:rPr>
        <w:t>(Cifras en millones de pesos)</w:t>
      </w:r>
    </w:p>
    <w:p w14:paraId="6D8779CF" w14:textId="4C41EC7A" w:rsidR="000721ED" w:rsidRPr="00F30FD1" w:rsidRDefault="000721ED" w:rsidP="00A53759">
      <w:pPr>
        <w:spacing w:after="0" w:line="240" w:lineRule="auto"/>
        <w:jc w:val="center"/>
        <w:rPr>
          <w:rFonts w:eastAsia="Times New Roman" w:cs="Futura"/>
          <w:color w:val="595959"/>
          <w:sz w:val="18"/>
          <w:szCs w:val="18"/>
        </w:rPr>
      </w:pPr>
    </w:p>
    <w:p w14:paraId="0158EA4C" w14:textId="32473281" w:rsidR="000721ED" w:rsidRPr="00F30FD1" w:rsidRDefault="000721ED" w:rsidP="00A53759">
      <w:pPr>
        <w:spacing w:after="0" w:line="240" w:lineRule="auto"/>
        <w:jc w:val="center"/>
        <w:rPr>
          <w:rFonts w:eastAsia="Times New Roman" w:cs="Futura"/>
          <w:color w:val="595959"/>
          <w:sz w:val="18"/>
          <w:szCs w:val="18"/>
        </w:rPr>
      </w:pPr>
      <w:r w:rsidRPr="00F30FD1">
        <w:rPr>
          <w:noProof/>
          <w:szCs w:val="20"/>
          <w:lang w:val="es-MX" w:eastAsia="es-MX"/>
        </w:rPr>
        <w:drawing>
          <wp:anchor distT="0" distB="0" distL="114300" distR="114300" simplePos="0" relativeHeight="251677696" behindDoc="1" locked="0" layoutInCell="1" allowOverlap="1" wp14:anchorId="67D482BF" wp14:editId="61A8FDE7">
            <wp:simplePos x="0" y="0"/>
            <wp:positionH relativeFrom="column">
              <wp:posOffset>143510</wp:posOffset>
            </wp:positionH>
            <wp:positionV relativeFrom="paragraph">
              <wp:posOffset>20320</wp:posOffset>
            </wp:positionV>
            <wp:extent cx="5798820" cy="3092286"/>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5810407" cy="3098465"/>
                    </a:xfrm>
                    <a:prstGeom prst="rect">
                      <a:avLst/>
                    </a:prstGeom>
                    <a:noFill/>
                    <a:ln w="9525">
                      <a:noFill/>
                      <a:miter lim="800000"/>
                      <a:headEnd/>
                      <a:tailEnd/>
                    </a:ln>
                  </pic:spPr>
                </pic:pic>
              </a:graphicData>
            </a:graphic>
            <wp14:sizeRelH relativeFrom="margin">
              <wp14:pctWidth>0</wp14:pctWidth>
            </wp14:sizeRelH>
          </wp:anchor>
        </w:drawing>
      </w:r>
    </w:p>
    <w:p w14:paraId="4B210EE5" w14:textId="005E0735" w:rsidR="000721ED" w:rsidRPr="00F30FD1" w:rsidRDefault="000721ED" w:rsidP="00A53759">
      <w:pPr>
        <w:spacing w:after="0" w:line="240" w:lineRule="auto"/>
        <w:jc w:val="center"/>
        <w:rPr>
          <w:rFonts w:eastAsia="Times New Roman" w:cs="Futura"/>
          <w:color w:val="595959"/>
          <w:sz w:val="18"/>
          <w:szCs w:val="18"/>
        </w:rPr>
      </w:pPr>
    </w:p>
    <w:p w14:paraId="59B0C05A" w14:textId="69F4F12C" w:rsidR="00677A1B" w:rsidRPr="00F30FD1" w:rsidRDefault="00677A1B" w:rsidP="00677A1B">
      <w:pPr>
        <w:spacing w:after="0" w:line="240" w:lineRule="auto"/>
        <w:rPr>
          <w:rFonts w:eastAsia="Times New Roman" w:cs="Futura"/>
          <w:color w:val="595959"/>
          <w:sz w:val="20"/>
          <w:szCs w:val="20"/>
        </w:rPr>
      </w:pPr>
    </w:p>
    <w:p w14:paraId="097E2F18" w14:textId="4A52FA25" w:rsidR="00677A1B" w:rsidRPr="00F30FD1" w:rsidRDefault="00677A1B" w:rsidP="00677A1B">
      <w:pPr>
        <w:spacing w:after="0" w:line="240" w:lineRule="auto"/>
        <w:rPr>
          <w:rFonts w:eastAsia="Times New Roman" w:cs="Futura"/>
          <w:color w:val="595959"/>
          <w:sz w:val="20"/>
          <w:szCs w:val="20"/>
        </w:rPr>
      </w:pPr>
    </w:p>
    <w:p w14:paraId="48E1717A" w14:textId="39E4E4A7" w:rsidR="00677A1B" w:rsidRPr="00F30FD1" w:rsidRDefault="00677A1B" w:rsidP="00677A1B">
      <w:pPr>
        <w:spacing w:after="0" w:line="240" w:lineRule="auto"/>
        <w:jc w:val="center"/>
        <w:rPr>
          <w:rFonts w:eastAsia="Times New Roman" w:cs="Futura"/>
          <w:b/>
          <w:color w:val="595959"/>
          <w:sz w:val="20"/>
          <w:szCs w:val="20"/>
        </w:rPr>
      </w:pPr>
    </w:p>
    <w:p w14:paraId="45AE12DD" w14:textId="77777777" w:rsidR="000721ED" w:rsidRPr="00F30FD1" w:rsidRDefault="000721ED" w:rsidP="00677A1B">
      <w:pPr>
        <w:spacing w:after="0" w:line="240" w:lineRule="auto"/>
        <w:jc w:val="center"/>
        <w:rPr>
          <w:rFonts w:eastAsia="Times New Roman" w:cs="Futura"/>
          <w:b/>
          <w:color w:val="595959"/>
          <w:sz w:val="20"/>
          <w:szCs w:val="20"/>
        </w:rPr>
      </w:pPr>
    </w:p>
    <w:p w14:paraId="13B56038" w14:textId="77777777" w:rsidR="000721ED" w:rsidRPr="00F30FD1" w:rsidRDefault="000721ED" w:rsidP="00677A1B">
      <w:pPr>
        <w:spacing w:after="0" w:line="240" w:lineRule="auto"/>
        <w:jc w:val="center"/>
        <w:rPr>
          <w:rFonts w:eastAsia="Times New Roman" w:cs="Futura"/>
          <w:b/>
          <w:color w:val="595959"/>
          <w:sz w:val="20"/>
          <w:szCs w:val="20"/>
        </w:rPr>
      </w:pPr>
    </w:p>
    <w:p w14:paraId="30390DA0" w14:textId="77777777" w:rsidR="000721ED" w:rsidRPr="00F30FD1" w:rsidRDefault="000721ED" w:rsidP="00677A1B">
      <w:pPr>
        <w:spacing w:after="0" w:line="240" w:lineRule="auto"/>
        <w:jc w:val="center"/>
        <w:rPr>
          <w:rFonts w:eastAsia="Times New Roman" w:cs="Futura"/>
          <w:b/>
          <w:color w:val="595959"/>
          <w:sz w:val="20"/>
          <w:szCs w:val="20"/>
        </w:rPr>
      </w:pPr>
    </w:p>
    <w:p w14:paraId="17CC7F54" w14:textId="77777777" w:rsidR="000721ED" w:rsidRPr="00F30FD1" w:rsidRDefault="000721ED" w:rsidP="00677A1B">
      <w:pPr>
        <w:spacing w:after="0" w:line="240" w:lineRule="auto"/>
        <w:jc w:val="center"/>
        <w:rPr>
          <w:rFonts w:eastAsia="Times New Roman" w:cs="Futura"/>
          <w:b/>
          <w:color w:val="595959"/>
          <w:sz w:val="20"/>
          <w:szCs w:val="20"/>
        </w:rPr>
      </w:pPr>
    </w:p>
    <w:p w14:paraId="1B3D88F1" w14:textId="77777777" w:rsidR="000721ED" w:rsidRPr="00F30FD1" w:rsidRDefault="000721ED" w:rsidP="00677A1B">
      <w:pPr>
        <w:spacing w:after="0" w:line="240" w:lineRule="auto"/>
        <w:jc w:val="center"/>
        <w:rPr>
          <w:rFonts w:eastAsia="Times New Roman" w:cs="Futura"/>
          <w:b/>
          <w:color w:val="595959"/>
          <w:sz w:val="20"/>
          <w:szCs w:val="20"/>
        </w:rPr>
      </w:pPr>
    </w:p>
    <w:p w14:paraId="22BB4DB5" w14:textId="77777777" w:rsidR="000721ED" w:rsidRPr="00F30FD1" w:rsidRDefault="000721ED" w:rsidP="00677A1B">
      <w:pPr>
        <w:spacing w:after="0" w:line="240" w:lineRule="auto"/>
        <w:jc w:val="center"/>
        <w:rPr>
          <w:rFonts w:eastAsia="Times New Roman" w:cs="Futura"/>
          <w:b/>
          <w:color w:val="595959"/>
          <w:sz w:val="20"/>
          <w:szCs w:val="20"/>
        </w:rPr>
      </w:pPr>
    </w:p>
    <w:p w14:paraId="06A0EF86" w14:textId="77777777" w:rsidR="000721ED" w:rsidRPr="00F30FD1" w:rsidRDefault="000721ED" w:rsidP="00677A1B">
      <w:pPr>
        <w:spacing w:after="0" w:line="240" w:lineRule="auto"/>
        <w:jc w:val="center"/>
        <w:rPr>
          <w:rFonts w:eastAsia="Times New Roman" w:cs="Futura"/>
          <w:b/>
          <w:color w:val="595959"/>
          <w:sz w:val="20"/>
          <w:szCs w:val="20"/>
        </w:rPr>
      </w:pPr>
    </w:p>
    <w:p w14:paraId="6711A831" w14:textId="77777777" w:rsidR="000721ED" w:rsidRPr="00F30FD1" w:rsidRDefault="000721ED" w:rsidP="00677A1B">
      <w:pPr>
        <w:spacing w:after="0" w:line="240" w:lineRule="auto"/>
        <w:jc w:val="center"/>
        <w:rPr>
          <w:rFonts w:eastAsia="Times New Roman" w:cs="Futura"/>
          <w:b/>
          <w:color w:val="595959"/>
          <w:sz w:val="20"/>
          <w:szCs w:val="20"/>
        </w:rPr>
      </w:pPr>
    </w:p>
    <w:p w14:paraId="2B6E48B4" w14:textId="77777777" w:rsidR="000721ED" w:rsidRPr="00F30FD1" w:rsidRDefault="000721ED" w:rsidP="00677A1B">
      <w:pPr>
        <w:spacing w:after="0" w:line="240" w:lineRule="auto"/>
        <w:jc w:val="center"/>
        <w:rPr>
          <w:rFonts w:eastAsia="Times New Roman" w:cs="Futura"/>
          <w:b/>
          <w:color w:val="595959"/>
          <w:sz w:val="20"/>
          <w:szCs w:val="20"/>
        </w:rPr>
      </w:pPr>
    </w:p>
    <w:p w14:paraId="40E7E041" w14:textId="77777777" w:rsidR="000721ED" w:rsidRPr="00F30FD1" w:rsidRDefault="000721ED" w:rsidP="00677A1B">
      <w:pPr>
        <w:spacing w:after="0" w:line="240" w:lineRule="auto"/>
        <w:jc w:val="center"/>
        <w:rPr>
          <w:rFonts w:eastAsia="Times New Roman" w:cs="Futura"/>
          <w:b/>
          <w:color w:val="595959"/>
          <w:sz w:val="20"/>
          <w:szCs w:val="20"/>
        </w:rPr>
      </w:pPr>
    </w:p>
    <w:p w14:paraId="14FBFCF1" w14:textId="77777777" w:rsidR="00C920BF" w:rsidRPr="00F30FD1" w:rsidRDefault="00C920BF">
      <w:pPr>
        <w:spacing w:after="0" w:line="240" w:lineRule="auto"/>
        <w:jc w:val="left"/>
        <w:rPr>
          <w:rFonts w:eastAsia="Times New Roman" w:cs="Futura"/>
          <w:color w:val="595959"/>
          <w:sz w:val="20"/>
          <w:szCs w:val="20"/>
        </w:rPr>
      </w:pPr>
      <w:r w:rsidRPr="00F30FD1">
        <w:rPr>
          <w:rFonts w:eastAsia="Times New Roman" w:cs="Futura"/>
          <w:color w:val="595959"/>
          <w:sz w:val="20"/>
          <w:szCs w:val="20"/>
        </w:rPr>
        <w:br w:type="page"/>
      </w:r>
    </w:p>
    <w:p w14:paraId="62ABD57C" w14:textId="5A4B4752" w:rsidR="000721ED" w:rsidRPr="00F30FD1" w:rsidRDefault="000721ED" w:rsidP="000721ED">
      <w:pPr>
        <w:shd w:val="clear" w:color="auto" w:fill="FFFFFF" w:themeFill="background1"/>
        <w:spacing w:after="0" w:line="360" w:lineRule="auto"/>
        <w:ind w:right="49"/>
        <w:rPr>
          <w:rFonts w:eastAsia="Times New Roman" w:cs="Futura"/>
          <w:color w:val="595959"/>
          <w:sz w:val="20"/>
          <w:szCs w:val="20"/>
        </w:rPr>
      </w:pPr>
      <w:r w:rsidRPr="00F30FD1">
        <w:rPr>
          <w:rFonts w:eastAsia="Times New Roman" w:cs="Futura"/>
          <w:color w:val="595959"/>
          <w:sz w:val="20"/>
          <w:szCs w:val="20"/>
        </w:rPr>
        <w:lastRenderedPageBreak/>
        <w:t>De acuerdo con la Ley de Disciplina Financiera en materia de contratación de obligaciones a corto plazo, las entidades federativas y los municipios pueden hacer uso de ésta sin autorización de legislatura local, siempre y cuando cumplan con las condiciones establecidas en la ley y deberán ser destinadas exclusivamente a cubrir necesidades de corto plazo como insuficiencias de liquidez de carácter temporal. Dichas obligaciones no pueden ser objeto de refinanciamiento o de reestructura a plazos mayores a un año, salvo en el caso de las obligaciones destinadas a inversión pública.</w:t>
      </w:r>
    </w:p>
    <w:p w14:paraId="7529E803" w14:textId="77777777" w:rsidR="000721ED" w:rsidRPr="00F30FD1" w:rsidRDefault="000721ED" w:rsidP="000721ED">
      <w:pPr>
        <w:shd w:val="clear" w:color="auto" w:fill="FFFFFF" w:themeFill="background1"/>
        <w:spacing w:after="0" w:line="360" w:lineRule="auto"/>
        <w:ind w:right="49"/>
        <w:rPr>
          <w:rFonts w:eastAsia="Times New Roman" w:cs="Futura"/>
          <w:color w:val="595959"/>
          <w:sz w:val="20"/>
          <w:szCs w:val="20"/>
        </w:rPr>
      </w:pPr>
    </w:p>
    <w:p w14:paraId="349E1022" w14:textId="264A40FE" w:rsidR="00376DF8" w:rsidRPr="00F30FD1" w:rsidRDefault="000721ED" w:rsidP="000721ED">
      <w:pPr>
        <w:shd w:val="clear" w:color="auto" w:fill="FFFFFF" w:themeFill="background1"/>
        <w:spacing w:after="0" w:line="360" w:lineRule="auto"/>
        <w:ind w:right="49"/>
        <w:rPr>
          <w:rFonts w:eastAsia="Arial" w:cs="Times New Roman"/>
          <w:b/>
          <w:bCs/>
          <w:color w:val="4BACC6" w:themeColor="accent5"/>
          <w:sz w:val="20"/>
          <w:szCs w:val="20"/>
          <w:lang w:val="es-MX" w:eastAsia="en-US"/>
        </w:rPr>
      </w:pPr>
      <w:r w:rsidRPr="00F30FD1">
        <w:rPr>
          <w:rFonts w:eastAsia="Times New Roman" w:cs="Futura"/>
          <w:color w:val="595959"/>
          <w:sz w:val="20"/>
          <w:szCs w:val="20"/>
        </w:rPr>
        <w:t xml:space="preserve">Durante el 2019, se contrató deuda de corto plazo como se detalla a continuación </w:t>
      </w:r>
      <w:r w:rsidR="00677A1B" w:rsidRPr="00F30FD1">
        <w:rPr>
          <w:rFonts w:eastAsia="Times New Roman" w:cs="Futura"/>
          <w:color w:val="595959"/>
          <w:sz w:val="20"/>
          <w:szCs w:val="20"/>
        </w:rPr>
        <w:t xml:space="preserve">(ver </w:t>
      </w:r>
      <w:r w:rsidR="00A53759" w:rsidRPr="00F30FD1">
        <w:rPr>
          <w:rFonts w:eastAsia="Times New Roman" w:cs="Futura"/>
          <w:color w:val="595959"/>
          <w:sz w:val="20"/>
          <w:szCs w:val="20"/>
        </w:rPr>
        <w:t>Tabla</w:t>
      </w:r>
      <w:r w:rsidR="00677A1B" w:rsidRPr="00F30FD1">
        <w:rPr>
          <w:rFonts w:eastAsia="Times New Roman" w:cs="Futura"/>
          <w:color w:val="595959"/>
          <w:sz w:val="20"/>
          <w:szCs w:val="20"/>
        </w:rPr>
        <w:t xml:space="preserve"> </w:t>
      </w:r>
      <w:r w:rsidR="00A53759" w:rsidRPr="00F30FD1">
        <w:rPr>
          <w:rFonts w:eastAsia="Times New Roman" w:cs="Futura"/>
          <w:color w:val="595959"/>
          <w:sz w:val="20"/>
          <w:szCs w:val="20"/>
        </w:rPr>
        <w:t>6</w:t>
      </w:r>
      <w:r w:rsidR="00677A1B" w:rsidRPr="00F30FD1">
        <w:rPr>
          <w:rFonts w:eastAsia="Times New Roman" w:cs="Futura"/>
          <w:color w:val="595959"/>
          <w:sz w:val="20"/>
          <w:szCs w:val="20"/>
        </w:rPr>
        <w:t>)</w:t>
      </w:r>
    </w:p>
    <w:p w14:paraId="3F5D9377" w14:textId="3C45E4D4" w:rsidR="00677A1B" w:rsidRPr="00F30FD1" w:rsidRDefault="00A53759" w:rsidP="00677A1B">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Tabla</w:t>
      </w:r>
      <w:r w:rsidR="00677A1B" w:rsidRPr="00F30FD1">
        <w:rPr>
          <w:rFonts w:eastAsia="Arial" w:cs="Times New Roman"/>
          <w:b/>
          <w:bCs/>
          <w:color w:val="4BACC6" w:themeColor="accent5"/>
          <w:lang w:val="es-MX" w:eastAsia="en-US"/>
        </w:rPr>
        <w:t xml:space="preserve"> </w:t>
      </w:r>
      <w:r w:rsidRPr="00F30FD1">
        <w:rPr>
          <w:rFonts w:eastAsia="Arial" w:cs="Times New Roman"/>
          <w:b/>
          <w:bCs/>
          <w:color w:val="4BACC6" w:themeColor="accent5"/>
          <w:lang w:val="es-MX" w:eastAsia="en-US"/>
        </w:rPr>
        <w:t>T.</w:t>
      </w:r>
      <w:r w:rsidR="00F30FD1" w:rsidRPr="00F30FD1">
        <w:rPr>
          <w:rFonts w:eastAsia="Arial" w:cs="Times New Roman"/>
          <w:b/>
          <w:bCs/>
          <w:color w:val="4BACC6" w:themeColor="accent5"/>
          <w:lang w:val="es-MX" w:eastAsia="en-US"/>
        </w:rPr>
        <w:t>13</w:t>
      </w:r>
      <w:r w:rsidR="00677A1B" w:rsidRPr="00F30FD1">
        <w:rPr>
          <w:rFonts w:eastAsia="Arial" w:cs="Times New Roman"/>
          <w:b/>
          <w:bCs/>
          <w:color w:val="4BACC6" w:themeColor="accent5"/>
          <w:lang w:val="es-MX" w:eastAsia="en-US"/>
        </w:rPr>
        <w:t>.- Deuda Pública de Corto Plazo (al 31 de diciembre de 2019)</w:t>
      </w:r>
    </w:p>
    <w:p w14:paraId="38C6475E" w14:textId="77777777" w:rsidR="00376DF8" w:rsidRPr="00F30FD1" w:rsidRDefault="00376DF8" w:rsidP="00376DF8">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ESTADO DE LA DEUDA PÚBLICA DIRECTA A CORTO PLAZO</w:t>
      </w:r>
    </w:p>
    <w:p w14:paraId="29ACB3F2" w14:textId="77777777" w:rsidR="00376DF8" w:rsidRPr="00F30FD1" w:rsidRDefault="00376DF8" w:rsidP="00376DF8">
      <w:pPr>
        <w:spacing w:after="0" w:line="240" w:lineRule="auto"/>
        <w:jc w:val="center"/>
        <w:rPr>
          <w:rFonts w:eastAsia="Arial" w:cs="Times New Roman"/>
          <w:b/>
          <w:bCs/>
          <w:color w:val="4BACC6" w:themeColor="accent5"/>
          <w:lang w:val="es-MX" w:eastAsia="en-US"/>
        </w:rPr>
      </w:pPr>
      <w:proofErr w:type="gramStart"/>
      <w:r w:rsidRPr="00F30FD1">
        <w:rPr>
          <w:rFonts w:eastAsia="Arial" w:cs="Times New Roman"/>
          <w:b/>
          <w:bCs/>
          <w:color w:val="4BACC6" w:themeColor="accent5"/>
          <w:lang w:val="es-MX" w:eastAsia="en-US"/>
        </w:rPr>
        <w:t>al</w:t>
      </w:r>
      <w:proofErr w:type="gramEnd"/>
      <w:r w:rsidRPr="00F30FD1">
        <w:rPr>
          <w:rFonts w:eastAsia="Arial" w:cs="Times New Roman"/>
          <w:b/>
          <w:bCs/>
          <w:color w:val="4BACC6" w:themeColor="accent5"/>
          <w:lang w:val="es-MX" w:eastAsia="en-US"/>
        </w:rPr>
        <w:t xml:space="preserve"> 31 de Diciembre de 2019</w:t>
      </w:r>
    </w:p>
    <w:p w14:paraId="7FD913EB" w14:textId="618019BD" w:rsidR="00376DF8" w:rsidRPr="00F30FD1" w:rsidRDefault="00376DF8" w:rsidP="00376DF8">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t>(Cifras en millones de pesos)</w:t>
      </w:r>
    </w:p>
    <w:p w14:paraId="4CDD2CC7" w14:textId="52C743BE" w:rsidR="000721ED" w:rsidRPr="00F30FD1" w:rsidRDefault="000721ED" w:rsidP="00376DF8">
      <w:pPr>
        <w:spacing w:after="0" w:line="240" w:lineRule="auto"/>
        <w:jc w:val="center"/>
        <w:rPr>
          <w:rFonts w:eastAsia="Arial" w:cs="Times New Roman"/>
          <w:b/>
          <w:bCs/>
          <w:color w:val="4BACC6" w:themeColor="accent5"/>
          <w:sz w:val="20"/>
          <w:szCs w:val="20"/>
          <w:lang w:val="es-MX" w:eastAsia="en-US"/>
        </w:rPr>
      </w:pPr>
      <w:r w:rsidRPr="00F30FD1">
        <w:rPr>
          <w:rFonts w:eastAsia="Times New Roman" w:cs="Futura"/>
          <w:noProof/>
          <w:color w:val="595959"/>
          <w:sz w:val="20"/>
          <w:szCs w:val="20"/>
          <w:lang w:val="es-MX" w:eastAsia="es-MX"/>
        </w:rPr>
        <w:drawing>
          <wp:anchor distT="0" distB="0" distL="114300" distR="114300" simplePos="0" relativeHeight="251679744" behindDoc="0" locked="0" layoutInCell="1" allowOverlap="1" wp14:anchorId="0FEBA602" wp14:editId="2B2180AE">
            <wp:simplePos x="0" y="0"/>
            <wp:positionH relativeFrom="column">
              <wp:posOffset>-180340</wp:posOffset>
            </wp:positionH>
            <wp:positionV relativeFrom="paragraph">
              <wp:posOffset>287655</wp:posOffset>
            </wp:positionV>
            <wp:extent cx="6229350" cy="2952750"/>
            <wp:effectExtent l="0" t="0" r="0" b="0"/>
            <wp:wrapTopAndBottom/>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a:grayscl/>
                    </a:blip>
                    <a:srcRect/>
                    <a:stretch>
                      <a:fillRect/>
                    </a:stretch>
                  </pic:blipFill>
                  <pic:spPr bwMode="auto">
                    <a:xfrm>
                      <a:off x="0" y="0"/>
                      <a:ext cx="6229350" cy="2952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C0BBF22" w14:textId="712FD33A" w:rsidR="000721ED" w:rsidRPr="00F30FD1" w:rsidRDefault="000721ED" w:rsidP="00376DF8">
      <w:pPr>
        <w:spacing w:after="0" w:line="240" w:lineRule="auto"/>
        <w:jc w:val="center"/>
        <w:rPr>
          <w:rFonts w:eastAsia="Arial" w:cs="Times New Roman"/>
          <w:b/>
          <w:bCs/>
          <w:color w:val="4BACC6" w:themeColor="accent5"/>
          <w:sz w:val="20"/>
          <w:szCs w:val="20"/>
          <w:lang w:val="es-MX" w:eastAsia="en-US"/>
        </w:rPr>
      </w:pPr>
    </w:p>
    <w:p w14:paraId="03EF19D2" w14:textId="77777777" w:rsidR="00677A1B" w:rsidRPr="00F30FD1" w:rsidRDefault="00677A1B" w:rsidP="00677A1B">
      <w:pPr>
        <w:spacing w:after="0" w:line="240" w:lineRule="auto"/>
        <w:rPr>
          <w:rFonts w:eastAsia="Arial" w:cs="Times New Roman"/>
          <w:b/>
          <w:bCs/>
          <w:color w:val="4BACC6" w:themeColor="accent5"/>
          <w:sz w:val="20"/>
          <w:szCs w:val="20"/>
          <w:lang w:val="es-MX" w:eastAsia="en-US"/>
        </w:rPr>
      </w:pPr>
    </w:p>
    <w:p w14:paraId="4CA5AD90" w14:textId="77777777" w:rsidR="00376DF8" w:rsidRPr="00F30FD1" w:rsidRDefault="00376DF8" w:rsidP="00677A1B">
      <w:pPr>
        <w:rPr>
          <w:rFonts w:eastAsia="Times New Roman" w:cs="Futura"/>
          <w:b/>
          <w:color w:val="595959"/>
          <w:sz w:val="20"/>
          <w:szCs w:val="20"/>
        </w:rPr>
      </w:pPr>
      <w:bookmarkStart w:id="18" w:name="_MON_1645451076"/>
      <w:bookmarkStart w:id="19" w:name="_MON_1645443433"/>
      <w:bookmarkStart w:id="20" w:name="_MON_1645427693"/>
      <w:bookmarkStart w:id="21" w:name="_MON_1645443352"/>
      <w:bookmarkEnd w:id="18"/>
      <w:bookmarkEnd w:id="19"/>
      <w:bookmarkEnd w:id="20"/>
      <w:bookmarkEnd w:id="21"/>
    </w:p>
    <w:p w14:paraId="4F10A1D8" w14:textId="77777777" w:rsidR="00677A1B" w:rsidRPr="00F30FD1" w:rsidRDefault="00677A1B" w:rsidP="00677A1B">
      <w:pPr>
        <w:rPr>
          <w:rFonts w:eastAsia="Times New Roman" w:cs="Futura"/>
          <w:b/>
          <w:color w:val="595959"/>
          <w:sz w:val="20"/>
          <w:szCs w:val="20"/>
        </w:rPr>
      </w:pPr>
      <w:r w:rsidRPr="00F30FD1">
        <w:rPr>
          <w:rFonts w:eastAsia="Times New Roman" w:cs="Futura"/>
          <w:b/>
          <w:color w:val="595959"/>
          <w:sz w:val="20"/>
          <w:szCs w:val="20"/>
        </w:rPr>
        <w:t>Refinanciamiento y/o Reestructuración</w:t>
      </w:r>
    </w:p>
    <w:p w14:paraId="6BD31E38" w14:textId="005B091B" w:rsidR="000721ED" w:rsidRPr="00F30FD1" w:rsidRDefault="000721ED" w:rsidP="000721ED">
      <w:pPr>
        <w:spacing w:after="0" w:line="240" w:lineRule="auto"/>
        <w:rPr>
          <w:rFonts w:eastAsia="Times New Roman" w:cs="Futura"/>
          <w:color w:val="595959"/>
          <w:sz w:val="20"/>
          <w:szCs w:val="20"/>
        </w:rPr>
      </w:pPr>
      <w:r w:rsidRPr="00F30FD1">
        <w:rPr>
          <w:rFonts w:eastAsia="Times New Roman" w:cs="Futura"/>
          <w:color w:val="595959"/>
          <w:sz w:val="20"/>
          <w:szCs w:val="20"/>
        </w:rPr>
        <w:t>El Estado de Quintana Roo ha implementado diversas estrategia</w:t>
      </w:r>
      <w:r w:rsidR="00CA4CCC" w:rsidRPr="00F30FD1">
        <w:rPr>
          <w:rFonts w:eastAsia="Times New Roman" w:cs="Futura"/>
          <w:color w:val="595959"/>
          <w:sz w:val="20"/>
          <w:szCs w:val="20"/>
        </w:rPr>
        <w:t>s</w:t>
      </w:r>
      <w:r w:rsidRPr="00F30FD1">
        <w:rPr>
          <w:rFonts w:eastAsia="Times New Roman" w:cs="Futura"/>
          <w:color w:val="595959"/>
          <w:sz w:val="20"/>
          <w:szCs w:val="20"/>
        </w:rPr>
        <w:t xml:space="preserve"> financieras relacionadas con la Deuda Pública Directa de Largo Plazo con el fin de proteger y continuar el saneamiento de las finanzas del Estado y poder otorgar certidumbre </w:t>
      </w:r>
      <w:r w:rsidRPr="00F30FD1">
        <w:rPr>
          <w:rFonts w:eastAsia="Times New Roman" w:cs="Futura"/>
          <w:color w:val="595959"/>
          <w:sz w:val="20"/>
          <w:szCs w:val="20"/>
        </w:rPr>
        <w:lastRenderedPageBreak/>
        <w:t xml:space="preserve">financiera por lo que resta de la administración. Resultado de ello a finales de 2016 se reestructuró y/o refinanció la deuda pública directa de largo plazo del estado con ello se obtuvieron mejores condiciones crediticias al bajar la sobre tasa a 1.53% en promedio ponderado y anteriormente era de 3.23%; </w:t>
      </w:r>
      <w:proofErr w:type="spellStart"/>
      <w:r w:rsidRPr="00F30FD1">
        <w:rPr>
          <w:rFonts w:eastAsia="Times New Roman" w:cs="Futura"/>
          <w:color w:val="595959"/>
          <w:sz w:val="20"/>
          <w:szCs w:val="20"/>
        </w:rPr>
        <w:t>liberaciónde</w:t>
      </w:r>
      <w:proofErr w:type="spellEnd"/>
      <w:r w:rsidRPr="00F30FD1">
        <w:rPr>
          <w:rFonts w:eastAsia="Times New Roman" w:cs="Futura"/>
          <w:color w:val="595959"/>
          <w:sz w:val="20"/>
          <w:szCs w:val="20"/>
        </w:rPr>
        <w:t xml:space="preserve"> flujo de recursos y ello se mejoró la calificación de cada uno de los créditos.</w:t>
      </w:r>
    </w:p>
    <w:p w14:paraId="41DED3C1" w14:textId="77777777" w:rsidR="000721ED" w:rsidRPr="00F30FD1" w:rsidRDefault="000721ED" w:rsidP="000721ED">
      <w:pPr>
        <w:spacing w:after="0" w:line="240" w:lineRule="auto"/>
        <w:rPr>
          <w:rFonts w:eastAsia="Times New Roman" w:cs="Futura"/>
          <w:color w:val="595959"/>
          <w:sz w:val="20"/>
          <w:szCs w:val="20"/>
        </w:rPr>
      </w:pPr>
    </w:p>
    <w:p w14:paraId="1D3B3F89" w14:textId="77777777" w:rsidR="000721ED" w:rsidRPr="00F30FD1" w:rsidRDefault="000721ED" w:rsidP="000721ED">
      <w:pPr>
        <w:spacing w:after="0" w:line="240" w:lineRule="auto"/>
        <w:rPr>
          <w:rFonts w:eastAsia="Times New Roman" w:cs="Futura"/>
          <w:color w:val="595959"/>
          <w:sz w:val="20"/>
          <w:szCs w:val="20"/>
        </w:rPr>
      </w:pPr>
      <w:r w:rsidRPr="00F30FD1">
        <w:rPr>
          <w:rFonts w:eastAsia="Times New Roman" w:cs="Futura"/>
          <w:color w:val="595959"/>
          <w:sz w:val="20"/>
          <w:szCs w:val="20"/>
        </w:rPr>
        <w:t>Por otra parte a principios del mes de Mayo de 2018 el Estado solicito a sus acreedores bancarios actuales (</w:t>
      </w:r>
      <w:proofErr w:type="spellStart"/>
      <w:r w:rsidRPr="00F30FD1">
        <w:rPr>
          <w:rFonts w:eastAsia="Times New Roman" w:cs="Futura"/>
          <w:color w:val="595959"/>
          <w:sz w:val="20"/>
          <w:szCs w:val="20"/>
        </w:rPr>
        <w:t>Banobras</w:t>
      </w:r>
      <w:proofErr w:type="spellEnd"/>
      <w:r w:rsidRPr="00F30FD1">
        <w:rPr>
          <w:rFonts w:eastAsia="Times New Roman" w:cs="Futura"/>
          <w:color w:val="595959"/>
          <w:sz w:val="20"/>
          <w:szCs w:val="20"/>
        </w:rPr>
        <w:t xml:space="preserve">, S.N.C., Banorte, S.A., </w:t>
      </w:r>
      <w:proofErr w:type="spellStart"/>
      <w:r w:rsidRPr="00F30FD1">
        <w:rPr>
          <w:rFonts w:eastAsia="Times New Roman" w:cs="Futura"/>
          <w:color w:val="595959"/>
          <w:sz w:val="20"/>
          <w:szCs w:val="20"/>
        </w:rPr>
        <w:t>Multiva</w:t>
      </w:r>
      <w:proofErr w:type="spellEnd"/>
      <w:r w:rsidRPr="00F30FD1">
        <w:rPr>
          <w:rFonts w:eastAsia="Times New Roman" w:cs="Futura"/>
          <w:color w:val="595959"/>
          <w:sz w:val="20"/>
          <w:szCs w:val="20"/>
        </w:rPr>
        <w:t>, S.A., HSBC México, S.A., Interacciones, S.A.) reformular algunas condiciones de sus créditos con el objeto de mejorar el perfil de la deuda pública; la cual derivó en suscribir modificatorios en las siguientes fechas: i) un convenio el 14 de agosto de 2018, ii) tres convenios el 23 de octubre de 2018; y, iii) un convenio de fecha 24 de octubre de 2018.</w:t>
      </w:r>
    </w:p>
    <w:p w14:paraId="0501218C" w14:textId="77777777" w:rsidR="000721ED" w:rsidRPr="00F30FD1" w:rsidRDefault="000721ED" w:rsidP="000721ED">
      <w:pPr>
        <w:spacing w:after="0" w:line="240" w:lineRule="auto"/>
        <w:rPr>
          <w:rFonts w:eastAsia="Times New Roman" w:cs="Futura"/>
          <w:color w:val="595959"/>
          <w:sz w:val="20"/>
          <w:szCs w:val="20"/>
        </w:rPr>
      </w:pPr>
    </w:p>
    <w:p w14:paraId="3E6DB7A3" w14:textId="1770A2DF" w:rsidR="00677A1B" w:rsidRPr="00F30FD1" w:rsidRDefault="000721ED" w:rsidP="000721ED">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Los resultados alcanzados durante el ejercicio 2018 estuvieron ligados a la i).- reducción de la sobretasa de interés ordinario de cinco contratos de crédito de largo plazo (0.85% en promedio ponderado), mismos que se pagan con periodicidad mensual, logrando modificar la “tabla de margen aplicable”; ii).- desafectación de participaciones, particularmente del Fondo General de Participaciones del crédito de largo plazo suscrito con Banco </w:t>
      </w:r>
      <w:proofErr w:type="spellStart"/>
      <w:r w:rsidRPr="00F30FD1">
        <w:rPr>
          <w:rFonts w:eastAsia="Times New Roman" w:cs="Futura"/>
          <w:color w:val="595959"/>
          <w:sz w:val="20"/>
          <w:szCs w:val="20"/>
        </w:rPr>
        <w:t>Multiva</w:t>
      </w:r>
      <w:proofErr w:type="spellEnd"/>
      <w:r w:rsidRPr="00F30FD1">
        <w:rPr>
          <w:rFonts w:eastAsia="Times New Roman" w:cs="Futura"/>
          <w:color w:val="595959"/>
          <w:sz w:val="20"/>
          <w:szCs w:val="20"/>
        </w:rPr>
        <w:t xml:space="preserve"> S.A., al pasar de un aforo de 23.52% a 20%, con lo cual se liberó 3.52% del Fondo General de Participaciones del Estado; y iii).- Liberación de Fondo de Reserva de cuatro créditos de largo plazo suscritos con la Banca Comercial, al modificarse el saldo objetivo, pasando de 3 meses a 2 meses el equivalente del servicio de la deuda</w:t>
      </w:r>
      <w:r w:rsidR="00677A1B" w:rsidRPr="00F30FD1">
        <w:rPr>
          <w:rFonts w:eastAsia="Times New Roman" w:cs="Futura"/>
          <w:color w:val="595959"/>
          <w:sz w:val="20"/>
          <w:szCs w:val="20"/>
        </w:rPr>
        <w:t>.</w:t>
      </w:r>
    </w:p>
    <w:p w14:paraId="10F13AE9" w14:textId="77777777" w:rsidR="00157164" w:rsidRPr="00F30FD1" w:rsidRDefault="00157164" w:rsidP="00677A1B">
      <w:pPr>
        <w:spacing w:after="0" w:line="240" w:lineRule="auto"/>
        <w:rPr>
          <w:rFonts w:eastAsia="Times New Roman" w:cs="Futura"/>
          <w:color w:val="595959"/>
          <w:sz w:val="20"/>
          <w:szCs w:val="20"/>
        </w:rPr>
      </w:pPr>
    </w:p>
    <w:p w14:paraId="3940D8F8" w14:textId="297D5D96" w:rsidR="00157164" w:rsidRPr="00F30FD1" w:rsidRDefault="00F30FD1" w:rsidP="00157164">
      <w:pPr>
        <w:spacing w:after="0" w:line="240" w:lineRule="auto"/>
        <w:jc w:val="center"/>
        <w:rPr>
          <w:rFonts w:eastAsia="Arial" w:cs="Times New Roman"/>
          <w:b/>
          <w:bCs/>
          <w:color w:val="4BACC6" w:themeColor="accent5"/>
          <w:sz w:val="20"/>
          <w:szCs w:val="20"/>
          <w:lang w:val="es-MX" w:eastAsia="en-US"/>
        </w:rPr>
      </w:pPr>
      <w:r>
        <w:rPr>
          <w:rFonts w:eastAsia="Arial" w:cs="Times New Roman"/>
          <w:b/>
          <w:bCs/>
          <w:color w:val="4BACC6" w:themeColor="accent5"/>
          <w:lang w:val="es-MX" w:eastAsia="en-US"/>
        </w:rPr>
        <w:t>Gr</w:t>
      </w:r>
      <w:r w:rsidR="00157164" w:rsidRPr="00F30FD1">
        <w:rPr>
          <w:rFonts w:eastAsia="Arial" w:cs="Times New Roman"/>
          <w:b/>
          <w:bCs/>
          <w:color w:val="4BACC6" w:themeColor="accent5"/>
          <w:lang w:val="es-MX" w:eastAsia="en-US"/>
        </w:rPr>
        <w:t>afica G.8. Evolución de las Sobretasas Promedio Ponderado</w:t>
      </w:r>
    </w:p>
    <w:p w14:paraId="116DB837" w14:textId="77777777" w:rsidR="00157164" w:rsidRPr="00F30FD1" w:rsidRDefault="00157164" w:rsidP="00677A1B">
      <w:pPr>
        <w:spacing w:after="0" w:line="240" w:lineRule="auto"/>
        <w:rPr>
          <w:rFonts w:eastAsia="Times New Roman" w:cs="Futura"/>
          <w:color w:val="595959"/>
          <w:sz w:val="20"/>
          <w:szCs w:val="20"/>
        </w:rPr>
      </w:pPr>
    </w:p>
    <w:p w14:paraId="122ABB3D" w14:textId="77777777" w:rsidR="00677A1B" w:rsidRPr="00F30FD1" w:rsidRDefault="00677A1B" w:rsidP="00677A1B">
      <w:pPr>
        <w:spacing w:after="0" w:line="240" w:lineRule="auto"/>
        <w:rPr>
          <w:rFonts w:eastAsia="Calibri" w:cs="Calibri"/>
          <w:b/>
          <w:sz w:val="20"/>
          <w:szCs w:val="20"/>
        </w:rPr>
      </w:pPr>
    </w:p>
    <w:p w14:paraId="0C5DD088" w14:textId="3E2602B4" w:rsidR="00677A1B" w:rsidRPr="00F30FD1" w:rsidRDefault="00157164" w:rsidP="00677A1B">
      <w:pPr>
        <w:pStyle w:val="Ttulo1"/>
        <w:jc w:val="center"/>
        <w:rPr>
          <w:rFonts w:eastAsiaTheme="minorEastAsia" w:cstheme="minorBidi"/>
          <w:b w:val="0"/>
          <w:bCs w:val="0"/>
          <w:caps w:val="0"/>
          <w:sz w:val="20"/>
          <w:szCs w:val="20"/>
          <w:lang w:val="es-ES_tradnl" w:eastAsia="es-ES"/>
        </w:rPr>
      </w:pPr>
      <w:r w:rsidRPr="00F30FD1">
        <w:rPr>
          <w:b w:val="0"/>
          <w:bCs w:val="0"/>
          <w:caps w:val="0"/>
          <w:noProof/>
          <w:sz w:val="20"/>
          <w:szCs w:val="20"/>
          <w:lang w:eastAsia="es-MX"/>
        </w:rPr>
        <w:drawing>
          <wp:anchor distT="0" distB="0" distL="114300" distR="114300" simplePos="0" relativeHeight="251665408" behindDoc="1" locked="0" layoutInCell="1" allowOverlap="1" wp14:anchorId="479787C2" wp14:editId="04C78421">
            <wp:simplePos x="0" y="0"/>
            <wp:positionH relativeFrom="column">
              <wp:posOffset>799078</wp:posOffset>
            </wp:positionH>
            <wp:positionV relativeFrom="paragraph">
              <wp:posOffset>1298</wp:posOffset>
            </wp:positionV>
            <wp:extent cx="4476585" cy="2369301"/>
            <wp:effectExtent l="0" t="0" r="63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a:extLst>
                        <a:ext uri="{28A0092B-C50C-407E-A947-70E740481C1C}">
                          <a14:useLocalDpi xmlns:a14="http://schemas.microsoft.com/office/drawing/2010/main" val="0"/>
                        </a:ext>
                      </a:extLst>
                    </a:blip>
                    <a:srcRect l="4817" t="18351" r="11942" b="2394"/>
                    <a:stretch/>
                  </pic:blipFill>
                  <pic:spPr bwMode="auto">
                    <a:xfrm>
                      <a:off x="0" y="0"/>
                      <a:ext cx="4476365" cy="236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A1B" w:rsidRPr="00F30FD1">
        <w:rPr>
          <w:noProof/>
          <w:sz w:val="20"/>
          <w:szCs w:val="20"/>
          <w:lang w:eastAsia="es-MX"/>
        </w:rPr>
        <mc:AlternateContent>
          <mc:Choice Requires="wps">
            <w:drawing>
              <wp:anchor distT="0" distB="0" distL="114300" distR="114300" simplePos="0" relativeHeight="251663360" behindDoc="0" locked="0" layoutInCell="1" allowOverlap="1" wp14:anchorId="4F9A6539" wp14:editId="37C4A4A6">
                <wp:simplePos x="0" y="0"/>
                <wp:positionH relativeFrom="column">
                  <wp:posOffset>2971800</wp:posOffset>
                </wp:positionH>
                <wp:positionV relativeFrom="paragraph">
                  <wp:posOffset>1177925</wp:posOffset>
                </wp:positionV>
                <wp:extent cx="504825" cy="257175"/>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571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5D54072" w14:textId="77777777" w:rsidR="00EE7D8C" w:rsidRDefault="00EE7D8C" w:rsidP="00677A1B">
                            <w:pPr>
                              <w:pStyle w:val="NormalWeb"/>
                              <w:spacing w:before="0" w:beforeAutospacing="0" w:after="0" w:afterAutospacing="0"/>
                            </w:pPr>
                            <w:r>
                              <w:rPr>
                                <w:rFonts w:ascii="Futura Lt BT" w:hAnsi="Futura Lt BT" w:cstheme="minorBidi"/>
                                <w:color w:val="000000" w:themeColor="dark1"/>
                                <w:sz w:val="16"/>
                                <w:szCs w:val="16"/>
                              </w:rPr>
                              <w:t>-52%</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8" o:spid="_x0000_s1026" type="#_x0000_t202" style="position:absolute;left:0;text-align:left;margin-left:234pt;margin-top:92.75pt;width:39.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" filled="f" stroked="f">
                <v:path arrowok="t"/>
                <v:textbox>
                  <w:txbxContent>
                    <w:p w14:paraId="75D54072" w14:textId="77777777" w:rsidR="00EE7D8C" w:rsidRDefault="00EE7D8C" w:rsidP="00677A1B">
                      <w:pPr>
                        <w:pStyle w:val="NormalWeb"/>
                        <w:spacing w:before="0" w:beforeAutospacing="0" w:after="0" w:afterAutospacing="0"/>
                      </w:pPr>
                      <w:r>
                        <w:rPr>
                          <w:rFonts w:ascii="Futura Lt BT" w:hAnsi="Futura Lt BT" w:cstheme="minorBidi"/>
                          <w:color w:val="000000" w:themeColor="dark1"/>
                          <w:sz w:val="16"/>
                          <w:szCs w:val="16"/>
                        </w:rPr>
                        <w:t>-52%</w:t>
                      </w:r>
                    </w:p>
                  </w:txbxContent>
                </v:textbox>
              </v:shape>
            </w:pict>
          </mc:Fallback>
        </mc:AlternateContent>
      </w:r>
      <w:r w:rsidR="00677A1B" w:rsidRPr="00F30FD1">
        <w:rPr>
          <w:noProof/>
          <w:sz w:val="20"/>
          <w:szCs w:val="20"/>
          <w:lang w:eastAsia="es-MX"/>
        </w:rPr>
        <mc:AlternateContent>
          <mc:Choice Requires="wps">
            <w:drawing>
              <wp:anchor distT="0" distB="0" distL="114300" distR="114300" simplePos="0" relativeHeight="251662336" behindDoc="0" locked="0" layoutInCell="1" allowOverlap="1" wp14:anchorId="712A10AC" wp14:editId="534278A0">
                <wp:simplePos x="0" y="0"/>
                <wp:positionH relativeFrom="column">
                  <wp:posOffset>2700655</wp:posOffset>
                </wp:positionH>
                <wp:positionV relativeFrom="paragraph">
                  <wp:posOffset>1170940</wp:posOffset>
                </wp:positionV>
                <wp:extent cx="381000" cy="409575"/>
                <wp:effectExtent l="0" t="0" r="57150" b="47625"/>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0" cy="409575"/>
                        </a:xfrm>
                        <a:prstGeom prst="straightConnector1">
                          <a:avLst/>
                        </a:prstGeom>
                        <a:ln>
                          <a:solidFill>
                            <a:sysClr val="windowText" lastClr="0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04854DF" id="_x0000_t32" coordsize="21600,21600" o:spt="32" o:oned="t" path="m,l21600,21600e" filled="f">
                <v:path arrowok="t" fillok="f" o:connecttype="none"/>
                <o:lock v:ext="edit" shapetype="t"/>
              </v:shapetype>
              <v:shape id="Conector recto de flecha 17" o:spid="_x0000_s1026" type="#_x0000_t32" style="position:absolute;margin-left:212.65pt;margin-top:92.2pt;width:30pt;height:3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" strokecolor="windowText">
                <v:stroke endarrow="open"/>
                <o:lock v:ext="edit" shapetype="f"/>
              </v:shape>
            </w:pict>
          </mc:Fallback>
        </mc:AlternateContent>
      </w:r>
    </w:p>
    <w:p w14:paraId="06159BD2" w14:textId="77777777" w:rsidR="00677A1B" w:rsidRPr="00F30FD1" w:rsidRDefault="00677A1B" w:rsidP="00677A1B">
      <w:pPr>
        <w:rPr>
          <w:rFonts w:eastAsia="Times New Roman" w:cs="Futura"/>
          <w:b/>
          <w:color w:val="595959"/>
          <w:sz w:val="20"/>
          <w:szCs w:val="20"/>
        </w:rPr>
      </w:pPr>
    </w:p>
    <w:p w14:paraId="09B85D67" w14:textId="77777777" w:rsidR="00157164" w:rsidRPr="00F30FD1" w:rsidRDefault="00157164" w:rsidP="00677A1B">
      <w:pPr>
        <w:rPr>
          <w:rFonts w:eastAsia="Times New Roman" w:cs="Futura"/>
          <w:b/>
          <w:color w:val="595959"/>
          <w:sz w:val="20"/>
          <w:szCs w:val="20"/>
        </w:rPr>
      </w:pPr>
    </w:p>
    <w:p w14:paraId="00E3E382" w14:textId="77777777" w:rsidR="00157164" w:rsidRPr="00F30FD1" w:rsidRDefault="00157164" w:rsidP="00677A1B">
      <w:pPr>
        <w:rPr>
          <w:rFonts w:eastAsia="Times New Roman" w:cs="Futura"/>
          <w:b/>
          <w:color w:val="595959"/>
          <w:sz w:val="20"/>
          <w:szCs w:val="20"/>
        </w:rPr>
      </w:pPr>
    </w:p>
    <w:p w14:paraId="419B9059" w14:textId="77777777" w:rsidR="00157164" w:rsidRPr="00F30FD1" w:rsidRDefault="00157164" w:rsidP="00677A1B">
      <w:pPr>
        <w:rPr>
          <w:rFonts w:eastAsia="Times New Roman" w:cs="Futura"/>
          <w:b/>
          <w:color w:val="595959"/>
          <w:sz w:val="20"/>
          <w:szCs w:val="20"/>
        </w:rPr>
      </w:pPr>
    </w:p>
    <w:p w14:paraId="07FD80ED" w14:textId="77777777" w:rsidR="00157164" w:rsidRPr="00F30FD1" w:rsidRDefault="00157164" w:rsidP="00677A1B">
      <w:pPr>
        <w:rPr>
          <w:rFonts w:eastAsia="Times New Roman" w:cs="Futura"/>
          <w:b/>
          <w:color w:val="595959"/>
          <w:sz w:val="20"/>
          <w:szCs w:val="20"/>
        </w:rPr>
      </w:pPr>
    </w:p>
    <w:p w14:paraId="2681CAC6" w14:textId="77777777" w:rsidR="00157164" w:rsidRPr="00F30FD1" w:rsidRDefault="00157164" w:rsidP="00677A1B">
      <w:pPr>
        <w:rPr>
          <w:rFonts w:eastAsia="Times New Roman" w:cs="Futura"/>
          <w:b/>
          <w:color w:val="595959"/>
          <w:sz w:val="20"/>
          <w:szCs w:val="20"/>
        </w:rPr>
      </w:pPr>
    </w:p>
    <w:p w14:paraId="0607736D" w14:textId="77777777" w:rsidR="00677A1B" w:rsidRPr="00F30FD1" w:rsidRDefault="00677A1B" w:rsidP="00677A1B">
      <w:pPr>
        <w:rPr>
          <w:rFonts w:eastAsia="Times New Roman" w:cs="Futura"/>
          <w:b/>
          <w:color w:val="595959"/>
          <w:sz w:val="20"/>
          <w:szCs w:val="20"/>
        </w:rPr>
      </w:pPr>
      <w:r w:rsidRPr="00F30FD1">
        <w:rPr>
          <w:rFonts w:eastAsia="Times New Roman" w:cs="Futura"/>
          <w:b/>
          <w:color w:val="595959"/>
          <w:sz w:val="20"/>
          <w:szCs w:val="20"/>
        </w:rPr>
        <w:t>Calificaciones otorgadas.</w:t>
      </w:r>
    </w:p>
    <w:p w14:paraId="164B24DD" w14:textId="77777777" w:rsidR="000721ED" w:rsidRPr="00F30FD1" w:rsidRDefault="000721ED" w:rsidP="000721ED">
      <w:pPr>
        <w:rPr>
          <w:rFonts w:eastAsia="Times New Roman" w:cs="Futura"/>
          <w:color w:val="595959"/>
          <w:sz w:val="20"/>
          <w:szCs w:val="20"/>
        </w:rPr>
      </w:pPr>
      <w:r w:rsidRPr="00F30FD1">
        <w:rPr>
          <w:rFonts w:eastAsia="Times New Roman" w:cs="Futura"/>
          <w:color w:val="595959"/>
          <w:sz w:val="20"/>
          <w:szCs w:val="20"/>
        </w:rPr>
        <w:t>Al 31 de diciembre de 2019, el Estado de Quintana Roo se encuentra calificado por la agencia HR Ratings, respecto de las Finanzas Estatales, que el día 6 de mayo de 2019 ratifico la calificación de HRBBB, y modifico su perspectiva de Estable a Positiva, lo que significa una moderada seguridad para el pago oportuno de obligaciones de deuda.</w:t>
      </w:r>
    </w:p>
    <w:p w14:paraId="5BD1EE3A" w14:textId="77777777" w:rsidR="000721ED" w:rsidRPr="00F30FD1" w:rsidRDefault="000721ED" w:rsidP="000721ED">
      <w:pPr>
        <w:rPr>
          <w:rFonts w:eastAsia="Times New Roman" w:cs="Futura"/>
          <w:color w:val="595959"/>
          <w:sz w:val="20"/>
          <w:szCs w:val="20"/>
        </w:rPr>
      </w:pPr>
      <w:r w:rsidRPr="00F30FD1">
        <w:rPr>
          <w:rFonts w:eastAsia="Times New Roman" w:cs="Futura"/>
          <w:color w:val="595959"/>
          <w:sz w:val="20"/>
          <w:szCs w:val="20"/>
        </w:rPr>
        <w:lastRenderedPageBreak/>
        <w:t xml:space="preserve">Mientras que la agencia calificadora </w:t>
      </w:r>
      <w:proofErr w:type="spellStart"/>
      <w:r w:rsidRPr="00F30FD1">
        <w:rPr>
          <w:rFonts w:eastAsia="Times New Roman" w:cs="Futura"/>
          <w:color w:val="595959"/>
          <w:sz w:val="20"/>
          <w:szCs w:val="20"/>
        </w:rPr>
        <w:t>Fitch</w:t>
      </w:r>
      <w:proofErr w:type="spellEnd"/>
      <w:r w:rsidRPr="00F30FD1">
        <w:rPr>
          <w:rFonts w:eastAsia="Times New Roman" w:cs="Futura"/>
          <w:color w:val="595959"/>
          <w:sz w:val="20"/>
          <w:szCs w:val="20"/>
        </w:rPr>
        <w:t xml:space="preserve"> Ratings el 11 de noviembre de 2019 ratifico la calificación del Estado en </w:t>
      </w:r>
      <w:proofErr w:type="gramStart"/>
      <w:r w:rsidRPr="00F30FD1">
        <w:rPr>
          <w:rFonts w:eastAsia="Times New Roman" w:cs="Futura"/>
          <w:color w:val="595959"/>
          <w:sz w:val="20"/>
          <w:szCs w:val="20"/>
        </w:rPr>
        <w:t>BBB(</w:t>
      </w:r>
      <w:proofErr w:type="spellStart"/>
      <w:proofErr w:type="gramEnd"/>
      <w:r w:rsidRPr="00F30FD1">
        <w:rPr>
          <w:rFonts w:eastAsia="Times New Roman" w:cs="Futura"/>
          <w:color w:val="595959"/>
          <w:sz w:val="20"/>
          <w:szCs w:val="20"/>
        </w:rPr>
        <w:t>mex</w:t>
      </w:r>
      <w:proofErr w:type="spellEnd"/>
      <w:r w:rsidRPr="00F30FD1">
        <w:rPr>
          <w:rFonts w:eastAsia="Times New Roman" w:cs="Futura"/>
          <w:color w:val="595959"/>
          <w:sz w:val="20"/>
          <w:szCs w:val="20"/>
        </w:rPr>
        <w:t>), y modifico su perspectiva de Estable a Positiva, lo que significa una moderada seguridad para el pago oportuno de obligaciones de deuda.</w:t>
      </w:r>
    </w:p>
    <w:p w14:paraId="1FAD0CE6" w14:textId="77777777" w:rsidR="000721ED" w:rsidRPr="00F30FD1" w:rsidRDefault="000721ED" w:rsidP="000721ED">
      <w:pPr>
        <w:rPr>
          <w:rFonts w:eastAsia="Times New Roman" w:cs="Futura"/>
          <w:color w:val="595959"/>
          <w:sz w:val="20"/>
          <w:szCs w:val="20"/>
        </w:rPr>
      </w:pPr>
      <w:r w:rsidRPr="00F30FD1">
        <w:rPr>
          <w:rFonts w:eastAsia="Times New Roman" w:cs="Futura"/>
          <w:color w:val="595959"/>
          <w:sz w:val="20"/>
          <w:szCs w:val="20"/>
        </w:rPr>
        <w:t>La Perspectiva Positiva de la calificación del Estado se fundamenta en el fortalecimiento paulatino de sus márgenes operativos, respaldado principalmente por la tendencia creciente destacada de sus ingresos operativos (impuestos y participaciones federales). Lo anterior en conjunto con la disminución de su nivel de endeudamiento podría impulsar que el puntaje de la sostenibilidad de la deuda se ubique por encima de 'BB'.</w:t>
      </w:r>
    </w:p>
    <w:p w14:paraId="4CD4A7A0" w14:textId="77777777" w:rsidR="000721ED" w:rsidRPr="00F30FD1" w:rsidRDefault="000721ED" w:rsidP="000721ED">
      <w:pPr>
        <w:rPr>
          <w:rFonts w:eastAsia="Times New Roman" w:cs="Futura"/>
          <w:color w:val="595959"/>
          <w:sz w:val="20"/>
          <w:szCs w:val="20"/>
        </w:rPr>
      </w:pPr>
      <w:r w:rsidRPr="00F30FD1">
        <w:rPr>
          <w:rFonts w:eastAsia="Times New Roman" w:cs="Futura"/>
          <w:color w:val="595959"/>
          <w:sz w:val="20"/>
          <w:szCs w:val="20"/>
        </w:rPr>
        <w:t xml:space="preserve">Resulta relevante señalar, que además de la calificación soberana (Finanzas Estatales), cada uno de los créditos contratados de manera directa por el Estado, tiene su propia calificación (calificación estructurada) que si bien es cierto, considera con un peso específico fuerte, la calificación asignada al Estado sobre sus finanzas estatales, considera como elementos propios el instrumento jurídico que sustenta la obligación crediticia (la estructura legal), y el análisis de los flujos que servirán de fuente de pago para la obligación (estructura financiera). Al respecto, el proceso de refinanciamiento y/o reestructura de la deuda pública directa se llevó a cabo el 16 y 17 de enero de 2017, en el mes de abril de 2019, se publicaron las vigentes calificaciones estructuradas por parte de HR Ratings y en el mes de noviembre de 2019 se publicaron las vigentes calificaciones estructuradas por parte de </w:t>
      </w:r>
      <w:proofErr w:type="spellStart"/>
      <w:r w:rsidRPr="00F30FD1">
        <w:rPr>
          <w:rFonts w:eastAsia="Times New Roman" w:cs="Futura"/>
          <w:color w:val="595959"/>
          <w:sz w:val="20"/>
          <w:szCs w:val="20"/>
        </w:rPr>
        <w:t>Fitch</w:t>
      </w:r>
      <w:proofErr w:type="spellEnd"/>
      <w:r w:rsidRPr="00F30FD1">
        <w:rPr>
          <w:rFonts w:eastAsia="Times New Roman" w:cs="Futura"/>
          <w:color w:val="595959"/>
          <w:sz w:val="20"/>
          <w:szCs w:val="20"/>
        </w:rPr>
        <w:t xml:space="preserve"> Ratings.</w:t>
      </w:r>
    </w:p>
    <w:p w14:paraId="152F7753" w14:textId="77777777" w:rsidR="000721ED" w:rsidRPr="00F30FD1" w:rsidRDefault="000721ED" w:rsidP="000721ED">
      <w:pPr>
        <w:rPr>
          <w:rFonts w:eastAsia="Times New Roman" w:cs="Futura"/>
          <w:color w:val="595959"/>
          <w:sz w:val="20"/>
          <w:szCs w:val="20"/>
        </w:rPr>
      </w:pPr>
      <w:r w:rsidRPr="00F30FD1">
        <w:rPr>
          <w:rFonts w:eastAsia="Times New Roman" w:cs="Futura"/>
          <w:color w:val="595959"/>
          <w:sz w:val="20"/>
          <w:szCs w:val="20"/>
        </w:rPr>
        <w:t>El objetivo de la calificación crediticia es evaluar la capacidad y la voluntad de pago de la Entidad, por lo que se someten los elementos de análisis no sólo de rubros cuantitativos sino que también incorpora otros elementos de índole no financiera, ante escenarios de alto estrés, diversos de la realidad que prevalece, tanto en el mercado financiero como en las finanzas del país; todo ello con la finalidad de evaluar la fortaleza de los elementos y ubicarlos en un determinado rango de cobertura, que no considera a la entidad per se, sino que incorpora un análisis comparativo de ésta respecto de otras entidades o instrumentos con características similares, a fin de determinar la posición relativa del Estado o del crédito en cuestión respecto de otras entidades y mecanismos empleados.</w:t>
      </w:r>
    </w:p>
    <w:p w14:paraId="59016898" w14:textId="77777777" w:rsidR="000721ED" w:rsidRPr="00F30FD1" w:rsidRDefault="000721ED" w:rsidP="000721ED">
      <w:pPr>
        <w:rPr>
          <w:rFonts w:eastAsia="Times New Roman" w:cs="Futura"/>
          <w:color w:val="595959"/>
          <w:sz w:val="20"/>
          <w:szCs w:val="20"/>
        </w:rPr>
      </w:pPr>
      <w:r w:rsidRPr="00F30FD1">
        <w:rPr>
          <w:rFonts w:eastAsia="Times New Roman" w:cs="Futura"/>
          <w:color w:val="595959"/>
          <w:sz w:val="20"/>
          <w:szCs w:val="20"/>
        </w:rPr>
        <w:t>Al respecto, resulta de importancia señalar, que las empresas calificadoras observan de manera favorable el Plan de Ajuste en las Finanzas Públicas del Estado y al 31 de diciembre de 2019, se ha puesto de manifiesto la voluntad de pago al no tener un solo día de atraso en el cumplimiento de los créditos de largo plazo y la iniciativa del Estado por llevar a cabo un saneamiento financiero en la Entidad que permitan en un futuro cercano, modificar las calificaciones asignadas.</w:t>
      </w:r>
    </w:p>
    <w:p w14:paraId="316F8919" w14:textId="4478B9BE" w:rsidR="00677A1B" w:rsidRPr="00F30FD1" w:rsidRDefault="000721ED" w:rsidP="000721ED">
      <w:pPr>
        <w:rPr>
          <w:rFonts w:eastAsia="Times New Roman" w:cs="Futura"/>
          <w:color w:val="595959"/>
          <w:sz w:val="20"/>
          <w:szCs w:val="20"/>
        </w:rPr>
      </w:pPr>
      <w:r w:rsidRPr="00F30FD1">
        <w:rPr>
          <w:rFonts w:eastAsia="Times New Roman" w:cs="Futura"/>
          <w:color w:val="595959"/>
          <w:sz w:val="20"/>
          <w:szCs w:val="20"/>
        </w:rPr>
        <w:t>El siguiente cuadro contempla cada uno de los créditos y la calificación asignada por cada agencia y fecha de la misma ambas vigentes a diciembre de 2019.</w:t>
      </w:r>
    </w:p>
    <w:p w14:paraId="342E74B9" w14:textId="77777777" w:rsidR="00F30FD1" w:rsidRDefault="00F30FD1">
      <w:pPr>
        <w:spacing w:after="0" w:line="240" w:lineRule="auto"/>
        <w:jc w:val="left"/>
        <w:rPr>
          <w:rFonts w:eastAsia="Arial" w:cs="Times New Roman"/>
          <w:b/>
          <w:bCs/>
          <w:color w:val="4BACC6" w:themeColor="accent5"/>
          <w:lang w:val="es-MX" w:eastAsia="en-US"/>
        </w:rPr>
      </w:pPr>
      <w:r>
        <w:rPr>
          <w:rFonts w:eastAsia="Arial" w:cs="Times New Roman"/>
          <w:b/>
          <w:bCs/>
          <w:color w:val="4BACC6" w:themeColor="accent5"/>
          <w:lang w:val="es-MX" w:eastAsia="en-US"/>
        </w:rPr>
        <w:br w:type="page"/>
      </w:r>
    </w:p>
    <w:p w14:paraId="5E1610A7" w14:textId="497BF9E4" w:rsidR="00157164" w:rsidRPr="00F30FD1" w:rsidRDefault="00F30FD1" w:rsidP="003124C1">
      <w:pPr>
        <w:spacing w:after="0" w:line="240" w:lineRule="auto"/>
        <w:jc w:val="center"/>
        <w:rPr>
          <w:rFonts w:eastAsia="Arial" w:cs="Times New Roman"/>
          <w:b/>
          <w:bCs/>
          <w:sz w:val="20"/>
          <w:szCs w:val="20"/>
          <w:lang w:val="es-MX" w:eastAsia="en-US"/>
        </w:rPr>
      </w:pPr>
      <w:r>
        <w:rPr>
          <w:rFonts w:eastAsia="Arial" w:cs="Times New Roman"/>
          <w:b/>
          <w:bCs/>
          <w:color w:val="4BACC6" w:themeColor="accent5"/>
          <w:lang w:val="es-MX" w:eastAsia="en-US"/>
        </w:rPr>
        <w:lastRenderedPageBreak/>
        <w:t>Tabla T.14</w:t>
      </w:r>
      <w:r w:rsidR="005E35DF" w:rsidRPr="00F30FD1">
        <w:rPr>
          <w:rFonts w:eastAsia="Arial" w:cs="Times New Roman"/>
          <w:b/>
          <w:bCs/>
          <w:color w:val="4BACC6" w:themeColor="accent5"/>
          <w:lang w:val="es-MX" w:eastAsia="en-US"/>
        </w:rPr>
        <w:t xml:space="preserve"> créditos y la calificación asignada</w:t>
      </w:r>
    </w:p>
    <w:p w14:paraId="0E473DAF" w14:textId="77777777" w:rsidR="00157164" w:rsidRPr="00F30FD1" w:rsidRDefault="00157164" w:rsidP="00677A1B">
      <w:pPr>
        <w:rPr>
          <w:rFonts w:eastAsia="Times New Roman" w:cs="Futura"/>
          <w:color w:val="FF0000"/>
          <w:sz w:val="20"/>
          <w:szCs w:val="20"/>
        </w:rPr>
      </w:pPr>
    </w:p>
    <w:tbl>
      <w:tblPr>
        <w:tblW w:w="5000" w:type="pct"/>
        <w:tblCellMar>
          <w:left w:w="70" w:type="dxa"/>
          <w:right w:w="70" w:type="dxa"/>
        </w:tblCellMar>
        <w:tblLook w:val="04A0" w:firstRow="1" w:lastRow="0" w:firstColumn="1" w:lastColumn="0" w:noHBand="0" w:noVBand="1"/>
      </w:tblPr>
      <w:tblGrid>
        <w:gridCol w:w="4191"/>
        <w:gridCol w:w="2708"/>
        <w:gridCol w:w="2788"/>
      </w:tblGrid>
      <w:tr w:rsidR="00157164" w:rsidRPr="00F30FD1" w14:paraId="10005889" w14:textId="77777777" w:rsidTr="0099099D">
        <w:trPr>
          <w:trHeight w:val="300"/>
        </w:trPr>
        <w:tc>
          <w:tcPr>
            <w:tcW w:w="2163" w:type="pct"/>
            <w:vMerge w:val="restart"/>
            <w:tcBorders>
              <w:top w:val="single" w:sz="4" w:space="0" w:color="auto"/>
              <w:left w:val="single" w:sz="4" w:space="0" w:color="auto"/>
              <w:bottom w:val="single" w:sz="4" w:space="0" w:color="000000"/>
              <w:right w:val="single" w:sz="4" w:space="0" w:color="auto"/>
            </w:tcBorders>
            <w:shd w:val="clear" w:color="auto" w:fill="808080" w:themeFill="background1" w:themeFillShade="80"/>
            <w:noWrap/>
            <w:vAlign w:val="center"/>
            <w:hideMark/>
          </w:tcPr>
          <w:p w14:paraId="3FBA558F" w14:textId="77777777" w:rsidR="00157164" w:rsidRPr="00F30FD1" w:rsidRDefault="00157164" w:rsidP="00157164">
            <w:pPr>
              <w:spacing w:after="0" w:line="240" w:lineRule="auto"/>
              <w:jc w:val="center"/>
              <w:rPr>
                <w:rFonts w:eastAsia="Times New Roman" w:cs="Futura"/>
                <w:color w:val="FFFFFF" w:themeColor="background1"/>
                <w:sz w:val="20"/>
                <w:szCs w:val="20"/>
              </w:rPr>
            </w:pPr>
            <w:bookmarkStart w:id="22" w:name="_MON_1645451096"/>
            <w:bookmarkStart w:id="23" w:name="_MON_1645451576"/>
            <w:bookmarkEnd w:id="22"/>
            <w:bookmarkEnd w:id="23"/>
            <w:r w:rsidRPr="00F30FD1">
              <w:rPr>
                <w:rFonts w:eastAsia="Times New Roman" w:cs="Futura"/>
                <w:color w:val="FFFFFF" w:themeColor="background1"/>
                <w:sz w:val="20"/>
                <w:szCs w:val="20"/>
              </w:rPr>
              <w:t>Instituciones de crédito:</w:t>
            </w:r>
          </w:p>
        </w:tc>
        <w:tc>
          <w:tcPr>
            <w:tcW w:w="2837" w:type="pct"/>
            <w:gridSpan w:val="2"/>
            <w:tcBorders>
              <w:top w:val="single" w:sz="4" w:space="0" w:color="auto"/>
              <w:left w:val="nil"/>
              <w:bottom w:val="single" w:sz="4" w:space="0" w:color="auto"/>
              <w:right w:val="single" w:sz="4" w:space="0" w:color="000000"/>
            </w:tcBorders>
            <w:shd w:val="clear" w:color="auto" w:fill="808080" w:themeFill="background1" w:themeFillShade="80"/>
            <w:noWrap/>
            <w:vAlign w:val="center"/>
            <w:hideMark/>
          </w:tcPr>
          <w:p w14:paraId="6A711A06" w14:textId="77777777" w:rsidR="00157164" w:rsidRPr="00F30FD1" w:rsidRDefault="00157164" w:rsidP="00157164">
            <w:pPr>
              <w:spacing w:after="0" w:line="240" w:lineRule="auto"/>
              <w:jc w:val="center"/>
              <w:rPr>
                <w:rFonts w:eastAsia="Times New Roman" w:cs="Futura"/>
                <w:color w:val="FFFFFF" w:themeColor="background1"/>
                <w:sz w:val="20"/>
                <w:szCs w:val="20"/>
              </w:rPr>
            </w:pPr>
            <w:r w:rsidRPr="00F30FD1">
              <w:rPr>
                <w:rFonts w:eastAsia="Times New Roman" w:cs="Futura"/>
                <w:color w:val="FFFFFF" w:themeColor="background1"/>
                <w:sz w:val="20"/>
                <w:szCs w:val="20"/>
              </w:rPr>
              <w:t>Calificaciones</w:t>
            </w:r>
          </w:p>
        </w:tc>
      </w:tr>
      <w:tr w:rsidR="00157164" w:rsidRPr="00F30FD1" w14:paraId="4EB07350" w14:textId="77777777" w:rsidTr="0099099D">
        <w:trPr>
          <w:trHeight w:val="300"/>
        </w:trPr>
        <w:tc>
          <w:tcPr>
            <w:tcW w:w="2163" w:type="pct"/>
            <w:vMerge/>
            <w:tcBorders>
              <w:top w:val="single" w:sz="4" w:space="0" w:color="auto"/>
              <w:left w:val="single" w:sz="4" w:space="0" w:color="auto"/>
              <w:bottom w:val="single" w:sz="4" w:space="0" w:color="000000"/>
              <w:right w:val="single" w:sz="4" w:space="0" w:color="auto"/>
            </w:tcBorders>
            <w:shd w:val="clear" w:color="auto" w:fill="808080" w:themeFill="background1" w:themeFillShade="80"/>
            <w:vAlign w:val="center"/>
            <w:hideMark/>
          </w:tcPr>
          <w:p w14:paraId="78513903" w14:textId="77777777" w:rsidR="00157164" w:rsidRPr="00F30FD1" w:rsidRDefault="00157164" w:rsidP="00157164">
            <w:pPr>
              <w:spacing w:after="0" w:line="240" w:lineRule="auto"/>
              <w:jc w:val="left"/>
              <w:rPr>
                <w:rFonts w:eastAsia="Times New Roman" w:cs="Futura"/>
                <w:color w:val="FFFFFF" w:themeColor="background1"/>
                <w:sz w:val="20"/>
                <w:szCs w:val="20"/>
              </w:rPr>
            </w:pPr>
          </w:p>
        </w:tc>
        <w:tc>
          <w:tcPr>
            <w:tcW w:w="1398" w:type="pct"/>
            <w:tcBorders>
              <w:top w:val="nil"/>
              <w:left w:val="nil"/>
              <w:bottom w:val="single" w:sz="4" w:space="0" w:color="auto"/>
              <w:right w:val="single" w:sz="4" w:space="0" w:color="auto"/>
            </w:tcBorders>
            <w:shd w:val="clear" w:color="auto" w:fill="808080" w:themeFill="background1" w:themeFillShade="80"/>
            <w:noWrap/>
            <w:vAlign w:val="center"/>
            <w:hideMark/>
          </w:tcPr>
          <w:p w14:paraId="5F051F99" w14:textId="77777777" w:rsidR="00157164" w:rsidRPr="00F30FD1" w:rsidRDefault="00157164" w:rsidP="00157164">
            <w:pPr>
              <w:spacing w:after="0" w:line="240" w:lineRule="auto"/>
              <w:jc w:val="center"/>
              <w:rPr>
                <w:rFonts w:eastAsia="Times New Roman" w:cs="Futura"/>
                <w:color w:val="FFFFFF" w:themeColor="background1"/>
                <w:sz w:val="20"/>
                <w:szCs w:val="20"/>
              </w:rPr>
            </w:pPr>
            <w:r w:rsidRPr="00F30FD1">
              <w:rPr>
                <w:rFonts w:eastAsia="Times New Roman" w:cs="Futura"/>
                <w:color w:val="FFFFFF" w:themeColor="background1"/>
                <w:sz w:val="20"/>
                <w:szCs w:val="20"/>
              </w:rPr>
              <w:t>HR Ratings</w:t>
            </w:r>
          </w:p>
        </w:tc>
        <w:tc>
          <w:tcPr>
            <w:tcW w:w="1438" w:type="pct"/>
            <w:tcBorders>
              <w:top w:val="nil"/>
              <w:left w:val="nil"/>
              <w:bottom w:val="single" w:sz="4" w:space="0" w:color="auto"/>
              <w:right w:val="single" w:sz="4" w:space="0" w:color="auto"/>
            </w:tcBorders>
            <w:shd w:val="clear" w:color="auto" w:fill="808080" w:themeFill="background1" w:themeFillShade="80"/>
            <w:noWrap/>
            <w:vAlign w:val="center"/>
            <w:hideMark/>
          </w:tcPr>
          <w:p w14:paraId="629A25FE" w14:textId="77777777" w:rsidR="00157164" w:rsidRPr="00F30FD1" w:rsidRDefault="00157164" w:rsidP="00157164">
            <w:pPr>
              <w:spacing w:after="0" w:line="240" w:lineRule="auto"/>
              <w:jc w:val="center"/>
              <w:rPr>
                <w:rFonts w:eastAsia="Times New Roman" w:cs="Futura"/>
                <w:color w:val="FFFFFF" w:themeColor="background1"/>
                <w:sz w:val="20"/>
                <w:szCs w:val="20"/>
              </w:rPr>
            </w:pPr>
            <w:proofErr w:type="spellStart"/>
            <w:r w:rsidRPr="00F30FD1">
              <w:rPr>
                <w:rFonts w:eastAsia="Times New Roman" w:cs="Futura"/>
                <w:color w:val="FFFFFF" w:themeColor="background1"/>
                <w:sz w:val="20"/>
                <w:szCs w:val="20"/>
              </w:rPr>
              <w:t>Fitch</w:t>
            </w:r>
            <w:proofErr w:type="spellEnd"/>
            <w:r w:rsidRPr="00F30FD1">
              <w:rPr>
                <w:rFonts w:eastAsia="Times New Roman" w:cs="Futura"/>
                <w:color w:val="FFFFFF" w:themeColor="background1"/>
                <w:sz w:val="20"/>
                <w:szCs w:val="20"/>
              </w:rPr>
              <w:t xml:space="preserve"> Ratings</w:t>
            </w:r>
          </w:p>
        </w:tc>
      </w:tr>
      <w:tr w:rsidR="00157164" w:rsidRPr="00F30FD1" w14:paraId="5A07188F" w14:textId="77777777" w:rsidTr="00157164">
        <w:trPr>
          <w:trHeight w:val="300"/>
        </w:trPr>
        <w:tc>
          <w:tcPr>
            <w:tcW w:w="2163" w:type="pct"/>
            <w:tcBorders>
              <w:top w:val="nil"/>
              <w:left w:val="single" w:sz="4" w:space="0" w:color="auto"/>
              <w:bottom w:val="single" w:sz="4" w:space="0" w:color="auto"/>
              <w:right w:val="single" w:sz="4" w:space="0" w:color="auto"/>
            </w:tcBorders>
            <w:shd w:val="clear" w:color="000000" w:fill="FFFFFF"/>
            <w:noWrap/>
            <w:vAlign w:val="center"/>
            <w:hideMark/>
          </w:tcPr>
          <w:p w14:paraId="6244AF6F" w14:textId="77777777" w:rsidR="00157164" w:rsidRPr="00F30FD1" w:rsidRDefault="00157164" w:rsidP="00157164">
            <w:pPr>
              <w:spacing w:after="0" w:line="240" w:lineRule="auto"/>
              <w:jc w:val="left"/>
              <w:rPr>
                <w:rFonts w:eastAsia="Times New Roman" w:cs="Futura"/>
                <w:color w:val="595959"/>
                <w:sz w:val="20"/>
                <w:szCs w:val="20"/>
              </w:rPr>
            </w:pPr>
            <w:proofErr w:type="spellStart"/>
            <w:r w:rsidRPr="00F30FD1">
              <w:rPr>
                <w:rFonts w:eastAsia="Times New Roman" w:cs="Futura"/>
                <w:color w:val="595959"/>
                <w:sz w:val="20"/>
                <w:szCs w:val="20"/>
              </w:rPr>
              <w:t>Banobras</w:t>
            </w:r>
            <w:proofErr w:type="spellEnd"/>
            <w:r w:rsidRPr="00F30FD1">
              <w:rPr>
                <w:rFonts w:eastAsia="Times New Roman" w:cs="Futura"/>
                <w:color w:val="595959"/>
                <w:sz w:val="20"/>
                <w:szCs w:val="20"/>
              </w:rPr>
              <w:t>, S.N.C. (</w:t>
            </w:r>
            <w:proofErr w:type="spellStart"/>
            <w:r w:rsidRPr="00F30FD1">
              <w:rPr>
                <w:rFonts w:eastAsia="Times New Roman" w:cs="Futura"/>
                <w:color w:val="595959"/>
                <w:sz w:val="20"/>
                <w:szCs w:val="20"/>
              </w:rPr>
              <w:t>Profise</w:t>
            </w:r>
            <w:proofErr w:type="spellEnd"/>
            <w:r w:rsidRPr="00F30FD1">
              <w:rPr>
                <w:rFonts w:eastAsia="Times New Roman" w:cs="Futura"/>
                <w:color w:val="595959"/>
                <w:sz w:val="20"/>
                <w:szCs w:val="20"/>
              </w:rPr>
              <w:t>)</w:t>
            </w:r>
          </w:p>
        </w:tc>
        <w:tc>
          <w:tcPr>
            <w:tcW w:w="1398" w:type="pct"/>
            <w:tcBorders>
              <w:top w:val="nil"/>
              <w:left w:val="nil"/>
              <w:bottom w:val="single" w:sz="4" w:space="0" w:color="auto"/>
              <w:right w:val="single" w:sz="4" w:space="0" w:color="auto"/>
            </w:tcBorders>
            <w:shd w:val="clear" w:color="000000" w:fill="FFFFFF"/>
            <w:noWrap/>
            <w:vAlign w:val="center"/>
            <w:hideMark/>
          </w:tcPr>
          <w:p w14:paraId="000B1A55"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HR AAA (E) (11/04/19)</w:t>
            </w:r>
          </w:p>
        </w:tc>
        <w:tc>
          <w:tcPr>
            <w:tcW w:w="1438" w:type="pct"/>
            <w:tcBorders>
              <w:top w:val="nil"/>
              <w:left w:val="nil"/>
              <w:bottom w:val="single" w:sz="4" w:space="0" w:color="auto"/>
              <w:right w:val="single" w:sz="4" w:space="0" w:color="auto"/>
            </w:tcBorders>
            <w:shd w:val="clear" w:color="000000" w:fill="FFFFFF"/>
            <w:noWrap/>
            <w:vAlign w:val="center"/>
            <w:hideMark/>
          </w:tcPr>
          <w:p w14:paraId="44FDDCA9"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A+ (</w:t>
            </w:r>
            <w:proofErr w:type="spellStart"/>
            <w:r w:rsidRPr="00F30FD1">
              <w:rPr>
                <w:rFonts w:eastAsia="Times New Roman" w:cs="Futura"/>
                <w:color w:val="595959"/>
                <w:sz w:val="20"/>
                <w:szCs w:val="20"/>
              </w:rPr>
              <w:t>mex</w:t>
            </w:r>
            <w:proofErr w:type="spellEnd"/>
            <w:r w:rsidRPr="00F30FD1">
              <w:rPr>
                <w:rFonts w:eastAsia="Times New Roman" w:cs="Futura"/>
                <w:color w:val="595959"/>
                <w:sz w:val="20"/>
                <w:szCs w:val="20"/>
              </w:rPr>
              <w:t xml:space="preserve">) </w:t>
            </w:r>
            <w:proofErr w:type="spellStart"/>
            <w:r w:rsidRPr="00F30FD1">
              <w:rPr>
                <w:rFonts w:eastAsia="Times New Roman" w:cs="Futura"/>
                <w:color w:val="595959"/>
                <w:sz w:val="20"/>
                <w:szCs w:val="20"/>
              </w:rPr>
              <w:t>vra</w:t>
            </w:r>
            <w:proofErr w:type="spellEnd"/>
            <w:r w:rsidRPr="00F30FD1">
              <w:rPr>
                <w:rFonts w:eastAsia="Times New Roman" w:cs="Futura"/>
                <w:color w:val="595959"/>
                <w:sz w:val="20"/>
                <w:szCs w:val="20"/>
              </w:rPr>
              <w:t xml:space="preserve"> (11/11/19)</w:t>
            </w:r>
          </w:p>
        </w:tc>
      </w:tr>
      <w:tr w:rsidR="00157164" w:rsidRPr="00F30FD1" w14:paraId="7D607F43" w14:textId="77777777" w:rsidTr="00157164">
        <w:trPr>
          <w:trHeight w:val="300"/>
        </w:trPr>
        <w:tc>
          <w:tcPr>
            <w:tcW w:w="2163" w:type="pct"/>
            <w:tcBorders>
              <w:top w:val="nil"/>
              <w:left w:val="single" w:sz="4" w:space="0" w:color="auto"/>
              <w:bottom w:val="single" w:sz="4" w:space="0" w:color="auto"/>
              <w:right w:val="single" w:sz="4" w:space="0" w:color="auto"/>
            </w:tcBorders>
            <w:shd w:val="clear" w:color="000000" w:fill="FFFFFF"/>
            <w:noWrap/>
            <w:vAlign w:val="center"/>
            <w:hideMark/>
          </w:tcPr>
          <w:p w14:paraId="5D461345" w14:textId="77777777" w:rsidR="00157164" w:rsidRPr="00F30FD1" w:rsidRDefault="00157164" w:rsidP="00157164">
            <w:pPr>
              <w:spacing w:after="0" w:line="240" w:lineRule="auto"/>
              <w:jc w:val="left"/>
              <w:rPr>
                <w:rFonts w:eastAsia="Times New Roman" w:cs="Futura"/>
                <w:color w:val="595959"/>
                <w:sz w:val="20"/>
                <w:szCs w:val="20"/>
              </w:rPr>
            </w:pPr>
            <w:r w:rsidRPr="00F30FD1">
              <w:rPr>
                <w:rFonts w:eastAsia="Times New Roman" w:cs="Futura"/>
                <w:color w:val="595959"/>
                <w:sz w:val="20"/>
                <w:szCs w:val="20"/>
              </w:rPr>
              <w:t>Banorte, S.A.</w:t>
            </w:r>
          </w:p>
        </w:tc>
        <w:tc>
          <w:tcPr>
            <w:tcW w:w="1398" w:type="pct"/>
            <w:tcBorders>
              <w:top w:val="nil"/>
              <w:left w:val="nil"/>
              <w:bottom w:val="single" w:sz="4" w:space="0" w:color="auto"/>
              <w:right w:val="single" w:sz="4" w:space="0" w:color="auto"/>
            </w:tcBorders>
            <w:shd w:val="clear" w:color="000000" w:fill="FFFFFF"/>
            <w:noWrap/>
            <w:vAlign w:val="center"/>
            <w:hideMark/>
          </w:tcPr>
          <w:p w14:paraId="645E186E"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HR AAA (E) (25/04/19)</w:t>
            </w:r>
          </w:p>
        </w:tc>
        <w:tc>
          <w:tcPr>
            <w:tcW w:w="1438" w:type="pct"/>
            <w:tcBorders>
              <w:top w:val="nil"/>
              <w:left w:val="nil"/>
              <w:bottom w:val="single" w:sz="4" w:space="0" w:color="auto"/>
              <w:right w:val="single" w:sz="4" w:space="0" w:color="auto"/>
            </w:tcBorders>
            <w:shd w:val="clear" w:color="000000" w:fill="FFFFFF"/>
            <w:noWrap/>
            <w:vAlign w:val="center"/>
            <w:hideMark/>
          </w:tcPr>
          <w:p w14:paraId="08DC100D"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AA (</w:t>
            </w:r>
            <w:proofErr w:type="spellStart"/>
            <w:r w:rsidRPr="00F30FD1">
              <w:rPr>
                <w:rFonts w:eastAsia="Times New Roman" w:cs="Futura"/>
                <w:color w:val="595959"/>
                <w:sz w:val="20"/>
                <w:szCs w:val="20"/>
              </w:rPr>
              <w:t>mex</w:t>
            </w:r>
            <w:proofErr w:type="spellEnd"/>
            <w:r w:rsidRPr="00F30FD1">
              <w:rPr>
                <w:rFonts w:eastAsia="Times New Roman" w:cs="Futura"/>
                <w:color w:val="595959"/>
                <w:sz w:val="20"/>
                <w:szCs w:val="20"/>
              </w:rPr>
              <w:t xml:space="preserve">) </w:t>
            </w:r>
            <w:proofErr w:type="spellStart"/>
            <w:r w:rsidRPr="00F30FD1">
              <w:rPr>
                <w:rFonts w:eastAsia="Times New Roman" w:cs="Futura"/>
                <w:color w:val="595959"/>
                <w:sz w:val="20"/>
                <w:szCs w:val="20"/>
              </w:rPr>
              <w:t>vra</w:t>
            </w:r>
            <w:proofErr w:type="spellEnd"/>
            <w:r w:rsidRPr="00F30FD1">
              <w:rPr>
                <w:rFonts w:eastAsia="Times New Roman" w:cs="Futura"/>
                <w:color w:val="595959"/>
                <w:sz w:val="20"/>
                <w:szCs w:val="20"/>
              </w:rPr>
              <w:t xml:space="preserve"> (11/11/19)</w:t>
            </w:r>
          </w:p>
        </w:tc>
      </w:tr>
      <w:tr w:rsidR="00157164" w:rsidRPr="00F30FD1" w14:paraId="03D268C0" w14:textId="77777777" w:rsidTr="00157164">
        <w:trPr>
          <w:trHeight w:val="300"/>
        </w:trPr>
        <w:tc>
          <w:tcPr>
            <w:tcW w:w="2163" w:type="pct"/>
            <w:tcBorders>
              <w:top w:val="nil"/>
              <w:left w:val="single" w:sz="4" w:space="0" w:color="auto"/>
              <w:bottom w:val="single" w:sz="4" w:space="0" w:color="auto"/>
              <w:right w:val="single" w:sz="4" w:space="0" w:color="auto"/>
            </w:tcBorders>
            <w:shd w:val="clear" w:color="000000" w:fill="FFFFFF"/>
            <w:noWrap/>
            <w:vAlign w:val="center"/>
            <w:hideMark/>
          </w:tcPr>
          <w:p w14:paraId="79FF248C" w14:textId="77777777" w:rsidR="00157164" w:rsidRPr="00F30FD1" w:rsidRDefault="00157164" w:rsidP="00157164">
            <w:pPr>
              <w:spacing w:after="0" w:line="240" w:lineRule="auto"/>
              <w:jc w:val="left"/>
              <w:rPr>
                <w:rFonts w:eastAsia="Times New Roman" w:cs="Futura"/>
                <w:color w:val="595959"/>
                <w:sz w:val="20"/>
                <w:szCs w:val="20"/>
              </w:rPr>
            </w:pPr>
            <w:proofErr w:type="spellStart"/>
            <w:r w:rsidRPr="00F30FD1">
              <w:rPr>
                <w:rFonts w:eastAsia="Times New Roman" w:cs="Futura"/>
                <w:color w:val="595959"/>
                <w:sz w:val="20"/>
                <w:szCs w:val="20"/>
              </w:rPr>
              <w:t>Banobras</w:t>
            </w:r>
            <w:proofErr w:type="spellEnd"/>
            <w:r w:rsidRPr="00F30FD1">
              <w:rPr>
                <w:rFonts w:eastAsia="Times New Roman" w:cs="Futura"/>
                <w:color w:val="595959"/>
                <w:sz w:val="20"/>
                <w:szCs w:val="20"/>
              </w:rPr>
              <w:t>, S.N.C.</w:t>
            </w:r>
          </w:p>
        </w:tc>
        <w:tc>
          <w:tcPr>
            <w:tcW w:w="1398" w:type="pct"/>
            <w:tcBorders>
              <w:top w:val="nil"/>
              <w:left w:val="nil"/>
              <w:bottom w:val="single" w:sz="4" w:space="0" w:color="auto"/>
              <w:right w:val="single" w:sz="4" w:space="0" w:color="auto"/>
            </w:tcBorders>
            <w:shd w:val="clear" w:color="000000" w:fill="FFFFFF"/>
            <w:noWrap/>
            <w:vAlign w:val="center"/>
            <w:hideMark/>
          </w:tcPr>
          <w:p w14:paraId="4C2A0EC3"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HR AA (E) (25/04/19)</w:t>
            </w:r>
          </w:p>
        </w:tc>
        <w:tc>
          <w:tcPr>
            <w:tcW w:w="1438" w:type="pct"/>
            <w:tcBorders>
              <w:top w:val="nil"/>
              <w:left w:val="nil"/>
              <w:bottom w:val="single" w:sz="4" w:space="0" w:color="auto"/>
              <w:right w:val="single" w:sz="4" w:space="0" w:color="auto"/>
            </w:tcBorders>
            <w:shd w:val="clear" w:color="000000" w:fill="FFFFFF"/>
            <w:noWrap/>
            <w:vAlign w:val="center"/>
            <w:hideMark/>
          </w:tcPr>
          <w:p w14:paraId="04852B15"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A+ (</w:t>
            </w:r>
            <w:proofErr w:type="spellStart"/>
            <w:r w:rsidRPr="00F30FD1">
              <w:rPr>
                <w:rFonts w:eastAsia="Times New Roman" w:cs="Futura"/>
                <w:color w:val="595959"/>
                <w:sz w:val="20"/>
                <w:szCs w:val="20"/>
              </w:rPr>
              <w:t>mex</w:t>
            </w:r>
            <w:proofErr w:type="spellEnd"/>
            <w:r w:rsidRPr="00F30FD1">
              <w:rPr>
                <w:rFonts w:eastAsia="Times New Roman" w:cs="Futura"/>
                <w:color w:val="595959"/>
                <w:sz w:val="20"/>
                <w:szCs w:val="20"/>
              </w:rPr>
              <w:t xml:space="preserve">) </w:t>
            </w:r>
            <w:proofErr w:type="spellStart"/>
            <w:r w:rsidRPr="00F30FD1">
              <w:rPr>
                <w:rFonts w:eastAsia="Times New Roman" w:cs="Futura"/>
                <w:color w:val="595959"/>
                <w:sz w:val="20"/>
                <w:szCs w:val="20"/>
              </w:rPr>
              <w:t>vra</w:t>
            </w:r>
            <w:proofErr w:type="spellEnd"/>
            <w:r w:rsidRPr="00F30FD1">
              <w:rPr>
                <w:rFonts w:eastAsia="Times New Roman" w:cs="Futura"/>
                <w:color w:val="595959"/>
                <w:sz w:val="20"/>
                <w:szCs w:val="20"/>
              </w:rPr>
              <w:t xml:space="preserve"> (11/11/19)</w:t>
            </w:r>
          </w:p>
        </w:tc>
      </w:tr>
      <w:tr w:rsidR="00157164" w:rsidRPr="00F30FD1" w14:paraId="378EC319" w14:textId="77777777" w:rsidTr="00157164">
        <w:trPr>
          <w:trHeight w:val="300"/>
        </w:trPr>
        <w:tc>
          <w:tcPr>
            <w:tcW w:w="2163" w:type="pct"/>
            <w:tcBorders>
              <w:top w:val="nil"/>
              <w:left w:val="single" w:sz="4" w:space="0" w:color="auto"/>
              <w:bottom w:val="single" w:sz="4" w:space="0" w:color="auto"/>
              <w:right w:val="single" w:sz="4" w:space="0" w:color="auto"/>
            </w:tcBorders>
            <w:shd w:val="clear" w:color="000000" w:fill="FFFFFF"/>
            <w:noWrap/>
            <w:vAlign w:val="center"/>
            <w:hideMark/>
          </w:tcPr>
          <w:p w14:paraId="3A092FFE" w14:textId="77777777" w:rsidR="00157164" w:rsidRPr="00F30FD1" w:rsidRDefault="00157164" w:rsidP="00157164">
            <w:pPr>
              <w:spacing w:after="0" w:line="240" w:lineRule="auto"/>
              <w:jc w:val="left"/>
              <w:rPr>
                <w:rFonts w:eastAsia="Times New Roman" w:cs="Futura"/>
                <w:color w:val="595959"/>
                <w:sz w:val="20"/>
                <w:szCs w:val="20"/>
              </w:rPr>
            </w:pPr>
            <w:r w:rsidRPr="00F30FD1">
              <w:rPr>
                <w:rFonts w:eastAsia="Times New Roman" w:cs="Futura"/>
                <w:color w:val="595959"/>
                <w:sz w:val="20"/>
                <w:szCs w:val="20"/>
              </w:rPr>
              <w:t>HSBC México, S.A</w:t>
            </w:r>
          </w:p>
        </w:tc>
        <w:tc>
          <w:tcPr>
            <w:tcW w:w="1398" w:type="pct"/>
            <w:tcBorders>
              <w:top w:val="nil"/>
              <w:left w:val="nil"/>
              <w:bottom w:val="single" w:sz="4" w:space="0" w:color="auto"/>
              <w:right w:val="single" w:sz="4" w:space="0" w:color="auto"/>
            </w:tcBorders>
            <w:shd w:val="clear" w:color="000000" w:fill="FFFFFF"/>
            <w:noWrap/>
            <w:vAlign w:val="center"/>
            <w:hideMark/>
          </w:tcPr>
          <w:p w14:paraId="0D82FD7E"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HR AA + (E) (11/04/19)</w:t>
            </w:r>
          </w:p>
        </w:tc>
        <w:tc>
          <w:tcPr>
            <w:tcW w:w="1438" w:type="pct"/>
            <w:tcBorders>
              <w:top w:val="nil"/>
              <w:left w:val="nil"/>
              <w:bottom w:val="single" w:sz="4" w:space="0" w:color="auto"/>
              <w:right w:val="single" w:sz="4" w:space="0" w:color="auto"/>
            </w:tcBorders>
            <w:shd w:val="clear" w:color="000000" w:fill="FFFFFF"/>
            <w:noWrap/>
            <w:vAlign w:val="center"/>
            <w:hideMark/>
          </w:tcPr>
          <w:p w14:paraId="7543728F"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A+ (</w:t>
            </w:r>
            <w:proofErr w:type="spellStart"/>
            <w:r w:rsidRPr="00F30FD1">
              <w:rPr>
                <w:rFonts w:eastAsia="Times New Roman" w:cs="Futura"/>
                <w:color w:val="595959"/>
                <w:sz w:val="20"/>
                <w:szCs w:val="20"/>
              </w:rPr>
              <w:t>mex</w:t>
            </w:r>
            <w:proofErr w:type="spellEnd"/>
            <w:r w:rsidRPr="00F30FD1">
              <w:rPr>
                <w:rFonts w:eastAsia="Times New Roman" w:cs="Futura"/>
                <w:color w:val="595959"/>
                <w:sz w:val="20"/>
                <w:szCs w:val="20"/>
              </w:rPr>
              <w:t xml:space="preserve">) </w:t>
            </w:r>
            <w:proofErr w:type="spellStart"/>
            <w:r w:rsidRPr="00F30FD1">
              <w:rPr>
                <w:rFonts w:eastAsia="Times New Roman" w:cs="Futura"/>
                <w:color w:val="595959"/>
                <w:sz w:val="20"/>
                <w:szCs w:val="20"/>
              </w:rPr>
              <w:t>vra</w:t>
            </w:r>
            <w:proofErr w:type="spellEnd"/>
            <w:r w:rsidRPr="00F30FD1">
              <w:rPr>
                <w:rFonts w:eastAsia="Times New Roman" w:cs="Futura"/>
                <w:color w:val="595959"/>
                <w:sz w:val="20"/>
                <w:szCs w:val="20"/>
              </w:rPr>
              <w:t xml:space="preserve"> (11/11/19)</w:t>
            </w:r>
          </w:p>
        </w:tc>
      </w:tr>
      <w:tr w:rsidR="00157164" w:rsidRPr="00F30FD1" w14:paraId="6EBE10D9" w14:textId="77777777" w:rsidTr="00157164">
        <w:trPr>
          <w:trHeight w:val="300"/>
        </w:trPr>
        <w:tc>
          <w:tcPr>
            <w:tcW w:w="2163" w:type="pct"/>
            <w:tcBorders>
              <w:top w:val="nil"/>
              <w:left w:val="single" w:sz="4" w:space="0" w:color="auto"/>
              <w:bottom w:val="single" w:sz="4" w:space="0" w:color="auto"/>
              <w:right w:val="single" w:sz="4" w:space="0" w:color="auto"/>
            </w:tcBorders>
            <w:shd w:val="clear" w:color="000000" w:fill="FFFFFF"/>
            <w:noWrap/>
            <w:vAlign w:val="center"/>
            <w:hideMark/>
          </w:tcPr>
          <w:p w14:paraId="7ADF662D" w14:textId="77777777" w:rsidR="00157164" w:rsidRPr="00F30FD1" w:rsidRDefault="00157164" w:rsidP="00157164">
            <w:pPr>
              <w:spacing w:after="0" w:line="240" w:lineRule="auto"/>
              <w:jc w:val="left"/>
              <w:rPr>
                <w:rFonts w:eastAsia="Times New Roman" w:cs="Futura"/>
                <w:color w:val="595959"/>
                <w:sz w:val="20"/>
                <w:szCs w:val="20"/>
              </w:rPr>
            </w:pPr>
            <w:r w:rsidRPr="00F30FD1">
              <w:rPr>
                <w:rFonts w:eastAsia="Times New Roman" w:cs="Futura"/>
                <w:color w:val="595959"/>
                <w:sz w:val="20"/>
                <w:szCs w:val="20"/>
              </w:rPr>
              <w:t xml:space="preserve">Banco </w:t>
            </w:r>
            <w:proofErr w:type="spellStart"/>
            <w:r w:rsidRPr="00F30FD1">
              <w:rPr>
                <w:rFonts w:eastAsia="Times New Roman" w:cs="Futura"/>
                <w:color w:val="595959"/>
                <w:sz w:val="20"/>
                <w:szCs w:val="20"/>
              </w:rPr>
              <w:t>Multiva</w:t>
            </w:r>
            <w:proofErr w:type="spellEnd"/>
            <w:r w:rsidRPr="00F30FD1">
              <w:rPr>
                <w:rFonts w:eastAsia="Times New Roman" w:cs="Futura"/>
                <w:color w:val="595959"/>
                <w:sz w:val="20"/>
                <w:szCs w:val="20"/>
              </w:rPr>
              <w:t>, S.A.</w:t>
            </w:r>
          </w:p>
        </w:tc>
        <w:tc>
          <w:tcPr>
            <w:tcW w:w="1398" w:type="pct"/>
            <w:tcBorders>
              <w:top w:val="nil"/>
              <w:left w:val="nil"/>
              <w:bottom w:val="single" w:sz="4" w:space="0" w:color="auto"/>
              <w:right w:val="single" w:sz="4" w:space="0" w:color="auto"/>
            </w:tcBorders>
            <w:shd w:val="clear" w:color="000000" w:fill="FFFFFF"/>
            <w:noWrap/>
            <w:vAlign w:val="center"/>
            <w:hideMark/>
          </w:tcPr>
          <w:p w14:paraId="675FD337"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HR AAA (E) (25/04/19)</w:t>
            </w:r>
          </w:p>
        </w:tc>
        <w:tc>
          <w:tcPr>
            <w:tcW w:w="1438" w:type="pct"/>
            <w:tcBorders>
              <w:top w:val="nil"/>
              <w:left w:val="nil"/>
              <w:bottom w:val="single" w:sz="4" w:space="0" w:color="auto"/>
              <w:right w:val="single" w:sz="4" w:space="0" w:color="auto"/>
            </w:tcBorders>
            <w:shd w:val="clear" w:color="000000" w:fill="FFFFFF"/>
            <w:noWrap/>
            <w:vAlign w:val="center"/>
            <w:hideMark/>
          </w:tcPr>
          <w:p w14:paraId="6236E362"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AA (</w:t>
            </w:r>
            <w:proofErr w:type="spellStart"/>
            <w:r w:rsidRPr="00F30FD1">
              <w:rPr>
                <w:rFonts w:eastAsia="Times New Roman" w:cs="Futura"/>
                <w:color w:val="595959"/>
                <w:sz w:val="20"/>
                <w:szCs w:val="20"/>
              </w:rPr>
              <w:t>mex</w:t>
            </w:r>
            <w:proofErr w:type="spellEnd"/>
            <w:r w:rsidRPr="00F30FD1">
              <w:rPr>
                <w:rFonts w:eastAsia="Times New Roman" w:cs="Futura"/>
                <w:color w:val="595959"/>
                <w:sz w:val="20"/>
                <w:szCs w:val="20"/>
              </w:rPr>
              <w:t xml:space="preserve">) </w:t>
            </w:r>
            <w:proofErr w:type="spellStart"/>
            <w:r w:rsidRPr="00F30FD1">
              <w:rPr>
                <w:rFonts w:eastAsia="Times New Roman" w:cs="Futura"/>
                <w:color w:val="595959"/>
                <w:sz w:val="20"/>
                <w:szCs w:val="20"/>
              </w:rPr>
              <w:t>vra</w:t>
            </w:r>
            <w:proofErr w:type="spellEnd"/>
            <w:r w:rsidRPr="00F30FD1">
              <w:rPr>
                <w:rFonts w:eastAsia="Times New Roman" w:cs="Futura"/>
                <w:color w:val="595959"/>
                <w:sz w:val="20"/>
                <w:szCs w:val="20"/>
              </w:rPr>
              <w:t xml:space="preserve"> (11/11/19)</w:t>
            </w:r>
          </w:p>
        </w:tc>
      </w:tr>
      <w:tr w:rsidR="00157164" w:rsidRPr="00F30FD1" w14:paraId="741EC9A6" w14:textId="77777777" w:rsidTr="00157164">
        <w:trPr>
          <w:trHeight w:val="300"/>
        </w:trPr>
        <w:tc>
          <w:tcPr>
            <w:tcW w:w="2163" w:type="pct"/>
            <w:tcBorders>
              <w:top w:val="nil"/>
              <w:left w:val="single" w:sz="4" w:space="0" w:color="auto"/>
              <w:bottom w:val="single" w:sz="4" w:space="0" w:color="auto"/>
              <w:right w:val="single" w:sz="4" w:space="0" w:color="auto"/>
            </w:tcBorders>
            <w:shd w:val="clear" w:color="000000" w:fill="FFFFFF"/>
            <w:noWrap/>
            <w:vAlign w:val="center"/>
            <w:hideMark/>
          </w:tcPr>
          <w:p w14:paraId="0C994467" w14:textId="77777777" w:rsidR="00157164" w:rsidRPr="00F30FD1" w:rsidRDefault="00157164" w:rsidP="00157164">
            <w:pPr>
              <w:spacing w:after="0" w:line="240" w:lineRule="auto"/>
              <w:jc w:val="left"/>
              <w:rPr>
                <w:rFonts w:eastAsia="Times New Roman" w:cs="Futura"/>
                <w:color w:val="595959"/>
                <w:sz w:val="20"/>
                <w:szCs w:val="20"/>
              </w:rPr>
            </w:pPr>
            <w:r w:rsidRPr="00F30FD1">
              <w:rPr>
                <w:rFonts w:eastAsia="Times New Roman" w:cs="Futura"/>
                <w:color w:val="595959"/>
                <w:sz w:val="20"/>
                <w:szCs w:val="20"/>
              </w:rPr>
              <w:t>Banco Interacciones, S.A. (BANORTE)</w:t>
            </w:r>
          </w:p>
        </w:tc>
        <w:tc>
          <w:tcPr>
            <w:tcW w:w="1398" w:type="pct"/>
            <w:tcBorders>
              <w:top w:val="nil"/>
              <w:left w:val="nil"/>
              <w:bottom w:val="single" w:sz="4" w:space="0" w:color="auto"/>
              <w:right w:val="single" w:sz="4" w:space="0" w:color="auto"/>
            </w:tcBorders>
            <w:shd w:val="clear" w:color="000000" w:fill="FFFFFF"/>
            <w:noWrap/>
            <w:vAlign w:val="center"/>
            <w:hideMark/>
          </w:tcPr>
          <w:p w14:paraId="6EE1E8B9"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HR AAA (E) (25/04/19)</w:t>
            </w:r>
          </w:p>
        </w:tc>
        <w:tc>
          <w:tcPr>
            <w:tcW w:w="1438" w:type="pct"/>
            <w:tcBorders>
              <w:top w:val="nil"/>
              <w:left w:val="nil"/>
              <w:bottom w:val="single" w:sz="4" w:space="0" w:color="auto"/>
              <w:right w:val="single" w:sz="4" w:space="0" w:color="auto"/>
            </w:tcBorders>
            <w:shd w:val="clear" w:color="000000" w:fill="FFFFFF"/>
            <w:noWrap/>
            <w:vAlign w:val="center"/>
            <w:hideMark/>
          </w:tcPr>
          <w:p w14:paraId="6BAA0215" w14:textId="77777777" w:rsidR="00157164" w:rsidRPr="00F30FD1" w:rsidRDefault="00157164" w:rsidP="00157164">
            <w:pPr>
              <w:spacing w:after="0" w:line="240" w:lineRule="auto"/>
              <w:jc w:val="center"/>
              <w:rPr>
                <w:rFonts w:eastAsia="Times New Roman" w:cs="Futura"/>
                <w:color w:val="595959"/>
                <w:sz w:val="20"/>
                <w:szCs w:val="20"/>
              </w:rPr>
            </w:pPr>
            <w:r w:rsidRPr="00F30FD1">
              <w:rPr>
                <w:rFonts w:eastAsia="Times New Roman" w:cs="Futura"/>
                <w:color w:val="595959"/>
                <w:sz w:val="20"/>
                <w:szCs w:val="20"/>
              </w:rPr>
              <w:t>AA (</w:t>
            </w:r>
            <w:proofErr w:type="spellStart"/>
            <w:r w:rsidRPr="00F30FD1">
              <w:rPr>
                <w:rFonts w:eastAsia="Times New Roman" w:cs="Futura"/>
                <w:color w:val="595959"/>
                <w:sz w:val="20"/>
                <w:szCs w:val="20"/>
              </w:rPr>
              <w:t>mex</w:t>
            </w:r>
            <w:proofErr w:type="spellEnd"/>
            <w:r w:rsidRPr="00F30FD1">
              <w:rPr>
                <w:rFonts w:eastAsia="Times New Roman" w:cs="Futura"/>
                <w:color w:val="595959"/>
                <w:sz w:val="20"/>
                <w:szCs w:val="20"/>
              </w:rPr>
              <w:t xml:space="preserve">) </w:t>
            </w:r>
            <w:proofErr w:type="spellStart"/>
            <w:r w:rsidRPr="00F30FD1">
              <w:rPr>
                <w:rFonts w:eastAsia="Times New Roman" w:cs="Futura"/>
                <w:color w:val="595959"/>
                <w:sz w:val="20"/>
                <w:szCs w:val="20"/>
              </w:rPr>
              <w:t>vra</w:t>
            </w:r>
            <w:proofErr w:type="spellEnd"/>
            <w:r w:rsidRPr="00F30FD1">
              <w:rPr>
                <w:rFonts w:eastAsia="Times New Roman" w:cs="Futura"/>
                <w:color w:val="595959"/>
                <w:sz w:val="20"/>
                <w:szCs w:val="20"/>
              </w:rPr>
              <w:t xml:space="preserve"> (11/11/19)</w:t>
            </w:r>
          </w:p>
        </w:tc>
      </w:tr>
    </w:tbl>
    <w:p w14:paraId="1EEB4160" w14:textId="60A1BFE2" w:rsidR="00677A1B" w:rsidRPr="00F30FD1" w:rsidRDefault="00677A1B" w:rsidP="00677A1B">
      <w:pPr>
        <w:jc w:val="center"/>
        <w:rPr>
          <w:rFonts w:cs="Futura"/>
          <w:color w:val="595959"/>
          <w:sz w:val="20"/>
          <w:szCs w:val="20"/>
        </w:rPr>
      </w:pPr>
    </w:p>
    <w:p w14:paraId="61C30F6B" w14:textId="50998C21" w:rsidR="00D07DFB" w:rsidRPr="00F30FD1" w:rsidRDefault="00D07DFB" w:rsidP="00D07DFB">
      <w:pPr>
        <w:autoSpaceDE w:val="0"/>
        <w:autoSpaceDN w:val="0"/>
        <w:adjustRightInd w:val="0"/>
        <w:spacing w:after="0" w:line="240" w:lineRule="auto"/>
        <w:rPr>
          <w:rFonts w:eastAsia="Times New Roman" w:cs="Futura"/>
          <w:color w:val="595959"/>
          <w:sz w:val="20"/>
          <w:szCs w:val="20"/>
        </w:rPr>
      </w:pPr>
      <w:r w:rsidRPr="00F30FD1">
        <w:rPr>
          <w:rFonts w:eastAsia="Times New Roman" w:cs="Futura"/>
          <w:color w:val="595959"/>
          <w:sz w:val="20"/>
          <w:szCs w:val="20"/>
        </w:rPr>
        <w:t xml:space="preserve">En el 2017, La Dirección de Catastro del Estado de Quintana Roo se </w:t>
      </w:r>
      <w:r w:rsidR="00D07522" w:rsidRPr="00F30FD1">
        <w:rPr>
          <w:rFonts w:eastAsia="Times New Roman" w:cs="Futura"/>
          <w:color w:val="595959"/>
          <w:sz w:val="20"/>
          <w:szCs w:val="20"/>
        </w:rPr>
        <w:t>adhirió</w:t>
      </w:r>
      <w:r w:rsidRPr="00F30FD1">
        <w:rPr>
          <w:rFonts w:eastAsia="Times New Roman" w:cs="Futura"/>
          <w:color w:val="595959"/>
          <w:sz w:val="20"/>
          <w:szCs w:val="20"/>
        </w:rPr>
        <w:t xml:space="preserve"> al programa de Proyectos Registrales y Catastrales de la Secretaria de Desarrollo Agrario, Territorial y Urbano (SEDATU), decisión sustentada en la problemática particular generada por la falta de certeza jurídica de la propiedad social, pública y privada de un gran número de predios en el Estado y la falta de un inventario de la información registral y catastral, en razón de que consideramos imprescindible contar con la información territorial  actualizada y vinculada a una base de datos catastrales que brinden mayor seguridad jurídica en virtud de que los inversionistas en negocios </w:t>
      </w:r>
      <w:r w:rsidR="00157164" w:rsidRPr="00F30FD1">
        <w:rPr>
          <w:rFonts w:eastAsia="Times New Roman" w:cs="Futura"/>
          <w:color w:val="595959"/>
          <w:sz w:val="20"/>
          <w:szCs w:val="20"/>
        </w:rPr>
        <w:t>así</w:t>
      </w:r>
      <w:r w:rsidRPr="00F30FD1">
        <w:rPr>
          <w:rFonts w:eastAsia="Times New Roman" w:cs="Futura"/>
          <w:color w:val="595959"/>
          <w:sz w:val="20"/>
          <w:szCs w:val="20"/>
        </w:rPr>
        <w:t xml:space="preserve"> lo demandan y esto contribuye a fortalecer las políticas públicas, la gestión catastral y la correcta toma de decisiones en los procesos de planeación y ordenamiento inmobiliario en el Estado de Quintana Roo.</w:t>
      </w:r>
    </w:p>
    <w:p w14:paraId="13335749" w14:textId="77777777" w:rsidR="00D07DFB" w:rsidRPr="00F30FD1" w:rsidRDefault="00D07DFB" w:rsidP="00D07DFB">
      <w:pPr>
        <w:autoSpaceDE w:val="0"/>
        <w:autoSpaceDN w:val="0"/>
        <w:adjustRightInd w:val="0"/>
        <w:spacing w:after="0" w:line="240" w:lineRule="auto"/>
        <w:rPr>
          <w:rFonts w:eastAsia="Times New Roman" w:cs="Futura"/>
          <w:color w:val="595959"/>
        </w:rPr>
      </w:pPr>
    </w:p>
    <w:p w14:paraId="33A85613" w14:textId="77777777" w:rsidR="00D07DFB" w:rsidRPr="00F30FD1" w:rsidRDefault="00D07DFB" w:rsidP="00D07DFB">
      <w:pPr>
        <w:autoSpaceDE w:val="0"/>
        <w:autoSpaceDN w:val="0"/>
        <w:adjustRightInd w:val="0"/>
        <w:spacing w:after="0" w:line="240" w:lineRule="auto"/>
        <w:rPr>
          <w:rFonts w:eastAsia="Times New Roman" w:cs="Futura"/>
          <w:color w:val="595959"/>
          <w:sz w:val="20"/>
          <w:szCs w:val="20"/>
        </w:rPr>
      </w:pPr>
      <w:r w:rsidRPr="00F30FD1">
        <w:rPr>
          <w:rFonts w:eastAsia="Times New Roman" w:cs="Futura"/>
          <w:color w:val="595959"/>
          <w:sz w:val="20"/>
          <w:szCs w:val="20"/>
        </w:rPr>
        <w:t>En el 2018 fomentamos la homologación de los procesos catastrales y en especial el reforzamiento de las tecnologías de información y de comunicaciones para el Instituto Geográfico y Catastral y para los catastros municipales en lo general.</w:t>
      </w:r>
    </w:p>
    <w:p w14:paraId="50419081" w14:textId="77777777" w:rsidR="00157164" w:rsidRPr="00F30FD1" w:rsidRDefault="00157164" w:rsidP="00D07DFB">
      <w:pPr>
        <w:autoSpaceDE w:val="0"/>
        <w:autoSpaceDN w:val="0"/>
        <w:adjustRightInd w:val="0"/>
        <w:spacing w:after="0" w:line="240" w:lineRule="auto"/>
        <w:rPr>
          <w:rFonts w:eastAsia="Times New Roman" w:cs="Futura"/>
          <w:color w:val="595959"/>
          <w:sz w:val="20"/>
          <w:szCs w:val="20"/>
        </w:rPr>
      </w:pPr>
    </w:p>
    <w:p w14:paraId="5BFAE67A" w14:textId="3136E48B" w:rsidR="00D07DFB" w:rsidRPr="00F30FD1" w:rsidRDefault="00D07DFB" w:rsidP="00D07DFB">
      <w:pPr>
        <w:autoSpaceDE w:val="0"/>
        <w:autoSpaceDN w:val="0"/>
        <w:adjustRightInd w:val="0"/>
        <w:spacing w:after="0" w:line="240" w:lineRule="auto"/>
        <w:rPr>
          <w:rFonts w:eastAsia="Times New Roman" w:cs="Futura"/>
          <w:color w:val="595959"/>
          <w:sz w:val="20"/>
          <w:szCs w:val="20"/>
        </w:rPr>
      </w:pPr>
      <w:r w:rsidRPr="00F30FD1">
        <w:rPr>
          <w:rFonts w:eastAsia="Times New Roman" w:cs="Futura"/>
          <w:color w:val="595959"/>
          <w:sz w:val="20"/>
          <w:szCs w:val="20"/>
        </w:rPr>
        <w:t>Como antecedente cabe hacer mención de que el Instituto tiene por objeto: “Garantizar la concentración y actualización permanente de registros y padrones relativos a la identificación, registros, cambios y valuación de los bienes inmuebles ubicados en el territorio del Estado con el propósito de coadyuvar a la seguridad jurídica de inversionistas y al fortalecimiento del mercado inmobiliario” y que es prioridad para este Gobierno, seguir fortaleciendo nuestro catastro, alineándolo con el Modelo Optimo de Catastro propuesto por la Federaci</w:t>
      </w:r>
      <w:r w:rsidR="00D07522" w:rsidRPr="00F30FD1">
        <w:rPr>
          <w:rFonts w:eastAsia="Times New Roman" w:cs="Futura"/>
          <w:color w:val="595959"/>
          <w:sz w:val="20"/>
          <w:szCs w:val="20"/>
        </w:rPr>
        <w:t>ó</w:t>
      </w:r>
      <w:r w:rsidRPr="00F30FD1">
        <w:rPr>
          <w:rFonts w:eastAsia="Times New Roman" w:cs="Futura"/>
          <w:color w:val="595959"/>
          <w:sz w:val="20"/>
          <w:szCs w:val="20"/>
        </w:rPr>
        <w:t xml:space="preserve">n, para evolucionar la Plataforma Estatal de Información Catastral, apostando hacia la interoperabilidad y el uso </w:t>
      </w:r>
      <w:proofErr w:type="spellStart"/>
      <w:r w:rsidRPr="00F30FD1">
        <w:rPr>
          <w:rFonts w:eastAsia="Times New Roman" w:cs="Futura"/>
          <w:color w:val="595959"/>
          <w:sz w:val="20"/>
          <w:szCs w:val="20"/>
        </w:rPr>
        <w:t>multifinalitario</w:t>
      </w:r>
      <w:proofErr w:type="spellEnd"/>
      <w:r w:rsidRPr="00F30FD1">
        <w:rPr>
          <w:rFonts w:eastAsia="Times New Roman" w:cs="Futura"/>
          <w:color w:val="595959"/>
          <w:sz w:val="20"/>
          <w:szCs w:val="20"/>
        </w:rPr>
        <w:t xml:space="preserve"> de la información territorial, hasta convertirlo en el motor para elaborar las políticas públicas en cuanto al ordenamiento territorial, desarrollo económico, social y ambiental del estado.</w:t>
      </w:r>
    </w:p>
    <w:p w14:paraId="25AF08E5" w14:textId="77777777" w:rsidR="003124C1" w:rsidRPr="00F30FD1" w:rsidRDefault="003124C1" w:rsidP="00D07DFB">
      <w:pPr>
        <w:autoSpaceDE w:val="0"/>
        <w:autoSpaceDN w:val="0"/>
        <w:adjustRightInd w:val="0"/>
        <w:spacing w:after="0" w:line="240" w:lineRule="auto"/>
        <w:rPr>
          <w:rFonts w:eastAsia="Times New Roman" w:cs="Futura"/>
          <w:color w:val="595959"/>
          <w:sz w:val="20"/>
          <w:szCs w:val="20"/>
        </w:rPr>
      </w:pPr>
    </w:p>
    <w:p w14:paraId="4368AC6A" w14:textId="22D98CD9" w:rsidR="00D07DFB" w:rsidRPr="00F30FD1" w:rsidRDefault="00D07522" w:rsidP="00D07DFB">
      <w:pPr>
        <w:autoSpaceDE w:val="0"/>
        <w:autoSpaceDN w:val="0"/>
        <w:adjustRightInd w:val="0"/>
        <w:spacing w:after="0" w:line="240" w:lineRule="auto"/>
        <w:rPr>
          <w:rFonts w:eastAsia="Times New Roman" w:cs="Futura"/>
          <w:color w:val="595959"/>
          <w:sz w:val="20"/>
          <w:szCs w:val="20"/>
        </w:rPr>
      </w:pPr>
      <w:r w:rsidRPr="00F30FD1">
        <w:rPr>
          <w:rFonts w:eastAsia="Times New Roman" w:cs="Futura"/>
          <w:color w:val="595959"/>
          <w:sz w:val="20"/>
          <w:szCs w:val="20"/>
        </w:rPr>
        <w:t>Históricamente</w:t>
      </w:r>
      <w:r w:rsidR="00D07DFB" w:rsidRPr="00F30FD1">
        <w:rPr>
          <w:rFonts w:eastAsia="Times New Roman" w:cs="Futura"/>
          <w:color w:val="595959"/>
          <w:sz w:val="20"/>
          <w:szCs w:val="20"/>
        </w:rPr>
        <w:t>, la Secretaria de Desarrollo Agrario Territorial y Urbano (SEDATU) lleva un control y seguimiento del grado de modernización catastral que refleja la posición de cada una de las entidades del país.</w:t>
      </w:r>
    </w:p>
    <w:p w14:paraId="21AB2D09" w14:textId="77777777" w:rsidR="00D07DFB" w:rsidRPr="00F30FD1" w:rsidRDefault="00D07DFB" w:rsidP="00D07DFB">
      <w:pPr>
        <w:autoSpaceDE w:val="0"/>
        <w:autoSpaceDN w:val="0"/>
        <w:adjustRightInd w:val="0"/>
        <w:spacing w:after="0" w:line="240" w:lineRule="auto"/>
        <w:rPr>
          <w:rFonts w:eastAsia="Times New Roman" w:cs="Futura"/>
          <w:color w:val="595959"/>
          <w:sz w:val="20"/>
          <w:szCs w:val="20"/>
        </w:rPr>
      </w:pPr>
    </w:p>
    <w:p w14:paraId="3EEB7388" w14:textId="3FE89321" w:rsidR="00D07DFB" w:rsidRPr="00F30FD1" w:rsidRDefault="00D07DFB" w:rsidP="00421B6A">
      <w:pPr>
        <w:autoSpaceDE w:val="0"/>
        <w:autoSpaceDN w:val="0"/>
        <w:adjustRightInd w:val="0"/>
        <w:spacing w:after="0" w:line="240" w:lineRule="auto"/>
        <w:rPr>
          <w:rFonts w:eastAsia="Times New Roman" w:cs="Futura"/>
          <w:color w:val="595959"/>
          <w:sz w:val="20"/>
          <w:szCs w:val="20"/>
        </w:rPr>
      </w:pPr>
      <w:r w:rsidRPr="00F30FD1">
        <w:rPr>
          <w:rFonts w:eastAsia="Times New Roman" w:cs="Futura"/>
          <w:color w:val="595959"/>
          <w:sz w:val="20"/>
          <w:szCs w:val="20"/>
        </w:rPr>
        <w:t>En ese sentido, al inicio de la administración nuestro Estado se encontraba calificado con el nada honroso último lugar del rankin</w:t>
      </w:r>
      <w:r w:rsidR="00D07522" w:rsidRPr="00F30FD1">
        <w:rPr>
          <w:rFonts w:eastAsia="Times New Roman" w:cs="Futura"/>
          <w:color w:val="595959"/>
          <w:sz w:val="20"/>
          <w:szCs w:val="20"/>
        </w:rPr>
        <w:t>g</w:t>
      </w:r>
      <w:r w:rsidRPr="00F30FD1">
        <w:rPr>
          <w:rFonts w:eastAsia="Times New Roman" w:cs="Futura"/>
          <w:color w:val="595959"/>
          <w:sz w:val="20"/>
          <w:szCs w:val="20"/>
        </w:rPr>
        <w:t xml:space="preserve"> nacional, como se aprecia en la siguiente lamina.</w:t>
      </w:r>
    </w:p>
    <w:p w14:paraId="089FD956"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4D93065A" w14:textId="77777777" w:rsidR="00F30FD1" w:rsidRDefault="00F30FD1">
      <w:pPr>
        <w:spacing w:after="0" w:line="240" w:lineRule="auto"/>
        <w:jc w:val="left"/>
        <w:rPr>
          <w:rFonts w:eastAsia="Arial" w:cs="Times New Roman"/>
          <w:b/>
          <w:bCs/>
          <w:color w:val="4BACC6" w:themeColor="accent5"/>
          <w:sz w:val="20"/>
          <w:szCs w:val="20"/>
          <w:lang w:val="es-MX" w:eastAsia="en-US"/>
        </w:rPr>
      </w:pPr>
      <w:r>
        <w:rPr>
          <w:rFonts w:eastAsia="Arial" w:cs="Times New Roman"/>
          <w:b/>
          <w:bCs/>
          <w:color w:val="4BACC6" w:themeColor="accent5"/>
          <w:sz w:val="20"/>
          <w:szCs w:val="20"/>
          <w:lang w:val="es-MX" w:eastAsia="en-US"/>
        </w:rPr>
        <w:br w:type="page"/>
      </w:r>
    </w:p>
    <w:p w14:paraId="27BC94A9" w14:textId="49019FF4" w:rsidR="00157164" w:rsidRPr="00F30FD1" w:rsidRDefault="00157164" w:rsidP="003124C1">
      <w:pPr>
        <w:spacing w:after="0" w:line="240" w:lineRule="auto"/>
        <w:jc w:val="center"/>
        <w:rPr>
          <w:rFonts w:eastAsia="Arial" w:cs="Times New Roman"/>
          <w:b/>
          <w:bCs/>
          <w:color w:val="4BACC6" w:themeColor="accent5"/>
          <w:lang w:val="es-MX" w:eastAsia="en-US"/>
        </w:rPr>
      </w:pPr>
      <w:r w:rsidRPr="00F30FD1">
        <w:rPr>
          <w:rFonts w:eastAsia="Arial" w:cs="Times New Roman"/>
          <w:b/>
          <w:bCs/>
          <w:color w:val="4BACC6" w:themeColor="accent5"/>
          <w:lang w:val="es-MX" w:eastAsia="en-US"/>
        </w:rPr>
        <w:lastRenderedPageBreak/>
        <w:t>Grafica G.</w:t>
      </w:r>
      <w:r w:rsidR="00F30FD1">
        <w:rPr>
          <w:rFonts w:eastAsia="Arial" w:cs="Times New Roman"/>
          <w:b/>
          <w:bCs/>
          <w:color w:val="4BACC6" w:themeColor="accent5"/>
          <w:lang w:val="es-MX" w:eastAsia="en-US"/>
        </w:rPr>
        <w:t>9</w:t>
      </w:r>
      <w:r w:rsidRPr="00F30FD1">
        <w:rPr>
          <w:rFonts w:eastAsia="Arial" w:cs="Times New Roman"/>
          <w:b/>
          <w:bCs/>
          <w:color w:val="4BACC6" w:themeColor="accent5"/>
          <w:lang w:val="es-MX" w:eastAsia="en-US"/>
        </w:rPr>
        <w:t>. Evolución de las Sobretasas Promedio Ponderado</w:t>
      </w:r>
    </w:p>
    <w:p w14:paraId="6BEADBEB" w14:textId="77777777" w:rsidR="00157164" w:rsidRPr="00F30FD1" w:rsidRDefault="00157164" w:rsidP="00157164">
      <w:pPr>
        <w:spacing w:after="0" w:line="240" w:lineRule="auto"/>
        <w:jc w:val="center"/>
        <w:rPr>
          <w:rFonts w:eastAsia="Arial" w:cs="Times New Roman"/>
          <w:b/>
          <w:bCs/>
          <w:color w:val="4BACC6" w:themeColor="accent5"/>
          <w:lang w:val="es-MX" w:eastAsia="en-US"/>
        </w:rPr>
      </w:pPr>
    </w:p>
    <w:p w14:paraId="2C03B8A3" w14:textId="71FA87CD"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r w:rsidRPr="00F30FD1">
        <w:rPr>
          <w:rFonts w:cs="Calibri Light"/>
          <w:noProof/>
          <w:color w:val="4F5155"/>
          <w:sz w:val="20"/>
          <w:szCs w:val="20"/>
          <w:lang w:val="es-MX" w:eastAsia="es-MX"/>
        </w:rPr>
        <w:drawing>
          <wp:anchor distT="0" distB="0" distL="114300" distR="114300" simplePos="0" relativeHeight="251666432" behindDoc="1" locked="0" layoutInCell="1" allowOverlap="1" wp14:anchorId="3C7233AA" wp14:editId="4D57C17F">
            <wp:simplePos x="0" y="0"/>
            <wp:positionH relativeFrom="column">
              <wp:posOffset>3947</wp:posOffset>
            </wp:positionH>
            <wp:positionV relativeFrom="paragraph">
              <wp:posOffset>-3617</wp:posOffset>
            </wp:positionV>
            <wp:extent cx="6114553" cy="3101009"/>
            <wp:effectExtent l="0" t="0" r="635" b="444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993" t="4078" r="1560" b="2345"/>
                    <a:stretch/>
                  </pic:blipFill>
                  <pic:spPr bwMode="auto">
                    <a:xfrm>
                      <a:off x="0" y="0"/>
                      <a:ext cx="6114553" cy="31010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CF1F35"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15ECED81"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3D6018A6"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2A9E6748"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19ECF9DE"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333A82C8"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66B7F0EB"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39A26567"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2618E7D4"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24826777"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39C80397" w14:textId="7777777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p>
    <w:p w14:paraId="69BC0A43" w14:textId="59D25E57" w:rsidR="00D07DFB" w:rsidRPr="00F30FD1" w:rsidRDefault="00D07DFB" w:rsidP="00D07DFB">
      <w:pPr>
        <w:autoSpaceDE w:val="0"/>
        <w:autoSpaceDN w:val="0"/>
        <w:adjustRightInd w:val="0"/>
        <w:spacing w:after="0" w:line="240" w:lineRule="auto"/>
        <w:rPr>
          <w:rFonts w:cs="Calibri Light"/>
          <w:color w:val="4F5155"/>
          <w:sz w:val="20"/>
          <w:szCs w:val="20"/>
        </w:rPr>
      </w:pPr>
    </w:p>
    <w:p w14:paraId="6DE28EB8" w14:textId="77777777" w:rsidR="00D07DFB" w:rsidRPr="00F30FD1" w:rsidRDefault="00D07DFB" w:rsidP="00D07DFB">
      <w:pPr>
        <w:autoSpaceDE w:val="0"/>
        <w:autoSpaceDN w:val="0"/>
        <w:adjustRightInd w:val="0"/>
        <w:spacing w:after="0" w:line="240" w:lineRule="auto"/>
        <w:rPr>
          <w:rFonts w:cs="Calibri Light"/>
          <w:color w:val="4F5155"/>
          <w:sz w:val="20"/>
          <w:szCs w:val="20"/>
        </w:rPr>
      </w:pPr>
    </w:p>
    <w:p w14:paraId="12891C2F" w14:textId="77777777" w:rsidR="00157164" w:rsidRPr="00F30FD1" w:rsidRDefault="00157164" w:rsidP="00D07DFB">
      <w:pPr>
        <w:autoSpaceDE w:val="0"/>
        <w:autoSpaceDN w:val="0"/>
        <w:adjustRightInd w:val="0"/>
        <w:spacing w:after="0" w:line="240" w:lineRule="auto"/>
        <w:rPr>
          <w:rFonts w:eastAsia="Times New Roman" w:cs="Futura"/>
          <w:color w:val="595959"/>
        </w:rPr>
      </w:pPr>
    </w:p>
    <w:p w14:paraId="310AEB13" w14:textId="77777777" w:rsidR="00157164" w:rsidRPr="00F30FD1" w:rsidRDefault="00157164" w:rsidP="00D07DFB">
      <w:pPr>
        <w:autoSpaceDE w:val="0"/>
        <w:autoSpaceDN w:val="0"/>
        <w:adjustRightInd w:val="0"/>
        <w:spacing w:after="0" w:line="240" w:lineRule="auto"/>
        <w:rPr>
          <w:rFonts w:eastAsia="Times New Roman" w:cs="Futura"/>
          <w:color w:val="595959"/>
        </w:rPr>
      </w:pPr>
    </w:p>
    <w:p w14:paraId="0AE913FE" w14:textId="77777777" w:rsidR="00157164" w:rsidRPr="00F30FD1" w:rsidRDefault="00157164" w:rsidP="00D07DFB">
      <w:pPr>
        <w:autoSpaceDE w:val="0"/>
        <w:autoSpaceDN w:val="0"/>
        <w:adjustRightInd w:val="0"/>
        <w:spacing w:after="0" w:line="240" w:lineRule="auto"/>
        <w:rPr>
          <w:rFonts w:eastAsia="Times New Roman" w:cs="Futura"/>
          <w:color w:val="595959"/>
        </w:rPr>
      </w:pPr>
    </w:p>
    <w:p w14:paraId="2AB0B3D1" w14:textId="77777777" w:rsidR="00157164" w:rsidRPr="00F30FD1" w:rsidRDefault="00157164" w:rsidP="00D07DFB">
      <w:pPr>
        <w:autoSpaceDE w:val="0"/>
        <w:autoSpaceDN w:val="0"/>
        <w:adjustRightInd w:val="0"/>
        <w:spacing w:after="0" w:line="240" w:lineRule="auto"/>
        <w:rPr>
          <w:rFonts w:eastAsia="Times New Roman" w:cs="Futura"/>
          <w:color w:val="595959"/>
        </w:rPr>
      </w:pPr>
    </w:p>
    <w:p w14:paraId="57EF29C6" w14:textId="77777777" w:rsidR="00157164" w:rsidRPr="00F30FD1" w:rsidRDefault="00157164" w:rsidP="00D07DFB">
      <w:pPr>
        <w:autoSpaceDE w:val="0"/>
        <w:autoSpaceDN w:val="0"/>
        <w:adjustRightInd w:val="0"/>
        <w:spacing w:after="0" w:line="240" w:lineRule="auto"/>
        <w:rPr>
          <w:rFonts w:eastAsia="Times New Roman" w:cs="Futura"/>
          <w:color w:val="595959"/>
        </w:rPr>
      </w:pPr>
    </w:p>
    <w:p w14:paraId="0D226A66" w14:textId="77777777" w:rsidR="00157164" w:rsidRPr="00F30FD1" w:rsidRDefault="00157164" w:rsidP="00D07DFB">
      <w:pPr>
        <w:autoSpaceDE w:val="0"/>
        <w:autoSpaceDN w:val="0"/>
        <w:adjustRightInd w:val="0"/>
        <w:spacing w:after="0" w:line="240" w:lineRule="auto"/>
        <w:rPr>
          <w:rFonts w:eastAsia="Times New Roman" w:cs="Futura"/>
          <w:color w:val="595959"/>
        </w:rPr>
      </w:pPr>
    </w:p>
    <w:p w14:paraId="278A15A4" w14:textId="66D74606" w:rsidR="00D07DFB" w:rsidRPr="00F30FD1" w:rsidRDefault="00D07DFB" w:rsidP="00D07DFB">
      <w:pPr>
        <w:autoSpaceDE w:val="0"/>
        <w:autoSpaceDN w:val="0"/>
        <w:adjustRightInd w:val="0"/>
        <w:spacing w:after="0" w:line="240" w:lineRule="auto"/>
        <w:rPr>
          <w:rFonts w:eastAsia="Times New Roman" w:cs="Futura"/>
          <w:color w:val="595959"/>
        </w:rPr>
      </w:pPr>
      <w:r w:rsidRPr="00F30FD1">
        <w:rPr>
          <w:rFonts w:eastAsia="Times New Roman" w:cs="Futura"/>
          <w:color w:val="595959"/>
        </w:rPr>
        <w:t xml:space="preserve">Con los esfuerzos hechos durante la presente administración en la que la instrucción de nuestro Ejecutivo Estatal C.P. Carlos M. </w:t>
      </w:r>
      <w:r w:rsidR="00D07522" w:rsidRPr="00F30FD1">
        <w:rPr>
          <w:rFonts w:eastAsia="Times New Roman" w:cs="Futura"/>
          <w:color w:val="595959"/>
        </w:rPr>
        <w:t>Joaquín</w:t>
      </w:r>
      <w:r w:rsidRPr="00F30FD1">
        <w:rPr>
          <w:rFonts w:eastAsia="Times New Roman" w:cs="Futura"/>
          <w:color w:val="595959"/>
        </w:rPr>
        <w:t xml:space="preserve"> </w:t>
      </w:r>
      <w:r w:rsidR="00D07522" w:rsidRPr="00F30FD1">
        <w:rPr>
          <w:rFonts w:eastAsia="Times New Roman" w:cs="Futura"/>
          <w:color w:val="595959"/>
        </w:rPr>
        <w:t>González</w:t>
      </w:r>
      <w:r w:rsidRPr="00F30FD1">
        <w:rPr>
          <w:rFonts w:eastAsia="Times New Roman" w:cs="Futura"/>
          <w:color w:val="595959"/>
        </w:rPr>
        <w:t xml:space="preserve"> fue claramente llevar como una política institucional de gobierno, la participación decidida del IGECE en el proceso de modernización catastral, con los proyectos de modernización catastral correspondientes a los años de 2017 y 2018 hemos logrado abandonar el último lugar situándonos actualmente en el lugar 23avo. Como lo señala la propia </w:t>
      </w:r>
      <w:r w:rsidR="00D07522" w:rsidRPr="00F30FD1">
        <w:rPr>
          <w:rFonts w:eastAsia="Times New Roman" w:cs="Futura"/>
          <w:color w:val="595959"/>
        </w:rPr>
        <w:t>Institución</w:t>
      </w:r>
      <w:r w:rsidRPr="00F30FD1">
        <w:rPr>
          <w:rFonts w:eastAsia="Times New Roman" w:cs="Futura"/>
          <w:color w:val="595959"/>
        </w:rPr>
        <w:t xml:space="preserve"> Federal, entendiéndose que todavía se encuentra pendiente de valorar los resultados del proyecto 2019, toda vez que nos encontramos en la etapa de revisión y aceptación de los trabajos, lo cual realizamos de manera coordinada entre la federación (SEDATU) y el Estado (IGECE). </w:t>
      </w:r>
    </w:p>
    <w:p w14:paraId="776D0486" w14:textId="77777777" w:rsidR="00D07DFB" w:rsidRPr="00F30FD1" w:rsidRDefault="00D07DFB" w:rsidP="00D07DFB">
      <w:pPr>
        <w:autoSpaceDE w:val="0"/>
        <w:autoSpaceDN w:val="0"/>
        <w:adjustRightInd w:val="0"/>
        <w:spacing w:after="0" w:line="240" w:lineRule="auto"/>
        <w:rPr>
          <w:rFonts w:cs="Calibri Light"/>
          <w:color w:val="4F5155"/>
          <w:sz w:val="20"/>
          <w:szCs w:val="20"/>
        </w:rPr>
      </w:pPr>
    </w:p>
    <w:p w14:paraId="04708379" w14:textId="3CD0CA50" w:rsidR="00100B8B" w:rsidRDefault="00100B8B">
      <w:pPr>
        <w:spacing w:after="0" w:line="240" w:lineRule="auto"/>
        <w:jc w:val="left"/>
        <w:rPr>
          <w:rFonts w:eastAsia="Arial" w:cs="Times New Roman"/>
          <w:b/>
          <w:bCs/>
          <w:color w:val="4BACC6" w:themeColor="accent5"/>
          <w:sz w:val="20"/>
          <w:szCs w:val="20"/>
          <w:lang w:val="es-MX" w:eastAsia="en-US"/>
        </w:rPr>
      </w:pPr>
      <w:r>
        <w:rPr>
          <w:rFonts w:eastAsia="Arial" w:cs="Times New Roman"/>
          <w:b/>
          <w:bCs/>
          <w:color w:val="4BACC6" w:themeColor="accent5"/>
          <w:sz w:val="20"/>
          <w:szCs w:val="20"/>
          <w:lang w:val="es-MX" w:eastAsia="en-US"/>
        </w:rPr>
        <w:br w:type="page"/>
      </w:r>
    </w:p>
    <w:p w14:paraId="30EE3934" w14:textId="77777777" w:rsidR="00C920BF" w:rsidRPr="00F30FD1" w:rsidRDefault="00C920BF">
      <w:pPr>
        <w:spacing w:after="0" w:line="240" w:lineRule="auto"/>
        <w:jc w:val="left"/>
        <w:rPr>
          <w:rFonts w:eastAsia="Arial" w:cs="Times New Roman"/>
          <w:b/>
          <w:bCs/>
          <w:color w:val="4BACC6" w:themeColor="accent5"/>
          <w:sz w:val="20"/>
          <w:szCs w:val="20"/>
          <w:lang w:val="es-MX" w:eastAsia="en-US"/>
        </w:rPr>
      </w:pPr>
    </w:p>
    <w:p w14:paraId="4B4D7581" w14:textId="77D39537" w:rsidR="00157164" w:rsidRPr="00F30FD1" w:rsidRDefault="00157164" w:rsidP="00157164">
      <w:pPr>
        <w:spacing w:after="0" w:line="240" w:lineRule="auto"/>
        <w:jc w:val="center"/>
        <w:rPr>
          <w:rFonts w:eastAsia="Arial" w:cs="Times New Roman"/>
          <w:b/>
          <w:bCs/>
          <w:color w:val="4BACC6" w:themeColor="accent5"/>
          <w:sz w:val="20"/>
          <w:szCs w:val="20"/>
          <w:lang w:val="es-MX" w:eastAsia="en-US"/>
        </w:rPr>
      </w:pPr>
      <w:r w:rsidRPr="00F30FD1">
        <w:rPr>
          <w:rFonts w:eastAsia="Arial" w:cs="Times New Roman"/>
          <w:b/>
          <w:bCs/>
          <w:color w:val="4BACC6" w:themeColor="accent5"/>
          <w:sz w:val="20"/>
          <w:szCs w:val="20"/>
          <w:lang w:val="es-MX" w:eastAsia="en-US"/>
        </w:rPr>
        <w:t>Grafica G.</w:t>
      </w:r>
      <w:r w:rsidR="00F30FD1">
        <w:rPr>
          <w:rFonts w:eastAsia="Arial" w:cs="Times New Roman"/>
          <w:b/>
          <w:bCs/>
          <w:color w:val="4BACC6" w:themeColor="accent5"/>
          <w:sz w:val="20"/>
          <w:szCs w:val="20"/>
          <w:lang w:val="es-MX" w:eastAsia="en-US"/>
        </w:rPr>
        <w:t>10</w:t>
      </w:r>
      <w:r w:rsidRPr="00F30FD1">
        <w:rPr>
          <w:rFonts w:eastAsia="Arial" w:cs="Times New Roman"/>
          <w:b/>
          <w:bCs/>
          <w:color w:val="4BACC6" w:themeColor="accent5"/>
          <w:sz w:val="20"/>
          <w:szCs w:val="20"/>
          <w:lang w:val="es-MX" w:eastAsia="en-US"/>
        </w:rPr>
        <w:t>. Evolución de las Sobretasas Promedio Ponderado</w:t>
      </w:r>
    </w:p>
    <w:p w14:paraId="33CC9A6F" w14:textId="1C13451A" w:rsidR="00157164" w:rsidRPr="00F30FD1" w:rsidRDefault="00157164" w:rsidP="00D07DFB">
      <w:pPr>
        <w:autoSpaceDE w:val="0"/>
        <w:autoSpaceDN w:val="0"/>
        <w:adjustRightInd w:val="0"/>
        <w:spacing w:after="0" w:line="240" w:lineRule="auto"/>
        <w:rPr>
          <w:rFonts w:cs="Calibri Light"/>
          <w:color w:val="4F5155"/>
          <w:sz w:val="20"/>
          <w:szCs w:val="20"/>
        </w:rPr>
      </w:pPr>
      <w:r w:rsidRPr="00F30FD1">
        <w:rPr>
          <w:rFonts w:cs="Calibri Light"/>
          <w:noProof/>
          <w:color w:val="4F5155"/>
          <w:sz w:val="20"/>
          <w:szCs w:val="20"/>
          <w:lang w:val="es-MX" w:eastAsia="es-MX"/>
        </w:rPr>
        <w:drawing>
          <wp:anchor distT="0" distB="0" distL="114300" distR="114300" simplePos="0" relativeHeight="251667456" behindDoc="1" locked="0" layoutInCell="1" allowOverlap="1" wp14:anchorId="7B8EE143" wp14:editId="5354358E">
            <wp:simplePos x="0" y="0"/>
            <wp:positionH relativeFrom="column">
              <wp:posOffset>11899</wp:posOffset>
            </wp:positionH>
            <wp:positionV relativeFrom="paragraph">
              <wp:posOffset>134261</wp:posOffset>
            </wp:positionV>
            <wp:extent cx="6241774" cy="2981739"/>
            <wp:effectExtent l="0" t="0" r="6985"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6224" cy="2983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95E65E"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15B37706"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20E9D09D"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44F4C9B0"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7DEA36AE"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1D40B7EF"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56DD15ED"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7A9F1796"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4458C450"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1C6FFD6B"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0F59A8DF"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7DB032EC"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6B9E859D"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3B78B7DE" w14:textId="77777777" w:rsidR="00157164" w:rsidRPr="00F30FD1" w:rsidRDefault="00157164" w:rsidP="00D07DFB">
      <w:pPr>
        <w:autoSpaceDE w:val="0"/>
        <w:autoSpaceDN w:val="0"/>
        <w:adjustRightInd w:val="0"/>
        <w:spacing w:after="0" w:line="240" w:lineRule="auto"/>
        <w:rPr>
          <w:rFonts w:cs="Calibri Light"/>
          <w:color w:val="4F5155"/>
          <w:sz w:val="20"/>
          <w:szCs w:val="20"/>
        </w:rPr>
      </w:pPr>
    </w:p>
    <w:p w14:paraId="2C53819E" w14:textId="57B37EC6" w:rsidR="00D07DFB" w:rsidRPr="00F30FD1" w:rsidRDefault="00D07DFB" w:rsidP="00D07DFB">
      <w:pPr>
        <w:autoSpaceDE w:val="0"/>
        <w:autoSpaceDN w:val="0"/>
        <w:adjustRightInd w:val="0"/>
        <w:spacing w:after="0" w:line="240" w:lineRule="auto"/>
        <w:rPr>
          <w:rFonts w:cs="Calibri Light"/>
          <w:color w:val="4F5155"/>
          <w:sz w:val="20"/>
          <w:szCs w:val="20"/>
        </w:rPr>
      </w:pPr>
    </w:p>
    <w:p w14:paraId="1AA04452" w14:textId="77777777" w:rsidR="00D07DFB" w:rsidRPr="00F30FD1" w:rsidRDefault="00D07DFB" w:rsidP="00D07DFB">
      <w:pPr>
        <w:autoSpaceDE w:val="0"/>
        <w:autoSpaceDN w:val="0"/>
        <w:adjustRightInd w:val="0"/>
        <w:spacing w:after="0" w:line="240" w:lineRule="auto"/>
        <w:rPr>
          <w:rFonts w:cs="Calibri Light"/>
          <w:color w:val="4F5155"/>
          <w:sz w:val="20"/>
          <w:szCs w:val="20"/>
        </w:rPr>
      </w:pPr>
    </w:p>
    <w:p w14:paraId="2A6BAB48" w14:textId="77777777" w:rsidR="00157164" w:rsidRPr="00F30FD1" w:rsidRDefault="00157164" w:rsidP="00D07DFB">
      <w:pPr>
        <w:autoSpaceDE w:val="0"/>
        <w:autoSpaceDN w:val="0"/>
        <w:adjustRightInd w:val="0"/>
        <w:spacing w:after="0" w:line="240" w:lineRule="auto"/>
        <w:rPr>
          <w:rFonts w:eastAsia="Times New Roman" w:cs="Futura"/>
          <w:color w:val="595959"/>
        </w:rPr>
      </w:pPr>
    </w:p>
    <w:p w14:paraId="7F96BC66" w14:textId="77777777" w:rsidR="00157164" w:rsidRPr="00F30FD1" w:rsidRDefault="00157164" w:rsidP="00D07DFB">
      <w:pPr>
        <w:autoSpaceDE w:val="0"/>
        <w:autoSpaceDN w:val="0"/>
        <w:adjustRightInd w:val="0"/>
        <w:spacing w:after="0" w:line="240" w:lineRule="auto"/>
        <w:rPr>
          <w:rFonts w:eastAsia="Times New Roman" w:cs="Futura"/>
          <w:color w:val="595959"/>
        </w:rPr>
      </w:pPr>
    </w:p>
    <w:p w14:paraId="54C68DB0" w14:textId="77777777" w:rsidR="00157164" w:rsidRPr="00F30FD1" w:rsidRDefault="00157164" w:rsidP="00D07DFB">
      <w:pPr>
        <w:autoSpaceDE w:val="0"/>
        <w:autoSpaceDN w:val="0"/>
        <w:adjustRightInd w:val="0"/>
        <w:spacing w:after="0" w:line="240" w:lineRule="auto"/>
        <w:rPr>
          <w:rFonts w:eastAsia="Times New Roman" w:cs="Futura"/>
          <w:color w:val="595959"/>
        </w:rPr>
      </w:pPr>
    </w:p>
    <w:p w14:paraId="1169C0EE" w14:textId="77777777" w:rsidR="00D07DFB" w:rsidRPr="00F30FD1" w:rsidRDefault="00D07DFB" w:rsidP="00D07DFB">
      <w:pPr>
        <w:autoSpaceDE w:val="0"/>
        <w:autoSpaceDN w:val="0"/>
        <w:adjustRightInd w:val="0"/>
        <w:spacing w:after="0" w:line="240" w:lineRule="auto"/>
        <w:rPr>
          <w:rFonts w:eastAsia="Times New Roman" w:cs="Futura"/>
          <w:color w:val="595959"/>
        </w:rPr>
      </w:pPr>
      <w:r w:rsidRPr="00F30FD1">
        <w:rPr>
          <w:rFonts w:eastAsia="Times New Roman" w:cs="Futura"/>
          <w:color w:val="595959"/>
        </w:rPr>
        <w:t xml:space="preserve">Para el 2020, damos continuidad al proceso de concentración y depuración del dato catastral con las siguientes acciones: </w:t>
      </w:r>
    </w:p>
    <w:p w14:paraId="211B1459" w14:textId="77777777" w:rsidR="00D07DFB" w:rsidRPr="00F30FD1" w:rsidRDefault="00D07DFB" w:rsidP="00D07DFB">
      <w:pPr>
        <w:autoSpaceDE w:val="0"/>
        <w:autoSpaceDN w:val="0"/>
        <w:adjustRightInd w:val="0"/>
        <w:spacing w:after="0" w:line="240" w:lineRule="auto"/>
        <w:rPr>
          <w:rFonts w:eastAsia="Times New Roman" w:cs="Futura"/>
          <w:color w:val="595959"/>
        </w:rPr>
      </w:pPr>
    </w:p>
    <w:p w14:paraId="26E8626A" w14:textId="77777777" w:rsidR="00D07DFB" w:rsidRPr="00F30FD1" w:rsidRDefault="00D07DFB" w:rsidP="00D07DFB">
      <w:pPr>
        <w:autoSpaceDE w:val="0"/>
        <w:autoSpaceDN w:val="0"/>
        <w:adjustRightInd w:val="0"/>
        <w:spacing w:after="0" w:line="240" w:lineRule="auto"/>
        <w:rPr>
          <w:rFonts w:eastAsia="Times New Roman" w:cs="Futura"/>
          <w:color w:val="595959"/>
        </w:rPr>
      </w:pPr>
      <w:r w:rsidRPr="00F30FD1">
        <w:rPr>
          <w:rFonts w:eastAsia="Times New Roman" w:cs="Futura"/>
          <w:color w:val="595959"/>
        </w:rPr>
        <w:t xml:space="preserve">1.- MEDICIÓN DE FRENTES DE PREDIOS EN NUEVE LOCALIDADES ESTRATEGICAS; Buenavista, Bacalar, Chetumal, Calderitas, </w:t>
      </w:r>
      <w:proofErr w:type="spellStart"/>
      <w:r w:rsidRPr="00F30FD1">
        <w:rPr>
          <w:rFonts w:eastAsia="Times New Roman" w:cs="Futura"/>
          <w:color w:val="595959"/>
        </w:rPr>
        <w:t>Jose</w:t>
      </w:r>
      <w:proofErr w:type="spellEnd"/>
      <w:r w:rsidRPr="00F30FD1">
        <w:rPr>
          <w:rFonts w:eastAsia="Times New Roman" w:cs="Futura"/>
          <w:color w:val="595959"/>
        </w:rPr>
        <w:t xml:space="preserve"> Ma. Morelos, Isla Mujeres, Carrillo </w:t>
      </w:r>
      <w:proofErr w:type="spellStart"/>
      <w:r w:rsidRPr="00F30FD1">
        <w:rPr>
          <w:rFonts w:eastAsia="Times New Roman" w:cs="Futura"/>
          <w:color w:val="595959"/>
        </w:rPr>
        <w:t>pto</w:t>
      </w:r>
      <w:proofErr w:type="spellEnd"/>
      <w:r w:rsidRPr="00F30FD1">
        <w:rPr>
          <w:rFonts w:eastAsia="Times New Roman" w:cs="Futura"/>
          <w:color w:val="595959"/>
        </w:rPr>
        <w:t xml:space="preserve">, </w:t>
      </w:r>
      <w:proofErr w:type="spellStart"/>
      <w:r w:rsidRPr="00F30FD1">
        <w:rPr>
          <w:rFonts w:eastAsia="Times New Roman" w:cs="Futura"/>
          <w:color w:val="595959"/>
        </w:rPr>
        <w:t>kantunilkin</w:t>
      </w:r>
      <w:proofErr w:type="spellEnd"/>
      <w:r w:rsidRPr="00F30FD1">
        <w:rPr>
          <w:rFonts w:eastAsia="Times New Roman" w:cs="Futura"/>
          <w:color w:val="595959"/>
        </w:rPr>
        <w:t xml:space="preserve"> y  </w:t>
      </w:r>
      <w:proofErr w:type="spellStart"/>
      <w:r w:rsidRPr="00F30FD1">
        <w:rPr>
          <w:rFonts w:eastAsia="Times New Roman" w:cs="Futura"/>
          <w:color w:val="595959"/>
        </w:rPr>
        <w:t>holbox</w:t>
      </w:r>
      <w:proofErr w:type="spellEnd"/>
      <w:r w:rsidRPr="00F30FD1">
        <w:rPr>
          <w:rFonts w:eastAsia="Times New Roman" w:cs="Futura"/>
          <w:color w:val="595959"/>
        </w:rPr>
        <w:t xml:space="preserve"> (102,010 Predios)</w:t>
      </w:r>
    </w:p>
    <w:p w14:paraId="3C144C4F" w14:textId="77777777" w:rsidR="00D07DFB" w:rsidRPr="00F30FD1" w:rsidRDefault="00D07DFB" w:rsidP="00D07DFB">
      <w:pPr>
        <w:autoSpaceDE w:val="0"/>
        <w:autoSpaceDN w:val="0"/>
        <w:adjustRightInd w:val="0"/>
        <w:spacing w:after="0" w:line="240" w:lineRule="auto"/>
        <w:rPr>
          <w:rFonts w:eastAsia="Times New Roman" w:cs="Futura"/>
          <w:color w:val="595959"/>
        </w:rPr>
      </w:pPr>
    </w:p>
    <w:p w14:paraId="71C03755" w14:textId="77777777" w:rsidR="00D07DFB" w:rsidRPr="00F30FD1" w:rsidRDefault="00D07DFB" w:rsidP="00D07DFB">
      <w:pPr>
        <w:autoSpaceDE w:val="0"/>
        <w:autoSpaceDN w:val="0"/>
        <w:adjustRightInd w:val="0"/>
        <w:spacing w:after="0" w:line="240" w:lineRule="auto"/>
        <w:rPr>
          <w:rFonts w:eastAsia="Times New Roman" w:cs="Futura"/>
          <w:color w:val="595959"/>
        </w:rPr>
      </w:pPr>
      <w:r w:rsidRPr="00F30FD1">
        <w:rPr>
          <w:rFonts w:eastAsia="Times New Roman" w:cs="Futura"/>
          <w:color w:val="595959"/>
        </w:rPr>
        <w:t>2.- GENERACIÓN DE ORTOFOTOS DE QUINCE LOCALIDADES ESTRATÉGICAS.</w:t>
      </w:r>
    </w:p>
    <w:p w14:paraId="7617A067" w14:textId="20F77582" w:rsidR="00D07DFB" w:rsidRPr="00F30FD1" w:rsidRDefault="00D07DFB" w:rsidP="00D07DFB">
      <w:pPr>
        <w:autoSpaceDE w:val="0"/>
        <w:autoSpaceDN w:val="0"/>
        <w:adjustRightInd w:val="0"/>
        <w:spacing w:after="0" w:line="240" w:lineRule="auto"/>
        <w:rPr>
          <w:rFonts w:eastAsia="Times New Roman" w:cs="Futura"/>
          <w:color w:val="595959"/>
        </w:rPr>
      </w:pPr>
      <w:r w:rsidRPr="00F30FD1">
        <w:rPr>
          <w:rFonts w:eastAsia="Times New Roman" w:cs="Futura"/>
          <w:color w:val="595959"/>
        </w:rPr>
        <w:t xml:space="preserve">Del municipio de </w:t>
      </w:r>
      <w:r w:rsidR="00157164" w:rsidRPr="00F30FD1">
        <w:rPr>
          <w:rFonts w:eastAsia="Times New Roman" w:cs="Futura"/>
          <w:color w:val="595959"/>
        </w:rPr>
        <w:t>Othón</w:t>
      </w:r>
      <w:r w:rsidRPr="00F30FD1">
        <w:rPr>
          <w:rFonts w:eastAsia="Times New Roman" w:cs="Futura"/>
          <w:color w:val="595959"/>
        </w:rPr>
        <w:t xml:space="preserve"> P. Blanco; Luis </w:t>
      </w:r>
      <w:r w:rsidR="00157164" w:rsidRPr="00F30FD1">
        <w:rPr>
          <w:rFonts w:eastAsia="Times New Roman" w:cs="Futura"/>
          <w:color w:val="595959"/>
        </w:rPr>
        <w:t>Echeverría</w:t>
      </w:r>
      <w:r w:rsidRPr="00F30FD1">
        <w:rPr>
          <w:rFonts w:eastAsia="Times New Roman" w:cs="Futura"/>
          <w:color w:val="595959"/>
        </w:rPr>
        <w:t xml:space="preserve"> </w:t>
      </w:r>
      <w:r w:rsidR="00157164" w:rsidRPr="00F30FD1">
        <w:rPr>
          <w:rFonts w:eastAsia="Times New Roman" w:cs="Futura"/>
          <w:color w:val="595959"/>
        </w:rPr>
        <w:t>Álvarez</w:t>
      </w:r>
      <w:r w:rsidRPr="00F30FD1">
        <w:rPr>
          <w:rFonts w:eastAsia="Times New Roman" w:cs="Futura"/>
          <w:color w:val="595959"/>
        </w:rPr>
        <w:t xml:space="preserve">, Laguna Guerrero, </w:t>
      </w:r>
      <w:proofErr w:type="spellStart"/>
      <w:r w:rsidRPr="00F30FD1">
        <w:rPr>
          <w:rFonts w:eastAsia="Times New Roman" w:cs="Futura"/>
          <w:color w:val="595959"/>
        </w:rPr>
        <w:t>Pucté</w:t>
      </w:r>
      <w:proofErr w:type="spellEnd"/>
      <w:r w:rsidRPr="00F30FD1">
        <w:rPr>
          <w:rFonts w:eastAsia="Times New Roman" w:cs="Futura"/>
          <w:color w:val="595959"/>
        </w:rPr>
        <w:t xml:space="preserve">, Tres </w:t>
      </w:r>
      <w:r w:rsidR="00157164" w:rsidRPr="00F30FD1">
        <w:rPr>
          <w:rFonts w:eastAsia="Times New Roman" w:cs="Futura"/>
          <w:color w:val="595959"/>
        </w:rPr>
        <w:t>Garantías</w:t>
      </w:r>
      <w:r w:rsidRPr="00F30FD1">
        <w:rPr>
          <w:rFonts w:eastAsia="Times New Roman" w:cs="Futura"/>
          <w:color w:val="595959"/>
        </w:rPr>
        <w:t>, La Unión, San Francisco Botes.</w:t>
      </w:r>
    </w:p>
    <w:p w14:paraId="0371783F" w14:textId="77777777" w:rsidR="00D07DFB" w:rsidRPr="00F30FD1" w:rsidRDefault="00D07DFB" w:rsidP="00D07DFB">
      <w:pPr>
        <w:autoSpaceDE w:val="0"/>
        <w:autoSpaceDN w:val="0"/>
        <w:adjustRightInd w:val="0"/>
        <w:spacing w:after="0" w:line="240" w:lineRule="auto"/>
        <w:rPr>
          <w:rFonts w:eastAsia="Times New Roman" w:cs="Futura"/>
          <w:color w:val="595959"/>
        </w:rPr>
      </w:pPr>
      <w:r w:rsidRPr="00F30FD1">
        <w:rPr>
          <w:rFonts w:eastAsia="Times New Roman" w:cs="Futura"/>
          <w:color w:val="595959"/>
        </w:rPr>
        <w:t xml:space="preserve">Del municipio de Bacalar; </w:t>
      </w:r>
      <w:proofErr w:type="spellStart"/>
      <w:r w:rsidRPr="00F30FD1">
        <w:rPr>
          <w:rFonts w:eastAsia="Times New Roman" w:cs="Futura"/>
          <w:color w:val="595959"/>
        </w:rPr>
        <w:t>Chacchoben</w:t>
      </w:r>
      <w:proofErr w:type="spellEnd"/>
      <w:r w:rsidRPr="00F30FD1">
        <w:rPr>
          <w:rFonts w:eastAsia="Times New Roman" w:cs="Futura"/>
          <w:color w:val="595959"/>
        </w:rPr>
        <w:t>, Pedro Antonio Santos.</w:t>
      </w:r>
    </w:p>
    <w:p w14:paraId="331EC0DC" w14:textId="77777777" w:rsidR="00D07DFB" w:rsidRPr="00F30FD1" w:rsidRDefault="00D07DFB" w:rsidP="00D07DFB">
      <w:pPr>
        <w:autoSpaceDE w:val="0"/>
        <w:autoSpaceDN w:val="0"/>
        <w:adjustRightInd w:val="0"/>
        <w:spacing w:after="0" w:line="240" w:lineRule="auto"/>
        <w:rPr>
          <w:rFonts w:eastAsia="Times New Roman" w:cs="Futura"/>
          <w:color w:val="595959"/>
        </w:rPr>
      </w:pPr>
      <w:r w:rsidRPr="00F30FD1">
        <w:rPr>
          <w:rFonts w:eastAsia="Times New Roman" w:cs="Futura"/>
          <w:color w:val="595959"/>
        </w:rPr>
        <w:t xml:space="preserve">Del municipio de José María Morelos; </w:t>
      </w:r>
      <w:proofErr w:type="spellStart"/>
      <w:r w:rsidRPr="00F30FD1">
        <w:rPr>
          <w:rFonts w:eastAsia="Times New Roman" w:cs="Futura"/>
          <w:color w:val="595959"/>
        </w:rPr>
        <w:t>Sabán</w:t>
      </w:r>
      <w:proofErr w:type="spellEnd"/>
      <w:r w:rsidRPr="00F30FD1">
        <w:rPr>
          <w:rFonts w:eastAsia="Times New Roman" w:cs="Futura"/>
          <w:color w:val="595959"/>
        </w:rPr>
        <w:t xml:space="preserve">, </w:t>
      </w:r>
      <w:proofErr w:type="spellStart"/>
      <w:r w:rsidRPr="00F30FD1">
        <w:rPr>
          <w:rFonts w:eastAsia="Times New Roman" w:cs="Futura"/>
          <w:color w:val="595959"/>
        </w:rPr>
        <w:t>Huay</w:t>
      </w:r>
      <w:proofErr w:type="spellEnd"/>
      <w:r w:rsidRPr="00F30FD1">
        <w:rPr>
          <w:rFonts w:eastAsia="Times New Roman" w:cs="Futura"/>
          <w:color w:val="595959"/>
        </w:rPr>
        <w:t xml:space="preserve"> Max, La Presumida. X-</w:t>
      </w:r>
      <w:proofErr w:type="spellStart"/>
      <w:r w:rsidRPr="00F30FD1">
        <w:rPr>
          <w:rFonts w:eastAsia="Times New Roman" w:cs="Futura"/>
          <w:color w:val="595959"/>
        </w:rPr>
        <w:t>Cabil</w:t>
      </w:r>
      <w:proofErr w:type="spellEnd"/>
      <w:r w:rsidRPr="00F30FD1">
        <w:rPr>
          <w:rFonts w:eastAsia="Times New Roman" w:cs="Futura"/>
          <w:color w:val="595959"/>
        </w:rPr>
        <w:t>.</w:t>
      </w:r>
    </w:p>
    <w:p w14:paraId="3DD985B3" w14:textId="3105372E" w:rsidR="00D07DFB" w:rsidRPr="00F30FD1" w:rsidRDefault="00D07DFB" w:rsidP="00D07DFB">
      <w:pPr>
        <w:autoSpaceDE w:val="0"/>
        <w:autoSpaceDN w:val="0"/>
        <w:adjustRightInd w:val="0"/>
        <w:spacing w:after="0" w:line="240" w:lineRule="auto"/>
        <w:rPr>
          <w:rFonts w:eastAsia="Times New Roman" w:cs="Futura"/>
          <w:color w:val="595959"/>
        </w:rPr>
      </w:pPr>
      <w:r w:rsidRPr="00F30FD1">
        <w:rPr>
          <w:rFonts w:eastAsia="Times New Roman" w:cs="Futura"/>
          <w:color w:val="595959"/>
        </w:rPr>
        <w:t xml:space="preserve">Del municipio de Tulum; Javier Rojo </w:t>
      </w:r>
      <w:r w:rsidR="00157164" w:rsidRPr="00F30FD1">
        <w:rPr>
          <w:rFonts w:eastAsia="Times New Roman" w:cs="Futura"/>
          <w:color w:val="595959"/>
        </w:rPr>
        <w:t>Gómez</w:t>
      </w:r>
      <w:r w:rsidRPr="00F30FD1">
        <w:rPr>
          <w:rFonts w:eastAsia="Times New Roman" w:cs="Futura"/>
          <w:color w:val="595959"/>
        </w:rPr>
        <w:t>.</w:t>
      </w:r>
    </w:p>
    <w:p w14:paraId="5CEAEC55" w14:textId="5D341F2F" w:rsidR="00D07DFB" w:rsidRPr="00F30FD1" w:rsidRDefault="00D07DFB" w:rsidP="00D07DFB">
      <w:pPr>
        <w:autoSpaceDE w:val="0"/>
        <w:autoSpaceDN w:val="0"/>
        <w:adjustRightInd w:val="0"/>
        <w:spacing w:after="0" w:line="240" w:lineRule="auto"/>
        <w:rPr>
          <w:rFonts w:eastAsia="Times New Roman" w:cs="Futura"/>
          <w:color w:val="595959"/>
        </w:rPr>
      </w:pPr>
      <w:r w:rsidRPr="00F30FD1">
        <w:rPr>
          <w:rFonts w:eastAsia="Times New Roman" w:cs="Futura"/>
          <w:color w:val="595959"/>
        </w:rPr>
        <w:t xml:space="preserve">Del municipio de </w:t>
      </w:r>
      <w:r w:rsidR="00157164" w:rsidRPr="00F30FD1">
        <w:rPr>
          <w:rFonts w:eastAsia="Times New Roman" w:cs="Futura"/>
          <w:color w:val="595959"/>
        </w:rPr>
        <w:t>Lázaro</w:t>
      </w:r>
      <w:r w:rsidRPr="00F30FD1">
        <w:rPr>
          <w:rFonts w:eastAsia="Times New Roman" w:cs="Futura"/>
          <w:color w:val="595959"/>
        </w:rPr>
        <w:t xml:space="preserve"> </w:t>
      </w:r>
      <w:r w:rsidR="00157164" w:rsidRPr="00F30FD1">
        <w:rPr>
          <w:rFonts w:eastAsia="Times New Roman" w:cs="Futura"/>
          <w:color w:val="595959"/>
        </w:rPr>
        <w:t>Cárdenas</w:t>
      </w:r>
      <w:r w:rsidRPr="00F30FD1">
        <w:rPr>
          <w:rFonts w:eastAsia="Times New Roman" w:cs="Futura"/>
          <w:color w:val="595959"/>
        </w:rPr>
        <w:t xml:space="preserve">; Solferino y </w:t>
      </w:r>
      <w:proofErr w:type="spellStart"/>
      <w:r w:rsidRPr="00F30FD1">
        <w:rPr>
          <w:rFonts w:eastAsia="Times New Roman" w:cs="Futura"/>
          <w:color w:val="595959"/>
        </w:rPr>
        <w:t>Holbox</w:t>
      </w:r>
      <w:proofErr w:type="spellEnd"/>
      <w:r w:rsidRPr="00F30FD1">
        <w:rPr>
          <w:rFonts w:eastAsia="Times New Roman" w:cs="Futura"/>
          <w:color w:val="595959"/>
        </w:rPr>
        <w:t>.</w:t>
      </w:r>
    </w:p>
    <w:p w14:paraId="3B795D95" w14:textId="77777777" w:rsidR="00D07DFB" w:rsidRPr="00F30FD1" w:rsidRDefault="00D07DFB" w:rsidP="00D07DFB">
      <w:pPr>
        <w:autoSpaceDE w:val="0"/>
        <w:autoSpaceDN w:val="0"/>
        <w:adjustRightInd w:val="0"/>
        <w:spacing w:after="0" w:line="240" w:lineRule="auto"/>
        <w:rPr>
          <w:rFonts w:eastAsia="Times New Roman" w:cs="Futura"/>
          <w:color w:val="595959"/>
        </w:rPr>
      </w:pPr>
    </w:p>
    <w:p w14:paraId="17FCB523" w14:textId="11528526" w:rsidR="00A26CB9" w:rsidRPr="00F30FD1" w:rsidRDefault="00D07DFB" w:rsidP="00D07522">
      <w:pPr>
        <w:autoSpaceDE w:val="0"/>
        <w:autoSpaceDN w:val="0"/>
        <w:adjustRightInd w:val="0"/>
        <w:spacing w:after="0" w:line="240" w:lineRule="auto"/>
        <w:rPr>
          <w:rFonts w:eastAsia="Times New Roman" w:cs="Futura"/>
          <w:color w:val="595959"/>
        </w:rPr>
      </w:pPr>
      <w:r w:rsidRPr="00F30FD1">
        <w:rPr>
          <w:rFonts w:eastAsia="Times New Roman" w:cs="Futura"/>
          <w:color w:val="595959"/>
        </w:rPr>
        <w:t xml:space="preserve">3.- VERIFICAR CONJUNTAMENTE CON EL INEGI, LA RED GEODÉSICA DEL ESTADO,  131 monumentos </w:t>
      </w:r>
      <w:proofErr w:type="spellStart"/>
      <w:r w:rsidRPr="00F30FD1">
        <w:rPr>
          <w:rFonts w:eastAsia="Times New Roman" w:cs="Futura"/>
          <w:color w:val="595959"/>
        </w:rPr>
        <w:t>ó</w:t>
      </w:r>
      <w:proofErr w:type="spellEnd"/>
      <w:r w:rsidRPr="00F30FD1">
        <w:rPr>
          <w:rFonts w:eastAsia="Times New Roman" w:cs="Futura"/>
          <w:color w:val="595959"/>
        </w:rPr>
        <w:t xml:space="preserve"> vértices geodésicos, producto de anteriores proyectos de </w:t>
      </w:r>
      <w:r w:rsidR="00157164" w:rsidRPr="00F30FD1">
        <w:rPr>
          <w:rFonts w:eastAsia="Times New Roman" w:cs="Futura"/>
          <w:color w:val="595959"/>
        </w:rPr>
        <w:t>modernización</w:t>
      </w:r>
      <w:r w:rsidRPr="00F30FD1">
        <w:rPr>
          <w:rFonts w:eastAsia="Times New Roman" w:cs="Futura"/>
          <w:color w:val="595959"/>
        </w:rPr>
        <w:t>.</w:t>
      </w:r>
    </w:p>
    <w:p w14:paraId="25CAAC51" w14:textId="77777777" w:rsidR="00D07522" w:rsidRPr="00F30FD1" w:rsidRDefault="00D07522" w:rsidP="00D07522">
      <w:pPr>
        <w:autoSpaceDE w:val="0"/>
        <w:autoSpaceDN w:val="0"/>
        <w:adjustRightInd w:val="0"/>
        <w:spacing w:after="0" w:line="240" w:lineRule="auto"/>
        <w:rPr>
          <w:rFonts w:eastAsia="Times New Roman" w:cs="Futura"/>
          <w:color w:val="595959"/>
        </w:rPr>
      </w:pPr>
    </w:p>
    <w:p w14:paraId="5949097A" w14:textId="7FB5DAB8" w:rsidR="00A26CB9" w:rsidRPr="00F30FD1" w:rsidRDefault="003124C1" w:rsidP="00A26CB9">
      <w:pPr>
        <w:rPr>
          <w:b/>
          <w:color w:val="4BACC6"/>
          <w:sz w:val="28"/>
        </w:rPr>
      </w:pPr>
      <w:r w:rsidRPr="00F30FD1">
        <w:rPr>
          <w:b/>
          <w:color w:val="4BACC6"/>
          <w:sz w:val="28"/>
        </w:rPr>
        <w:lastRenderedPageBreak/>
        <w:t>Presupuesto Basado en Resultados y Sistema de Evaluación del Desempeño</w:t>
      </w:r>
    </w:p>
    <w:p w14:paraId="61FD60DD" w14:textId="77777777" w:rsidR="00A26CB9" w:rsidRPr="00F30FD1" w:rsidRDefault="00A26CB9" w:rsidP="00A26CB9">
      <w:pPr>
        <w:rPr>
          <w:color w:val="595959" w:themeColor="text1" w:themeTint="A6"/>
        </w:rPr>
      </w:pPr>
      <w:r w:rsidRPr="00F30FD1">
        <w:rPr>
          <w:color w:val="595959" w:themeColor="text1" w:themeTint="A6"/>
        </w:rPr>
        <w:t>Desde la perspectiva igualitaria de oportunidades administrativas y de responsabilidad hacendaria, la metodología de Presupuesto basado en Resultados (PbR) que aplicará el presente gobierno a través del Plan Estatal de Desarrollo propone enfrentar la asignación irracional e inercial del gasto público, cambiar la verticalidad de las decisiones en materia de planeación y gestión gubernamental, reforzar los esquemas de transparencia y rendición de cuentas, pero ante todo, coadyuvar para que el gobierno estatal, en coordinación con los otros órdenes de gobierno sean aliados de los ciudadanos en el diseño y aplicación de políticas públicas orientadas a la generación de valor público.</w:t>
      </w:r>
    </w:p>
    <w:p w14:paraId="5079EC6E" w14:textId="77777777" w:rsidR="00A26CB9" w:rsidRPr="00F30FD1" w:rsidRDefault="00A26CB9" w:rsidP="00A26CB9">
      <w:pPr>
        <w:rPr>
          <w:color w:val="595959" w:themeColor="text1" w:themeTint="A6"/>
        </w:rPr>
      </w:pPr>
      <w:r w:rsidRPr="00F30FD1">
        <w:rPr>
          <w:color w:val="595959" w:themeColor="text1" w:themeTint="A6"/>
        </w:rPr>
        <w:t>Como resultado del diagnóstico 2017 que realiza la Secretaría de Hacienda y Crédito Público para determinar el avance en la implementación del PbR-SED (Presupuesto basado en Resultados y Sistema de Evaluación del Desempeño) en las entidades federativas del país, el Estado de Quintana Roo se posicionó en el lugar número 15, con un valor de 67.8% (Gráfica V.2), por arriba de la media nacional del 65.3%, progresando de un Grado de Implementación Medio Bajo (2016) a Medio Alto (2017). Cabe mencionar que los criterios de valoración fueron modificados, por lo que a efecto de generar compatibilidad con los resultados 2016, estos fueron calculados nuevamente con los criterios 2017.</w:t>
      </w:r>
    </w:p>
    <w:p w14:paraId="7070123F" w14:textId="77777777" w:rsidR="00A26CB9" w:rsidRPr="00F30FD1" w:rsidRDefault="00A26CB9" w:rsidP="00A26CB9">
      <w:pPr>
        <w:rPr>
          <w:color w:val="595959" w:themeColor="text1" w:themeTint="A6"/>
        </w:rPr>
      </w:pPr>
      <w:r w:rsidRPr="00F30FD1">
        <w:rPr>
          <w:color w:val="595959" w:themeColor="text1" w:themeTint="A6"/>
        </w:rPr>
        <w:t xml:space="preserve">El Diagnóstico 2017 se estructuró en seis secciones, con las cuales se pudo obtener una valoración del nivel de capacidades de gestión del gasto y de los avances en la implementación del PbR-SED, siendo estas: 1) PbR-SED (Marco Jurídico, Planeación, Programación, Presupuestación, Ejercicio y Control, Seguimiento, Evaluación e Indicadores de Resultados), 2) Transparencia, 3) Capacitación (en materia de PbR-SED), 4) Adquisiciones, 5) Recursos Humanos y Buenas Prácticas. </w:t>
      </w:r>
    </w:p>
    <w:p w14:paraId="1678F65F" w14:textId="034009AC" w:rsidR="00D07522" w:rsidRPr="00F30FD1" w:rsidRDefault="00A26CB9" w:rsidP="00A26CB9">
      <w:pPr>
        <w:rPr>
          <w:color w:val="595959" w:themeColor="text1" w:themeTint="A6"/>
        </w:rPr>
      </w:pPr>
      <w:r w:rsidRPr="00F30FD1">
        <w:rPr>
          <w:color w:val="595959" w:themeColor="text1" w:themeTint="A6"/>
        </w:rPr>
        <w:t>El resultado alcanzado por el Estado en la sección de Adquisiciones (100.0%) y Recursos Humanos (100%) son las cifras más sobresalientes, la cual muestra que la entidad cuenta con mecanismos adecuados para que los procesos de adquisiciones, arrendamientos y servicios públicos se realicen bajo el criterio de competencia.</w:t>
      </w:r>
    </w:p>
    <w:p w14:paraId="4ABFBD29" w14:textId="77777777" w:rsidR="00D07522" w:rsidRPr="00F30FD1" w:rsidRDefault="00D07522">
      <w:pPr>
        <w:spacing w:after="0" w:line="240" w:lineRule="auto"/>
        <w:jc w:val="left"/>
        <w:rPr>
          <w:color w:val="595959" w:themeColor="text1" w:themeTint="A6"/>
        </w:rPr>
      </w:pPr>
      <w:r w:rsidRPr="00F30FD1">
        <w:rPr>
          <w:color w:val="595959" w:themeColor="text1" w:themeTint="A6"/>
        </w:rPr>
        <w:br w:type="page"/>
      </w:r>
    </w:p>
    <w:p w14:paraId="02E15E47" w14:textId="51546CCF" w:rsidR="00A26CB9" w:rsidRPr="00F30FD1" w:rsidRDefault="00A26CB9" w:rsidP="00A26CB9">
      <w:pPr>
        <w:pStyle w:val="Epgrafe"/>
        <w:rPr>
          <w:rFonts w:ascii="Futura T OT" w:hAnsi="Futura T OT"/>
        </w:rPr>
      </w:pPr>
      <w:r w:rsidRPr="00F30FD1">
        <w:rPr>
          <w:rFonts w:ascii="Futura T OT" w:hAnsi="Futura T OT"/>
        </w:rPr>
        <w:lastRenderedPageBreak/>
        <w:t xml:space="preserve">Gráfica </w:t>
      </w:r>
      <w:r w:rsidR="00157164" w:rsidRPr="00F30FD1">
        <w:rPr>
          <w:rFonts w:ascii="Futura T OT" w:hAnsi="Futura T OT"/>
        </w:rPr>
        <w:t>G.</w:t>
      </w:r>
      <w:r w:rsidR="00100B8B">
        <w:rPr>
          <w:rFonts w:ascii="Futura T OT" w:hAnsi="Futura T OT"/>
        </w:rPr>
        <w:t>11</w:t>
      </w:r>
      <w:r w:rsidRPr="00F30FD1">
        <w:rPr>
          <w:rFonts w:ascii="Futura T OT" w:hAnsi="Futura T OT"/>
        </w:rPr>
        <w:t xml:space="preserve"> Índice General de Avance en PbR-SED por entidades federativas 2017</w:t>
      </w:r>
    </w:p>
    <w:p w14:paraId="1AEA8D4E" w14:textId="77777777" w:rsidR="00A26CB9" w:rsidRPr="00F30FD1" w:rsidRDefault="00A26CB9" w:rsidP="00A26CB9">
      <w:pPr>
        <w:jc w:val="center"/>
      </w:pPr>
      <w:r w:rsidRPr="00F30FD1">
        <w:rPr>
          <w:noProof/>
          <w:lang w:val="es-MX" w:eastAsia="es-MX"/>
        </w:rPr>
        <w:drawing>
          <wp:inline distT="0" distB="0" distL="0" distR="0" wp14:anchorId="774C9D9E" wp14:editId="7E678F11">
            <wp:extent cx="5613621" cy="4950191"/>
            <wp:effectExtent l="0" t="0" r="635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r="23989"/>
                    <a:stretch/>
                  </pic:blipFill>
                  <pic:spPr bwMode="auto">
                    <a:xfrm>
                      <a:off x="0" y="0"/>
                      <a:ext cx="5616249" cy="4952508"/>
                    </a:xfrm>
                    <a:prstGeom prst="rect">
                      <a:avLst/>
                    </a:prstGeom>
                    <a:noFill/>
                    <a:ln>
                      <a:noFill/>
                    </a:ln>
                    <a:extLst>
                      <a:ext uri="{53640926-AAD7-44D8-BBD7-CCE9431645EC}">
                        <a14:shadowObscured xmlns:a14="http://schemas.microsoft.com/office/drawing/2010/main"/>
                      </a:ext>
                    </a:extLst>
                  </pic:spPr>
                </pic:pic>
              </a:graphicData>
            </a:graphic>
          </wp:inline>
        </w:drawing>
      </w:r>
    </w:p>
    <w:p w14:paraId="333BB611" w14:textId="77777777" w:rsidR="00A26CB9" w:rsidRPr="00F30FD1" w:rsidRDefault="00A26CB9" w:rsidP="00A26CB9">
      <w:pPr>
        <w:rPr>
          <w:sz w:val="16"/>
        </w:rPr>
      </w:pPr>
      <w:r w:rsidRPr="00F30FD1">
        <w:rPr>
          <w:sz w:val="16"/>
        </w:rPr>
        <w:t>Fuente: Transparencia Presupuestaria, 2017. Documento relativo al cumplimiento de las disposiciones contenidas en el párrafo tercero del artículo 80 de la Ley General de Contabilidad Gubernamental.</w:t>
      </w:r>
    </w:p>
    <w:p w14:paraId="14C474A8" w14:textId="074D43A7" w:rsidR="00A26CB9" w:rsidRPr="00F30FD1" w:rsidRDefault="00A26CB9" w:rsidP="00A26CB9">
      <w:pPr>
        <w:rPr>
          <w:noProof/>
          <w:color w:val="808080" w:themeColor="background1" w:themeShade="80"/>
        </w:rPr>
      </w:pPr>
      <w:r w:rsidRPr="00F30FD1">
        <w:rPr>
          <w:color w:val="595959" w:themeColor="text1" w:themeTint="A6"/>
        </w:rPr>
        <w:t xml:space="preserve">Por su parte, la sección de Capacitación (50.0%) es la segunda que menos avance presenta, </w:t>
      </w:r>
      <w:r w:rsidR="00D07522" w:rsidRPr="00F30FD1">
        <w:rPr>
          <w:color w:val="595959" w:themeColor="text1" w:themeTint="A6"/>
        </w:rPr>
        <w:t>e</w:t>
      </w:r>
      <w:r w:rsidRPr="00F30FD1">
        <w:rPr>
          <w:color w:val="595959" w:themeColor="text1" w:themeTint="A6"/>
        </w:rPr>
        <w:t xml:space="preserve">sto sugiere fortalecer la detección de necesidades de capacitación en los temas de </w:t>
      </w:r>
      <w:proofErr w:type="spellStart"/>
      <w:r w:rsidRPr="00F30FD1">
        <w:rPr>
          <w:color w:val="595959" w:themeColor="text1" w:themeTint="A6"/>
        </w:rPr>
        <w:t>GpR</w:t>
      </w:r>
      <w:proofErr w:type="spellEnd"/>
      <w:r w:rsidRPr="00F30FD1">
        <w:rPr>
          <w:color w:val="595959" w:themeColor="text1" w:themeTint="A6"/>
        </w:rPr>
        <w:t xml:space="preserve"> </w:t>
      </w:r>
      <w:r w:rsidRPr="00F30FD1">
        <w:rPr>
          <w:noProof/>
          <w:color w:val="808080" w:themeColor="background1" w:themeShade="80"/>
        </w:rPr>
        <w:t>(Gestión por Resultados) y de PbR e implementar cursos relativos al mismo en la Administración Pública Estatal.</w:t>
      </w:r>
    </w:p>
    <w:p w14:paraId="4FBC19A3" w14:textId="77777777" w:rsidR="00A26CB9" w:rsidRPr="00F30FD1" w:rsidRDefault="00A26CB9" w:rsidP="00A26CB9">
      <w:pPr>
        <w:rPr>
          <w:noProof/>
          <w:color w:val="808080" w:themeColor="background1" w:themeShade="80"/>
        </w:rPr>
      </w:pPr>
      <w:r w:rsidRPr="00F30FD1">
        <w:rPr>
          <w:noProof/>
          <w:color w:val="808080" w:themeColor="background1" w:themeShade="80"/>
        </w:rPr>
        <w:lastRenderedPageBreak/>
        <w:t>El Estado presenta áreas de oportunidad principalmente en la sección de Transparencia (47.5%); en ese sentido, es necesario fortalecer el marco normativo, así como los mecanismos de implementación en materia de transparencia, rendición de cuentas, armonización y uso del lenguaje ciudadano.</w:t>
      </w:r>
    </w:p>
    <w:p w14:paraId="7E305C6D" w14:textId="77777777" w:rsidR="00A26CB9" w:rsidRPr="00F30FD1" w:rsidRDefault="00A26CB9" w:rsidP="00A26CB9">
      <w:pPr>
        <w:rPr>
          <w:noProof/>
          <w:color w:val="808080" w:themeColor="background1" w:themeShade="80"/>
        </w:rPr>
      </w:pPr>
      <w:r w:rsidRPr="00F30FD1">
        <w:rPr>
          <w:noProof/>
          <w:color w:val="808080" w:themeColor="background1" w:themeShade="80"/>
        </w:rPr>
        <w:t>Asimismo, la categoría PbR-SED de Planeación (88.6%) y Marco Jurídico (91.7%) destacan por el valor obtenido, reflejando con ello que el Estado cuenta con mecanismos adecuados para planear y evaluar el ejercicio de los recursos públicos. Las categorías de Programación y Ejercicio y Control representan áreas de oportunidad, con el menor porcentaje de avance, por lo que precisa fortalecer mecanismos necesarios.</w:t>
      </w:r>
    </w:p>
    <w:p w14:paraId="2056B61D" w14:textId="4D3E4F3E" w:rsidR="00D07522" w:rsidRPr="00F30FD1" w:rsidRDefault="00A26CB9" w:rsidP="00A26CB9">
      <w:pPr>
        <w:rPr>
          <w:noProof/>
          <w:color w:val="808080" w:themeColor="background1" w:themeShade="80"/>
        </w:rPr>
      </w:pPr>
      <w:r w:rsidRPr="00F30FD1">
        <w:rPr>
          <w:noProof/>
          <w:color w:val="808080" w:themeColor="background1" w:themeShade="80"/>
        </w:rPr>
        <w:t>Por otra parte,  el Diagnóstico del Avance en Monitoreo y Evaluación de las Entidades Federativas realizado por el Consejo Nacional de Evaluación de la Política de Desarrollo Social en 2019, destaca a Quintana Roo en el grupo de entidades de avance medio, con un resultado de 86.1, ubicándose 3.1 puntos porcentuales por arriba del promedio nacional,</w:t>
      </w:r>
      <w:r w:rsidR="0086218A" w:rsidRPr="00F30FD1">
        <w:rPr>
          <w:noProof/>
          <w:color w:val="808080" w:themeColor="background1" w:themeShade="80"/>
        </w:rPr>
        <w:t xml:space="preserve"> como se observa en la gráfica 10</w:t>
      </w:r>
      <w:r w:rsidRPr="00F30FD1">
        <w:rPr>
          <w:noProof/>
          <w:color w:val="808080" w:themeColor="background1" w:themeShade="80"/>
        </w:rPr>
        <w:t>.</w:t>
      </w:r>
    </w:p>
    <w:p w14:paraId="6A72D0D7" w14:textId="56F19F38" w:rsidR="00D07522" w:rsidRPr="00F30FD1" w:rsidRDefault="00D07522" w:rsidP="003124C1">
      <w:pPr>
        <w:rPr>
          <w:noProof/>
          <w:color w:val="808080" w:themeColor="background1" w:themeShade="80"/>
        </w:rPr>
      </w:pPr>
    </w:p>
    <w:p w14:paraId="2D2A0598" w14:textId="77777777" w:rsidR="003124C1" w:rsidRPr="00F30FD1" w:rsidRDefault="003124C1" w:rsidP="003124C1">
      <w:pPr>
        <w:rPr>
          <w:noProof/>
          <w:color w:val="808080" w:themeColor="background1" w:themeShade="80"/>
        </w:rPr>
      </w:pPr>
      <w:r w:rsidRPr="00F30FD1">
        <w:rPr>
          <w:noProof/>
          <w:color w:val="808080" w:themeColor="background1" w:themeShade="80"/>
        </w:rPr>
        <w:br w:type="page"/>
      </w:r>
    </w:p>
    <w:p w14:paraId="39953B65" w14:textId="3E9911C4" w:rsidR="00A26CB9" w:rsidRPr="00F30FD1" w:rsidRDefault="00157164" w:rsidP="00A26CB9">
      <w:pPr>
        <w:pStyle w:val="Epgrafe"/>
        <w:rPr>
          <w:rFonts w:ascii="Futura T OT" w:hAnsi="Futura T OT"/>
        </w:rPr>
      </w:pPr>
      <w:r w:rsidRPr="00F30FD1">
        <w:rPr>
          <w:rFonts w:ascii="Futura T OT" w:hAnsi="Futura T OT"/>
          <w:lang w:val="es-ES_tradnl"/>
        </w:rPr>
        <w:lastRenderedPageBreak/>
        <w:t>Grafica G.1</w:t>
      </w:r>
      <w:r w:rsidR="00100B8B">
        <w:rPr>
          <w:rFonts w:ascii="Futura T OT" w:hAnsi="Futura T OT"/>
          <w:lang w:val="es-ES_tradnl"/>
        </w:rPr>
        <w:t>2</w:t>
      </w:r>
      <w:r w:rsidR="00A26CB9" w:rsidRPr="00F30FD1">
        <w:rPr>
          <w:rFonts w:ascii="Futura T OT" w:hAnsi="Futura T OT"/>
          <w:lang w:val="es-ES_tradnl"/>
        </w:rPr>
        <w:t>. Resultados de Quintana Roo en el Diagnóstico 2011-2019</w:t>
      </w:r>
    </w:p>
    <w:p w14:paraId="2D1468C2" w14:textId="77777777" w:rsidR="00A26CB9" w:rsidRPr="00F30FD1" w:rsidRDefault="00A26CB9" w:rsidP="00A26CB9">
      <w:pPr>
        <w:jc w:val="center"/>
        <w:rPr>
          <w:rFonts w:cs="Open Sans"/>
          <w:color w:val="404041"/>
          <w:sz w:val="23"/>
          <w:szCs w:val="27"/>
          <w:shd w:val="clear" w:color="auto" w:fill="FFFFFF"/>
        </w:rPr>
      </w:pPr>
      <w:r w:rsidRPr="00F30FD1">
        <w:rPr>
          <w:rFonts w:cs="Open Sans"/>
          <w:noProof/>
          <w:color w:val="404041"/>
          <w:sz w:val="23"/>
          <w:szCs w:val="27"/>
          <w:shd w:val="clear" w:color="auto" w:fill="FFFFFF"/>
          <w:lang w:val="es-MX" w:eastAsia="es-MX"/>
        </w:rPr>
        <w:drawing>
          <wp:inline distT="0" distB="0" distL="0" distR="0" wp14:anchorId="45B0F513" wp14:editId="30B6C68D">
            <wp:extent cx="5695950" cy="2444861"/>
            <wp:effectExtent l="0" t="0" r="0" b="0"/>
            <wp:docPr id="28" name="Imagen 28"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EVAL (2).png"/>
                    <pic:cNvPicPr/>
                  </pic:nvPicPr>
                  <pic:blipFill>
                    <a:blip r:embed="rId27"/>
                    <a:stretch>
                      <a:fillRect/>
                    </a:stretch>
                  </pic:blipFill>
                  <pic:spPr>
                    <a:xfrm>
                      <a:off x="0" y="0"/>
                      <a:ext cx="5700129" cy="2446655"/>
                    </a:xfrm>
                    <a:prstGeom prst="rect">
                      <a:avLst/>
                    </a:prstGeom>
                  </pic:spPr>
                </pic:pic>
              </a:graphicData>
            </a:graphic>
          </wp:inline>
        </w:drawing>
      </w:r>
    </w:p>
    <w:p w14:paraId="0303B6DE" w14:textId="77777777" w:rsidR="00A26CB9" w:rsidRPr="00F30FD1" w:rsidRDefault="00A26CB9" w:rsidP="00A26CB9">
      <w:pPr>
        <w:jc w:val="left"/>
        <w:rPr>
          <w:rFonts w:cs="Open Sans"/>
          <w:b/>
          <w:bCs/>
          <w:sz w:val="16"/>
          <w:szCs w:val="18"/>
          <w:shd w:val="clear" w:color="auto" w:fill="FFFFFF"/>
        </w:rPr>
      </w:pPr>
      <w:r w:rsidRPr="00F30FD1">
        <w:rPr>
          <w:rFonts w:cs="Open Sans"/>
          <w:b/>
          <w:bCs/>
          <w:sz w:val="16"/>
          <w:szCs w:val="18"/>
          <w:shd w:val="clear" w:color="auto" w:fill="FFFFFF"/>
        </w:rPr>
        <w:t>Fuente: CONEVAL, 2019</w:t>
      </w:r>
    </w:p>
    <w:p w14:paraId="408B14B3" w14:textId="721FE9B5" w:rsidR="00A26CB9" w:rsidRPr="00F30FD1" w:rsidRDefault="00A26CB9" w:rsidP="00A26CB9">
      <w:pPr>
        <w:rPr>
          <w:noProof/>
          <w:color w:val="808080" w:themeColor="background1" w:themeShade="80"/>
        </w:rPr>
      </w:pPr>
      <w:r w:rsidRPr="00F30FD1">
        <w:rPr>
          <w:noProof/>
          <w:color w:val="808080" w:themeColor="background1" w:themeShade="80"/>
        </w:rPr>
        <w:t>Quintana Roo presentó una tendencia creciente en dicho Diagnóstico debido a la generación de elementos de monit</w:t>
      </w:r>
      <w:r w:rsidR="0086218A" w:rsidRPr="00F30FD1">
        <w:rPr>
          <w:noProof/>
          <w:color w:val="808080" w:themeColor="background1" w:themeShade="80"/>
        </w:rPr>
        <w:t>oreo y evaluación (Ver gráfica 11</w:t>
      </w:r>
      <w:r w:rsidRPr="00F30FD1">
        <w:rPr>
          <w:noProof/>
          <w:color w:val="808080" w:themeColor="background1" w:themeShade="80"/>
        </w:rPr>
        <w:t xml:space="preserve">), como la creación del área responsable de coordinar la evaluación, así como del fortalecimiento de los elementos de monitoreo y evaluación. </w:t>
      </w:r>
    </w:p>
    <w:p w14:paraId="38745168" w14:textId="0E75FE6A" w:rsidR="00D07522" w:rsidRPr="00F30FD1" w:rsidRDefault="00D07522">
      <w:pPr>
        <w:spacing w:after="0" w:line="240" w:lineRule="auto"/>
        <w:jc w:val="left"/>
        <w:rPr>
          <w:rFonts w:eastAsia="Arial" w:cs="Times New Roman"/>
          <w:b/>
          <w:bCs/>
          <w:color w:val="4BACC6" w:themeColor="accent5"/>
          <w:lang w:val="es-MX" w:eastAsia="en-US"/>
        </w:rPr>
      </w:pPr>
    </w:p>
    <w:p w14:paraId="72B03381" w14:textId="77777777" w:rsidR="003124C1" w:rsidRPr="00F30FD1" w:rsidRDefault="003124C1">
      <w:pPr>
        <w:spacing w:after="0" w:line="240" w:lineRule="auto"/>
        <w:jc w:val="left"/>
        <w:rPr>
          <w:rFonts w:eastAsia="Arial" w:cs="Times New Roman"/>
          <w:b/>
          <w:bCs/>
          <w:color w:val="4BACC6" w:themeColor="accent5"/>
          <w:lang w:val="es-MX" w:eastAsia="en-US"/>
        </w:rPr>
      </w:pPr>
      <w:r w:rsidRPr="00F30FD1">
        <w:br w:type="page"/>
      </w:r>
    </w:p>
    <w:p w14:paraId="32A5FDC2" w14:textId="11A8476D" w:rsidR="00A26CB9" w:rsidRPr="00F30FD1" w:rsidRDefault="00A26CB9" w:rsidP="00A26CB9">
      <w:pPr>
        <w:pStyle w:val="Epgrafe"/>
        <w:rPr>
          <w:rFonts w:ascii="Futura T OT" w:hAnsi="Futura T OT"/>
        </w:rPr>
      </w:pPr>
      <w:r w:rsidRPr="00F30FD1">
        <w:rPr>
          <w:rFonts w:ascii="Futura T OT" w:hAnsi="Futura T OT"/>
        </w:rPr>
        <w:lastRenderedPageBreak/>
        <w:t xml:space="preserve">Gráfica </w:t>
      </w:r>
      <w:r w:rsidR="0086218A" w:rsidRPr="00F30FD1">
        <w:rPr>
          <w:rFonts w:ascii="Futura T OT" w:hAnsi="Futura T OT"/>
        </w:rPr>
        <w:t>G.1</w:t>
      </w:r>
      <w:r w:rsidR="00100B8B">
        <w:rPr>
          <w:rFonts w:ascii="Futura T OT" w:hAnsi="Futura T OT"/>
        </w:rPr>
        <w:t>3</w:t>
      </w:r>
      <w:r w:rsidRPr="00F30FD1">
        <w:rPr>
          <w:rFonts w:ascii="Futura T OT" w:hAnsi="Futura T OT"/>
        </w:rPr>
        <w:t xml:space="preserve">. </w:t>
      </w:r>
      <w:r w:rsidRPr="00F30FD1">
        <w:rPr>
          <w:rFonts w:ascii="Futura T OT" w:hAnsi="Futura T OT"/>
          <w:lang w:val="es-ES_tradnl"/>
        </w:rPr>
        <w:t>Resultados por elemento del Diagnóstico de Monitoreo y Evaluación 2017-2019</w:t>
      </w:r>
    </w:p>
    <w:p w14:paraId="2504C715" w14:textId="77777777" w:rsidR="00A26CB9" w:rsidRPr="00F30FD1" w:rsidRDefault="00A26CB9" w:rsidP="00A26CB9">
      <w:pPr>
        <w:jc w:val="center"/>
        <w:rPr>
          <w:b/>
          <w:noProof/>
          <w:sz w:val="22"/>
        </w:rPr>
      </w:pPr>
      <w:r w:rsidRPr="00F30FD1">
        <w:rPr>
          <w:b/>
          <w:noProof/>
          <w:sz w:val="22"/>
          <w:lang w:val="es-MX" w:eastAsia="es-MX"/>
        </w:rPr>
        <w:drawing>
          <wp:inline distT="0" distB="0" distL="0" distR="0" wp14:anchorId="6EEBD13B" wp14:editId="67C6C59C">
            <wp:extent cx="5076825" cy="2733675"/>
            <wp:effectExtent l="0" t="0" r="9525" b="9525"/>
            <wp:docPr id="9" name="Gráfico 9">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793A7D3D-4138-4E6C-BCB7-A10212F61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3562EAB" w14:textId="77777777" w:rsidR="00A26CB9" w:rsidRPr="00F30FD1" w:rsidRDefault="00A26CB9" w:rsidP="00A26CB9">
      <w:pPr>
        <w:jc w:val="center"/>
        <w:rPr>
          <w:b/>
          <w:noProof/>
          <w:sz w:val="16"/>
          <w:szCs w:val="18"/>
        </w:rPr>
      </w:pPr>
      <w:r w:rsidRPr="00F30FD1">
        <w:rPr>
          <w:b/>
          <w:noProof/>
          <w:sz w:val="16"/>
          <w:szCs w:val="18"/>
        </w:rPr>
        <w:t>Fuente: Elaboración propia con información del CONEVAL, 2020.</w:t>
      </w:r>
    </w:p>
    <w:p w14:paraId="5C493F3E" w14:textId="77777777" w:rsidR="00A26CB9" w:rsidRPr="00F30FD1" w:rsidRDefault="00A26CB9" w:rsidP="00A26CB9">
      <w:pPr>
        <w:rPr>
          <w:noProof/>
          <w:color w:val="808080" w:themeColor="background1" w:themeShade="80"/>
        </w:rPr>
      </w:pPr>
      <w:r w:rsidRPr="00F30FD1">
        <w:rPr>
          <w:noProof/>
          <w:color w:val="808080" w:themeColor="background1" w:themeShade="80"/>
        </w:rPr>
        <w:t>De acuerdo a dicho diagnóstico, en el componente práctico se registró avances en la publicación del seguimiento a los resultados de las evaluaciones y a que hoy día se cuenta con mayor especificidad en los elementos que se difunden sobre el área responsable de la evaluación.</w:t>
      </w:r>
    </w:p>
    <w:p w14:paraId="010C27A9" w14:textId="77777777" w:rsidR="00A26CB9" w:rsidRPr="00F30FD1" w:rsidRDefault="00A26CB9" w:rsidP="00A26CB9">
      <w:pPr>
        <w:rPr>
          <w:noProof/>
          <w:color w:val="808080" w:themeColor="background1" w:themeShade="80"/>
        </w:rPr>
      </w:pPr>
      <w:r w:rsidRPr="00F30FD1">
        <w:rPr>
          <w:noProof/>
          <w:color w:val="808080" w:themeColor="background1" w:themeShade="80"/>
        </w:rPr>
        <w:t xml:space="preserve">Por lo anterior, la presente administración reconoce la necesidad de implementar, fortalecer y consolidar las acciones encaminadas a la efectiva implementación de la Gestión para Resultados, con el propósito de lograr el uso eficiente de los recursos públicos, mejorar las acciones del gobierno, teniendo como herramienta al Sistema de Evaluación del Desempeño (SED), a través de la retroalimentación de los Programas Presupuestarios y con ello generar valor público a la sociedad quintanarroense. </w:t>
      </w:r>
    </w:p>
    <w:p w14:paraId="4A5A34B8" w14:textId="77777777" w:rsidR="00A26CB9" w:rsidRPr="00F30FD1" w:rsidRDefault="00A26CB9" w:rsidP="00A26CB9">
      <w:pPr>
        <w:rPr>
          <w:noProof/>
          <w:color w:val="808080" w:themeColor="background1" w:themeShade="80"/>
        </w:rPr>
      </w:pPr>
      <w:r w:rsidRPr="00F30FD1">
        <w:rPr>
          <w:noProof/>
          <w:color w:val="808080" w:themeColor="background1" w:themeShade="80"/>
        </w:rPr>
        <w:t>Respecto al Indice de Calidad de la Información (ICI) reportada sobre los recursos federales transferidos, emitido por la Unidad de Evaluación de la Secretaría de Hacienda y Crédito Público, la entidad se posicionó con una calificación de 94 al Primer Trimestre de 2019.</w:t>
      </w:r>
    </w:p>
    <w:p w14:paraId="01A544C6" w14:textId="77777777" w:rsidR="00A26CB9" w:rsidRPr="00F30FD1" w:rsidRDefault="00A26CB9" w:rsidP="00A26CB9">
      <w:pPr>
        <w:rPr>
          <w:noProof/>
        </w:rPr>
      </w:pPr>
    </w:p>
    <w:p w14:paraId="3C4C1B46" w14:textId="21D57773" w:rsidR="00A26CB9" w:rsidRPr="00F30FD1" w:rsidRDefault="00A26CB9" w:rsidP="00A26CB9">
      <w:pPr>
        <w:pStyle w:val="Epgrafe"/>
        <w:rPr>
          <w:rFonts w:ascii="Futura T OT" w:hAnsi="Futura T OT"/>
        </w:rPr>
      </w:pPr>
      <w:r w:rsidRPr="00F30FD1">
        <w:rPr>
          <w:rFonts w:ascii="Futura T OT" w:hAnsi="Futura T OT"/>
        </w:rPr>
        <w:lastRenderedPageBreak/>
        <w:t xml:space="preserve">Gráfica </w:t>
      </w:r>
      <w:r w:rsidR="00100B8B">
        <w:rPr>
          <w:rFonts w:ascii="Futura T OT" w:hAnsi="Futura T OT"/>
        </w:rPr>
        <w:t>G.14</w:t>
      </w:r>
      <w:r w:rsidRPr="00F30FD1">
        <w:rPr>
          <w:rFonts w:ascii="Futura T OT" w:hAnsi="Futura T OT"/>
        </w:rPr>
        <w:t xml:space="preserve">. </w:t>
      </w:r>
      <w:r w:rsidRPr="00F30FD1">
        <w:rPr>
          <w:rFonts w:ascii="Futura T OT" w:hAnsi="Futura T OT"/>
          <w:lang w:val="es-ES_tradnl"/>
        </w:rPr>
        <w:t>Índice de Calidad de la Información al primer trimestre 2019</w:t>
      </w:r>
      <w:r w:rsidRPr="00F30FD1">
        <w:rPr>
          <w:rFonts w:ascii="Futura T OT" w:hAnsi="Futura T OT"/>
          <w:noProof/>
          <w:lang w:eastAsia="es-MX"/>
        </w:rPr>
        <w:drawing>
          <wp:inline distT="0" distB="0" distL="0" distR="0" wp14:anchorId="4F97D134" wp14:editId="7BCC2865">
            <wp:extent cx="5897264" cy="3204375"/>
            <wp:effectExtent l="0" t="0" r="8255" b="0"/>
            <wp:docPr id="10" name="Imagen 10" descr="http://www.sefiplan.qroo.gob.mx/CEDQROO/images/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fiplan.qroo.gob.mx/CEDQROO/images/ici.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4335" t="30663" b="5747"/>
                    <a:stretch/>
                  </pic:blipFill>
                  <pic:spPr bwMode="auto">
                    <a:xfrm>
                      <a:off x="0" y="0"/>
                      <a:ext cx="5903981" cy="3208025"/>
                    </a:xfrm>
                    <a:prstGeom prst="rect">
                      <a:avLst/>
                    </a:prstGeom>
                    <a:noFill/>
                    <a:ln>
                      <a:noFill/>
                    </a:ln>
                    <a:extLst>
                      <a:ext uri="{53640926-AAD7-44D8-BBD7-CCE9431645EC}">
                        <a14:shadowObscured xmlns:a14="http://schemas.microsoft.com/office/drawing/2010/main"/>
                      </a:ext>
                    </a:extLst>
                  </pic:spPr>
                </pic:pic>
              </a:graphicData>
            </a:graphic>
          </wp:inline>
        </w:drawing>
      </w:r>
    </w:p>
    <w:p w14:paraId="4EBF20E0" w14:textId="77777777" w:rsidR="00A26CB9" w:rsidRPr="00F30FD1" w:rsidRDefault="00A26CB9" w:rsidP="00A26CB9">
      <w:pPr>
        <w:spacing w:before="240"/>
        <w:jc w:val="left"/>
        <w:rPr>
          <w:b/>
          <w:bCs/>
          <w:noProof/>
          <w:sz w:val="16"/>
          <w:szCs w:val="16"/>
        </w:rPr>
      </w:pPr>
      <w:r w:rsidRPr="00F30FD1">
        <w:rPr>
          <w:b/>
          <w:bCs/>
          <w:noProof/>
          <w:sz w:val="16"/>
          <w:szCs w:val="16"/>
        </w:rPr>
        <w:t>Fuente: Secretaria de Hacienda y Crédito Público con información del SRFT, 2019</w:t>
      </w:r>
    </w:p>
    <w:p w14:paraId="155D0B84" w14:textId="77777777" w:rsidR="00A26CB9" w:rsidRPr="00F30FD1" w:rsidRDefault="00A26CB9" w:rsidP="00A26CB9">
      <w:pPr>
        <w:rPr>
          <w:noProof/>
          <w:color w:val="808080" w:themeColor="background1" w:themeShade="80"/>
        </w:rPr>
      </w:pPr>
      <w:r w:rsidRPr="00F30FD1">
        <w:rPr>
          <w:noProof/>
          <w:color w:val="808080" w:themeColor="background1" w:themeShade="80"/>
        </w:rPr>
        <w:t>El ICI es una medición que permite identificar la calidad en la información reportada por los Gobiernos Locales sobre los recursos federales que reciben; resalta que de los tres componentes que lo conforman, la variable de Indicadores logró el 100% en el reporte y validación del avance respecto a las metas de los indicadores de los Fondos de Aportaciones del Ramo General 33 en la Entidad.</w:t>
      </w:r>
    </w:p>
    <w:p w14:paraId="2D8F8E23" w14:textId="77777777" w:rsidR="00A26CB9" w:rsidRPr="00F30FD1" w:rsidRDefault="00A26CB9" w:rsidP="00A26CB9">
      <w:pPr>
        <w:rPr>
          <w:noProof/>
          <w:color w:val="808080" w:themeColor="background1" w:themeShade="80"/>
        </w:rPr>
      </w:pPr>
      <w:r w:rsidRPr="00F30FD1">
        <w:rPr>
          <w:noProof/>
          <w:color w:val="808080" w:themeColor="background1" w:themeShade="80"/>
        </w:rPr>
        <w:t>De esta manera, emitiendo reportes con la calidad necesaria y oportunamente, se contribuye al fortalecimiento del Sistema de Evaluación del Desempeño del Gasto Federalizado, generando la información del desempeño de los recursos que se asignan a Quintana Roo, con base en los Informes Trimestrales  sobre los resultados federales que fueron transferidos a la entidad.</w:t>
      </w:r>
    </w:p>
    <w:p w14:paraId="73B8799F" w14:textId="77777777" w:rsidR="0026662C" w:rsidRPr="00F30FD1" w:rsidRDefault="0026662C" w:rsidP="00A26CB9">
      <w:pPr>
        <w:rPr>
          <w:noProof/>
          <w:color w:val="808080" w:themeColor="background1" w:themeShade="80"/>
        </w:rPr>
      </w:pPr>
    </w:p>
    <w:p w14:paraId="58EE70E5" w14:textId="77777777" w:rsidR="00100B8B" w:rsidRDefault="00100B8B">
      <w:pPr>
        <w:spacing w:after="0" w:line="240" w:lineRule="auto"/>
        <w:jc w:val="left"/>
        <w:rPr>
          <w:b/>
          <w:u w:val="single"/>
        </w:rPr>
      </w:pPr>
      <w:r>
        <w:rPr>
          <w:b/>
          <w:u w:val="single"/>
        </w:rPr>
        <w:br w:type="page"/>
      </w:r>
    </w:p>
    <w:p w14:paraId="30232EDE" w14:textId="15542A7B" w:rsidR="0026662C" w:rsidRPr="00F30FD1" w:rsidRDefault="0026662C" w:rsidP="0026662C">
      <w:pPr>
        <w:rPr>
          <w:b/>
          <w:u w:val="single"/>
        </w:rPr>
      </w:pPr>
      <w:r w:rsidRPr="00F30FD1">
        <w:rPr>
          <w:b/>
          <w:u w:val="single"/>
        </w:rPr>
        <w:lastRenderedPageBreak/>
        <w:t>ATRACCIÓN DE PROYECTOS DE INVERSIÓN, CAPITALES Y FINANCIAMIENTO.</w:t>
      </w:r>
    </w:p>
    <w:p w14:paraId="282E100C" w14:textId="77777777" w:rsidR="00204F48" w:rsidRPr="00F30FD1" w:rsidRDefault="0026662C" w:rsidP="0026662C">
      <w:pPr>
        <w:rPr>
          <w:rFonts w:cstheme="majorHAnsi"/>
          <w:color w:val="A6A6A6" w:themeColor="background1" w:themeShade="A6"/>
        </w:rPr>
      </w:pPr>
      <w:r w:rsidRPr="00F30FD1">
        <w:rPr>
          <w:rFonts w:cstheme="majorHAnsi"/>
          <w:color w:val="A6A6A6" w:themeColor="background1" w:themeShade="A6"/>
        </w:rPr>
        <w:t>Tal como se expone en el Plan Estatal de Desarrollo, resulta necesario potencializar todos los sectores y diversificar las actividades, pues en la actualidad el Estado depende del sector terciario, con el 87.48%, mientras que el sector secundario contribuyó con el 11.80% y el sector primario solo aportó el 0.72%, lo cual se expone a continuación:</w:t>
      </w:r>
      <w:r w:rsidR="00F65941" w:rsidRPr="00F30FD1">
        <w:rPr>
          <w:rFonts w:cstheme="majorHAnsi"/>
          <w:color w:val="A6A6A6" w:themeColor="background1" w:themeShade="A6"/>
        </w:rPr>
        <w:t xml:space="preserve">                            </w:t>
      </w:r>
    </w:p>
    <w:p w14:paraId="66D5F484" w14:textId="0A2A674B" w:rsidR="0026662C" w:rsidRPr="00F30FD1" w:rsidRDefault="0026662C" w:rsidP="0026662C">
      <w:pPr>
        <w:rPr>
          <w:rFonts w:cstheme="majorHAnsi"/>
          <w:color w:val="A6A6A6" w:themeColor="background1" w:themeShade="A6"/>
        </w:rPr>
      </w:pPr>
      <w:r w:rsidRPr="00F30FD1">
        <w:rPr>
          <w:rFonts w:cstheme="majorHAnsi"/>
          <w:noProof/>
          <w:color w:val="A6A6A6" w:themeColor="background1" w:themeShade="A6"/>
          <w:lang w:val="es-MX" w:eastAsia="es-MX"/>
        </w:rPr>
        <w:drawing>
          <wp:anchor distT="0" distB="0" distL="114300" distR="114300" simplePos="0" relativeHeight="251669504" behindDoc="1" locked="0" layoutInCell="1" allowOverlap="1" wp14:anchorId="7E1AA49D" wp14:editId="157C1DD6">
            <wp:simplePos x="0" y="0"/>
            <wp:positionH relativeFrom="column">
              <wp:posOffset>3810</wp:posOffset>
            </wp:positionH>
            <wp:positionV relativeFrom="paragraph">
              <wp:posOffset>64135</wp:posOffset>
            </wp:positionV>
            <wp:extent cx="6061075" cy="2297430"/>
            <wp:effectExtent l="0" t="0" r="0" b="7620"/>
            <wp:wrapNone/>
            <wp:docPr id="19" name="Imagen 19" descr="C:\Users\VictorHugo\Desktop\1dabb20d-ae7a-4769-86ea-2f12f678c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torHugo\Desktop\1dabb20d-ae7a-4769-86ea-2f12f678cbc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11608"/>
                    <a:stretch/>
                  </pic:blipFill>
                  <pic:spPr bwMode="auto">
                    <a:xfrm>
                      <a:off x="0" y="0"/>
                      <a:ext cx="6061075" cy="229743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91255FA" w14:textId="77777777" w:rsidR="0026662C" w:rsidRPr="00F30FD1" w:rsidRDefault="0026662C" w:rsidP="0026662C">
      <w:pPr>
        <w:rPr>
          <w:rFonts w:cstheme="majorHAnsi"/>
          <w:color w:val="A6A6A6" w:themeColor="background1" w:themeShade="A6"/>
        </w:rPr>
      </w:pPr>
    </w:p>
    <w:p w14:paraId="0F79327D" w14:textId="77777777" w:rsidR="0026662C" w:rsidRPr="00F30FD1" w:rsidRDefault="0026662C" w:rsidP="0026662C">
      <w:pPr>
        <w:rPr>
          <w:rFonts w:cstheme="majorHAnsi"/>
          <w:color w:val="A6A6A6" w:themeColor="background1" w:themeShade="A6"/>
        </w:rPr>
      </w:pPr>
    </w:p>
    <w:p w14:paraId="379290A5" w14:textId="77777777" w:rsidR="0026662C" w:rsidRPr="00F30FD1" w:rsidRDefault="0026662C" w:rsidP="0026662C">
      <w:pPr>
        <w:rPr>
          <w:rFonts w:cstheme="majorHAnsi"/>
          <w:color w:val="A6A6A6" w:themeColor="background1" w:themeShade="A6"/>
        </w:rPr>
      </w:pPr>
    </w:p>
    <w:p w14:paraId="0CC3DC5E" w14:textId="77777777" w:rsidR="0026662C" w:rsidRPr="00F30FD1" w:rsidRDefault="0026662C" w:rsidP="0026662C">
      <w:pPr>
        <w:rPr>
          <w:rFonts w:cstheme="majorHAnsi"/>
          <w:color w:val="A6A6A6" w:themeColor="background1" w:themeShade="A6"/>
        </w:rPr>
      </w:pPr>
    </w:p>
    <w:p w14:paraId="50E9AE21" w14:textId="77777777" w:rsidR="0026662C" w:rsidRPr="00F30FD1" w:rsidRDefault="0026662C" w:rsidP="0026662C">
      <w:pPr>
        <w:rPr>
          <w:rFonts w:cstheme="majorHAnsi"/>
          <w:color w:val="A6A6A6" w:themeColor="background1" w:themeShade="A6"/>
        </w:rPr>
      </w:pPr>
    </w:p>
    <w:p w14:paraId="2FCA19BB" w14:textId="5CFD6FD6" w:rsidR="0026662C" w:rsidRPr="00F30FD1" w:rsidRDefault="0026662C" w:rsidP="0026662C">
      <w:pPr>
        <w:rPr>
          <w:rFonts w:cstheme="majorHAnsi"/>
        </w:rPr>
      </w:pPr>
    </w:p>
    <w:p w14:paraId="353630E5" w14:textId="227AD54B" w:rsidR="00C920BF" w:rsidRPr="00F30FD1" w:rsidRDefault="00C920BF" w:rsidP="0026662C">
      <w:pPr>
        <w:rPr>
          <w:rFonts w:cstheme="majorHAnsi"/>
        </w:rPr>
      </w:pPr>
      <w:r w:rsidRPr="00F30FD1">
        <w:rPr>
          <w:rFonts w:cstheme="majorHAnsi"/>
        </w:rPr>
        <w:t>Fuente: Secretaría de Desarrollo Económico.</w:t>
      </w:r>
    </w:p>
    <w:p w14:paraId="029B3A45" w14:textId="77777777" w:rsidR="0026662C" w:rsidRPr="00F30FD1" w:rsidRDefault="0026662C" w:rsidP="0026662C">
      <w:pPr>
        <w:rPr>
          <w:rFonts w:cstheme="majorHAnsi"/>
          <w:color w:val="A6A6A6" w:themeColor="background1" w:themeShade="A6"/>
        </w:rPr>
      </w:pPr>
      <w:r w:rsidRPr="00F30FD1">
        <w:rPr>
          <w:rFonts w:cstheme="majorHAnsi"/>
          <w:color w:val="A6A6A6" w:themeColor="background1" w:themeShade="A6"/>
        </w:rPr>
        <w:t>En la siguiente tabla se hace una comparación de las portaciones del PIB en los sectores productivos lo que evidencia la falta de diversificación en dichos sectores.</w:t>
      </w:r>
    </w:p>
    <w:p w14:paraId="18172443" w14:textId="75B8EC24" w:rsidR="00C920BF" w:rsidRPr="00F30FD1" w:rsidRDefault="00F65941" w:rsidP="0026662C">
      <w:pPr>
        <w:rPr>
          <w:rFonts w:cstheme="majorHAnsi"/>
          <w:color w:val="A6A6A6" w:themeColor="background1" w:themeShade="A6"/>
        </w:rPr>
      </w:pPr>
      <w:r w:rsidRPr="00F30FD1">
        <w:rPr>
          <w:rFonts w:cstheme="majorHAnsi"/>
          <w:color w:val="A6A6A6" w:themeColor="background1" w:themeShade="A6"/>
        </w:rPr>
        <w:t>Asimismo,</w:t>
      </w:r>
      <w:r w:rsidR="0026662C" w:rsidRPr="00F30FD1">
        <w:rPr>
          <w:rFonts w:cstheme="majorHAnsi"/>
          <w:color w:val="A6A6A6" w:themeColor="background1" w:themeShade="A6"/>
        </w:rPr>
        <w:t xml:space="preserve"> se presenta la comparación del PIB a nivel estatal hasta 2017 donde se refleja un incremento a partir del 2016. </w:t>
      </w:r>
    </w:p>
    <w:p w14:paraId="6B4CC77A" w14:textId="77777777" w:rsidR="00100B8B" w:rsidRDefault="00F65941" w:rsidP="001D269B">
      <w:pPr>
        <w:spacing w:after="0" w:line="240" w:lineRule="auto"/>
        <w:jc w:val="left"/>
        <w:rPr>
          <w:rFonts w:cstheme="majorHAnsi"/>
          <w:color w:val="A6A6A6" w:themeColor="background1" w:themeShade="A6"/>
        </w:rPr>
      </w:pPr>
      <w:r w:rsidRPr="00F30FD1">
        <w:rPr>
          <w:rFonts w:cstheme="majorHAnsi"/>
          <w:color w:val="A6A6A6" w:themeColor="background1" w:themeShade="A6"/>
        </w:rPr>
        <w:t xml:space="preserve">                                               </w:t>
      </w:r>
    </w:p>
    <w:p w14:paraId="7DAF97E5" w14:textId="77777777" w:rsidR="00100B8B" w:rsidRDefault="00100B8B">
      <w:pPr>
        <w:spacing w:after="0" w:line="240" w:lineRule="auto"/>
        <w:jc w:val="left"/>
        <w:rPr>
          <w:rFonts w:cstheme="majorHAnsi"/>
          <w:color w:val="A6A6A6" w:themeColor="background1" w:themeShade="A6"/>
        </w:rPr>
      </w:pPr>
      <w:r>
        <w:rPr>
          <w:rFonts w:cstheme="majorHAnsi"/>
          <w:color w:val="A6A6A6" w:themeColor="background1" w:themeShade="A6"/>
        </w:rPr>
        <w:br w:type="page"/>
      </w:r>
    </w:p>
    <w:p w14:paraId="4AD6E4D9" w14:textId="54633921" w:rsidR="0026662C" w:rsidRPr="00F30FD1" w:rsidRDefault="00C920BF" w:rsidP="00100B8B">
      <w:pPr>
        <w:spacing w:after="0" w:line="240" w:lineRule="auto"/>
        <w:jc w:val="center"/>
        <w:rPr>
          <w:rFonts w:cstheme="majorHAnsi"/>
          <w:b/>
        </w:rPr>
      </w:pPr>
      <w:r w:rsidRPr="00F30FD1">
        <w:rPr>
          <w:rFonts w:cstheme="majorHAnsi"/>
          <w:b/>
        </w:rPr>
        <w:lastRenderedPageBreak/>
        <w:t>Comparativo del PIB</w:t>
      </w:r>
    </w:p>
    <w:p w14:paraId="311646C1" w14:textId="77777777" w:rsidR="0026662C" w:rsidRPr="00F30FD1" w:rsidRDefault="0026662C" w:rsidP="0026662C">
      <w:pPr>
        <w:rPr>
          <w:rFonts w:cstheme="majorHAnsi"/>
          <w:color w:val="A6A6A6" w:themeColor="background1" w:themeShade="A6"/>
        </w:rPr>
      </w:pPr>
    </w:p>
    <w:p w14:paraId="3EA51F7F" w14:textId="77777777" w:rsidR="0026662C" w:rsidRPr="00F30FD1" w:rsidRDefault="0026662C" w:rsidP="0026662C">
      <w:pPr>
        <w:rPr>
          <w:rFonts w:cstheme="majorHAnsi"/>
          <w:color w:val="A6A6A6" w:themeColor="background1" w:themeShade="A6"/>
        </w:rPr>
      </w:pPr>
    </w:p>
    <w:p w14:paraId="5FB62C9E" w14:textId="6ABE8746" w:rsidR="0026662C" w:rsidRPr="00F30FD1" w:rsidRDefault="0026662C" w:rsidP="0026662C">
      <w:pPr>
        <w:rPr>
          <w:rFonts w:cstheme="majorHAnsi"/>
          <w:color w:val="A6A6A6" w:themeColor="background1" w:themeShade="A6"/>
        </w:rPr>
      </w:pPr>
      <w:r w:rsidRPr="00F30FD1">
        <w:rPr>
          <w:noProof/>
          <w:lang w:val="es-MX" w:eastAsia="es-MX"/>
        </w:rPr>
        <w:drawing>
          <wp:anchor distT="0" distB="0" distL="114300" distR="114300" simplePos="0" relativeHeight="251670528" behindDoc="1" locked="0" layoutInCell="1" allowOverlap="1" wp14:anchorId="6D1EC802" wp14:editId="42DC6B64">
            <wp:simplePos x="0" y="0"/>
            <wp:positionH relativeFrom="margin">
              <wp:posOffset>123218</wp:posOffset>
            </wp:positionH>
            <wp:positionV relativeFrom="paragraph">
              <wp:posOffset>-618186</wp:posOffset>
            </wp:positionV>
            <wp:extent cx="6050942" cy="3037398"/>
            <wp:effectExtent l="0" t="0" r="698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7388" t="9602" r="17356" b="6774"/>
                    <a:stretch/>
                  </pic:blipFill>
                  <pic:spPr bwMode="auto">
                    <a:xfrm>
                      <a:off x="0" y="0"/>
                      <a:ext cx="6059413" cy="304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DA8F4C" w14:textId="77777777" w:rsidR="0026662C" w:rsidRPr="00F30FD1" w:rsidRDefault="0026662C" w:rsidP="0026662C">
      <w:pPr>
        <w:jc w:val="center"/>
        <w:rPr>
          <w:rFonts w:cstheme="majorHAnsi"/>
          <w:color w:val="A6A6A6" w:themeColor="background1" w:themeShade="A6"/>
        </w:rPr>
      </w:pPr>
    </w:p>
    <w:p w14:paraId="5DB85802" w14:textId="77777777" w:rsidR="0026662C" w:rsidRPr="00F30FD1" w:rsidRDefault="0026662C" w:rsidP="0026662C">
      <w:pPr>
        <w:rPr>
          <w:rFonts w:cstheme="majorHAnsi"/>
          <w:color w:val="A6A6A6" w:themeColor="background1" w:themeShade="A6"/>
        </w:rPr>
      </w:pPr>
    </w:p>
    <w:p w14:paraId="0415393E" w14:textId="77777777" w:rsidR="0026662C" w:rsidRPr="00F30FD1" w:rsidRDefault="0026662C" w:rsidP="0026662C">
      <w:pPr>
        <w:rPr>
          <w:rFonts w:cstheme="majorHAnsi"/>
          <w:color w:val="A6A6A6" w:themeColor="background1" w:themeShade="A6"/>
        </w:rPr>
      </w:pPr>
    </w:p>
    <w:p w14:paraId="3D41C44F" w14:textId="77777777" w:rsidR="0026662C" w:rsidRPr="00F30FD1" w:rsidRDefault="0026662C" w:rsidP="0026662C">
      <w:pPr>
        <w:rPr>
          <w:rFonts w:cstheme="majorHAnsi"/>
          <w:color w:val="A6A6A6" w:themeColor="background1" w:themeShade="A6"/>
        </w:rPr>
      </w:pPr>
    </w:p>
    <w:p w14:paraId="5E580693" w14:textId="77777777" w:rsidR="0026662C" w:rsidRPr="00F30FD1" w:rsidRDefault="0026662C" w:rsidP="0026662C">
      <w:pPr>
        <w:rPr>
          <w:rFonts w:cstheme="majorHAnsi"/>
          <w:color w:val="A6A6A6" w:themeColor="background1" w:themeShade="A6"/>
        </w:rPr>
      </w:pPr>
    </w:p>
    <w:p w14:paraId="72010E31" w14:textId="77777777" w:rsidR="0026662C" w:rsidRPr="00F30FD1" w:rsidRDefault="0026662C" w:rsidP="0026662C">
      <w:pPr>
        <w:rPr>
          <w:rFonts w:cstheme="majorHAnsi"/>
          <w:color w:val="A6A6A6" w:themeColor="background1" w:themeShade="A6"/>
        </w:rPr>
      </w:pPr>
    </w:p>
    <w:p w14:paraId="647BD6F1" w14:textId="77777777" w:rsidR="00C920BF" w:rsidRPr="00F30FD1" w:rsidRDefault="00F65941" w:rsidP="0026662C">
      <w:pPr>
        <w:rPr>
          <w:rFonts w:cstheme="majorHAnsi"/>
          <w:color w:val="A6A6A6" w:themeColor="background1" w:themeShade="A6"/>
        </w:rPr>
      </w:pPr>
      <w:r w:rsidRPr="00F30FD1">
        <w:rPr>
          <w:rFonts w:cstheme="majorHAnsi"/>
          <w:color w:val="A6A6A6" w:themeColor="background1" w:themeShade="A6"/>
        </w:rPr>
        <w:t xml:space="preserve">     </w:t>
      </w:r>
    </w:p>
    <w:p w14:paraId="2D8A5102" w14:textId="532BAA5A" w:rsidR="0026662C" w:rsidRPr="00F30FD1" w:rsidRDefault="00C920BF" w:rsidP="0026662C">
      <w:pPr>
        <w:rPr>
          <w:rFonts w:cstheme="majorHAnsi"/>
          <w:b/>
        </w:rPr>
      </w:pPr>
      <w:r w:rsidRPr="00F30FD1">
        <w:rPr>
          <w:rFonts w:cstheme="majorHAnsi"/>
        </w:rPr>
        <w:t>Fuente: Vamos México.</w:t>
      </w:r>
    </w:p>
    <w:p w14:paraId="1F14DACD" w14:textId="77777777" w:rsidR="0026662C" w:rsidRPr="00F30FD1" w:rsidRDefault="0026662C" w:rsidP="0026662C">
      <w:pPr>
        <w:rPr>
          <w:rFonts w:cstheme="majorHAnsi"/>
          <w:color w:val="A6A6A6" w:themeColor="background1" w:themeShade="A6"/>
        </w:rPr>
      </w:pPr>
      <w:r w:rsidRPr="00F30FD1">
        <w:rPr>
          <w:rFonts w:cstheme="majorHAnsi"/>
          <w:color w:val="A6A6A6" w:themeColor="background1" w:themeShade="A6"/>
        </w:rPr>
        <w:t>Es importante resaltar que el estado de Quintana Roo se encuentra en los primeros 5 lugares a nivel nacional en crecimiento económico conforme se muestra en la tabla.</w:t>
      </w:r>
    </w:p>
    <w:p w14:paraId="071EC0F3" w14:textId="0E89577C" w:rsidR="00D07522" w:rsidRPr="00F30FD1" w:rsidRDefault="00D07522">
      <w:pPr>
        <w:spacing w:after="0" w:line="240" w:lineRule="auto"/>
        <w:jc w:val="left"/>
        <w:rPr>
          <w:noProof/>
          <w:color w:val="808080" w:themeColor="background1" w:themeShade="80"/>
        </w:rPr>
      </w:pPr>
      <w:r w:rsidRPr="00F30FD1">
        <w:rPr>
          <w:noProof/>
          <w:color w:val="808080" w:themeColor="background1" w:themeShade="80"/>
        </w:rPr>
        <w:br w:type="page"/>
      </w:r>
    </w:p>
    <w:p w14:paraId="41DCEB3E" w14:textId="3EA0C319" w:rsidR="0026662C" w:rsidRPr="00F30FD1" w:rsidRDefault="00D07522" w:rsidP="00D07522">
      <w:pPr>
        <w:jc w:val="center"/>
        <w:rPr>
          <w:noProof/>
          <w:color w:val="808080" w:themeColor="background1" w:themeShade="80"/>
        </w:rPr>
      </w:pPr>
      <w:r w:rsidRPr="00F30FD1">
        <w:rPr>
          <w:noProof/>
          <w:color w:val="808080" w:themeColor="background1" w:themeShade="80"/>
        </w:rPr>
        <w:lastRenderedPageBreak/>
        <w:t>Cuadro Resumen de problemas relevantes del sector/tema</w:t>
      </w:r>
    </w:p>
    <w:p w14:paraId="5F52517D" w14:textId="623692B1" w:rsidR="00952E57" w:rsidRPr="00F30FD1" w:rsidRDefault="00952E57">
      <w:pPr>
        <w:spacing w:after="0" w:line="240" w:lineRule="auto"/>
        <w:jc w:val="left"/>
        <w:rPr>
          <w:rFonts w:cs="Calibri Light"/>
          <w:color w:val="4F5155"/>
          <w:sz w:val="20"/>
          <w:szCs w:val="20"/>
        </w:rPr>
      </w:pPr>
    </w:p>
    <w:tbl>
      <w:tblPr>
        <w:tblStyle w:val="Listaclara-nfasis5"/>
        <w:tblW w:w="0" w:type="auto"/>
        <w:tblLook w:val="0020" w:firstRow="1" w:lastRow="0" w:firstColumn="0" w:lastColumn="0" w:noHBand="0" w:noVBand="0"/>
      </w:tblPr>
      <w:tblGrid>
        <w:gridCol w:w="4414"/>
        <w:gridCol w:w="4414"/>
      </w:tblGrid>
      <w:tr w:rsidR="00A40F9F" w:rsidRPr="00F30FD1" w14:paraId="38C5642C" w14:textId="77777777" w:rsidTr="0086218A">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14" w:type="dxa"/>
            <w:vAlign w:val="center"/>
          </w:tcPr>
          <w:p w14:paraId="74334071" w14:textId="1ABF4161" w:rsidR="00A40F9F" w:rsidRPr="00F30FD1" w:rsidRDefault="00A40F9F" w:rsidP="0086218A">
            <w:pPr>
              <w:jc w:val="center"/>
              <w:rPr>
                <w:rFonts w:eastAsia="Times New Roman" w:cs="Futura"/>
                <w:color w:val="595959"/>
              </w:rPr>
            </w:pPr>
            <w:r w:rsidRPr="00F30FD1">
              <w:rPr>
                <w:rFonts w:eastAsia="Times New Roman" w:cs="Futura"/>
                <w:color w:val="595959"/>
              </w:rPr>
              <w:t>Problema</w:t>
            </w:r>
          </w:p>
        </w:tc>
        <w:tc>
          <w:tcPr>
            <w:tcW w:w="4414" w:type="dxa"/>
            <w:vAlign w:val="center"/>
          </w:tcPr>
          <w:p w14:paraId="6D3C2E34" w14:textId="77777777" w:rsidR="00A40F9F" w:rsidRPr="00F30FD1" w:rsidRDefault="00A40F9F" w:rsidP="0086218A">
            <w:pPr>
              <w:jc w:val="center"/>
              <w:cnfStyle w:val="100000000000" w:firstRow="1"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Causas</w:t>
            </w:r>
          </w:p>
        </w:tc>
      </w:tr>
      <w:tr w:rsidR="00A40F9F" w:rsidRPr="00F30FD1" w14:paraId="66A4EDDC" w14:textId="77777777" w:rsidTr="0086218A">
        <w:trPr>
          <w:cnfStyle w:val="000000100000" w:firstRow="0" w:lastRow="0" w:firstColumn="0" w:lastColumn="0" w:oddVBand="0" w:evenVBand="0" w:oddHBand="1" w:evenHBand="0" w:firstRowFirstColumn="0" w:firstRowLastColumn="0" w:lastRowFirstColumn="0" w:lastRowLastColumn="0"/>
          <w:trHeight w:val="1965"/>
        </w:trPr>
        <w:tc>
          <w:tcPr>
            <w:cnfStyle w:val="000010000000" w:firstRow="0" w:lastRow="0" w:firstColumn="0" w:lastColumn="0" w:oddVBand="1" w:evenVBand="0" w:oddHBand="0" w:evenHBand="0" w:firstRowFirstColumn="0" w:firstRowLastColumn="0" w:lastRowFirstColumn="0" w:lastRowLastColumn="0"/>
            <w:tcW w:w="4414" w:type="dxa"/>
            <w:vAlign w:val="center"/>
          </w:tcPr>
          <w:p w14:paraId="3AE0FCB1" w14:textId="14EC1C5D" w:rsidR="00A40F9F" w:rsidRPr="00F30FD1" w:rsidRDefault="00A40F9F" w:rsidP="0086218A">
            <w:pPr>
              <w:rPr>
                <w:rFonts w:eastAsia="Times New Roman" w:cs="Futura"/>
                <w:color w:val="595959"/>
              </w:rPr>
            </w:pPr>
            <w:r w:rsidRPr="00F30FD1">
              <w:rPr>
                <w:rFonts w:eastAsia="Times New Roman" w:cs="Futura"/>
                <w:color w:val="595959"/>
              </w:rPr>
              <w:t>1.- Los ingresos captados por el Estado de Quintana Roo son insuficientes para cubrir las necesidades de servicios públicos.</w:t>
            </w:r>
          </w:p>
        </w:tc>
        <w:tc>
          <w:tcPr>
            <w:tcW w:w="4414" w:type="dxa"/>
            <w:vAlign w:val="center"/>
          </w:tcPr>
          <w:p w14:paraId="644AEF0F" w14:textId="77777777" w:rsidR="00A40F9F" w:rsidRPr="00F30FD1" w:rsidRDefault="00A40F9F"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proofErr w:type="gramStart"/>
            <w:r w:rsidRPr="00F30FD1">
              <w:rPr>
                <w:rFonts w:eastAsia="Times New Roman" w:cs="Futura"/>
                <w:color w:val="595959"/>
              </w:rPr>
              <w:t>1.Falta</w:t>
            </w:r>
            <w:proofErr w:type="gramEnd"/>
            <w:r w:rsidRPr="00F30FD1">
              <w:rPr>
                <w:rFonts w:eastAsia="Times New Roman" w:cs="Futura"/>
                <w:color w:val="595959"/>
              </w:rPr>
              <w:t xml:space="preserve"> impulsar el pago sustantivo de las obligaciones fiscales a través de medios electrónicos para la recaudación de contribuciones en los municipios de Lázaro Cárdenas y José María Morelos, en virtud de no existir instituciones bancarias.</w:t>
            </w:r>
          </w:p>
          <w:p w14:paraId="1494AAE1" w14:textId="77777777" w:rsidR="00A40F9F" w:rsidRPr="00F30FD1" w:rsidRDefault="00A40F9F"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2. Falta de actualización o alimentación de la información en sistemas informáticos de recaudación.</w:t>
            </w:r>
          </w:p>
          <w:p w14:paraId="1F82637B" w14:textId="77777777" w:rsidR="00A40F9F" w:rsidRPr="00F30FD1" w:rsidRDefault="00A40F9F"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proofErr w:type="gramStart"/>
            <w:r w:rsidRPr="00F30FD1">
              <w:rPr>
                <w:rFonts w:eastAsia="Times New Roman" w:cs="Futura"/>
                <w:color w:val="595959"/>
              </w:rPr>
              <w:t>3.La</w:t>
            </w:r>
            <w:proofErr w:type="gramEnd"/>
            <w:r w:rsidRPr="00F30FD1">
              <w:rPr>
                <w:rFonts w:eastAsia="Times New Roman" w:cs="Futura"/>
                <w:color w:val="595959"/>
              </w:rPr>
              <w:t xml:space="preserve"> información relacionada con los contribuyentes y los impuestos no se encuentra sistematizada y en un padrón único.</w:t>
            </w:r>
          </w:p>
          <w:p w14:paraId="75DE9DC8" w14:textId="77777777" w:rsidR="00A40F9F" w:rsidRPr="00F30FD1" w:rsidRDefault="00A40F9F"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4. La atención a los usuarios de los servicios tributarios es deficiente en cuanto a tiempo de atención, a las condiciones físicas de las instalaciones y al trato de los servidores públicos.</w:t>
            </w:r>
          </w:p>
          <w:p w14:paraId="6312A941" w14:textId="41DDD4C2" w:rsidR="00A40F9F" w:rsidRPr="00F30FD1" w:rsidRDefault="00A40F9F"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5.</w:t>
            </w:r>
            <w:r w:rsidR="0086218A" w:rsidRPr="00F30FD1">
              <w:rPr>
                <w:rFonts w:eastAsia="Times New Roman" w:cs="Futura"/>
                <w:color w:val="595959"/>
              </w:rPr>
              <w:t xml:space="preserve"> </w:t>
            </w:r>
            <w:r w:rsidRPr="00F30FD1">
              <w:rPr>
                <w:rFonts w:eastAsia="Times New Roman" w:cs="Futura"/>
                <w:color w:val="595959"/>
              </w:rPr>
              <w:t>Las condiciones financieras de la deuda pública son desfavorables, ocasionando altos costos del servicio de la deuda, lo que imposibilita que los recursos se destinen al desarrollo del Estado.</w:t>
            </w:r>
          </w:p>
          <w:p w14:paraId="76002A9A" w14:textId="77777777" w:rsidR="00A40F9F" w:rsidRPr="00F30FD1" w:rsidRDefault="00A40F9F"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6. La política de austeridad del gobierno federal ha comprometido las participaciones </w:t>
            </w:r>
            <w:r w:rsidRPr="00F30FD1">
              <w:rPr>
                <w:rFonts w:eastAsia="Times New Roman" w:cs="Futura"/>
                <w:color w:val="595959"/>
              </w:rPr>
              <w:lastRenderedPageBreak/>
              <w:t>y aportaciones.</w:t>
            </w:r>
          </w:p>
          <w:p w14:paraId="69AB2B31" w14:textId="77777777" w:rsidR="00A40F9F" w:rsidRPr="00F30FD1" w:rsidRDefault="00A40F9F"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7. Los convenios establecidos con la federación han sufrido modificaciones y cancelaciones.</w:t>
            </w:r>
          </w:p>
        </w:tc>
      </w:tr>
      <w:tr w:rsidR="00A40F9F" w:rsidRPr="00F30FD1" w14:paraId="3DE2227F" w14:textId="77777777" w:rsidTr="0086218A">
        <w:tc>
          <w:tcPr>
            <w:cnfStyle w:val="000010000000" w:firstRow="0" w:lastRow="0" w:firstColumn="0" w:lastColumn="0" w:oddVBand="1" w:evenVBand="0" w:oddHBand="0" w:evenHBand="0" w:firstRowFirstColumn="0" w:firstRowLastColumn="0" w:lastRowFirstColumn="0" w:lastRowLastColumn="0"/>
            <w:tcW w:w="4414" w:type="dxa"/>
            <w:vAlign w:val="center"/>
          </w:tcPr>
          <w:p w14:paraId="1C5CBA80" w14:textId="34AB4A28" w:rsidR="00A40F9F" w:rsidRPr="00F30FD1" w:rsidRDefault="00A40F9F" w:rsidP="0086218A">
            <w:pPr>
              <w:rPr>
                <w:rFonts w:eastAsia="Times New Roman" w:cs="Futura"/>
                <w:color w:val="595959"/>
              </w:rPr>
            </w:pPr>
            <w:r w:rsidRPr="00F30FD1">
              <w:rPr>
                <w:rFonts w:eastAsia="Times New Roman" w:cs="Futura"/>
                <w:color w:val="595959"/>
              </w:rPr>
              <w:lastRenderedPageBreak/>
              <w:t>2.- El modelo de Gestión para Resultados no está consolidado, tanto en el Presupuesto basado en Resultados, el Sistema de Evaluación del Desempeño y la Transparencia Presupuestaria.</w:t>
            </w:r>
          </w:p>
          <w:p w14:paraId="2C6B7A59" w14:textId="77777777" w:rsidR="00A40F9F" w:rsidRPr="00F30FD1" w:rsidRDefault="00A40F9F" w:rsidP="0086218A">
            <w:pPr>
              <w:jc w:val="left"/>
              <w:rPr>
                <w:rFonts w:eastAsia="Times New Roman" w:cs="Futura"/>
                <w:color w:val="595959"/>
              </w:rPr>
            </w:pPr>
          </w:p>
        </w:tc>
        <w:tc>
          <w:tcPr>
            <w:tcW w:w="4414" w:type="dxa"/>
            <w:vAlign w:val="center"/>
          </w:tcPr>
          <w:p w14:paraId="32416480" w14:textId="77777777" w:rsidR="00A40F9F" w:rsidRPr="00F30FD1" w:rsidRDefault="00A40F9F" w:rsidP="0086218A">
            <w:pP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1.- Alta tasa de rotación de los encargados de la planeación, programación y presupuestación.</w:t>
            </w:r>
          </w:p>
          <w:p w14:paraId="11B956DF" w14:textId="77777777" w:rsidR="00A40F9F" w:rsidRPr="00F30FD1" w:rsidRDefault="00A40F9F" w:rsidP="0086218A">
            <w:pP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2.-Resistencia al cambio por parte las instituciones.</w:t>
            </w:r>
          </w:p>
          <w:p w14:paraId="0E4670B9" w14:textId="31E1AF08" w:rsidR="00A40F9F" w:rsidRPr="00F30FD1" w:rsidRDefault="00A40F9F" w:rsidP="0086218A">
            <w:pP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3.- Desinterés por parte de las dependencias para la consolidación del modelo de Gestión para Resultados.</w:t>
            </w:r>
          </w:p>
          <w:p w14:paraId="3F5F162A" w14:textId="77777777" w:rsidR="00A40F9F" w:rsidRPr="00F30FD1" w:rsidRDefault="00A40F9F" w:rsidP="0086218A">
            <w:pP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4.-La información disponible en materia financiera, contable y presupuestal no es accesible y es de difícil comprensión para la ciudadanía.</w:t>
            </w:r>
          </w:p>
        </w:tc>
      </w:tr>
      <w:tr w:rsidR="001D4654" w:rsidRPr="00F30FD1" w14:paraId="7154EC27" w14:textId="77777777" w:rsidTr="0086218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414" w:type="dxa"/>
            <w:vAlign w:val="center"/>
          </w:tcPr>
          <w:p w14:paraId="6B545E12" w14:textId="2E5BC075" w:rsidR="001D4654" w:rsidRPr="00F30FD1" w:rsidRDefault="001D4654" w:rsidP="0086218A">
            <w:pPr>
              <w:rPr>
                <w:rFonts w:eastAsia="Times New Roman" w:cs="Futura"/>
                <w:color w:val="595959"/>
              </w:rPr>
            </w:pPr>
            <w:r w:rsidRPr="00F30FD1">
              <w:rPr>
                <w:rFonts w:eastAsia="Times New Roman" w:cs="Futura"/>
                <w:color w:val="595959"/>
              </w:rPr>
              <w:t>3.- La Economía del Estado de Quintana Roo se basa en la inversión extranjera y privada nacional enfocada principalmente al sector turístico, la falta de inversión en infraestructura limita la conectividad para la distribución de productos y servicios, disminuyendo el crecimiento de las empresas.</w:t>
            </w:r>
          </w:p>
        </w:tc>
        <w:tc>
          <w:tcPr>
            <w:tcW w:w="4414" w:type="dxa"/>
            <w:vAlign w:val="center"/>
          </w:tcPr>
          <w:p w14:paraId="227305E8" w14:textId="3A0485BF" w:rsidR="001D4654" w:rsidRPr="00F30FD1" w:rsidRDefault="001D4654"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1. Condiciones naturales y estrategias de desarrollo en la Entidad.</w:t>
            </w:r>
          </w:p>
          <w:p w14:paraId="31B66010" w14:textId="23D4E913" w:rsidR="001D4654" w:rsidRPr="00F30FD1" w:rsidRDefault="001D4654"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2. Ausencia de capital público para el desarrollo de infraestructura y falta de certeza jurídica para la protección del capital privado.</w:t>
            </w:r>
          </w:p>
          <w:p w14:paraId="1EA9C0C4" w14:textId="72391FD9" w:rsidR="001D4654" w:rsidRPr="00F30FD1" w:rsidRDefault="001D4654" w:rsidP="0086218A">
            <w:pP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3. Ausencia de capital público para el otorgamiento de financiamientos.</w:t>
            </w:r>
          </w:p>
        </w:tc>
      </w:tr>
    </w:tbl>
    <w:p w14:paraId="723F27BA" w14:textId="77777777" w:rsidR="005F7240" w:rsidRPr="00F30FD1" w:rsidRDefault="005F7240" w:rsidP="00B545F3">
      <w:pPr>
        <w:rPr>
          <w:rFonts w:eastAsia="Times New Roman" w:cs="Futura"/>
          <w:color w:val="595959"/>
        </w:rPr>
      </w:pPr>
      <w:r w:rsidRPr="00F30FD1">
        <w:rPr>
          <w:rFonts w:eastAsia="Times New Roman" w:cs="Futura"/>
          <w:color w:val="595959"/>
        </w:rPr>
        <w:br w:type="page"/>
      </w:r>
    </w:p>
    <w:p w14:paraId="7BE4072C" w14:textId="77777777" w:rsidR="00695E2D" w:rsidRPr="00F30FD1" w:rsidRDefault="00695E2D" w:rsidP="00695E2D">
      <w:pPr>
        <w:pStyle w:val="Ttulo"/>
      </w:pPr>
    </w:p>
    <w:p w14:paraId="75F425E2" w14:textId="77777777" w:rsidR="00695E2D" w:rsidRPr="00F30FD1" w:rsidRDefault="00695E2D" w:rsidP="00695E2D">
      <w:pPr>
        <w:pStyle w:val="Ttulo"/>
      </w:pPr>
    </w:p>
    <w:p w14:paraId="325E3588" w14:textId="77777777" w:rsidR="00695E2D" w:rsidRPr="00F30FD1" w:rsidRDefault="00695E2D" w:rsidP="00695E2D">
      <w:pPr>
        <w:pStyle w:val="Ttulo"/>
      </w:pPr>
    </w:p>
    <w:p w14:paraId="63386192" w14:textId="77777777" w:rsidR="00695E2D" w:rsidRPr="00F30FD1" w:rsidRDefault="00695E2D" w:rsidP="00695E2D">
      <w:pPr>
        <w:pStyle w:val="Ttulo"/>
      </w:pPr>
    </w:p>
    <w:p w14:paraId="3A3FE1F0" w14:textId="77777777" w:rsidR="0086218A" w:rsidRPr="00F30FD1" w:rsidRDefault="0086218A" w:rsidP="00695E2D">
      <w:pPr>
        <w:pStyle w:val="Ttulo"/>
      </w:pPr>
    </w:p>
    <w:p w14:paraId="0503FC9A" w14:textId="77777777" w:rsidR="00695E2D" w:rsidRPr="00F30FD1" w:rsidRDefault="00695E2D" w:rsidP="00695E2D">
      <w:pPr>
        <w:pStyle w:val="Ttulo"/>
        <w:rPr>
          <w:color w:val="4BACC6"/>
        </w:rPr>
      </w:pPr>
      <w:r w:rsidRPr="00F30FD1">
        <w:rPr>
          <w:color w:val="4BACC6"/>
        </w:rPr>
        <w:t>CONTEXTO</w:t>
      </w:r>
    </w:p>
    <w:p w14:paraId="04FE5C44" w14:textId="77777777" w:rsidR="00695E2D" w:rsidRPr="00F30FD1" w:rsidRDefault="00695E2D" w:rsidP="00695E2D">
      <w:pPr>
        <w:spacing w:after="0" w:line="240" w:lineRule="auto"/>
        <w:jc w:val="left"/>
        <w:rPr>
          <w:rFonts w:eastAsia="Times New Roman" w:cs="Times New Roman"/>
          <w:b/>
          <w:bCs/>
          <w:caps/>
          <w:color w:val="4BACC6"/>
          <w:sz w:val="32"/>
          <w:szCs w:val="28"/>
          <w:lang w:val="es-MX" w:eastAsia="en-US"/>
        </w:rPr>
      </w:pPr>
      <w:r w:rsidRPr="00F30FD1">
        <w:rPr>
          <w:color w:val="4BACC6"/>
        </w:rPr>
        <w:br w:type="page"/>
      </w:r>
    </w:p>
    <w:p w14:paraId="2D2658A6" w14:textId="77777777" w:rsidR="005F7240" w:rsidRPr="00F30FD1" w:rsidRDefault="0035377A" w:rsidP="0035377A">
      <w:pPr>
        <w:pStyle w:val="Ttulo1"/>
      </w:pPr>
      <w:bookmarkStart w:id="24" w:name="_Toc477971051"/>
      <w:r w:rsidRPr="00F30FD1">
        <w:lastRenderedPageBreak/>
        <w:t xml:space="preserve">VI. </w:t>
      </w:r>
      <w:r w:rsidR="005F7240" w:rsidRPr="00F30FD1">
        <w:t>CONTEXTO</w:t>
      </w:r>
      <w:bookmarkEnd w:id="24"/>
    </w:p>
    <w:p w14:paraId="6E89B3DE" w14:textId="77777777" w:rsidR="005104A8" w:rsidRPr="00F30FD1" w:rsidRDefault="00952E57" w:rsidP="005104A8">
      <w:pPr>
        <w:rPr>
          <w:noProof/>
          <w:color w:val="808080" w:themeColor="background1" w:themeShade="80"/>
        </w:rPr>
      </w:pPr>
      <w:bookmarkStart w:id="25" w:name="_Toc477971052"/>
      <w:r w:rsidRPr="00F30FD1">
        <w:rPr>
          <w:noProof/>
          <w:color w:val="808080" w:themeColor="background1" w:themeShade="80"/>
        </w:rPr>
        <w:t xml:space="preserve">El Estado Quintana Roo se localiza en la Península de Yucatán al sureste de la República Mexicana; cuenta con una extensión territorial de, 50,843 </w:t>
      </w:r>
      <m:oMath>
        <m:r>
          <w:rPr>
            <w:rFonts w:ascii="Cambria Math" w:hAnsi="Cambria Math"/>
            <w:noProof/>
            <w:color w:val="808080" w:themeColor="background1" w:themeShade="80"/>
          </w:rPr>
          <m:t>K</m:t>
        </m:r>
        <m:sSup>
          <m:sSupPr>
            <m:ctrlPr>
              <w:rPr>
                <w:rFonts w:ascii="Cambria Math" w:hAnsi="Cambria Math"/>
                <w:noProof/>
                <w:color w:val="808080" w:themeColor="background1" w:themeShade="80"/>
              </w:rPr>
            </m:ctrlPr>
          </m:sSupPr>
          <m:e>
            <m:r>
              <w:rPr>
                <w:rFonts w:ascii="Cambria Math" w:hAnsi="Cambria Math"/>
                <w:noProof/>
                <w:color w:val="808080" w:themeColor="background1" w:themeShade="80"/>
              </w:rPr>
              <m:t>m</m:t>
            </m:r>
          </m:e>
          <m:sup>
            <m:r>
              <m:rPr>
                <m:sty m:val="p"/>
              </m:rPr>
              <w:rPr>
                <w:rFonts w:ascii="Cambria Math" w:hAnsi="Cambria Math"/>
                <w:noProof/>
                <w:color w:val="808080" w:themeColor="background1" w:themeShade="80"/>
              </w:rPr>
              <m:t>2</m:t>
            </m:r>
          </m:sup>
        </m:sSup>
      </m:oMath>
      <w:r w:rsidRPr="00F30FD1">
        <w:rPr>
          <w:noProof/>
          <w:color w:val="808080" w:themeColor="background1" w:themeShade="80"/>
        </w:rPr>
        <w:t xml:space="preserve"> los cuales representan el 2.26% del territorio nacional, colinda al oeste con Campeche y Yucatán; y al norte con el Golfo de México, al este con el Mar Caribe y al sur con Belice y Guatemala. Actualmente el Estado se divide en 11 municipios y un congreso con 25 diputados de los diversos partidos políticos. Su actividad económica principal deriva del turismo.</w:t>
      </w:r>
    </w:p>
    <w:p w14:paraId="0D646484" w14:textId="15BD9150" w:rsidR="00952E57" w:rsidRPr="00F30FD1" w:rsidRDefault="00952E57" w:rsidP="005104A8">
      <w:pPr>
        <w:rPr>
          <w:noProof/>
          <w:color w:val="808080" w:themeColor="background1" w:themeShade="80"/>
        </w:rPr>
      </w:pPr>
      <w:r w:rsidRPr="00F30FD1">
        <w:rPr>
          <w:noProof/>
          <w:color w:val="808080" w:themeColor="background1" w:themeShade="80"/>
        </w:rPr>
        <w:t xml:space="preserve">Conforme a la Encuesta Nacional de Ocupación y Empleo (ENOE) del INEGI con datos al cuarto trimestre de 2019, el Estado cuenta con 1,770,957 habitantes, de los cuales 884,555 son hombres y 886,402 son mujeres. En cuanto a la población de 15 años y más 650,022 son hombres y 680,012 </w:t>
      </w:r>
      <w:r w:rsidR="005104A8" w:rsidRPr="00F30FD1">
        <w:rPr>
          <w:noProof/>
          <w:color w:val="808080" w:themeColor="background1" w:themeShade="80"/>
        </w:rPr>
        <w:t>son mujeres, dando un total de 1</w:t>
      </w:r>
      <w:r w:rsidRPr="00F30FD1">
        <w:rPr>
          <w:noProof/>
          <w:color w:val="808080" w:themeColor="background1" w:themeShade="80"/>
        </w:rPr>
        <w:t>,330,034 habitantes.</w:t>
      </w:r>
    </w:p>
    <w:p w14:paraId="5F70CD8E" w14:textId="77777777" w:rsidR="00952E57" w:rsidRPr="00F30FD1" w:rsidRDefault="00952E57" w:rsidP="005104A8">
      <w:pPr>
        <w:rPr>
          <w:noProof/>
          <w:color w:val="808080" w:themeColor="background1" w:themeShade="80"/>
        </w:rPr>
      </w:pPr>
      <w:r w:rsidRPr="00F30FD1">
        <w:rPr>
          <w:noProof/>
          <w:color w:val="808080" w:themeColor="background1" w:themeShade="80"/>
        </w:rPr>
        <w:t>En la tabla siguiente se puede apreciar la distribución de la población por municipio, la población de 15 años y más, así como, la población ocupada durante el IV trimestre de 2019.</w:t>
      </w:r>
    </w:p>
    <w:p w14:paraId="0709D550" w14:textId="77777777" w:rsidR="000847C4" w:rsidRPr="00F30FD1" w:rsidRDefault="000847C4">
      <w:pPr>
        <w:spacing w:after="0" w:line="240" w:lineRule="auto"/>
        <w:jc w:val="left"/>
        <w:rPr>
          <w:rFonts w:eastAsia="Arial" w:cs="Times New Roman"/>
          <w:b/>
          <w:bCs/>
          <w:color w:val="4BACC6" w:themeColor="accent5"/>
          <w:lang w:val="es-MX" w:eastAsia="en-US"/>
        </w:rPr>
      </w:pPr>
      <w:bookmarkStart w:id="26" w:name="_Ref34050804"/>
      <w:r w:rsidRPr="00F30FD1">
        <w:br w:type="page"/>
      </w:r>
    </w:p>
    <w:p w14:paraId="058AA3DF" w14:textId="22992A76" w:rsidR="00952E57" w:rsidRPr="00F30FD1" w:rsidRDefault="00952E57" w:rsidP="00952E57">
      <w:pPr>
        <w:pStyle w:val="Epgrafe"/>
        <w:rPr>
          <w:rFonts w:ascii="Futura T OT" w:hAnsi="Futura T OT"/>
        </w:rPr>
      </w:pPr>
      <w:r w:rsidRPr="00F30FD1">
        <w:rPr>
          <w:rFonts w:ascii="Futura T OT" w:hAnsi="Futura T OT"/>
        </w:rPr>
        <w:lastRenderedPageBreak/>
        <w:t xml:space="preserve">Tabla </w:t>
      </w:r>
      <w:r w:rsidR="0086218A" w:rsidRPr="00F30FD1">
        <w:rPr>
          <w:rFonts w:ascii="Futura T OT" w:hAnsi="Futura T OT"/>
        </w:rPr>
        <w:t>T.</w:t>
      </w:r>
      <w:r w:rsidR="00100B8B">
        <w:rPr>
          <w:rFonts w:ascii="Futura T OT" w:hAnsi="Futura T OT"/>
        </w:rPr>
        <w:t>15</w:t>
      </w:r>
      <w:r w:rsidR="0086218A" w:rsidRPr="00F30FD1">
        <w:rPr>
          <w:rFonts w:ascii="Futura T OT" w:hAnsi="Futura T OT"/>
        </w:rPr>
        <w:t xml:space="preserve"> </w:t>
      </w:r>
      <w:bookmarkEnd w:id="26"/>
      <w:r w:rsidRPr="00F30FD1">
        <w:rPr>
          <w:rFonts w:ascii="Futura T OT" w:hAnsi="Futura T OT"/>
        </w:rPr>
        <w:t>Población por Municipio de Quintana Roo, IV trimestre de 2019</w:t>
      </w:r>
    </w:p>
    <w:tbl>
      <w:tblPr>
        <w:tblStyle w:val="Listaclara-nfasis5"/>
        <w:tblW w:w="5000" w:type="pct"/>
        <w:tblLook w:val="0620" w:firstRow="1" w:lastRow="0" w:firstColumn="0" w:lastColumn="0" w:noHBand="1" w:noVBand="1"/>
      </w:tblPr>
      <w:tblGrid>
        <w:gridCol w:w="2940"/>
        <w:gridCol w:w="2162"/>
        <w:gridCol w:w="2630"/>
        <w:gridCol w:w="2031"/>
      </w:tblGrid>
      <w:tr w:rsidR="00952E57" w:rsidRPr="00F30FD1" w14:paraId="0D7FE621" w14:textId="77777777" w:rsidTr="0099099D">
        <w:trPr>
          <w:cnfStyle w:val="100000000000" w:firstRow="1" w:lastRow="0" w:firstColumn="0" w:lastColumn="0" w:oddVBand="0" w:evenVBand="0" w:oddHBand="0" w:evenHBand="0" w:firstRowFirstColumn="0" w:firstRowLastColumn="0" w:lastRowFirstColumn="0" w:lastRowLastColumn="0"/>
          <w:trHeight w:val="600"/>
        </w:trPr>
        <w:tc>
          <w:tcPr>
            <w:tcW w:w="1506" w:type="pct"/>
            <w:tcBorders>
              <w:bottom w:val="single" w:sz="4" w:space="0" w:color="auto"/>
            </w:tcBorders>
            <w:shd w:val="clear" w:color="auto" w:fill="808080" w:themeFill="background1" w:themeFillShade="80"/>
            <w:noWrap/>
            <w:vAlign w:val="center"/>
            <w:hideMark/>
          </w:tcPr>
          <w:p w14:paraId="32BD48FA" w14:textId="77777777" w:rsidR="00952E57" w:rsidRPr="0099099D" w:rsidRDefault="00952E57" w:rsidP="0099099D">
            <w:pPr>
              <w:spacing w:after="0" w:line="240" w:lineRule="auto"/>
              <w:jc w:val="center"/>
              <w:rPr>
                <w:rFonts w:eastAsia="Times New Roman" w:cs="Futura"/>
              </w:rPr>
            </w:pPr>
            <w:r w:rsidRPr="0099099D">
              <w:rPr>
                <w:rFonts w:eastAsia="Times New Roman" w:cs="Futura"/>
              </w:rPr>
              <w:t>Municipio</w:t>
            </w:r>
          </w:p>
        </w:tc>
        <w:tc>
          <w:tcPr>
            <w:tcW w:w="1107" w:type="pct"/>
            <w:tcBorders>
              <w:bottom w:val="single" w:sz="4" w:space="0" w:color="auto"/>
            </w:tcBorders>
            <w:shd w:val="clear" w:color="auto" w:fill="808080" w:themeFill="background1" w:themeFillShade="80"/>
            <w:noWrap/>
            <w:vAlign w:val="center"/>
            <w:hideMark/>
          </w:tcPr>
          <w:p w14:paraId="22A563AE" w14:textId="77777777" w:rsidR="00952E57" w:rsidRPr="0099099D" w:rsidRDefault="00952E57" w:rsidP="0099099D">
            <w:pPr>
              <w:spacing w:after="0" w:line="240" w:lineRule="auto"/>
              <w:jc w:val="center"/>
              <w:rPr>
                <w:rFonts w:eastAsia="Times New Roman" w:cs="Futura"/>
              </w:rPr>
            </w:pPr>
            <w:r w:rsidRPr="0099099D">
              <w:rPr>
                <w:rFonts w:eastAsia="Times New Roman" w:cs="Futura"/>
              </w:rPr>
              <w:t>Población total</w:t>
            </w:r>
          </w:p>
        </w:tc>
        <w:tc>
          <w:tcPr>
            <w:tcW w:w="1347" w:type="pct"/>
            <w:tcBorders>
              <w:bottom w:val="single" w:sz="4" w:space="0" w:color="auto"/>
            </w:tcBorders>
            <w:shd w:val="clear" w:color="auto" w:fill="808080" w:themeFill="background1" w:themeFillShade="80"/>
            <w:vAlign w:val="center"/>
            <w:hideMark/>
          </w:tcPr>
          <w:p w14:paraId="3DEDE147" w14:textId="77777777" w:rsidR="00952E57" w:rsidRPr="0099099D" w:rsidRDefault="00952E57" w:rsidP="0099099D">
            <w:pPr>
              <w:spacing w:after="0" w:line="240" w:lineRule="auto"/>
              <w:jc w:val="center"/>
              <w:rPr>
                <w:rFonts w:eastAsia="Times New Roman" w:cs="Futura"/>
              </w:rPr>
            </w:pPr>
            <w:r w:rsidRPr="0099099D">
              <w:rPr>
                <w:rFonts w:eastAsia="Times New Roman" w:cs="Futura"/>
              </w:rPr>
              <w:t>Población de 15 años y más</w:t>
            </w:r>
          </w:p>
        </w:tc>
        <w:tc>
          <w:tcPr>
            <w:tcW w:w="1041" w:type="pct"/>
            <w:tcBorders>
              <w:bottom w:val="single" w:sz="4" w:space="0" w:color="auto"/>
            </w:tcBorders>
            <w:shd w:val="clear" w:color="auto" w:fill="808080" w:themeFill="background1" w:themeFillShade="80"/>
            <w:vAlign w:val="center"/>
            <w:hideMark/>
          </w:tcPr>
          <w:p w14:paraId="69E83D2D" w14:textId="77777777" w:rsidR="00952E57" w:rsidRPr="0099099D" w:rsidRDefault="00952E57" w:rsidP="0099099D">
            <w:pPr>
              <w:spacing w:after="0" w:line="240" w:lineRule="auto"/>
              <w:jc w:val="center"/>
              <w:rPr>
                <w:rFonts w:eastAsia="Times New Roman" w:cs="Futura"/>
              </w:rPr>
            </w:pPr>
            <w:r w:rsidRPr="0099099D">
              <w:rPr>
                <w:rFonts w:eastAsia="Times New Roman" w:cs="Futura"/>
              </w:rPr>
              <w:t>Población Ocupada</w:t>
            </w:r>
          </w:p>
        </w:tc>
      </w:tr>
      <w:tr w:rsidR="00952E57" w:rsidRPr="00F30FD1" w14:paraId="1A0FE752"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7EAC4059"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1 Cozumel</w:t>
            </w:r>
          </w:p>
        </w:tc>
        <w:tc>
          <w:tcPr>
            <w:tcW w:w="1107" w:type="pct"/>
            <w:tcBorders>
              <w:top w:val="single" w:sz="4" w:space="0" w:color="auto"/>
              <w:left w:val="single" w:sz="4" w:space="0" w:color="auto"/>
              <w:bottom w:val="single" w:sz="4" w:space="0" w:color="auto"/>
              <w:right w:val="single" w:sz="4" w:space="0" w:color="auto"/>
            </w:tcBorders>
            <w:noWrap/>
            <w:hideMark/>
          </w:tcPr>
          <w:p w14:paraId="312D97A9"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105,084</w:t>
            </w:r>
          </w:p>
        </w:tc>
        <w:tc>
          <w:tcPr>
            <w:tcW w:w="1347" w:type="pct"/>
            <w:tcBorders>
              <w:top w:val="single" w:sz="4" w:space="0" w:color="auto"/>
              <w:left w:val="single" w:sz="4" w:space="0" w:color="auto"/>
              <w:bottom w:val="single" w:sz="4" w:space="0" w:color="auto"/>
              <w:right w:val="single" w:sz="4" w:space="0" w:color="auto"/>
            </w:tcBorders>
            <w:noWrap/>
            <w:hideMark/>
          </w:tcPr>
          <w:p w14:paraId="3D1FF581"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75,453</w:t>
            </w:r>
          </w:p>
        </w:tc>
        <w:tc>
          <w:tcPr>
            <w:tcW w:w="1041" w:type="pct"/>
            <w:tcBorders>
              <w:top w:val="single" w:sz="4" w:space="0" w:color="auto"/>
              <w:left w:val="single" w:sz="4" w:space="0" w:color="auto"/>
              <w:bottom w:val="single" w:sz="4" w:space="0" w:color="auto"/>
              <w:right w:val="single" w:sz="4" w:space="0" w:color="auto"/>
            </w:tcBorders>
            <w:noWrap/>
            <w:hideMark/>
          </w:tcPr>
          <w:p w14:paraId="0E1A17CE"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53,962</w:t>
            </w:r>
          </w:p>
        </w:tc>
      </w:tr>
      <w:tr w:rsidR="00952E57" w:rsidRPr="00F30FD1" w14:paraId="1B12E972"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6F29F214"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2 Felipe Carrillo Puerto</w:t>
            </w:r>
          </w:p>
        </w:tc>
        <w:tc>
          <w:tcPr>
            <w:tcW w:w="1107" w:type="pct"/>
            <w:tcBorders>
              <w:top w:val="single" w:sz="4" w:space="0" w:color="auto"/>
              <w:left w:val="single" w:sz="4" w:space="0" w:color="auto"/>
              <w:bottom w:val="single" w:sz="4" w:space="0" w:color="auto"/>
              <w:right w:val="single" w:sz="4" w:space="0" w:color="auto"/>
            </w:tcBorders>
            <w:noWrap/>
            <w:hideMark/>
          </w:tcPr>
          <w:p w14:paraId="3738D96F"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121,133</w:t>
            </w:r>
          </w:p>
        </w:tc>
        <w:tc>
          <w:tcPr>
            <w:tcW w:w="1347" w:type="pct"/>
            <w:tcBorders>
              <w:top w:val="single" w:sz="4" w:space="0" w:color="auto"/>
              <w:left w:val="single" w:sz="4" w:space="0" w:color="auto"/>
              <w:bottom w:val="single" w:sz="4" w:space="0" w:color="auto"/>
              <w:right w:val="single" w:sz="4" w:space="0" w:color="auto"/>
            </w:tcBorders>
            <w:noWrap/>
            <w:hideMark/>
          </w:tcPr>
          <w:p w14:paraId="1AFA4E05"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86,898</w:t>
            </w:r>
          </w:p>
        </w:tc>
        <w:tc>
          <w:tcPr>
            <w:tcW w:w="1041" w:type="pct"/>
            <w:tcBorders>
              <w:top w:val="single" w:sz="4" w:space="0" w:color="auto"/>
              <w:left w:val="single" w:sz="4" w:space="0" w:color="auto"/>
              <w:bottom w:val="single" w:sz="4" w:space="0" w:color="auto"/>
              <w:right w:val="single" w:sz="4" w:space="0" w:color="auto"/>
            </w:tcBorders>
            <w:noWrap/>
            <w:hideMark/>
          </w:tcPr>
          <w:p w14:paraId="0F8FCF5D"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51,312</w:t>
            </w:r>
          </w:p>
        </w:tc>
      </w:tr>
      <w:tr w:rsidR="00952E57" w:rsidRPr="00F30FD1" w14:paraId="4DF26D15"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3F9278E8"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3 Isla Mujeres</w:t>
            </w:r>
          </w:p>
        </w:tc>
        <w:tc>
          <w:tcPr>
            <w:tcW w:w="1107" w:type="pct"/>
            <w:tcBorders>
              <w:top w:val="single" w:sz="4" w:space="0" w:color="auto"/>
              <w:left w:val="single" w:sz="4" w:space="0" w:color="auto"/>
              <w:bottom w:val="single" w:sz="4" w:space="0" w:color="auto"/>
              <w:right w:val="single" w:sz="4" w:space="0" w:color="auto"/>
            </w:tcBorders>
            <w:noWrap/>
            <w:hideMark/>
          </w:tcPr>
          <w:p w14:paraId="7135227D"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23,451</w:t>
            </w:r>
          </w:p>
        </w:tc>
        <w:tc>
          <w:tcPr>
            <w:tcW w:w="1347" w:type="pct"/>
            <w:tcBorders>
              <w:top w:val="single" w:sz="4" w:space="0" w:color="auto"/>
              <w:left w:val="single" w:sz="4" w:space="0" w:color="auto"/>
              <w:bottom w:val="single" w:sz="4" w:space="0" w:color="auto"/>
              <w:right w:val="single" w:sz="4" w:space="0" w:color="auto"/>
            </w:tcBorders>
            <w:noWrap/>
            <w:hideMark/>
          </w:tcPr>
          <w:p w14:paraId="1E78F6D2"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14,990</w:t>
            </w:r>
          </w:p>
        </w:tc>
        <w:tc>
          <w:tcPr>
            <w:tcW w:w="1041" w:type="pct"/>
            <w:tcBorders>
              <w:top w:val="single" w:sz="4" w:space="0" w:color="auto"/>
              <w:left w:val="single" w:sz="4" w:space="0" w:color="auto"/>
              <w:bottom w:val="single" w:sz="4" w:space="0" w:color="auto"/>
              <w:right w:val="single" w:sz="4" w:space="0" w:color="auto"/>
            </w:tcBorders>
            <w:noWrap/>
            <w:hideMark/>
          </w:tcPr>
          <w:p w14:paraId="21A18EDD"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8,738</w:t>
            </w:r>
          </w:p>
        </w:tc>
      </w:tr>
      <w:tr w:rsidR="00952E57" w:rsidRPr="00F30FD1" w14:paraId="28DFC6E4"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684F8C54"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4 Othón P. Blanco</w:t>
            </w:r>
          </w:p>
        </w:tc>
        <w:tc>
          <w:tcPr>
            <w:tcW w:w="1107" w:type="pct"/>
            <w:tcBorders>
              <w:top w:val="single" w:sz="4" w:space="0" w:color="auto"/>
              <w:left w:val="single" w:sz="4" w:space="0" w:color="auto"/>
              <w:bottom w:val="single" w:sz="4" w:space="0" w:color="auto"/>
              <w:right w:val="single" w:sz="4" w:space="0" w:color="auto"/>
            </w:tcBorders>
            <w:noWrap/>
            <w:hideMark/>
          </w:tcPr>
          <w:p w14:paraId="4EC75A37"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228,579</w:t>
            </w:r>
          </w:p>
        </w:tc>
        <w:tc>
          <w:tcPr>
            <w:tcW w:w="1347" w:type="pct"/>
            <w:tcBorders>
              <w:top w:val="single" w:sz="4" w:space="0" w:color="auto"/>
              <w:left w:val="single" w:sz="4" w:space="0" w:color="auto"/>
              <w:bottom w:val="single" w:sz="4" w:space="0" w:color="auto"/>
              <w:right w:val="single" w:sz="4" w:space="0" w:color="auto"/>
            </w:tcBorders>
            <w:noWrap/>
            <w:hideMark/>
          </w:tcPr>
          <w:p w14:paraId="50DCD8CE"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179,837</w:t>
            </w:r>
          </w:p>
        </w:tc>
        <w:tc>
          <w:tcPr>
            <w:tcW w:w="1041" w:type="pct"/>
            <w:tcBorders>
              <w:top w:val="single" w:sz="4" w:space="0" w:color="auto"/>
              <w:left w:val="single" w:sz="4" w:space="0" w:color="auto"/>
              <w:bottom w:val="single" w:sz="4" w:space="0" w:color="auto"/>
              <w:right w:val="single" w:sz="4" w:space="0" w:color="auto"/>
            </w:tcBorders>
            <w:noWrap/>
            <w:hideMark/>
          </w:tcPr>
          <w:p w14:paraId="43763519"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111,163</w:t>
            </w:r>
          </w:p>
        </w:tc>
      </w:tr>
      <w:tr w:rsidR="00952E57" w:rsidRPr="00F30FD1" w14:paraId="4D93A254"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2BDDE542"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5 Benito Juárez</w:t>
            </w:r>
          </w:p>
        </w:tc>
        <w:tc>
          <w:tcPr>
            <w:tcW w:w="1107" w:type="pct"/>
            <w:tcBorders>
              <w:top w:val="single" w:sz="4" w:space="0" w:color="auto"/>
              <w:left w:val="single" w:sz="4" w:space="0" w:color="auto"/>
              <w:bottom w:val="single" w:sz="4" w:space="0" w:color="auto"/>
              <w:right w:val="single" w:sz="4" w:space="0" w:color="auto"/>
            </w:tcBorders>
            <w:noWrap/>
            <w:hideMark/>
          </w:tcPr>
          <w:p w14:paraId="7AB0D2F0"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839,404</w:t>
            </w:r>
          </w:p>
        </w:tc>
        <w:tc>
          <w:tcPr>
            <w:tcW w:w="1347" w:type="pct"/>
            <w:tcBorders>
              <w:top w:val="single" w:sz="4" w:space="0" w:color="auto"/>
              <w:left w:val="single" w:sz="4" w:space="0" w:color="auto"/>
              <w:bottom w:val="single" w:sz="4" w:space="0" w:color="auto"/>
              <w:right w:val="single" w:sz="4" w:space="0" w:color="auto"/>
            </w:tcBorders>
            <w:noWrap/>
            <w:hideMark/>
          </w:tcPr>
          <w:p w14:paraId="6C9949B4"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650,270</w:t>
            </w:r>
          </w:p>
        </w:tc>
        <w:tc>
          <w:tcPr>
            <w:tcW w:w="1041" w:type="pct"/>
            <w:tcBorders>
              <w:top w:val="single" w:sz="4" w:space="0" w:color="auto"/>
              <w:left w:val="single" w:sz="4" w:space="0" w:color="auto"/>
              <w:bottom w:val="single" w:sz="4" w:space="0" w:color="auto"/>
              <w:right w:val="single" w:sz="4" w:space="0" w:color="auto"/>
            </w:tcBorders>
            <w:noWrap/>
            <w:hideMark/>
          </w:tcPr>
          <w:p w14:paraId="4FAD7CA5"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421,177</w:t>
            </w:r>
          </w:p>
        </w:tc>
      </w:tr>
      <w:tr w:rsidR="00952E57" w:rsidRPr="00F30FD1" w14:paraId="17E2A3FC"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33C748EF"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 xml:space="preserve">6 José María Morelos </w:t>
            </w:r>
          </w:p>
        </w:tc>
        <w:tc>
          <w:tcPr>
            <w:tcW w:w="1107" w:type="pct"/>
            <w:tcBorders>
              <w:top w:val="single" w:sz="4" w:space="0" w:color="auto"/>
              <w:left w:val="single" w:sz="4" w:space="0" w:color="auto"/>
              <w:bottom w:val="single" w:sz="4" w:space="0" w:color="auto"/>
              <w:right w:val="single" w:sz="4" w:space="0" w:color="auto"/>
            </w:tcBorders>
            <w:noWrap/>
            <w:hideMark/>
          </w:tcPr>
          <w:p w14:paraId="7F45B92F"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71,631</w:t>
            </w:r>
          </w:p>
        </w:tc>
        <w:tc>
          <w:tcPr>
            <w:tcW w:w="1347" w:type="pct"/>
            <w:tcBorders>
              <w:top w:val="single" w:sz="4" w:space="0" w:color="auto"/>
              <w:left w:val="single" w:sz="4" w:space="0" w:color="auto"/>
              <w:bottom w:val="single" w:sz="4" w:space="0" w:color="auto"/>
              <w:right w:val="single" w:sz="4" w:space="0" w:color="auto"/>
            </w:tcBorders>
            <w:noWrap/>
            <w:hideMark/>
          </w:tcPr>
          <w:p w14:paraId="30DE4167"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49,194</w:t>
            </w:r>
          </w:p>
        </w:tc>
        <w:tc>
          <w:tcPr>
            <w:tcW w:w="1041" w:type="pct"/>
            <w:tcBorders>
              <w:top w:val="single" w:sz="4" w:space="0" w:color="auto"/>
              <w:left w:val="single" w:sz="4" w:space="0" w:color="auto"/>
              <w:bottom w:val="single" w:sz="4" w:space="0" w:color="auto"/>
              <w:right w:val="single" w:sz="4" w:space="0" w:color="auto"/>
            </w:tcBorders>
            <w:noWrap/>
            <w:hideMark/>
          </w:tcPr>
          <w:p w14:paraId="597FD386"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27,189</w:t>
            </w:r>
          </w:p>
        </w:tc>
      </w:tr>
      <w:tr w:rsidR="00952E57" w:rsidRPr="00F30FD1" w14:paraId="5A6C7E13"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6CB9A807"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7 Lázaro Cárdenas</w:t>
            </w:r>
          </w:p>
        </w:tc>
        <w:tc>
          <w:tcPr>
            <w:tcW w:w="1107" w:type="pct"/>
            <w:tcBorders>
              <w:top w:val="single" w:sz="4" w:space="0" w:color="auto"/>
              <w:left w:val="single" w:sz="4" w:space="0" w:color="auto"/>
              <w:bottom w:val="single" w:sz="4" w:space="0" w:color="auto"/>
              <w:right w:val="single" w:sz="4" w:space="0" w:color="auto"/>
            </w:tcBorders>
            <w:noWrap/>
            <w:hideMark/>
          </w:tcPr>
          <w:p w14:paraId="296FF833"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19,028</w:t>
            </w:r>
          </w:p>
        </w:tc>
        <w:tc>
          <w:tcPr>
            <w:tcW w:w="1347" w:type="pct"/>
            <w:tcBorders>
              <w:top w:val="single" w:sz="4" w:space="0" w:color="auto"/>
              <w:left w:val="single" w:sz="4" w:space="0" w:color="auto"/>
              <w:bottom w:val="single" w:sz="4" w:space="0" w:color="auto"/>
              <w:right w:val="single" w:sz="4" w:space="0" w:color="auto"/>
            </w:tcBorders>
            <w:noWrap/>
            <w:hideMark/>
          </w:tcPr>
          <w:p w14:paraId="47918655"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10,988</w:t>
            </w:r>
          </w:p>
        </w:tc>
        <w:tc>
          <w:tcPr>
            <w:tcW w:w="1041" w:type="pct"/>
            <w:tcBorders>
              <w:top w:val="single" w:sz="4" w:space="0" w:color="auto"/>
              <w:left w:val="single" w:sz="4" w:space="0" w:color="auto"/>
              <w:bottom w:val="single" w:sz="4" w:space="0" w:color="auto"/>
              <w:right w:val="single" w:sz="4" w:space="0" w:color="auto"/>
            </w:tcBorders>
            <w:noWrap/>
            <w:hideMark/>
          </w:tcPr>
          <w:p w14:paraId="34DB417F"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7,772</w:t>
            </w:r>
          </w:p>
        </w:tc>
      </w:tr>
      <w:tr w:rsidR="00952E57" w:rsidRPr="00F30FD1" w14:paraId="242DF793"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0F2D900C"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8 Solidaridad</w:t>
            </w:r>
          </w:p>
        </w:tc>
        <w:tc>
          <w:tcPr>
            <w:tcW w:w="1107" w:type="pct"/>
            <w:tcBorders>
              <w:top w:val="single" w:sz="4" w:space="0" w:color="auto"/>
              <w:left w:val="single" w:sz="4" w:space="0" w:color="auto"/>
              <w:bottom w:val="single" w:sz="4" w:space="0" w:color="auto"/>
              <w:right w:val="single" w:sz="4" w:space="0" w:color="auto"/>
            </w:tcBorders>
            <w:noWrap/>
            <w:hideMark/>
          </w:tcPr>
          <w:p w14:paraId="61FBDA79"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226,067</w:t>
            </w:r>
          </w:p>
        </w:tc>
        <w:tc>
          <w:tcPr>
            <w:tcW w:w="1347" w:type="pct"/>
            <w:tcBorders>
              <w:top w:val="single" w:sz="4" w:space="0" w:color="auto"/>
              <w:left w:val="single" w:sz="4" w:space="0" w:color="auto"/>
              <w:bottom w:val="single" w:sz="4" w:space="0" w:color="auto"/>
              <w:right w:val="single" w:sz="4" w:space="0" w:color="auto"/>
            </w:tcBorders>
            <w:noWrap/>
            <w:hideMark/>
          </w:tcPr>
          <w:p w14:paraId="15F9440D"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170,124</w:t>
            </w:r>
          </w:p>
        </w:tc>
        <w:tc>
          <w:tcPr>
            <w:tcW w:w="1041" w:type="pct"/>
            <w:tcBorders>
              <w:top w:val="single" w:sz="4" w:space="0" w:color="auto"/>
              <w:left w:val="single" w:sz="4" w:space="0" w:color="auto"/>
              <w:bottom w:val="single" w:sz="4" w:space="0" w:color="auto"/>
              <w:right w:val="single" w:sz="4" w:space="0" w:color="auto"/>
            </w:tcBorders>
            <w:noWrap/>
            <w:hideMark/>
          </w:tcPr>
          <w:p w14:paraId="16B47660"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115,251</w:t>
            </w:r>
          </w:p>
        </w:tc>
      </w:tr>
      <w:tr w:rsidR="00952E57" w:rsidRPr="00F30FD1" w14:paraId="33B2814E"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127F8CCF"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9 Tulum</w:t>
            </w:r>
          </w:p>
        </w:tc>
        <w:tc>
          <w:tcPr>
            <w:tcW w:w="1107" w:type="pct"/>
            <w:tcBorders>
              <w:top w:val="single" w:sz="4" w:space="0" w:color="auto"/>
              <w:left w:val="single" w:sz="4" w:space="0" w:color="auto"/>
              <w:bottom w:val="single" w:sz="4" w:space="0" w:color="auto"/>
              <w:right w:val="single" w:sz="4" w:space="0" w:color="auto"/>
            </w:tcBorders>
            <w:noWrap/>
            <w:hideMark/>
          </w:tcPr>
          <w:p w14:paraId="4249A2D6"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34,714</w:t>
            </w:r>
          </w:p>
        </w:tc>
        <w:tc>
          <w:tcPr>
            <w:tcW w:w="1347" w:type="pct"/>
            <w:tcBorders>
              <w:top w:val="single" w:sz="4" w:space="0" w:color="auto"/>
              <w:left w:val="single" w:sz="4" w:space="0" w:color="auto"/>
              <w:bottom w:val="single" w:sz="4" w:space="0" w:color="auto"/>
              <w:right w:val="single" w:sz="4" w:space="0" w:color="auto"/>
            </w:tcBorders>
            <w:noWrap/>
            <w:hideMark/>
          </w:tcPr>
          <w:p w14:paraId="1DF8CA14"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22,542</w:t>
            </w:r>
          </w:p>
        </w:tc>
        <w:tc>
          <w:tcPr>
            <w:tcW w:w="1041" w:type="pct"/>
            <w:tcBorders>
              <w:top w:val="single" w:sz="4" w:space="0" w:color="auto"/>
              <w:left w:val="single" w:sz="4" w:space="0" w:color="auto"/>
              <w:bottom w:val="single" w:sz="4" w:space="0" w:color="auto"/>
              <w:right w:val="single" w:sz="4" w:space="0" w:color="auto"/>
            </w:tcBorders>
            <w:noWrap/>
            <w:hideMark/>
          </w:tcPr>
          <w:p w14:paraId="6C6D2F0A"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12,998</w:t>
            </w:r>
          </w:p>
        </w:tc>
      </w:tr>
      <w:tr w:rsidR="00952E57" w:rsidRPr="00F30FD1" w14:paraId="5A1EBC62"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62174BC0"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10 Bacalar</w:t>
            </w:r>
          </w:p>
        </w:tc>
        <w:tc>
          <w:tcPr>
            <w:tcW w:w="1107" w:type="pct"/>
            <w:tcBorders>
              <w:top w:val="single" w:sz="4" w:space="0" w:color="auto"/>
              <w:left w:val="single" w:sz="4" w:space="0" w:color="auto"/>
              <w:bottom w:val="single" w:sz="4" w:space="0" w:color="auto"/>
              <w:right w:val="single" w:sz="4" w:space="0" w:color="auto"/>
            </w:tcBorders>
            <w:noWrap/>
            <w:hideMark/>
          </w:tcPr>
          <w:p w14:paraId="32C1EA5B"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89,434</w:t>
            </w:r>
          </w:p>
        </w:tc>
        <w:tc>
          <w:tcPr>
            <w:tcW w:w="1347" w:type="pct"/>
            <w:tcBorders>
              <w:top w:val="single" w:sz="4" w:space="0" w:color="auto"/>
              <w:left w:val="single" w:sz="4" w:space="0" w:color="auto"/>
              <w:bottom w:val="single" w:sz="4" w:space="0" w:color="auto"/>
              <w:right w:val="single" w:sz="4" w:space="0" w:color="auto"/>
            </w:tcBorders>
            <w:noWrap/>
            <w:hideMark/>
          </w:tcPr>
          <w:p w14:paraId="54486439"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61,170</w:t>
            </w:r>
          </w:p>
        </w:tc>
        <w:tc>
          <w:tcPr>
            <w:tcW w:w="1041" w:type="pct"/>
            <w:tcBorders>
              <w:top w:val="single" w:sz="4" w:space="0" w:color="auto"/>
              <w:left w:val="single" w:sz="4" w:space="0" w:color="auto"/>
              <w:bottom w:val="single" w:sz="4" w:space="0" w:color="auto"/>
              <w:right w:val="single" w:sz="4" w:space="0" w:color="auto"/>
            </w:tcBorders>
            <w:noWrap/>
            <w:hideMark/>
          </w:tcPr>
          <w:p w14:paraId="7839BD43"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36,431</w:t>
            </w:r>
          </w:p>
        </w:tc>
      </w:tr>
      <w:tr w:rsidR="00952E57" w:rsidRPr="00F30FD1" w14:paraId="10DFEF05"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682DDDFB"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11 Puerto Morelos</w:t>
            </w:r>
          </w:p>
        </w:tc>
        <w:tc>
          <w:tcPr>
            <w:tcW w:w="1107" w:type="pct"/>
            <w:tcBorders>
              <w:top w:val="single" w:sz="4" w:space="0" w:color="auto"/>
              <w:left w:val="single" w:sz="4" w:space="0" w:color="auto"/>
              <w:bottom w:val="single" w:sz="4" w:space="0" w:color="auto"/>
              <w:right w:val="single" w:sz="4" w:space="0" w:color="auto"/>
            </w:tcBorders>
            <w:noWrap/>
            <w:hideMark/>
          </w:tcPr>
          <w:p w14:paraId="42A9D2FB"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12,432</w:t>
            </w:r>
          </w:p>
        </w:tc>
        <w:tc>
          <w:tcPr>
            <w:tcW w:w="1347" w:type="pct"/>
            <w:tcBorders>
              <w:top w:val="single" w:sz="4" w:space="0" w:color="auto"/>
              <w:left w:val="single" w:sz="4" w:space="0" w:color="auto"/>
              <w:bottom w:val="single" w:sz="4" w:space="0" w:color="auto"/>
              <w:right w:val="single" w:sz="4" w:space="0" w:color="auto"/>
            </w:tcBorders>
            <w:noWrap/>
            <w:hideMark/>
          </w:tcPr>
          <w:p w14:paraId="080FB723"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8,568</w:t>
            </w:r>
          </w:p>
        </w:tc>
        <w:tc>
          <w:tcPr>
            <w:tcW w:w="1041" w:type="pct"/>
            <w:tcBorders>
              <w:top w:val="single" w:sz="4" w:space="0" w:color="auto"/>
              <w:left w:val="single" w:sz="4" w:space="0" w:color="auto"/>
              <w:bottom w:val="single" w:sz="4" w:space="0" w:color="auto"/>
              <w:right w:val="single" w:sz="4" w:space="0" w:color="auto"/>
            </w:tcBorders>
            <w:noWrap/>
            <w:hideMark/>
          </w:tcPr>
          <w:p w14:paraId="5DF165EC"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5,712</w:t>
            </w:r>
          </w:p>
        </w:tc>
      </w:tr>
      <w:tr w:rsidR="00952E57" w:rsidRPr="00F30FD1" w14:paraId="12FD1CF1" w14:textId="77777777" w:rsidTr="0086218A">
        <w:trPr>
          <w:trHeight w:val="300"/>
        </w:trPr>
        <w:tc>
          <w:tcPr>
            <w:tcW w:w="1506" w:type="pct"/>
            <w:tcBorders>
              <w:top w:val="single" w:sz="4" w:space="0" w:color="auto"/>
              <w:left w:val="single" w:sz="4" w:space="0" w:color="auto"/>
              <w:bottom w:val="single" w:sz="4" w:space="0" w:color="auto"/>
              <w:right w:val="single" w:sz="4" w:space="0" w:color="auto"/>
            </w:tcBorders>
            <w:noWrap/>
            <w:hideMark/>
          </w:tcPr>
          <w:p w14:paraId="79E155F3" w14:textId="77777777" w:rsidR="00952E57" w:rsidRPr="00F30FD1" w:rsidRDefault="00952E57" w:rsidP="00952E57">
            <w:pPr>
              <w:spacing w:after="0" w:line="240" w:lineRule="auto"/>
              <w:jc w:val="center"/>
              <w:rPr>
                <w:rFonts w:eastAsia="Times New Roman" w:cs="Futura"/>
                <w:color w:val="595959"/>
              </w:rPr>
            </w:pPr>
            <w:r w:rsidRPr="00F30FD1">
              <w:rPr>
                <w:rFonts w:eastAsia="Times New Roman" w:cs="Futura"/>
                <w:color w:val="595959"/>
              </w:rPr>
              <w:t xml:space="preserve">Total </w:t>
            </w:r>
          </w:p>
        </w:tc>
        <w:tc>
          <w:tcPr>
            <w:tcW w:w="1107" w:type="pct"/>
            <w:tcBorders>
              <w:top w:val="single" w:sz="4" w:space="0" w:color="auto"/>
              <w:left w:val="single" w:sz="4" w:space="0" w:color="auto"/>
              <w:bottom w:val="single" w:sz="4" w:space="0" w:color="auto"/>
              <w:right w:val="single" w:sz="4" w:space="0" w:color="auto"/>
            </w:tcBorders>
            <w:noWrap/>
            <w:hideMark/>
          </w:tcPr>
          <w:p w14:paraId="54AB41E3"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1,770,957</w:t>
            </w:r>
          </w:p>
        </w:tc>
        <w:tc>
          <w:tcPr>
            <w:tcW w:w="1347" w:type="pct"/>
            <w:tcBorders>
              <w:top w:val="single" w:sz="4" w:space="0" w:color="auto"/>
              <w:left w:val="single" w:sz="4" w:space="0" w:color="auto"/>
              <w:bottom w:val="single" w:sz="4" w:space="0" w:color="auto"/>
              <w:right w:val="single" w:sz="4" w:space="0" w:color="auto"/>
            </w:tcBorders>
            <w:noWrap/>
            <w:hideMark/>
          </w:tcPr>
          <w:p w14:paraId="490B8FFC"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1,330,034</w:t>
            </w:r>
          </w:p>
        </w:tc>
        <w:tc>
          <w:tcPr>
            <w:tcW w:w="1041" w:type="pct"/>
            <w:tcBorders>
              <w:top w:val="single" w:sz="4" w:space="0" w:color="auto"/>
              <w:left w:val="single" w:sz="4" w:space="0" w:color="auto"/>
              <w:bottom w:val="single" w:sz="4" w:space="0" w:color="auto"/>
              <w:right w:val="single" w:sz="4" w:space="0" w:color="auto"/>
            </w:tcBorders>
            <w:noWrap/>
            <w:hideMark/>
          </w:tcPr>
          <w:p w14:paraId="5B9F8D50" w14:textId="77777777" w:rsidR="00952E57" w:rsidRPr="00F30FD1" w:rsidRDefault="00952E57" w:rsidP="00952E57">
            <w:pPr>
              <w:spacing w:after="0" w:line="240" w:lineRule="auto"/>
              <w:jc w:val="right"/>
              <w:rPr>
                <w:rFonts w:eastAsia="Times New Roman" w:cs="Futura"/>
                <w:color w:val="595959"/>
              </w:rPr>
            </w:pPr>
            <w:r w:rsidRPr="00F30FD1">
              <w:rPr>
                <w:rFonts w:eastAsia="Times New Roman" w:cs="Futura"/>
                <w:color w:val="595959"/>
              </w:rPr>
              <w:t>851,705</w:t>
            </w:r>
          </w:p>
        </w:tc>
      </w:tr>
    </w:tbl>
    <w:p w14:paraId="134C0C17" w14:textId="77777777" w:rsidR="00952E57" w:rsidRPr="00F30FD1" w:rsidRDefault="00952E57" w:rsidP="00952E57">
      <w:pPr>
        <w:spacing w:after="0" w:line="240" w:lineRule="auto"/>
        <w:jc w:val="left"/>
        <w:rPr>
          <w:rFonts w:eastAsia="Times New Roman" w:cs="Futura"/>
          <w:sz w:val="14"/>
          <w:szCs w:val="14"/>
        </w:rPr>
      </w:pPr>
      <w:r w:rsidRPr="00F30FD1">
        <w:rPr>
          <w:rFonts w:eastAsia="Times New Roman" w:cs="Futura"/>
          <w:sz w:val="14"/>
          <w:szCs w:val="14"/>
        </w:rPr>
        <w:t>Fuente: Elaboración de la Subsecretaría Técnica Hacendaria de la Secretaría de Finanzas y Planeación de Quintana Roo con datos de la Encuesta Nacional de la Ocupación y Empleo (ENOE) del INEGI.</w:t>
      </w:r>
    </w:p>
    <w:p w14:paraId="63E1E65F" w14:textId="77777777" w:rsidR="003E3818" w:rsidRPr="00F30FD1" w:rsidRDefault="003E3818" w:rsidP="00952E57">
      <w:pPr>
        <w:rPr>
          <w:rFonts w:eastAsia="Times New Roman" w:cs="Futura"/>
          <w:color w:val="595959"/>
          <w:sz w:val="14"/>
          <w:szCs w:val="14"/>
        </w:rPr>
      </w:pPr>
    </w:p>
    <w:p w14:paraId="16CE8665" w14:textId="01F33CE2" w:rsidR="003E3818" w:rsidRPr="00F30FD1" w:rsidRDefault="00952E57" w:rsidP="00952E57">
      <w:pPr>
        <w:rPr>
          <w:noProof/>
          <w:color w:val="808080" w:themeColor="background1" w:themeShade="80"/>
        </w:rPr>
      </w:pPr>
      <w:r w:rsidRPr="00F30FD1">
        <w:rPr>
          <w:noProof/>
          <w:color w:val="808080" w:themeColor="background1" w:themeShade="80"/>
        </w:rPr>
        <w:t>La población ocupada de Quintana Roo es de 851, 705 personas, de las cuales 523, 148 son hombres y 328, 557; los cuales se dividen de la siguiente manera entre los sectores económicos; en el sector primario se desempeñan actividades como la ganadería, la agricultura la pesca, la explotación forestal, entre otras, en este se concentran 52, 779 personas, en el sector secundario se incluyen las actividades industriales, en estas actividades se encuentran 125,301 personas, mientras que en el sector terciario el cual engloba comercio, actividades financieras, destaca el turismo, entre otras y en este sector hay 672, 103 personas, es decir el 78.91% de la población ocupada se encuentra en este sector y en no especificado se tiene un registro de 1, 522 personas, tal y como se aprecia en la gráfica siguiente.</w:t>
      </w:r>
    </w:p>
    <w:p w14:paraId="6B734A05" w14:textId="77777777" w:rsidR="003E3818" w:rsidRPr="00F30FD1" w:rsidRDefault="003E3818">
      <w:pPr>
        <w:spacing w:after="0" w:line="240" w:lineRule="auto"/>
        <w:jc w:val="left"/>
        <w:rPr>
          <w:rFonts w:eastAsia="Times New Roman" w:cs="Futura"/>
          <w:color w:val="595959"/>
        </w:rPr>
      </w:pPr>
      <w:r w:rsidRPr="00F30FD1">
        <w:rPr>
          <w:rFonts w:eastAsia="Times New Roman" w:cs="Futura"/>
          <w:color w:val="595959"/>
        </w:rPr>
        <w:br w:type="page"/>
      </w:r>
    </w:p>
    <w:p w14:paraId="0C069D7F" w14:textId="49E545E4" w:rsidR="00952E57" w:rsidRPr="00F30FD1" w:rsidRDefault="0086218A" w:rsidP="00952E57">
      <w:pPr>
        <w:pStyle w:val="Epgrafe"/>
        <w:rPr>
          <w:rFonts w:ascii="Futura T OT" w:hAnsi="Futura T OT"/>
        </w:rPr>
      </w:pPr>
      <w:r w:rsidRPr="00F30FD1">
        <w:rPr>
          <w:rFonts w:ascii="Futura T OT" w:hAnsi="Futura T OT"/>
        </w:rPr>
        <w:lastRenderedPageBreak/>
        <w:t>Gráfica G.1</w:t>
      </w:r>
      <w:r w:rsidR="00100B8B">
        <w:rPr>
          <w:rFonts w:ascii="Futura T OT" w:hAnsi="Futura T OT"/>
        </w:rPr>
        <w:t>5</w:t>
      </w:r>
      <w:r w:rsidRPr="00F30FD1">
        <w:rPr>
          <w:rFonts w:ascii="Futura T OT" w:hAnsi="Futura T OT"/>
        </w:rPr>
        <w:t xml:space="preserve"> </w:t>
      </w:r>
      <w:r w:rsidR="00952E57" w:rsidRPr="00F30FD1">
        <w:rPr>
          <w:rFonts w:ascii="Futura T OT" w:hAnsi="Futura T OT"/>
        </w:rPr>
        <w:t>Distribución de la Población Ocupada de Quintana Roo por Sector Económico, IV trimestre de 2019</w:t>
      </w:r>
    </w:p>
    <w:p w14:paraId="74D4CB94" w14:textId="77777777" w:rsidR="00952E57" w:rsidRPr="00F30FD1" w:rsidRDefault="00952E57" w:rsidP="00952E57">
      <w:pPr>
        <w:spacing w:after="0" w:line="240" w:lineRule="auto"/>
        <w:jc w:val="center"/>
        <w:rPr>
          <w:rStyle w:val="Refdecomentario"/>
        </w:rPr>
      </w:pPr>
      <w:r w:rsidRPr="00F30FD1">
        <w:rPr>
          <w:noProof/>
          <w:lang w:val="es-MX" w:eastAsia="es-MX"/>
        </w:rPr>
        <w:drawing>
          <wp:inline distT="0" distB="0" distL="0" distR="0" wp14:anchorId="3B6C8934" wp14:editId="6393D655">
            <wp:extent cx="3835730" cy="2291938"/>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292E0AF" w14:textId="77777777" w:rsidR="00952E57" w:rsidRPr="00F30FD1" w:rsidRDefault="00952E57" w:rsidP="005104A8">
      <w:pPr>
        <w:spacing w:after="0" w:line="240" w:lineRule="auto"/>
        <w:rPr>
          <w:rFonts w:eastAsia="Times New Roman" w:cs="Futura"/>
          <w:sz w:val="14"/>
          <w:szCs w:val="14"/>
        </w:rPr>
      </w:pPr>
      <w:r w:rsidRPr="00F30FD1">
        <w:rPr>
          <w:rFonts w:eastAsia="Times New Roman" w:cs="Futura"/>
          <w:sz w:val="14"/>
          <w:szCs w:val="14"/>
        </w:rPr>
        <w:t>Fuente: Elaboración de la Subsecretaría Técnica Hacendaria de la Secretaría de Finanzas y Planeación de Quintana Roo con datos de la Encuesta Nacional de la Ocupación y Empleo (ENOE) del INEGI.</w:t>
      </w:r>
    </w:p>
    <w:p w14:paraId="77C24D0C" w14:textId="77777777" w:rsidR="00952E57" w:rsidRPr="00F30FD1" w:rsidRDefault="00952E57" w:rsidP="005104A8">
      <w:pPr>
        <w:spacing w:after="0" w:line="240" w:lineRule="auto"/>
        <w:rPr>
          <w:rFonts w:eastAsia="Times New Roman" w:cs="Futura"/>
          <w:color w:val="595959"/>
        </w:rPr>
      </w:pPr>
    </w:p>
    <w:p w14:paraId="7412BD64" w14:textId="020C8180" w:rsidR="00952E57" w:rsidRPr="00F30FD1" w:rsidRDefault="00952E57" w:rsidP="001D269B">
      <w:pPr>
        <w:rPr>
          <w:noProof/>
          <w:color w:val="808080" w:themeColor="background1" w:themeShade="80"/>
        </w:rPr>
      </w:pPr>
      <w:r w:rsidRPr="00F30FD1">
        <w:rPr>
          <w:noProof/>
          <w:color w:val="808080" w:themeColor="background1" w:themeShade="80"/>
        </w:rPr>
        <w:t>A continuación</w:t>
      </w:r>
      <w:r w:rsidR="002147A9" w:rsidRPr="00F30FD1">
        <w:rPr>
          <w:noProof/>
          <w:color w:val="808080" w:themeColor="background1" w:themeShade="80"/>
        </w:rPr>
        <w:t xml:space="preserve"> </w:t>
      </w:r>
      <w:r w:rsidR="00F65941" w:rsidRPr="00F30FD1">
        <w:rPr>
          <w:noProof/>
          <w:color w:val="808080" w:themeColor="background1" w:themeShade="80"/>
        </w:rPr>
        <w:t>e</w:t>
      </w:r>
      <w:r w:rsidR="002147A9" w:rsidRPr="00F30FD1">
        <w:rPr>
          <w:noProof/>
          <w:color w:val="808080" w:themeColor="background1" w:themeShade="80"/>
        </w:rPr>
        <w:t xml:space="preserve">n la Tabla T.17se puede apreciar </w:t>
      </w:r>
      <w:r w:rsidRPr="00F30FD1">
        <w:rPr>
          <w:noProof/>
          <w:color w:val="808080" w:themeColor="background1" w:themeShade="80"/>
        </w:rPr>
        <w:t>la Matriz de Hussmanns en la que se encuentra la población ocupada de Quintana Roo al IV trimestre de 2019, bajo un esquema de desagregación de trabajo por actividades económicas y categoría de ocupación, que corresponde con los empleos de la economía total, dicho de otra forma la Matriz de Hussmanns es un bloque de dos dimensiones que registra el tipo de unidad de producción en sus filas y el tipo de empleo y su situación en columnas. En Quintana Roo 573,037 personas son trabajadores subordinados y remunerados asalariados, es decir, el 67.28 de la población se encuentra en esta situación que a su vez se dividen en formal e informal y en 4 tipos de unidad económica.</w:t>
      </w:r>
    </w:p>
    <w:p w14:paraId="23746ECB" w14:textId="7A808787" w:rsidR="003E3818" w:rsidRPr="00F30FD1" w:rsidRDefault="003E3818" w:rsidP="001D269B">
      <w:pPr>
        <w:rPr>
          <w:noProof/>
          <w:color w:val="808080" w:themeColor="background1" w:themeShade="80"/>
        </w:rPr>
      </w:pPr>
      <w:r w:rsidRPr="00F30FD1">
        <w:rPr>
          <w:noProof/>
          <w:color w:val="808080" w:themeColor="background1" w:themeShade="80"/>
        </w:rPr>
        <w:br w:type="page"/>
      </w:r>
    </w:p>
    <w:p w14:paraId="44CB39B6" w14:textId="3900BBB8" w:rsidR="00952E57" w:rsidRPr="00F30FD1" w:rsidRDefault="0086218A" w:rsidP="00952E57">
      <w:pPr>
        <w:pStyle w:val="Epgrafe"/>
        <w:rPr>
          <w:rFonts w:ascii="Futura T OT" w:hAnsi="Futura T OT"/>
        </w:rPr>
      </w:pPr>
      <w:r w:rsidRPr="00F30FD1">
        <w:rPr>
          <w:rFonts w:ascii="Futura T OT" w:hAnsi="Futura T OT"/>
        </w:rPr>
        <w:lastRenderedPageBreak/>
        <w:t>Tabla T.1</w:t>
      </w:r>
      <w:r w:rsidR="00100B8B">
        <w:rPr>
          <w:rFonts w:ascii="Futura T OT" w:hAnsi="Futura T OT"/>
        </w:rPr>
        <w:t>6</w:t>
      </w:r>
      <w:r w:rsidRPr="00F30FD1">
        <w:rPr>
          <w:rFonts w:ascii="Futura T OT" w:hAnsi="Futura T OT"/>
        </w:rPr>
        <w:t xml:space="preserve"> M</w:t>
      </w:r>
      <w:r w:rsidR="00952E57" w:rsidRPr="00F30FD1">
        <w:rPr>
          <w:rFonts w:ascii="Futura T OT" w:hAnsi="Futura T OT"/>
        </w:rPr>
        <w:t xml:space="preserve">atriz de </w:t>
      </w:r>
      <w:proofErr w:type="spellStart"/>
      <w:r w:rsidR="00952E57" w:rsidRPr="00F30FD1">
        <w:rPr>
          <w:rFonts w:ascii="Futura T OT" w:hAnsi="Futura T OT"/>
        </w:rPr>
        <w:t>Hussmanns</w:t>
      </w:r>
      <w:proofErr w:type="spellEnd"/>
      <w:r w:rsidR="00952E57" w:rsidRPr="00F30FD1">
        <w:rPr>
          <w:rFonts w:ascii="Futura T OT" w:hAnsi="Futura T OT"/>
        </w:rPr>
        <w:t xml:space="preserve"> de la Población Ocupada de Quintana Roo, IV trimestre de 2019</w:t>
      </w:r>
    </w:p>
    <w:tbl>
      <w:tblPr>
        <w:tblStyle w:val="Listaclara-nfasis5"/>
        <w:tblW w:w="5054" w:type="pct"/>
        <w:tblLook w:val="0420" w:firstRow="1" w:lastRow="0" w:firstColumn="0" w:lastColumn="0" w:noHBand="0" w:noVBand="1"/>
      </w:tblPr>
      <w:tblGrid>
        <w:gridCol w:w="961"/>
        <w:gridCol w:w="725"/>
        <w:gridCol w:w="725"/>
        <w:gridCol w:w="681"/>
        <w:gridCol w:w="610"/>
        <w:gridCol w:w="683"/>
        <w:gridCol w:w="645"/>
        <w:gridCol w:w="725"/>
        <w:gridCol w:w="645"/>
        <w:gridCol w:w="684"/>
        <w:gridCol w:w="609"/>
        <w:gridCol w:w="725"/>
        <w:gridCol w:w="725"/>
        <w:gridCol w:w="725"/>
      </w:tblGrid>
      <w:tr w:rsidR="00952E57" w:rsidRPr="00F30FD1" w14:paraId="374445F0" w14:textId="77777777" w:rsidTr="0099099D">
        <w:trPr>
          <w:cnfStyle w:val="100000000000" w:firstRow="1" w:lastRow="0" w:firstColumn="0" w:lastColumn="0" w:oddVBand="0" w:evenVBand="0" w:oddHBand="0" w:evenHBand="0" w:firstRowFirstColumn="0" w:firstRowLastColumn="0" w:lastRowFirstColumn="0" w:lastRowLastColumn="0"/>
          <w:trHeight w:val="295"/>
        </w:trPr>
        <w:tc>
          <w:tcPr>
            <w:tcW w:w="501" w:type="pct"/>
            <w:vMerge w:val="restart"/>
            <w:shd w:val="clear" w:color="auto" w:fill="808080" w:themeFill="background1" w:themeFillShade="80"/>
            <w:vAlign w:val="center"/>
            <w:hideMark/>
          </w:tcPr>
          <w:p w14:paraId="4371DE66" w14:textId="77777777" w:rsidR="00952E57" w:rsidRPr="0099099D" w:rsidRDefault="00952E57" w:rsidP="0086218A">
            <w:pPr>
              <w:spacing w:after="0" w:line="240" w:lineRule="auto"/>
              <w:jc w:val="center"/>
              <w:rPr>
                <w:rFonts w:eastAsia="Times New Roman" w:cs="Futura"/>
                <w:sz w:val="14"/>
                <w:szCs w:val="14"/>
              </w:rPr>
            </w:pPr>
            <w:r w:rsidRPr="0099099D">
              <w:rPr>
                <w:rFonts w:eastAsia="Times New Roman" w:cs="Futura"/>
                <w:sz w:val="14"/>
                <w:szCs w:val="14"/>
              </w:rPr>
              <w:t>Tipo de unidad económica empleadora</w:t>
            </w:r>
          </w:p>
        </w:tc>
        <w:tc>
          <w:tcPr>
            <w:tcW w:w="4119" w:type="pct"/>
            <w:gridSpan w:val="12"/>
            <w:shd w:val="clear" w:color="auto" w:fill="808080" w:themeFill="background1" w:themeFillShade="80"/>
            <w:noWrap/>
            <w:vAlign w:val="center"/>
            <w:hideMark/>
          </w:tcPr>
          <w:p w14:paraId="026DBC63" w14:textId="77777777" w:rsidR="00952E57" w:rsidRPr="0099099D" w:rsidRDefault="00952E57" w:rsidP="0086218A">
            <w:pPr>
              <w:spacing w:after="0" w:line="240" w:lineRule="auto"/>
              <w:jc w:val="center"/>
              <w:rPr>
                <w:rFonts w:eastAsia="Times New Roman" w:cs="Futura"/>
                <w:sz w:val="14"/>
                <w:szCs w:val="14"/>
              </w:rPr>
            </w:pPr>
            <w:r w:rsidRPr="0099099D">
              <w:rPr>
                <w:rFonts w:eastAsia="Times New Roman" w:cs="Futura"/>
                <w:sz w:val="14"/>
                <w:szCs w:val="14"/>
              </w:rPr>
              <w:t>Posición en la ocupación y condición de informalidad</w:t>
            </w:r>
          </w:p>
        </w:tc>
        <w:tc>
          <w:tcPr>
            <w:tcW w:w="380" w:type="pct"/>
            <w:vMerge w:val="restart"/>
            <w:shd w:val="clear" w:color="auto" w:fill="808080" w:themeFill="background1" w:themeFillShade="80"/>
            <w:vAlign w:val="center"/>
            <w:hideMark/>
          </w:tcPr>
          <w:p w14:paraId="46E0C076" w14:textId="77777777" w:rsidR="00952E57" w:rsidRPr="00F30FD1" w:rsidRDefault="00952E57" w:rsidP="0086218A">
            <w:pPr>
              <w:spacing w:after="0" w:line="240" w:lineRule="auto"/>
              <w:jc w:val="center"/>
              <w:rPr>
                <w:rFonts w:eastAsia="Times New Roman" w:cs="Futura"/>
                <w:sz w:val="14"/>
                <w:szCs w:val="14"/>
              </w:rPr>
            </w:pPr>
            <w:r w:rsidRPr="00F30FD1">
              <w:rPr>
                <w:rFonts w:eastAsia="Times New Roman" w:cs="Futura"/>
                <w:sz w:val="14"/>
                <w:szCs w:val="14"/>
              </w:rPr>
              <w:t>Total</w:t>
            </w:r>
          </w:p>
        </w:tc>
      </w:tr>
      <w:tr w:rsidR="00952E57" w:rsidRPr="00F30FD1" w14:paraId="00EDAF56" w14:textId="77777777" w:rsidTr="0099099D">
        <w:trPr>
          <w:cnfStyle w:val="000000100000" w:firstRow="0" w:lastRow="0" w:firstColumn="0" w:lastColumn="0" w:oddVBand="0" w:evenVBand="0" w:oddHBand="1" w:evenHBand="0" w:firstRowFirstColumn="0" w:firstRowLastColumn="0" w:lastRowFirstColumn="0" w:lastRowLastColumn="0"/>
          <w:trHeight w:val="284"/>
        </w:trPr>
        <w:tc>
          <w:tcPr>
            <w:tcW w:w="501" w:type="pct"/>
            <w:vMerge/>
            <w:shd w:val="clear" w:color="auto" w:fill="808080" w:themeFill="background1" w:themeFillShade="80"/>
            <w:vAlign w:val="center"/>
            <w:hideMark/>
          </w:tcPr>
          <w:p w14:paraId="513BD537" w14:textId="77777777" w:rsidR="00952E57" w:rsidRPr="0099099D" w:rsidRDefault="00952E57" w:rsidP="0086218A">
            <w:pPr>
              <w:spacing w:after="0" w:line="240" w:lineRule="auto"/>
              <w:jc w:val="center"/>
              <w:rPr>
                <w:rFonts w:eastAsia="Times New Roman" w:cs="Futura"/>
                <w:color w:val="FFFFFF" w:themeColor="background1"/>
                <w:sz w:val="14"/>
                <w:szCs w:val="14"/>
              </w:rPr>
            </w:pPr>
          </w:p>
        </w:tc>
        <w:tc>
          <w:tcPr>
            <w:tcW w:w="1382" w:type="pct"/>
            <w:gridSpan w:val="4"/>
            <w:shd w:val="clear" w:color="auto" w:fill="808080" w:themeFill="background1" w:themeFillShade="80"/>
            <w:vAlign w:val="center"/>
            <w:hideMark/>
          </w:tcPr>
          <w:p w14:paraId="7F6F6E53"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Trabajadores subordinados y remunerados</w:t>
            </w:r>
          </w:p>
        </w:tc>
        <w:tc>
          <w:tcPr>
            <w:tcW w:w="684" w:type="pct"/>
            <w:gridSpan w:val="2"/>
            <w:vMerge w:val="restart"/>
            <w:shd w:val="clear" w:color="auto" w:fill="808080" w:themeFill="background1" w:themeFillShade="80"/>
            <w:vAlign w:val="center"/>
            <w:hideMark/>
          </w:tcPr>
          <w:p w14:paraId="70E87410"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Empleadores</w:t>
            </w:r>
          </w:p>
        </w:tc>
        <w:tc>
          <w:tcPr>
            <w:tcW w:w="684" w:type="pct"/>
            <w:gridSpan w:val="2"/>
            <w:vMerge w:val="restart"/>
            <w:shd w:val="clear" w:color="auto" w:fill="808080" w:themeFill="background1" w:themeFillShade="80"/>
            <w:vAlign w:val="center"/>
            <w:hideMark/>
          </w:tcPr>
          <w:p w14:paraId="20B98B11"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Trabajadores por cuenta propia</w:t>
            </w:r>
          </w:p>
        </w:tc>
        <w:tc>
          <w:tcPr>
            <w:tcW w:w="684" w:type="pct"/>
            <w:gridSpan w:val="2"/>
            <w:vMerge w:val="restart"/>
            <w:shd w:val="clear" w:color="auto" w:fill="808080" w:themeFill="background1" w:themeFillShade="80"/>
            <w:vAlign w:val="center"/>
            <w:hideMark/>
          </w:tcPr>
          <w:p w14:paraId="0918CB65"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Trabajadores no remunerados</w:t>
            </w:r>
          </w:p>
        </w:tc>
        <w:tc>
          <w:tcPr>
            <w:tcW w:w="684" w:type="pct"/>
            <w:gridSpan w:val="2"/>
            <w:vMerge w:val="restart"/>
            <w:shd w:val="clear" w:color="auto" w:fill="808080" w:themeFill="background1" w:themeFillShade="80"/>
            <w:vAlign w:val="center"/>
            <w:hideMark/>
          </w:tcPr>
          <w:p w14:paraId="173F885B"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Subtotal por perspectiva de la unidad económica y/o laboral</w:t>
            </w:r>
          </w:p>
        </w:tc>
        <w:tc>
          <w:tcPr>
            <w:tcW w:w="380" w:type="pct"/>
            <w:vMerge/>
            <w:shd w:val="clear" w:color="auto" w:fill="808080" w:themeFill="background1" w:themeFillShade="80"/>
            <w:vAlign w:val="center"/>
            <w:hideMark/>
          </w:tcPr>
          <w:p w14:paraId="7B5EDA68" w14:textId="77777777" w:rsidR="00952E57" w:rsidRPr="00F30FD1" w:rsidRDefault="00952E57" w:rsidP="0086218A">
            <w:pPr>
              <w:spacing w:after="0" w:line="240" w:lineRule="auto"/>
              <w:jc w:val="center"/>
              <w:rPr>
                <w:rFonts w:eastAsia="Times New Roman" w:cs="Futura"/>
                <w:color w:val="595959"/>
                <w:sz w:val="14"/>
                <w:szCs w:val="14"/>
              </w:rPr>
            </w:pPr>
          </w:p>
        </w:tc>
      </w:tr>
      <w:tr w:rsidR="00952E57" w:rsidRPr="00F30FD1" w14:paraId="7BB7A9F1" w14:textId="77777777" w:rsidTr="0099099D">
        <w:trPr>
          <w:trHeight w:val="310"/>
        </w:trPr>
        <w:tc>
          <w:tcPr>
            <w:tcW w:w="501" w:type="pct"/>
            <w:vMerge/>
            <w:shd w:val="clear" w:color="auto" w:fill="808080" w:themeFill="background1" w:themeFillShade="80"/>
            <w:vAlign w:val="center"/>
            <w:hideMark/>
          </w:tcPr>
          <w:p w14:paraId="396C2AC5" w14:textId="77777777" w:rsidR="00952E57" w:rsidRPr="0099099D" w:rsidRDefault="00952E57" w:rsidP="0086218A">
            <w:pPr>
              <w:spacing w:after="0" w:line="240" w:lineRule="auto"/>
              <w:jc w:val="center"/>
              <w:rPr>
                <w:rFonts w:eastAsia="Times New Roman" w:cs="Futura"/>
                <w:color w:val="FFFFFF" w:themeColor="background1"/>
                <w:sz w:val="14"/>
                <w:szCs w:val="14"/>
              </w:rPr>
            </w:pPr>
          </w:p>
        </w:tc>
        <w:tc>
          <w:tcPr>
            <w:tcW w:w="697" w:type="pct"/>
            <w:gridSpan w:val="2"/>
            <w:shd w:val="clear" w:color="auto" w:fill="808080" w:themeFill="background1" w:themeFillShade="80"/>
            <w:vAlign w:val="center"/>
            <w:hideMark/>
          </w:tcPr>
          <w:p w14:paraId="05B187B6"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Asalariados</w:t>
            </w:r>
          </w:p>
        </w:tc>
        <w:tc>
          <w:tcPr>
            <w:tcW w:w="684" w:type="pct"/>
            <w:gridSpan w:val="2"/>
            <w:shd w:val="clear" w:color="auto" w:fill="808080" w:themeFill="background1" w:themeFillShade="80"/>
            <w:vAlign w:val="center"/>
            <w:hideMark/>
          </w:tcPr>
          <w:p w14:paraId="06AFFC48"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Con percepciones no salariales</w:t>
            </w:r>
          </w:p>
        </w:tc>
        <w:tc>
          <w:tcPr>
            <w:tcW w:w="684" w:type="pct"/>
            <w:gridSpan w:val="2"/>
            <w:vMerge/>
            <w:shd w:val="clear" w:color="auto" w:fill="808080" w:themeFill="background1" w:themeFillShade="80"/>
            <w:vAlign w:val="center"/>
            <w:hideMark/>
          </w:tcPr>
          <w:p w14:paraId="286DFB3F" w14:textId="77777777" w:rsidR="00952E57" w:rsidRPr="0099099D" w:rsidRDefault="00952E57" w:rsidP="0086218A">
            <w:pPr>
              <w:spacing w:after="0" w:line="240" w:lineRule="auto"/>
              <w:jc w:val="center"/>
              <w:rPr>
                <w:rFonts w:eastAsia="Times New Roman" w:cs="Futura"/>
                <w:color w:val="FFFFFF" w:themeColor="background1"/>
                <w:sz w:val="14"/>
                <w:szCs w:val="14"/>
              </w:rPr>
            </w:pPr>
          </w:p>
        </w:tc>
        <w:tc>
          <w:tcPr>
            <w:tcW w:w="684" w:type="pct"/>
            <w:gridSpan w:val="2"/>
            <w:vMerge/>
            <w:shd w:val="clear" w:color="auto" w:fill="808080" w:themeFill="background1" w:themeFillShade="80"/>
            <w:vAlign w:val="center"/>
            <w:hideMark/>
          </w:tcPr>
          <w:p w14:paraId="1E4C765B" w14:textId="77777777" w:rsidR="00952E57" w:rsidRPr="0099099D" w:rsidRDefault="00952E57" w:rsidP="0086218A">
            <w:pPr>
              <w:spacing w:after="0" w:line="240" w:lineRule="auto"/>
              <w:jc w:val="center"/>
              <w:rPr>
                <w:rFonts w:eastAsia="Times New Roman" w:cs="Futura"/>
                <w:color w:val="FFFFFF" w:themeColor="background1"/>
                <w:sz w:val="14"/>
                <w:szCs w:val="14"/>
              </w:rPr>
            </w:pPr>
          </w:p>
        </w:tc>
        <w:tc>
          <w:tcPr>
            <w:tcW w:w="684" w:type="pct"/>
            <w:gridSpan w:val="2"/>
            <w:vMerge/>
            <w:shd w:val="clear" w:color="auto" w:fill="808080" w:themeFill="background1" w:themeFillShade="80"/>
            <w:vAlign w:val="center"/>
            <w:hideMark/>
          </w:tcPr>
          <w:p w14:paraId="76654C0F" w14:textId="77777777" w:rsidR="00952E57" w:rsidRPr="0099099D" w:rsidRDefault="00952E57" w:rsidP="0086218A">
            <w:pPr>
              <w:spacing w:after="0" w:line="240" w:lineRule="auto"/>
              <w:jc w:val="center"/>
              <w:rPr>
                <w:rFonts w:eastAsia="Times New Roman" w:cs="Futura"/>
                <w:color w:val="FFFFFF" w:themeColor="background1"/>
                <w:sz w:val="14"/>
                <w:szCs w:val="14"/>
              </w:rPr>
            </w:pPr>
          </w:p>
        </w:tc>
        <w:tc>
          <w:tcPr>
            <w:tcW w:w="684" w:type="pct"/>
            <w:gridSpan w:val="2"/>
            <w:vMerge/>
            <w:shd w:val="clear" w:color="auto" w:fill="808080" w:themeFill="background1" w:themeFillShade="80"/>
            <w:vAlign w:val="center"/>
            <w:hideMark/>
          </w:tcPr>
          <w:p w14:paraId="2723D4D6" w14:textId="77777777" w:rsidR="00952E57" w:rsidRPr="0099099D" w:rsidRDefault="00952E57" w:rsidP="0086218A">
            <w:pPr>
              <w:spacing w:after="0" w:line="240" w:lineRule="auto"/>
              <w:jc w:val="center"/>
              <w:rPr>
                <w:rFonts w:eastAsia="Times New Roman" w:cs="Futura"/>
                <w:color w:val="FFFFFF" w:themeColor="background1"/>
                <w:sz w:val="14"/>
                <w:szCs w:val="14"/>
              </w:rPr>
            </w:pPr>
          </w:p>
        </w:tc>
        <w:tc>
          <w:tcPr>
            <w:tcW w:w="380" w:type="pct"/>
            <w:vMerge/>
            <w:shd w:val="clear" w:color="auto" w:fill="808080" w:themeFill="background1" w:themeFillShade="80"/>
            <w:vAlign w:val="center"/>
            <w:hideMark/>
          </w:tcPr>
          <w:p w14:paraId="24A8D31C" w14:textId="77777777" w:rsidR="00952E57" w:rsidRPr="00F30FD1" w:rsidRDefault="00952E57" w:rsidP="0086218A">
            <w:pPr>
              <w:spacing w:after="0" w:line="240" w:lineRule="auto"/>
              <w:jc w:val="center"/>
              <w:rPr>
                <w:rFonts w:eastAsia="Times New Roman" w:cs="Futura"/>
                <w:color w:val="595959"/>
                <w:sz w:val="14"/>
                <w:szCs w:val="14"/>
              </w:rPr>
            </w:pPr>
          </w:p>
        </w:tc>
      </w:tr>
      <w:tr w:rsidR="00F30FD1" w:rsidRPr="00F30FD1" w14:paraId="4505951F" w14:textId="77777777" w:rsidTr="0099099D">
        <w:trPr>
          <w:cnfStyle w:val="000000100000" w:firstRow="0" w:lastRow="0" w:firstColumn="0" w:lastColumn="0" w:oddVBand="0" w:evenVBand="0" w:oddHBand="1" w:evenHBand="0" w:firstRowFirstColumn="0" w:firstRowLastColumn="0" w:lastRowFirstColumn="0" w:lastRowLastColumn="0"/>
          <w:trHeight w:val="310"/>
        </w:trPr>
        <w:tc>
          <w:tcPr>
            <w:tcW w:w="501" w:type="pct"/>
            <w:vMerge/>
            <w:tcBorders>
              <w:bottom w:val="single" w:sz="4" w:space="0" w:color="auto"/>
            </w:tcBorders>
            <w:shd w:val="clear" w:color="auto" w:fill="808080" w:themeFill="background1" w:themeFillShade="80"/>
            <w:vAlign w:val="center"/>
            <w:hideMark/>
          </w:tcPr>
          <w:p w14:paraId="4FFF7B69" w14:textId="77777777" w:rsidR="00952E57" w:rsidRPr="0099099D" w:rsidRDefault="00952E57" w:rsidP="0086218A">
            <w:pPr>
              <w:spacing w:after="0" w:line="240" w:lineRule="auto"/>
              <w:jc w:val="center"/>
              <w:rPr>
                <w:rFonts w:eastAsia="Times New Roman" w:cs="Futura"/>
                <w:color w:val="FFFFFF" w:themeColor="background1"/>
                <w:sz w:val="14"/>
                <w:szCs w:val="14"/>
              </w:rPr>
            </w:pPr>
          </w:p>
        </w:tc>
        <w:tc>
          <w:tcPr>
            <w:tcW w:w="361" w:type="pct"/>
            <w:tcBorders>
              <w:bottom w:val="single" w:sz="4" w:space="0" w:color="auto"/>
            </w:tcBorders>
            <w:shd w:val="clear" w:color="auto" w:fill="808080" w:themeFill="background1" w:themeFillShade="80"/>
            <w:noWrap/>
            <w:vAlign w:val="center"/>
            <w:hideMark/>
          </w:tcPr>
          <w:p w14:paraId="172E4489"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Informal</w:t>
            </w:r>
          </w:p>
        </w:tc>
        <w:tc>
          <w:tcPr>
            <w:tcW w:w="336" w:type="pct"/>
            <w:tcBorders>
              <w:bottom w:val="single" w:sz="4" w:space="0" w:color="auto"/>
            </w:tcBorders>
            <w:shd w:val="clear" w:color="auto" w:fill="808080" w:themeFill="background1" w:themeFillShade="80"/>
            <w:noWrap/>
            <w:vAlign w:val="center"/>
            <w:hideMark/>
          </w:tcPr>
          <w:p w14:paraId="650809FE"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Formal</w:t>
            </w:r>
          </w:p>
        </w:tc>
        <w:tc>
          <w:tcPr>
            <w:tcW w:w="361" w:type="pct"/>
            <w:tcBorders>
              <w:bottom w:val="single" w:sz="4" w:space="0" w:color="auto"/>
            </w:tcBorders>
            <w:shd w:val="clear" w:color="auto" w:fill="808080" w:themeFill="background1" w:themeFillShade="80"/>
            <w:noWrap/>
            <w:vAlign w:val="center"/>
            <w:hideMark/>
          </w:tcPr>
          <w:p w14:paraId="00744765"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Informal</w:t>
            </w:r>
          </w:p>
        </w:tc>
        <w:tc>
          <w:tcPr>
            <w:tcW w:w="323" w:type="pct"/>
            <w:tcBorders>
              <w:bottom w:val="single" w:sz="4" w:space="0" w:color="auto"/>
            </w:tcBorders>
            <w:shd w:val="clear" w:color="auto" w:fill="808080" w:themeFill="background1" w:themeFillShade="80"/>
            <w:noWrap/>
            <w:vAlign w:val="center"/>
            <w:hideMark/>
          </w:tcPr>
          <w:p w14:paraId="07E3934F"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Formal</w:t>
            </w:r>
          </w:p>
        </w:tc>
        <w:tc>
          <w:tcPr>
            <w:tcW w:w="361" w:type="pct"/>
            <w:tcBorders>
              <w:bottom w:val="single" w:sz="4" w:space="0" w:color="auto"/>
            </w:tcBorders>
            <w:shd w:val="clear" w:color="auto" w:fill="808080" w:themeFill="background1" w:themeFillShade="80"/>
            <w:noWrap/>
            <w:vAlign w:val="center"/>
            <w:hideMark/>
          </w:tcPr>
          <w:p w14:paraId="4096F838"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Informal</w:t>
            </w:r>
          </w:p>
        </w:tc>
        <w:tc>
          <w:tcPr>
            <w:tcW w:w="323" w:type="pct"/>
            <w:tcBorders>
              <w:bottom w:val="single" w:sz="4" w:space="0" w:color="auto"/>
            </w:tcBorders>
            <w:shd w:val="clear" w:color="auto" w:fill="808080" w:themeFill="background1" w:themeFillShade="80"/>
            <w:noWrap/>
            <w:vAlign w:val="center"/>
            <w:hideMark/>
          </w:tcPr>
          <w:p w14:paraId="7ABD5C5C"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Formal</w:t>
            </w:r>
          </w:p>
        </w:tc>
        <w:tc>
          <w:tcPr>
            <w:tcW w:w="361" w:type="pct"/>
            <w:tcBorders>
              <w:bottom w:val="single" w:sz="4" w:space="0" w:color="auto"/>
            </w:tcBorders>
            <w:shd w:val="clear" w:color="auto" w:fill="808080" w:themeFill="background1" w:themeFillShade="80"/>
            <w:noWrap/>
            <w:vAlign w:val="center"/>
            <w:hideMark/>
          </w:tcPr>
          <w:p w14:paraId="4D8D401D"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Informal</w:t>
            </w:r>
          </w:p>
        </w:tc>
        <w:tc>
          <w:tcPr>
            <w:tcW w:w="323" w:type="pct"/>
            <w:tcBorders>
              <w:bottom w:val="single" w:sz="4" w:space="0" w:color="auto"/>
            </w:tcBorders>
            <w:shd w:val="clear" w:color="auto" w:fill="808080" w:themeFill="background1" w:themeFillShade="80"/>
            <w:noWrap/>
            <w:vAlign w:val="center"/>
            <w:hideMark/>
          </w:tcPr>
          <w:p w14:paraId="3EE17AC4"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Formal</w:t>
            </w:r>
          </w:p>
        </w:tc>
        <w:tc>
          <w:tcPr>
            <w:tcW w:w="361" w:type="pct"/>
            <w:tcBorders>
              <w:bottom w:val="single" w:sz="4" w:space="0" w:color="auto"/>
            </w:tcBorders>
            <w:shd w:val="clear" w:color="auto" w:fill="808080" w:themeFill="background1" w:themeFillShade="80"/>
            <w:noWrap/>
            <w:vAlign w:val="center"/>
            <w:hideMark/>
          </w:tcPr>
          <w:p w14:paraId="6B2F900F"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Informal</w:t>
            </w:r>
          </w:p>
        </w:tc>
        <w:tc>
          <w:tcPr>
            <w:tcW w:w="323" w:type="pct"/>
            <w:tcBorders>
              <w:bottom w:val="single" w:sz="4" w:space="0" w:color="auto"/>
            </w:tcBorders>
            <w:shd w:val="clear" w:color="auto" w:fill="808080" w:themeFill="background1" w:themeFillShade="80"/>
            <w:noWrap/>
            <w:vAlign w:val="center"/>
            <w:hideMark/>
          </w:tcPr>
          <w:p w14:paraId="1AB68E01"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Formal</w:t>
            </w:r>
          </w:p>
        </w:tc>
        <w:tc>
          <w:tcPr>
            <w:tcW w:w="361" w:type="pct"/>
            <w:tcBorders>
              <w:bottom w:val="single" w:sz="4" w:space="0" w:color="auto"/>
            </w:tcBorders>
            <w:shd w:val="clear" w:color="auto" w:fill="808080" w:themeFill="background1" w:themeFillShade="80"/>
            <w:noWrap/>
            <w:vAlign w:val="center"/>
            <w:hideMark/>
          </w:tcPr>
          <w:p w14:paraId="68728E42"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Informal</w:t>
            </w:r>
          </w:p>
        </w:tc>
        <w:tc>
          <w:tcPr>
            <w:tcW w:w="323" w:type="pct"/>
            <w:tcBorders>
              <w:bottom w:val="single" w:sz="4" w:space="0" w:color="auto"/>
            </w:tcBorders>
            <w:shd w:val="clear" w:color="auto" w:fill="808080" w:themeFill="background1" w:themeFillShade="80"/>
            <w:noWrap/>
            <w:vAlign w:val="center"/>
            <w:hideMark/>
          </w:tcPr>
          <w:p w14:paraId="0DC86846" w14:textId="77777777" w:rsidR="00952E57" w:rsidRPr="0099099D" w:rsidRDefault="00952E57" w:rsidP="0086218A">
            <w:pPr>
              <w:spacing w:after="0" w:line="240" w:lineRule="auto"/>
              <w:jc w:val="center"/>
              <w:rPr>
                <w:rFonts w:eastAsia="Times New Roman" w:cs="Futura"/>
                <w:color w:val="FFFFFF" w:themeColor="background1"/>
                <w:sz w:val="14"/>
                <w:szCs w:val="14"/>
              </w:rPr>
            </w:pPr>
            <w:r w:rsidRPr="0099099D">
              <w:rPr>
                <w:rFonts w:eastAsia="Times New Roman" w:cs="Futura"/>
                <w:color w:val="FFFFFF" w:themeColor="background1"/>
                <w:sz w:val="14"/>
                <w:szCs w:val="14"/>
              </w:rPr>
              <w:t>Formal</w:t>
            </w:r>
          </w:p>
        </w:tc>
        <w:tc>
          <w:tcPr>
            <w:tcW w:w="380" w:type="pct"/>
            <w:vMerge/>
            <w:tcBorders>
              <w:bottom w:val="single" w:sz="4" w:space="0" w:color="auto"/>
            </w:tcBorders>
            <w:shd w:val="clear" w:color="auto" w:fill="808080" w:themeFill="background1" w:themeFillShade="80"/>
            <w:vAlign w:val="center"/>
            <w:hideMark/>
          </w:tcPr>
          <w:p w14:paraId="5C55074A" w14:textId="77777777" w:rsidR="00952E57" w:rsidRPr="00F30FD1" w:rsidRDefault="00952E57" w:rsidP="0086218A">
            <w:pPr>
              <w:spacing w:after="0" w:line="240" w:lineRule="auto"/>
              <w:jc w:val="center"/>
              <w:rPr>
                <w:rFonts w:eastAsia="Times New Roman" w:cs="Futura"/>
                <w:color w:val="595959"/>
                <w:sz w:val="14"/>
                <w:szCs w:val="14"/>
              </w:rPr>
            </w:pPr>
          </w:p>
        </w:tc>
      </w:tr>
      <w:tr w:rsidR="00952E57" w:rsidRPr="00F30FD1" w14:paraId="7746EFEA" w14:textId="77777777" w:rsidTr="00404982">
        <w:trPr>
          <w:trHeight w:val="310"/>
        </w:trPr>
        <w:tc>
          <w:tcPr>
            <w:tcW w:w="501" w:type="pct"/>
            <w:tcBorders>
              <w:top w:val="single" w:sz="4" w:space="0" w:color="auto"/>
              <w:left w:val="single" w:sz="4" w:space="0" w:color="auto"/>
              <w:bottom w:val="single" w:sz="4" w:space="0" w:color="auto"/>
              <w:right w:val="single" w:sz="4" w:space="0" w:color="auto"/>
            </w:tcBorders>
            <w:vAlign w:val="center"/>
            <w:hideMark/>
          </w:tcPr>
          <w:p w14:paraId="0236AE0B"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Sector informal</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06BF7F11"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39,627</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7B7A62F3"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213308D1"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17,565</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3DE610EB"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3E23DCCA"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15,674</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00DA0DEC"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4854D6B9"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101,432</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9BE55B1"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15EA4E7B"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7,450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58D17CCE"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77ADC68C"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181,748</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60A6CF49"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7A6B090B"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181,748</w:t>
            </w:r>
          </w:p>
        </w:tc>
      </w:tr>
      <w:tr w:rsidR="00952E57" w:rsidRPr="00F30FD1" w14:paraId="2CD59C47" w14:textId="77777777" w:rsidTr="00404982">
        <w:trPr>
          <w:cnfStyle w:val="000000100000" w:firstRow="0" w:lastRow="0" w:firstColumn="0" w:lastColumn="0" w:oddVBand="0" w:evenVBand="0" w:oddHBand="1" w:evenHBand="0" w:firstRowFirstColumn="0" w:firstRowLastColumn="0" w:lastRowFirstColumn="0" w:lastRowLastColumn="0"/>
          <w:trHeight w:val="310"/>
        </w:trPr>
        <w:tc>
          <w:tcPr>
            <w:tcW w:w="501" w:type="pct"/>
            <w:tcBorders>
              <w:top w:val="single" w:sz="4" w:space="0" w:color="auto"/>
              <w:left w:val="single" w:sz="4" w:space="0" w:color="auto"/>
              <w:bottom w:val="single" w:sz="4" w:space="0" w:color="auto"/>
              <w:right w:val="single" w:sz="4" w:space="0" w:color="auto"/>
            </w:tcBorders>
            <w:vAlign w:val="center"/>
            <w:hideMark/>
          </w:tcPr>
          <w:p w14:paraId="776EED0C"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Trabajo doméstico remunerado</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7588EE1A"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33,425</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21234851"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618</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619A226A"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1273849"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08A74B6C"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15052E4D"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02CDFF11"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33BEE068"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3CB3B639"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55627B47"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3E203314"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33,425</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4544966"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618</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6090C4AA"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34,043</w:t>
            </w:r>
          </w:p>
        </w:tc>
      </w:tr>
      <w:tr w:rsidR="00952E57" w:rsidRPr="00F30FD1" w14:paraId="4861E5E3" w14:textId="77777777" w:rsidTr="00404982">
        <w:trPr>
          <w:trHeight w:val="310"/>
        </w:trPr>
        <w:tc>
          <w:tcPr>
            <w:tcW w:w="501" w:type="pct"/>
            <w:tcBorders>
              <w:top w:val="single" w:sz="4" w:space="0" w:color="auto"/>
              <w:left w:val="single" w:sz="4" w:space="0" w:color="auto"/>
              <w:bottom w:val="single" w:sz="4" w:space="0" w:color="auto"/>
              <w:right w:val="single" w:sz="4" w:space="0" w:color="auto"/>
            </w:tcBorders>
            <w:vAlign w:val="center"/>
            <w:hideMark/>
          </w:tcPr>
          <w:p w14:paraId="19D92690"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Empresas, Gobierno e Instituciones</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3AA922D4"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97,242</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05A9E18E"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390,892</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613EC373"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18,794</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3FDCFBD4"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5,419</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1BB5C0D2"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26B2F2BC"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24,682</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3A16E3D9"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1B2FD599"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31,278</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1522194A"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14,828</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5830E307"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668277C1"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130,864</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36391CC0"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452,271</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4810D255"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583,135</w:t>
            </w:r>
          </w:p>
        </w:tc>
      </w:tr>
      <w:tr w:rsidR="00952E57" w:rsidRPr="00F30FD1" w14:paraId="08AFECD5" w14:textId="77777777" w:rsidTr="00404982">
        <w:trPr>
          <w:cnfStyle w:val="000000100000" w:firstRow="0" w:lastRow="0" w:firstColumn="0" w:lastColumn="0" w:oddVBand="0" w:evenVBand="0" w:oddHBand="1" w:evenHBand="0" w:firstRowFirstColumn="0" w:firstRowLastColumn="0" w:lastRowFirstColumn="0" w:lastRowLastColumn="0"/>
          <w:trHeight w:val="310"/>
        </w:trPr>
        <w:tc>
          <w:tcPr>
            <w:tcW w:w="501" w:type="pct"/>
            <w:tcBorders>
              <w:top w:val="single" w:sz="4" w:space="0" w:color="auto"/>
              <w:left w:val="single" w:sz="4" w:space="0" w:color="auto"/>
              <w:bottom w:val="single" w:sz="4" w:space="0" w:color="auto"/>
              <w:right w:val="single" w:sz="4" w:space="0" w:color="auto"/>
            </w:tcBorders>
            <w:vAlign w:val="center"/>
            <w:hideMark/>
          </w:tcPr>
          <w:p w14:paraId="6EBD1B97"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Ámbito agropecuario</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67D85FCC"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10,494</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72DFFD2F"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739</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1600D961"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610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39A027E5"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502744DF"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0D8A0032"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2,649</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02364833"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28,228</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77C6B52"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7B2E1BBA"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10,059</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32EAB7C4"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7198A428"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49,391</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07DE7717"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3,388</w:t>
            </w: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7C8B57B0"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52,779</w:t>
            </w:r>
          </w:p>
        </w:tc>
      </w:tr>
      <w:tr w:rsidR="00952E57" w:rsidRPr="00F30FD1" w14:paraId="659B0747" w14:textId="77777777" w:rsidTr="00404982">
        <w:trPr>
          <w:trHeight w:val="310"/>
        </w:trPr>
        <w:tc>
          <w:tcPr>
            <w:tcW w:w="501" w:type="pct"/>
            <w:tcBorders>
              <w:top w:val="single" w:sz="4" w:space="0" w:color="auto"/>
              <w:left w:val="single" w:sz="4" w:space="0" w:color="auto"/>
              <w:bottom w:val="single" w:sz="4" w:space="0" w:color="auto"/>
              <w:right w:val="single" w:sz="4" w:space="0" w:color="auto"/>
            </w:tcBorders>
            <w:vAlign w:val="center"/>
            <w:hideMark/>
          </w:tcPr>
          <w:p w14:paraId="601D5E73"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Subtotal</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61BD4F05"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180,788</w:t>
            </w:r>
          </w:p>
        </w:tc>
        <w:tc>
          <w:tcPr>
            <w:tcW w:w="336" w:type="pct"/>
            <w:tcBorders>
              <w:top w:val="single" w:sz="4" w:space="0" w:color="auto"/>
              <w:left w:val="single" w:sz="4" w:space="0" w:color="auto"/>
              <w:bottom w:val="single" w:sz="4" w:space="0" w:color="auto"/>
              <w:right w:val="single" w:sz="4" w:space="0" w:color="auto"/>
            </w:tcBorders>
            <w:noWrap/>
            <w:vAlign w:val="center"/>
            <w:hideMark/>
          </w:tcPr>
          <w:p w14:paraId="368D6C93"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392,249</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6A8B239C"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36,969</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6E1FA33"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5,419</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56487142"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15,674</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342DDF0C"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27,331</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5ED2A2AE"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129,660</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51B7C673"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31,278</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1245106F"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32,337</w:t>
            </w: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7E941FF4"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0</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139AC53C" w14:textId="22E79DAE" w:rsidR="00952E57" w:rsidRPr="00F30FD1" w:rsidRDefault="00952E57" w:rsidP="0086218A">
            <w:pPr>
              <w:spacing w:after="0" w:line="240" w:lineRule="auto"/>
              <w:jc w:val="center"/>
              <w:rPr>
                <w:rFonts w:eastAsia="Times New Roman" w:cs="Futura"/>
                <w:color w:val="595959"/>
                <w:sz w:val="14"/>
                <w:szCs w:val="14"/>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338D505C" w14:textId="2A98ED96" w:rsidR="00952E57" w:rsidRPr="00F30FD1" w:rsidRDefault="00952E57" w:rsidP="0086218A">
            <w:pPr>
              <w:spacing w:after="0" w:line="240" w:lineRule="auto"/>
              <w:jc w:val="center"/>
              <w:rPr>
                <w:rFonts w:eastAsia="Times New Roman" w:cs="Futura"/>
                <w:color w:val="595959"/>
                <w:sz w:val="14"/>
                <w:szCs w:val="14"/>
              </w:rPr>
            </w:pP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4F50B0CA" w14:textId="47DF5102" w:rsidR="00952E57" w:rsidRPr="00F30FD1" w:rsidRDefault="00952E57" w:rsidP="0086218A">
            <w:pPr>
              <w:spacing w:after="0" w:line="240" w:lineRule="auto"/>
              <w:jc w:val="center"/>
              <w:rPr>
                <w:rFonts w:eastAsia="Times New Roman" w:cs="Futura"/>
                <w:color w:val="595959"/>
                <w:sz w:val="14"/>
                <w:szCs w:val="14"/>
              </w:rPr>
            </w:pPr>
          </w:p>
        </w:tc>
      </w:tr>
      <w:tr w:rsidR="00952E57" w:rsidRPr="00F30FD1" w14:paraId="4644C990" w14:textId="77777777" w:rsidTr="00404982">
        <w:trPr>
          <w:cnfStyle w:val="000000100000" w:firstRow="0" w:lastRow="0" w:firstColumn="0" w:lastColumn="0" w:oddVBand="0" w:evenVBand="0" w:oddHBand="1" w:evenHBand="0" w:firstRowFirstColumn="0" w:firstRowLastColumn="0" w:lastRowFirstColumn="0" w:lastRowLastColumn="0"/>
          <w:trHeight w:val="310"/>
        </w:trPr>
        <w:tc>
          <w:tcPr>
            <w:tcW w:w="501" w:type="pct"/>
            <w:tcBorders>
              <w:top w:val="single" w:sz="4" w:space="0" w:color="auto"/>
              <w:left w:val="single" w:sz="4" w:space="0" w:color="auto"/>
              <w:bottom w:val="single" w:sz="4" w:space="0" w:color="auto"/>
              <w:right w:val="single" w:sz="4" w:space="0" w:color="auto"/>
            </w:tcBorders>
            <w:vAlign w:val="center"/>
            <w:hideMark/>
          </w:tcPr>
          <w:p w14:paraId="07731D17"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Total</w:t>
            </w:r>
          </w:p>
        </w:tc>
        <w:tc>
          <w:tcPr>
            <w:tcW w:w="697" w:type="pct"/>
            <w:gridSpan w:val="2"/>
            <w:tcBorders>
              <w:top w:val="single" w:sz="4" w:space="0" w:color="auto"/>
              <w:left w:val="single" w:sz="4" w:space="0" w:color="auto"/>
              <w:bottom w:val="single" w:sz="4" w:space="0" w:color="auto"/>
              <w:right w:val="single" w:sz="4" w:space="0" w:color="auto"/>
            </w:tcBorders>
            <w:noWrap/>
            <w:vAlign w:val="center"/>
            <w:hideMark/>
          </w:tcPr>
          <w:p w14:paraId="662FBD37"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573,037</w:t>
            </w:r>
          </w:p>
        </w:tc>
        <w:tc>
          <w:tcPr>
            <w:tcW w:w="684" w:type="pct"/>
            <w:gridSpan w:val="2"/>
            <w:tcBorders>
              <w:top w:val="single" w:sz="4" w:space="0" w:color="auto"/>
              <w:left w:val="single" w:sz="4" w:space="0" w:color="auto"/>
              <w:bottom w:val="single" w:sz="4" w:space="0" w:color="auto"/>
              <w:right w:val="single" w:sz="4" w:space="0" w:color="auto"/>
            </w:tcBorders>
            <w:noWrap/>
            <w:vAlign w:val="center"/>
            <w:hideMark/>
          </w:tcPr>
          <w:p w14:paraId="507ADA38"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42,388</w:t>
            </w:r>
          </w:p>
        </w:tc>
        <w:tc>
          <w:tcPr>
            <w:tcW w:w="684" w:type="pct"/>
            <w:gridSpan w:val="2"/>
            <w:tcBorders>
              <w:top w:val="single" w:sz="4" w:space="0" w:color="auto"/>
              <w:left w:val="single" w:sz="4" w:space="0" w:color="auto"/>
              <w:bottom w:val="single" w:sz="4" w:space="0" w:color="auto"/>
              <w:right w:val="single" w:sz="4" w:space="0" w:color="auto"/>
            </w:tcBorders>
            <w:noWrap/>
            <w:vAlign w:val="center"/>
            <w:hideMark/>
          </w:tcPr>
          <w:p w14:paraId="14127E1F"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43,005</w:t>
            </w:r>
          </w:p>
        </w:tc>
        <w:tc>
          <w:tcPr>
            <w:tcW w:w="684" w:type="pct"/>
            <w:gridSpan w:val="2"/>
            <w:tcBorders>
              <w:top w:val="single" w:sz="4" w:space="0" w:color="auto"/>
              <w:left w:val="single" w:sz="4" w:space="0" w:color="auto"/>
              <w:bottom w:val="single" w:sz="4" w:space="0" w:color="auto"/>
              <w:right w:val="single" w:sz="4" w:space="0" w:color="auto"/>
            </w:tcBorders>
            <w:noWrap/>
            <w:vAlign w:val="center"/>
            <w:hideMark/>
          </w:tcPr>
          <w:p w14:paraId="247D34B2"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160,938</w:t>
            </w:r>
          </w:p>
        </w:tc>
        <w:tc>
          <w:tcPr>
            <w:tcW w:w="684" w:type="pct"/>
            <w:gridSpan w:val="2"/>
            <w:tcBorders>
              <w:top w:val="single" w:sz="4" w:space="0" w:color="auto"/>
              <w:left w:val="single" w:sz="4" w:space="0" w:color="auto"/>
              <w:bottom w:val="single" w:sz="4" w:space="0" w:color="auto"/>
              <w:right w:val="single" w:sz="4" w:space="0" w:color="auto"/>
            </w:tcBorders>
            <w:noWrap/>
            <w:vAlign w:val="center"/>
            <w:hideMark/>
          </w:tcPr>
          <w:p w14:paraId="725B4470"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32,337</w:t>
            </w:r>
          </w:p>
        </w:tc>
        <w:tc>
          <w:tcPr>
            <w:tcW w:w="361" w:type="pct"/>
            <w:tcBorders>
              <w:top w:val="single" w:sz="4" w:space="0" w:color="auto"/>
              <w:left w:val="single" w:sz="4" w:space="0" w:color="auto"/>
              <w:bottom w:val="single" w:sz="4" w:space="0" w:color="auto"/>
              <w:right w:val="single" w:sz="4" w:space="0" w:color="auto"/>
            </w:tcBorders>
            <w:noWrap/>
            <w:vAlign w:val="center"/>
            <w:hideMark/>
          </w:tcPr>
          <w:p w14:paraId="325D6A3C" w14:textId="5D33986F" w:rsidR="00952E57" w:rsidRPr="00F30FD1" w:rsidRDefault="00952E57" w:rsidP="0086218A">
            <w:pPr>
              <w:spacing w:after="0" w:line="240" w:lineRule="auto"/>
              <w:jc w:val="center"/>
              <w:rPr>
                <w:rFonts w:eastAsia="Times New Roman" w:cs="Futura"/>
                <w:color w:val="595959"/>
                <w:sz w:val="14"/>
                <w:szCs w:val="14"/>
              </w:rPr>
            </w:pPr>
          </w:p>
        </w:tc>
        <w:tc>
          <w:tcPr>
            <w:tcW w:w="323" w:type="pct"/>
            <w:tcBorders>
              <w:top w:val="single" w:sz="4" w:space="0" w:color="auto"/>
              <w:left w:val="single" w:sz="4" w:space="0" w:color="auto"/>
              <w:bottom w:val="single" w:sz="4" w:space="0" w:color="auto"/>
              <w:right w:val="single" w:sz="4" w:space="0" w:color="auto"/>
            </w:tcBorders>
            <w:noWrap/>
            <w:vAlign w:val="center"/>
            <w:hideMark/>
          </w:tcPr>
          <w:p w14:paraId="44C148B4" w14:textId="1F6BCAF2" w:rsidR="00952E57" w:rsidRPr="00F30FD1" w:rsidRDefault="00952E57" w:rsidP="0086218A">
            <w:pPr>
              <w:spacing w:after="0" w:line="240" w:lineRule="auto"/>
              <w:jc w:val="center"/>
              <w:rPr>
                <w:rFonts w:eastAsia="Times New Roman" w:cs="Futura"/>
                <w:color w:val="595959"/>
                <w:sz w:val="14"/>
                <w:szCs w:val="14"/>
              </w:rPr>
            </w:pPr>
          </w:p>
        </w:tc>
        <w:tc>
          <w:tcPr>
            <w:tcW w:w="380" w:type="pct"/>
            <w:tcBorders>
              <w:top w:val="single" w:sz="4" w:space="0" w:color="auto"/>
              <w:left w:val="single" w:sz="4" w:space="0" w:color="auto"/>
              <w:bottom w:val="single" w:sz="4" w:space="0" w:color="auto"/>
              <w:right w:val="single" w:sz="4" w:space="0" w:color="auto"/>
            </w:tcBorders>
            <w:noWrap/>
            <w:vAlign w:val="center"/>
            <w:hideMark/>
          </w:tcPr>
          <w:p w14:paraId="460EF11D" w14:textId="77777777" w:rsidR="00952E57" w:rsidRPr="00F30FD1" w:rsidRDefault="00952E57" w:rsidP="0086218A">
            <w:pPr>
              <w:spacing w:after="0" w:line="240" w:lineRule="auto"/>
              <w:jc w:val="center"/>
              <w:rPr>
                <w:rFonts w:eastAsia="Times New Roman" w:cs="Futura"/>
                <w:color w:val="595959"/>
                <w:sz w:val="14"/>
                <w:szCs w:val="14"/>
              </w:rPr>
            </w:pPr>
            <w:r w:rsidRPr="00F30FD1">
              <w:rPr>
                <w:rFonts w:eastAsia="Times New Roman" w:cs="Futura"/>
                <w:color w:val="595959"/>
                <w:sz w:val="14"/>
                <w:szCs w:val="14"/>
              </w:rPr>
              <w:t>851,705</w:t>
            </w:r>
          </w:p>
        </w:tc>
      </w:tr>
    </w:tbl>
    <w:p w14:paraId="57F585F5" w14:textId="77777777" w:rsidR="00952E57" w:rsidRPr="00F30FD1" w:rsidRDefault="00952E57" w:rsidP="005104A8">
      <w:pPr>
        <w:spacing w:after="0" w:line="240" w:lineRule="auto"/>
        <w:rPr>
          <w:rFonts w:eastAsia="Times New Roman" w:cs="Futura"/>
          <w:sz w:val="14"/>
          <w:szCs w:val="14"/>
        </w:rPr>
      </w:pPr>
      <w:r w:rsidRPr="00F30FD1">
        <w:rPr>
          <w:rFonts w:eastAsia="Times New Roman" w:cs="Futura"/>
          <w:sz w:val="14"/>
          <w:szCs w:val="14"/>
        </w:rPr>
        <w:t>Fuente: Elaboración de la Subsecretaría Técnica Hacendaria de la Secretaría de Finanzas y Planeación de Quintana Roo con datos de la Encuesta Nacional de la Ocupación y Empleo (ENOE) del INEGI.</w:t>
      </w:r>
    </w:p>
    <w:p w14:paraId="0120F062" w14:textId="77777777" w:rsidR="00952E57" w:rsidRPr="00F30FD1" w:rsidRDefault="00952E57" w:rsidP="005104A8">
      <w:pPr>
        <w:spacing w:after="0" w:line="240" w:lineRule="auto"/>
        <w:rPr>
          <w:rFonts w:eastAsia="Times New Roman" w:cs="Futura"/>
          <w:color w:val="595959"/>
        </w:rPr>
      </w:pPr>
    </w:p>
    <w:p w14:paraId="67B2940D" w14:textId="77777777" w:rsidR="00952E57" w:rsidRPr="00F30FD1" w:rsidRDefault="00952E57" w:rsidP="005104A8">
      <w:pPr>
        <w:spacing w:after="0" w:line="240" w:lineRule="auto"/>
        <w:rPr>
          <w:noProof/>
          <w:color w:val="808080" w:themeColor="background1" w:themeShade="80"/>
        </w:rPr>
      </w:pPr>
      <w:r w:rsidRPr="00F30FD1">
        <w:rPr>
          <w:noProof/>
          <w:color w:val="808080" w:themeColor="background1" w:themeShade="80"/>
        </w:rPr>
        <w:t>Es de vital importancia mencionar las tasas complementarias entre las que destaca principalmente la tasa de participación, la cual representa a la población económicamente activa (PEA) entre la población de 15 años y más cuyo nivel es de 66.06% durante el cuarto trimestre de 2019, la tasa de desocupación con 3.06%, la cual representa a la población que se encuentra sin trabajo pero está en busca de alguno con respecto a la PEA, la población desocupada y la ocupada que trabajó menos de 15 horas a la semana alcanzó un nivel de 8.01%, en la tasa de presión general que engloba a la población desocupada y a los ocupados que buscan empleo es de 6.34%.</w:t>
      </w:r>
    </w:p>
    <w:p w14:paraId="0555599E" w14:textId="77777777" w:rsidR="0086218A" w:rsidRPr="00F30FD1" w:rsidRDefault="0086218A" w:rsidP="005104A8">
      <w:pPr>
        <w:spacing w:after="0" w:line="240" w:lineRule="auto"/>
        <w:rPr>
          <w:noProof/>
          <w:color w:val="808080" w:themeColor="background1" w:themeShade="80"/>
        </w:rPr>
      </w:pPr>
    </w:p>
    <w:p w14:paraId="48E69642" w14:textId="77777777" w:rsidR="00952E57" w:rsidRPr="00F30FD1" w:rsidRDefault="00952E57" w:rsidP="005104A8">
      <w:pPr>
        <w:spacing w:after="0" w:line="240" w:lineRule="auto"/>
        <w:rPr>
          <w:noProof/>
          <w:color w:val="808080" w:themeColor="background1" w:themeShade="80"/>
        </w:rPr>
      </w:pPr>
      <w:r w:rsidRPr="00F30FD1">
        <w:rPr>
          <w:noProof/>
          <w:color w:val="808080" w:themeColor="background1" w:themeShade="80"/>
        </w:rPr>
        <w:t>La tasa de trabajo asalariado, la cual representa a la población que percibe de la unidad económica para la que trabaja un sueldo, salario o jornal, alcanzó un nivel de 67.28%; la tasa de subocupación es el porcentaje de la población ocupada que tiene la necesidad y disponibilidad de ofrecer más tiempo de trabajo fue de 6.70%; la tasa de las condiciones</w:t>
      </w:r>
      <w:r w:rsidRPr="00F30FD1">
        <w:rPr>
          <w:rFonts w:eastAsia="Times New Roman" w:cs="Futura"/>
          <w:color w:val="595959"/>
        </w:rPr>
        <w:t xml:space="preserve"> </w:t>
      </w:r>
      <w:r w:rsidRPr="00F30FD1">
        <w:rPr>
          <w:noProof/>
          <w:color w:val="808080" w:themeColor="background1" w:themeShade="80"/>
        </w:rPr>
        <w:t>críticas de ocupación incluye a las personas que se encuentran trabajando menos de 35 horas a la semana por razones ajenas a sus decisiones, más las que trabajan más de 35 horas semanales con ingresos mensuales inferiores al salario mínimo y las que laboran más de 48 horas semanales ganando hasta dos salarios mínimos fue de 12.47%.</w:t>
      </w:r>
    </w:p>
    <w:p w14:paraId="365BC29D" w14:textId="77777777" w:rsidR="0086218A" w:rsidRPr="00F30FD1" w:rsidRDefault="0086218A" w:rsidP="005104A8">
      <w:pPr>
        <w:spacing w:after="0" w:line="240" w:lineRule="auto"/>
        <w:rPr>
          <w:noProof/>
          <w:color w:val="808080" w:themeColor="background1" w:themeShade="80"/>
        </w:rPr>
      </w:pPr>
    </w:p>
    <w:p w14:paraId="511F379E" w14:textId="77777777" w:rsidR="00952E57" w:rsidRPr="00F30FD1" w:rsidRDefault="00952E57" w:rsidP="005104A8">
      <w:pPr>
        <w:spacing w:after="0" w:line="240" w:lineRule="auto"/>
        <w:rPr>
          <w:noProof/>
          <w:color w:val="808080" w:themeColor="background1" w:themeShade="80"/>
        </w:rPr>
      </w:pPr>
      <w:r w:rsidRPr="00F30FD1">
        <w:rPr>
          <w:noProof/>
          <w:color w:val="808080" w:themeColor="background1" w:themeShade="80"/>
        </w:rPr>
        <w:t xml:space="preserve">La tasa de ocupación en el sector informal (TOSI1) mide el grado de ocupación en el sector informal y durante el IV trimestre de 2019 fue de 21.34%. La tasa de informalidad laboral (TIL1) que se encarga de medir la ocupación informal tuvo valor de 46.43%. Mientras que, la TOSI2 la cual no </w:t>
      </w:r>
      <w:r w:rsidRPr="00F30FD1">
        <w:rPr>
          <w:noProof/>
          <w:color w:val="808080" w:themeColor="background1" w:themeShade="80"/>
        </w:rPr>
        <w:lastRenderedPageBreak/>
        <w:t>incluye a la población agropecuaria fue de 22.75% y la TIL2 que, de igual forma no incluye a la población agropecuaria fue de 43.31%.</w:t>
      </w:r>
    </w:p>
    <w:p w14:paraId="35A599D7" w14:textId="6C2E44C1" w:rsidR="00952E57" w:rsidRPr="00F30FD1" w:rsidRDefault="0086218A" w:rsidP="00952E57">
      <w:pPr>
        <w:pStyle w:val="Epgrafe"/>
        <w:rPr>
          <w:rFonts w:ascii="Futura T OT" w:hAnsi="Futura T OT"/>
        </w:rPr>
      </w:pPr>
      <w:r w:rsidRPr="00F30FD1">
        <w:rPr>
          <w:rFonts w:ascii="Futura T OT" w:hAnsi="Futura T OT"/>
        </w:rPr>
        <w:t>Tabla T.</w:t>
      </w:r>
      <w:r w:rsidR="00100B8B">
        <w:rPr>
          <w:rFonts w:ascii="Futura T OT" w:hAnsi="Futura T OT"/>
        </w:rPr>
        <w:t>1</w:t>
      </w:r>
      <w:r w:rsidRPr="00F30FD1">
        <w:rPr>
          <w:rFonts w:ascii="Futura T OT" w:hAnsi="Futura T OT"/>
        </w:rPr>
        <w:t xml:space="preserve">7 </w:t>
      </w:r>
      <w:r w:rsidR="00952E57" w:rsidRPr="00F30FD1">
        <w:rPr>
          <w:rFonts w:ascii="Futura T OT" w:hAnsi="Futura T OT"/>
        </w:rPr>
        <w:t>Tasas complementarias de ocupación y desocupación de Quintana Roo, IV trimestre de 2019.</w:t>
      </w:r>
    </w:p>
    <w:tbl>
      <w:tblPr>
        <w:tblStyle w:val="Listaclara-nfasis5"/>
        <w:tblW w:w="5000" w:type="pct"/>
        <w:tblLook w:val="04A0" w:firstRow="1" w:lastRow="0" w:firstColumn="1" w:lastColumn="0" w:noHBand="0" w:noVBand="1"/>
      </w:tblPr>
      <w:tblGrid>
        <w:gridCol w:w="7961"/>
        <w:gridCol w:w="1802"/>
      </w:tblGrid>
      <w:tr w:rsidR="00952E57" w:rsidRPr="00F30FD1" w14:paraId="73561EA9" w14:textId="77777777" w:rsidTr="009909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pct"/>
            <w:tcBorders>
              <w:bottom w:val="single" w:sz="4" w:space="0" w:color="auto"/>
            </w:tcBorders>
            <w:shd w:val="clear" w:color="auto" w:fill="808080" w:themeFill="background1" w:themeFillShade="80"/>
            <w:noWrap/>
            <w:vAlign w:val="center"/>
            <w:hideMark/>
          </w:tcPr>
          <w:p w14:paraId="2D0BA719" w14:textId="77777777" w:rsidR="00952E57" w:rsidRPr="0099099D" w:rsidRDefault="00952E57" w:rsidP="0099099D">
            <w:pPr>
              <w:spacing w:after="0" w:line="240" w:lineRule="auto"/>
              <w:jc w:val="center"/>
              <w:rPr>
                <w:rFonts w:eastAsia="Times New Roman" w:cs="Futura"/>
              </w:rPr>
            </w:pPr>
            <w:r w:rsidRPr="0099099D">
              <w:rPr>
                <w:rFonts w:eastAsia="Times New Roman" w:cs="Futura"/>
              </w:rPr>
              <w:t>Tasas calculadas contra la población en edad de trabajar</w:t>
            </w:r>
          </w:p>
        </w:tc>
        <w:tc>
          <w:tcPr>
            <w:tcW w:w="923" w:type="pct"/>
            <w:tcBorders>
              <w:bottom w:val="single" w:sz="4" w:space="0" w:color="auto"/>
            </w:tcBorders>
            <w:shd w:val="clear" w:color="auto" w:fill="808080" w:themeFill="background1" w:themeFillShade="80"/>
            <w:noWrap/>
            <w:vAlign w:val="center"/>
            <w:hideMark/>
          </w:tcPr>
          <w:p w14:paraId="33162354" w14:textId="438FC092" w:rsidR="00952E57" w:rsidRPr="0099099D" w:rsidRDefault="00952E57" w:rsidP="0099099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Futura"/>
              </w:rPr>
            </w:pPr>
            <w:r w:rsidRPr="0099099D">
              <w:rPr>
                <w:rFonts w:eastAsia="Times New Roman" w:cs="Futura"/>
              </w:rPr>
              <w:t>%</w:t>
            </w:r>
          </w:p>
        </w:tc>
      </w:tr>
      <w:tr w:rsidR="00952E57" w:rsidRPr="00F30FD1" w14:paraId="1B07C0DC" w14:textId="77777777" w:rsidTr="007305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49E32EBB"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participación</w:t>
            </w:r>
          </w:p>
        </w:tc>
        <w:tc>
          <w:tcPr>
            <w:tcW w:w="923" w:type="pct"/>
            <w:tcBorders>
              <w:top w:val="single" w:sz="4" w:space="0" w:color="auto"/>
              <w:left w:val="single" w:sz="4" w:space="0" w:color="auto"/>
              <w:bottom w:val="single" w:sz="4" w:space="0" w:color="auto"/>
              <w:right w:val="single" w:sz="4" w:space="0" w:color="auto"/>
            </w:tcBorders>
            <w:noWrap/>
            <w:hideMark/>
          </w:tcPr>
          <w:p w14:paraId="2B84A702" w14:textId="77777777" w:rsidR="00952E57" w:rsidRPr="00F30FD1" w:rsidRDefault="00952E57" w:rsidP="00A93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66.06</w:t>
            </w:r>
          </w:p>
        </w:tc>
      </w:tr>
      <w:tr w:rsidR="00952E57" w:rsidRPr="00F30FD1" w14:paraId="2016BE38" w14:textId="77777777" w:rsidTr="0073052C">
        <w:trPr>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137E7631"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Tasas calculadas contra la población económicamente activa</w:t>
            </w:r>
          </w:p>
        </w:tc>
        <w:tc>
          <w:tcPr>
            <w:tcW w:w="923" w:type="pct"/>
            <w:tcBorders>
              <w:top w:val="single" w:sz="4" w:space="0" w:color="auto"/>
              <w:left w:val="single" w:sz="4" w:space="0" w:color="auto"/>
              <w:bottom w:val="single" w:sz="4" w:space="0" w:color="auto"/>
              <w:right w:val="single" w:sz="4" w:space="0" w:color="auto"/>
            </w:tcBorders>
            <w:noWrap/>
            <w:hideMark/>
          </w:tcPr>
          <w:p w14:paraId="7588E71A" w14:textId="7CDB77A7" w:rsidR="00952E57" w:rsidRPr="00F30FD1" w:rsidRDefault="00952E57" w:rsidP="00A935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p>
        </w:tc>
      </w:tr>
      <w:tr w:rsidR="00952E57" w:rsidRPr="00F30FD1" w14:paraId="4D6456DA" w14:textId="77777777" w:rsidTr="007305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238C21DE"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desocupación</w:t>
            </w:r>
          </w:p>
        </w:tc>
        <w:tc>
          <w:tcPr>
            <w:tcW w:w="923" w:type="pct"/>
            <w:tcBorders>
              <w:top w:val="single" w:sz="4" w:space="0" w:color="auto"/>
              <w:left w:val="single" w:sz="4" w:space="0" w:color="auto"/>
              <w:bottom w:val="single" w:sz="4" w:space="0" w:color="auto"/>
              <w:right w:val="single" w:sz="4" w:space="0" w:color="auto"/>
            </w:tcBorders>
            <w:noWrap/>
            <w:hideMark/>
          </w:tcPr>
          <w:p w14:paraId="51FC0BFA" w14:textId="77777777" w:rsidR="00952E57" w:rsidRPr="00F30FD1" w:rsidRDefault="00952E57" w:rsidP="00A93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3.06</w:t>
            </w:r>
          </w:p>
        </w:tc>
      </w:tr>
      <w:tr w:rsidR="00952E57" w:rsidRPr="00F30FD1" w14:paraId="0847E55F" w14:textId="77777777" w:rsidTr="0073052C">
        <w:trPr>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1D64CBA7"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ocupación parcial y desocupación 1 (TOPD1)</w:t>
            </w:r>
          </w:p>
        </w:tc>
        <w:tc>
          <w:tcPr>
            <w:tcW w:w="923" w:type="pct"/>
            <w:tcBorders>
              <w:top w:val="single" w:sz="4" w:space="0" w:color="auto"/>
              <w:left w:val="single" w:sz="4" w:space="0" w:color="auto"/>
              <w:bottom w:val="single" w:sz="4" w:space="0" w:color="auto"/>
              <w:right w:val="single" w:sz="4" w:space="0" w:color="auto"/>
            </w:tcBorders>
            <w:noWrap/>
            <w:hideMark/>
          </w:tcPr>
          <w:p w14:paraId="3EE59312" w14:textId="77777777" w:rsidR="00952E57" w:rsidRPr="00F30FD1" w:rsidRDefault="00952E57" w:rsidP="00A935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8.01</w:t>
            </w:r>
          </w:p>
        </w:tc>
      </w:tr>
      <w:tr w:rsidR="00952E57" w:rsidRPr="00F30FD1" w14:paraId="71ED2E93" w14:textId="77777777" w:rsidTr="007305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49371A18"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presión general (TPRG)</w:t>
            </w:r>
          </w:p>
        </w:tc>
        <w:tc>
          <w:tcPr>
            <w:tcW w:w="923" w:type="pct"/>
            <w:tcBorders>
              <w:top w:val="single" w:sz="4" w:space="0" w:color="auto"/>
              <w:left w:val="single" w:sz="4" w:space="0" w:color="auto"/>
              <w:bottom w:val="single" w:sz="4" w:space="0" w:color="auto"/>
              <w:right w:val="single" w:sz="4" w:space="0" w:color="auto"/>
            </w:tcBorders>
            <w:noWrap/>
            <w:hideMark/>
          </w:tcPr>
          <w:p w14:paraId="61F0E77A" w14:textId="77777777" w:rsidR="00952E57" w:rsidRPr="00F30FD1" w:rsidRDefault="00952E57" w:rsidP="00A93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6.34</w:t>
            </w:r>
          </w:p>
        </w:tc>
      </w:tr>
      <w:tr w:rsidR="00952E57" w:rsidRPr="00F30FD1" w14:paraId="45D53FD6" w14:textId="77777777" w:rsidTr="0073052C">
        <w:trPr>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3320B5E3"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Tasas calculadas contra la población ocupada</w:t>
            </w:r>
          </w:p>
        </w:tc>
        <w:tc>
          <w:tcPr>
            <w:tcW w:w="923" w:type="pct"/>
            <w:tcBorders>
              <w:top w:val="single" w:sz="4" w:space="0" w:color="auto"/>
              <w:left w:val="single" w:sz="4" w:space="0" w:color="auto"/>
              <w:bottom w:val="single" w:sz="4" w:space="0" w:color="auto"/>
              <w:right w:val="single" w:sz="4" w:space="0" w:color="auto"/>
            </w:tcBorders>
            <w:noWrap/>
            <w:hideMark/>
          </w:tcPr>
          <w:p w14:paraId="08EEA24E" w14:textId="0A8A40FA" w:rsidR="00952E57" w:rsidRPr="00F30FD1" w:rsidRDefault="00952E57" w:rsidP="00A935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p>
        </w:tc>
      </w:tr>
      <w:tr w:rsidR="00952E57" w:rsidRPr="00F30FD1" w14:paraId="571E6623" w14:textId="77777777" w:rsidTr="007305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20FEC2BF"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trabajo asalariado</w:t>
            </w:r>
          </w:p>
        </w:tc>
        <w:tc>
          <w:tcPr>
            <w:tcW w:w="923" w:type="pct"/>
            <w:tcBorders>
              <w:top w:val="single" w:sz="4" w:space="0" w:color="auto"/>
              <w:left w:val="single" w:sz="4" w:space="0" w:color="auto"/>
              <w:bottom w:val="single" w:sz="4" w:space="0" w:color="auto"/>
              <w:right w:val="single" w:sz="4" w:space="0" w:color="auto"/>
            </w:tcBorders>
            <w:noWrap/>
            <w:hideMark/>
          </w:tcPr>
          <w:p w14:paraId="6881D03B" w14:textId="77777777" w:rsidR="00952E57" w:rsidRPr="00F30FD1" w:rsidRDefault="00952E57" w:rsidP="00A93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67.28</w:t>
            </w:r>
          </w:p>
        </w:tc>
      </w:tr>
      <w:tr w:rsidR="00952E57" w:rsidRPr="00F30FD1" w14:paraId="181F55BB" w14:textId="77777777" w:rsidTr="0073052C">
        <w:trPr>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44412C79"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subocupación</w:t>
            </w:r>
          </w:p>
        </w:tc>
        <w:tc>
          <w:tcPr>
            <w:tcW w:w="923" w:type="pct"/>
            <w:tcBorders>
              <w:top w:val="single" w:sz="4" w:space="0" w:color="auto"/>
              <w:left w:val="single" w:sz="4" w:space="0" w:color="auto"/>
              <w:bottom w:val="single" w:sz="4" w:space="0" w:color="auto"/>
              <w:right w:val="single" w:sz="4" w:space="0" w:color="auto"/>
            </w:tcBorders>
            <w:noWrap/>
            <w:hideMark/>
          </w:tcPr>
          <w:p w14:paraId="1353FD0B" w14:textId="77777777" w:rsidR="00952E57" w:rsidRPr="00F30FD1" w:rsidRDefault="00952E57" w:rsidP="00A935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6.70</w:t>
            </w:r>
          </w:p>
        </w:tc>
      </w:tr>
      <w:tr w:rsidR="00952E57" w:rsidRPr="00F30FD1" w14:paraId="000F9414" w14:textId="77777777" w:rsidTr="007305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0528AC65"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condiciones críticas de ocupación (TCCO)</w:t>
            </w:r>
          </w:p>
        </w:tc>
        <w:tc>
          <w:tcPr>
            <w:tcW w:w="923" w:type="pct"/>
            <w:tcBorders>
              <w:top w:val="single" w:sz="4" w:space="0" w:color="auto"/>
              <w:left w:val="single" w:sz="4" w:space="0" w:color="auto"/>
              <w:bottom w:val="single" w:sz="4" w:space="0" w:color="auto"/>
              <w:right w:val="single" w:sz="4" w:space="0" w:color="auto"/>
            </w:tcBorders>
            <w:noWrap/>
            <w:hideMark/>
          </w:tcPr>
          <w:p w14:paraId="046A60C8" w14:textId="77777777" w:rsidR="00952E57" w:rsidRPr="00F30FD1" w:rsidRDefault="00952E57" w:rsidP="00A93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12.47</w:t>
            </w:r>
          </w:p>
        </w:tc>
      </w:tr>
      <w:tr w:rsidR="00952E57" w:rsidRPr="00F30FD1" w14:paraId="7194CB77" w14:textId="77777777" w:rsidTr="0073052C">
        <w:trPr>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70B07850"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ocupación en el sector informal 1 (TOSI1)</w:t>
            </w:r>
          </w:p>
        </w:tc>
        <w:tc>
          <w:tcPr>
            <w:tcW w:w="923" w:type="pct"/>
            <w:tcBorders>
              <w:top w:val="single" w:sz="4" w:space="0" w:color="auto"/>
              <w:left w:val="single" w:sz="4" w:space="0" w:color="auto"/>
              <w:bottom w:val="single" w:sz="4" w:space="0" w:color="auto"/>
              <w:right w:val="single" w:sz="4" w:space="0" w:color="auto"/>
            </w:tcBorders>
            <w:noWrap/>
            <w:hideMark/>
          </w:tcPr>
          <w:p w14:paraId="3D0485FB" w14:textId="77777777" w:rsidR="00952E57" w:rsidRPr="00F30FD1" w:rsidRDefault="00952E57" w:rsidP="00A935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21.34</w:t>
            </w:r>
          </w:p>
        </w:tc>
      </w:tr>
      <w:tr w:rsidR="00952E57" w:rsidRPr="00F30FD1" w14:paraId="07023D20" w14:textId="77777777" w:rsidTr="007305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744E99E6"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informalidad laboral 1 (TIL1)</w:t>
            </w:r>
          </w:p>
        </w:tc>
        <w:tc>
          <w:tcPr>
            <w:tcW w:w="923" w:type="pct"/>
            <w:tcBorders>
              <w:top w:val="single" w:sz="4" w:space="0" w:color="auto"/>
              <w:left w:val="single" w:sz="4" w:space="0" w:color="auto"/>
              <w:bottom w:val="single" w:sz="4" w:space="0" w:color="auto"/>
              <w:right w:val="single" w:sz="4" w:space="0" w:color="auto"/>
            </w:tcBorders>
            <w:noWrap/>
            <w:hideMark/>
          </w:tcPr>
          <w:p w14:paraId="06730E8F" w14:textId="77777777" w:rsidR="00952E57" w:rsidRPr="00F30FD1" w:rsidRDefault="00952E57" w:rsidP="00A93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46.43</w:t>
            </w:r>
          </w:p>
        </w:tc>
      </w:tr>
      <w:tr w:rsidR="00952E57" w:rsidRPr="00F30FD1" w14:paraId="7A044836" w14:textId="77777777" w:rsidTr="0073052C">
        <w:trPr>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7BEF9870"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Tasas calculadas contra la población ocupada no agropecuaria</w:t>
            </w:r>
          </w:p>
        </w:tc>
        <w:tc>
          <w:tcPr>
            <w:tcW w:w="923" w:type="pct"/>
            <w:tcBorders>
              <w:top w:val="single" w:sz="4" w:space="0" w:color="auto"/>
              <w:left w:val="single" w:sz="4" w:space="0" w:color="auto"/>
              <w:bottom w:val="single" w:sz="4" w:space="0" w:color="auto"/>
              <w:right w:val="single" w:sz="4" w:space="0" w:color="auto"/>
            </w:tcBorders>
            <w:noWrap/>
            <w:hideMark/>
          </w:tcPr>
          <w:p w14:paraId="31B7FA26" w14:textId="74EB5B4F" w:rsidR="00952E57" w:rsidRPr="00F30FD1" w:rsidRDefault="00952E57" w:rsidP="00A935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p>
        </w:tc>
      </w:tr>
      <w:tr w:rsidR="00952E57" w:rsidRPr="00F30FD1" w14:paraId="5D295DD5" w14:textId="77777777" w:rsidTr="007305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1153399B"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ocupación en el sector informal 2 (TOSI2)</w:t>
            </w:r>
          </w:p>
        </w:tc>
        <w:tc>
          <w:tcPr>
            <w:tcW w:w="923" w:type="pct"/>
            <w:tcBorders>
              <w:top w:val="single" w:sz="4" w:space="0" w:color="auto"/>
              <w:left w:val="single" w:sz="4" w:space="0" w:color="auto"/>
              <w:bottom w:val="single" w:sz="4" w:space="0" w:color="auto"/>
              <w:right w:val="single" w:sz="4" w:space="0" w:color="auto"/>
            </w:tcBorders>
            <w:noWrap/>
            <w:hideMark/>
          </w:tcPr>
          <w:p w14:paraId="40D597B2" w14:textId="77777777" w:rsidR="00952E57" w:rsidRPr="00F30FD1" w:rsidRDefault="00952E57" w:rsidP="00A9358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22.75</w:t>
            </w:r>
          </w:p>
        </w:tc>
      </w:tr>
      <w:tr w:rsidR="00952E57" w:rsidRPr="00F30FD1" w14:paraId="43E0912F" w14:textId="77777777" w:rsidTr="0073052C">
        <w:trPr>
          <w:trHeight w:val="300"/>
        </w:trPr>
        <w:tc>
          <w:tcPr>
            <w:cnfStyle w:val="001000000000" w:firstRow="0" w:lastRow="0" w:firstColumn="1" w:lastColumn="0" w:oddVBand="0" w:evenVBand="0" w:oddHBand="0" w:evenHBand="0" w:firstRowFirstColumn="0" w:firstRowLastColumn="0" w:lastRowFirstColumn="0" w:lastRowLastColumn="0"/>
            <w:tcW w:w="4077" w:type="pct"/>
            <w:tcBorders>
              <w:top w:val="single" w:sz="4" w:space="0" w:color="auto"/>
              <w:left w:val="single" w:sz="4" w:space="0" w:color="auto"/>
              <w:bottom w:val="single" w:sz="4" w:space="0" w:color="auto"/>
              <w:right w:val="single" w:sz="4" w:space="0" w:color="auto"/>
            </w:tcBorders>
            <w:noWrap/>
            <w:hideMark/>
          </w:tcPr>
          <w:p w14:paraId="170189E0" w14:textId="77777777" w:rsidR="00952E57" w:rsidRPr="00F30FD1" w:rsidRDefault="00952E57" w:rsidP="001D269B">
            <w:pPr>
              <w:spacing w:after="0" w:line="240" w:lineRule="auto"/>
              <w:jc w:val="left"/>
              <w:rPr>
                <w:rFonts w:eastAsia="Times New Roman" w:cs="Futura"/>
                <w:color w:val="595959"/>
              </w:rPr>
            </w:pPr>
            <w:r w:rsidRPr="00F30FD1">
              <w:rPr>
                <w:rFonts w:eastAsia="Times New Roman" w:cs="Futura"/>
                <w:color w:val="595959"/>
              </w:rPr>
              <w:t>Tasa de informalidad laboral 2 (TIL2)</w:t>
            </w:r>
          </w:p>
        </w:tc>
        <w:tc>
          <w:tcPr>
            <w:tcW w:w="923" w:type="pct"/>
            <w:tcBorders>
              <w:top w:val="single" w:sz="4" w:space="0" w:color="auto"/>
              <w:left w:val="single" w:sz="4" w:space="0" w:color="auto"/>
              <w:bottom w:val="single" w:sz="4" w:space="0" w:color="auto"/>
              <w:right w:val="single" w:sz="4" w:space="0" w:color="auto"/>
            </w:tcBorders>
            <w:noWrap/>
            <w:hideMark/>
          </w:tcPr>
          <w:p w14:paraId="31131385" w14:textId="77777777" w:rsidR="00952E57" w:rsidRPr="00F30FD1" w:rsidRDefault="00952E57" w:rsidP="00A9358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43.31</w:t>
            </w:r>
          </w:p>
        </w:tc>
      </w:tr>
    </w:tbl>
    <w:p w14:paraId="192E96F0" w14:textId="77777777" w:rsidR="00952E57" w:rsidRPr="00F30FD1" w:rsidRDefault="00952E57" w:rsidP="005104A8">
      <w:pPr>
        <w:spacing w:after="0" w:line="240" w:lineRule="auto"/>
        <w:rPr>
          <w:rFonts w:eastAsia="Times New Roman" w:cs="Futura"/>
          <w:color w:val="595959"/>
          <w:sz w:val="14"/>
          <w:szCs w:val="14"/>
        </w:rPr>
      </w:pPr>
      <w:r w:rsidRPr="00F30FD1">
        <w:rPr>
          <w:rFonts w:eastAsia="Times New Roman" w:cs="Futura"/>
          <w:color w:val="595959"/>
          <w:sz w:val="14"/>
          <w:szCs w:val="14"/>
        </w:rPr>
        <w:t>Fuente: Encuesta Nacional de Ocupación y Empleo (ENOE) del INEGI</w:t>
      </w:r>
    </w:p>
    <w:p w14:paraId="49229646" w14:textId="1DA13B06" w:rsidR="00952E57" w:rsidRPr="00F30FD1" w:rsidRDefault="00952E57" w:rsidP="005104A8">
      <w:pPr>
        <w:spacing w:after="0" w:line="240" w:lineRule="auto"/>
        <w:rPr>
          <w:rFonts w:eastAsia="Times New Roman" w:cs="Futura"/>
          <w:color w:val="595959"/>
        </w:rPr>
      </w:pPr>
      <w:r w:rsidRPr="00F30FD1">
        <w:rPr>
          <w:rFonts w:eastAsia="Times New Roman" w:cs="Futura"/>
          <w:color w:val="595959"/>
        </w:rPr>
        <w:t xml:space="preserve">De acuerdo con datos de DATATUR, para 2018 Quintana Roo contaba con 102, 890 cuartos de hospedaje, concentrando el 12 % de los 808, 139 cuartos a nivel nacional, lo que lo posicionó en el primer lugar en el país. Al interior del Estado, Benito Juárez y Solidaridad concentran el 73. 6 % de la infraestructura hotelera. </w:t>
      </w:r>
    </w:p>
    <w:p w14:paraId="4D622906" w14:textId="77777777" w:rsidR="00A8009B" w:rsidRPr="00F30FD1" w:rsidRDefault="00A8009B" w:rsidP="005104A8">
      <w:pPr>
        <w:spacing w:after="0" w:line="240" w:lineRule="auto"/>
        <w:rPr>
          <w:rFonts w:eastAsia="Times New Roman" w:cs="Futura"/>
          <w:color w:val="595959"/>
        </w:rPr>
      </w:pPr>
    </w:p>
    <w:p w14:paraId="4A66F276" w14:textId="461081D2" w:rsidR="00952E57" w:rsidRPr="00F30FD1" w:rsidRDefault="0073052C" w:rsidP="00952E57">
      <w:pPr>
        <w:pStyle w:val="Epgrafe"/>
        <w:rPr>
          <w:rFonts w:ascii="Futura T OT" w:hAnsi="Futura T OT"/>
        </w:rPr>
      </w:pPr>
      <w:r w:rsidRPr="00F30FD1">
        <w:rPr>
          <w:rFonts w:ascii="Futura T OT" w:hAnsi="Futura T OT"/>
        </w:rPr>
        <w:t>Tabla T.</w:t>
      </w:r>
      <w:r w:rsidR="00100B8B">
        <w:rPr>
          <w:rFonts w:ascii="Futura T OT" w:hAnsi="Futura T OT"/>
        </w:rPr>
        <w:t>1</w:t>
      </w:r>
      <w:r w:rsidRPr="00F30FD1">
        <w:rPr>
          <w:rFonts w:ascii="Futura T OT" w:hAnsi="Futura T OT"/>
        </w:rPr>
        <w:t xml:space="preserve">8 </w:t>
      </w:r>
      <w:r w:rsidR="00952E57" w:rsidRPr="00F30FD1">
        <w:rPr>
          <w:rFonts w:ascii="Futura T OT" w:hAnsi="Futura T OT"/>
        </w:rPr>
        <w:t>Número de cuartos por municipio en Quintana Roo, 2018</w:t>
      </w:r>
    </w:p>
    <w:tbl>
      <w:tblPr>
        <w:tblStyle w:val="Listaclara-nfasis5"/>
        <w:tblW w:w="5000" w:type="pct"/>
        <w:tblLook w:val="04A0" w:firstRow="1" w:lastRow="0" w:firstColumn="1" w:lastColumn="0" w:noHBand="0" w:noVBand="1"/>
      </w:tblPr>
      <w:tblGrid>
        <w:gridCol w:w="5590"/>
        <w:gridCol w:w="4173"/>
      </w:tblGrid>
      <w:tr w:rsidR="00952E57" w:rsidRPr="00F30FD1" w14:paraId="5DE39D73" w14:textId="77777777" w:rsidTr="0099099D">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63" w:type="pct"/>
            <w:shd w:val="clear" w:color="auto" w:fill="808080" w:themeFill="background1" w:themeFillShade="80"/>
            <w:noWrap/>
            <w:vAlign w:val="center"/>
            <w:hideMark/>
          </w:tcPr>
          <w:p w14:paraId="6A70655E" w14:textId="3463E93E" w:rsidR="00952E57" w:rsidRPr="0099099D" w:rsidRDefault="00952E57" w:rsidP="0099099D">
            <w:pPr>
              <w:tabs>
                <w:tab w:val="center" w:pos="2619"/>
              </w:tabs>
              <w:spacing w:after="0" w:line="240" w:lineRule="auto"/>
              <w:jc w:val="center"/>
              <w:rPr>
                <w:lang w:val="es-MX" w:eastAsia="en-US"/>
              </w:rPr>
            </w:pPr>
            <w:r w:rsidRPr="0099099D">
              <w:rPr>
                <w:lang w:val="es-MX" w:eastAsia="en-US"/>
              </w:rPr>
              <w:t>Estado</w:t>
            </w:r>
          </w:p>
        </w:tc>
        <w:tc>
          <w:tcPr>
            <w:tcW w:w="2137" w:type="pct"/>
            <w:shd w:val="clear" w:color="auto" w:fill="808080" w:themeFill="background1" w:themeFillShade="80"/>
            <w:noWrap/>
            <w:vAlign w:val="center"/>
            <w:hideMark/>
          </w:tcPr>
          <w:p w14:paraId="74EDB271" w14:textId="756B23AF" w:rsidR="00952E57" w:rsidRPr="0099099D" w:rsidRDefault="00952E57" w:rsidP="0099099D">
            <w:pPr>
              <w:spacing w:after="0" w:line="240" w:lineRule="auto"/>
              <w:jc w:val="center"/>
              <w:cnfStyle w:val="100000000000" w:firstRow="1" w:lastRow="0" w:firstColumn="0" w:lastColumn="0" w:oddVBand="0" w:evenVBand="0" w:oddHBand="0" w:evenHBand="0" w:firstRowFirstColumn="0" w:firstRowLastColumn="0" w:lastRowFirstColumn="0" w:lastRowLastColumn="0"/>
              <w:rPr>
                <w:lang w:val="es-MX" w:eastAsia="en-US"/>
              </w:rPr>
            </w:pPr>
            <w:r w:rsidRPr="0099099D">
              <w:rPr>
                <w:lang w:val="es-MX" w:eastAsia="en-US"/>
              </w:rPr>
              <w:t>102,890</w:t>
            </w:r>
          </w:p>
        </w:tc>
      </w:tr>
      <w:tr w:rsidR="00952E57" w:rsidRPr="00F30FD1" w14:paraId="7EE4F71D" w14:textId="77777777" w:rsidTr="007305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001C1D1F"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Bacalar</w:t>
            </w:r>
          </w:p>
        </w:tc>
        <w:tc>
          <w:tcPr>
            <w:tcW w:w="2137" w:type="pct"/>
            <w:noWrap/>
            <w:hideMark/>
          </w:tcPr>
          <w:p w14:paraId="5195E7A8" w14:textId="77777777" w:rsidR="00952E57" w:rsidRPr="00F30FD1" w:rsidRDefault="00952E57" w:rsidP="00952E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 xml:space="preserve">                573 </w:t>
            </w:r>
          </w:p>
        </w:tc>
      </w:tr>
      <w:tr w:rsidR="00952E57" w:rsidRPr="00F30FD1" w14:paraId="18168629" w14:textId="77777777" w:rsidTr="0073052C">
        <w:trPr>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30E90F05"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Benito Juárez</w:t>
            </w:r>
          </w:p>
        </w:tc>
        <w:tc>
          <w:tcPr>
            <w:tcW w:w="2137" w:type="pct"/>
            <w:noWrap/>
            <w:hideMark/>
          </w:tcPr>
          <w:p w14:paraId="77F1F37A" w14:textId="77777777" w:rsidR="00952E57" w:rsidRPr="00F30FD1" w:rsidRDefault="00952E57" w:rsidP="00952E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35,923 </w:t>
            </w:r>
          </w:p>
        </w:tc>
      </w:tr>
      <w:tr w:rsidR="00952E57" w:rsidRPr="00F30FD1" w14:paraId="65ED8FDF" w14:textId="77777777" w:rsidTr="007305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33258985"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Cozumel</w:t>
            </w:r>
          </w:p>
        </w:tc>
        <w:tc>
          <w:tcPr>
            <w:tcW w:w="2137" w:type="pct"/>
            <w:noWrap/>
            <w:hideMark/>
          </w:tcPr>
          <w:p w14:paraId="421976C1" w14:textId="77777777" w:rsidR="00952E57" w:rsidRPr="00F30FD1" w:rsidRDefault="00952E57" w:rsidP="00952E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 xml:space="preserve">             4,687 </w:t>
            </w:r>
          </w:p>
        </w:tc>
      </w:tr>
      <w:tr w:rsidR="00952E57" w:rsidRPr="00F30FD1" w14:paraId="1A201907" w14:textId="77777777" w:rsidTr="0073052C">
        <w:trPr>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65B53BF8"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Felipe Carrillo Puerto</w:t>
            </w:r>
          </w:p>
        </w:tc>
        <w:tc>
          <w:tcPr>
            <w:tcW w:w="2137" w:type="pct"/>
            <w:noWrap/>
            <w:hideMark/>
          </w:tcPr>
          <w:p w14:paraId="74CA90C0" w14:textId="77777777" w:rsidR="00952E57" w:rsidRPr="00F30FD1" w:rsidRDefault="00952E57" w:rsidP="00952E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186 </w:t>
            </w:r>
          </w:p>
        </w:tc>
      </w:tr>
      <w:tr w:rsidR="00952E57" w:rsidRPr="00F30FD1" w14:paraId="794921AD" w14:textId="77777777" w:rsidTr="007305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5C6CDE02"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Isla Mujeres</w:t>
            </w:r>
          </w:p>
        </w:tc>
        <w:tc>
          <w:tcPr>
            <w:tcW w:w="2137" w:type="pct"/>
            <w:noWrap/>
            <w:hideMark/>
          </w:tcPr>
          <w:p w14:paraId="578DE2F8" w14:textId="77777777" w:rsidR="00952E57" w:rsidRPr="00F30FD1" w:rsidRDefault="00952E57" w:rsidP="00952E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 xml:space="preserve">             4,950 </w:t>
            </w:r>
          </w:p>
        </w:tc>
      </w:tr>
      <w:tr w:rsidR="00952E57" w:rsidRPr="00F30FD1" w14:paraId="58E23368" w14:textId="77777777" w:rsidTr="0073052C">
        <w:trPr>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059DE509"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José María Morelos</w:t>
            </w:r>
          </w:p>
        </w:tc>
        <w:tc>
          <w:tcPr>
            <w:tcW w:w="2137" w:type="pct"/>
            <w:noWrap/>
            <w:hideMark/>
          </w:tcPr>
          <w:p w14:paraId="15682F10" w14:textId="77777777" w:rsidR="00952E57" w:rsidRPr="00F30FD1" w:rsidRDefault="00952E57" w:rsidP="00952E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74 </w:t>
            </w:r>
          </w:p>
        </w:tc>
      </w:tr>
      <w:tr w:rsidR="00952E57" w:rsidRPr="00F30FD1" w14:paraId="7781AC4E" w14:textId="77777777" w:rsidTr="007305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78DAF844"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lastRenderedPageBreak/>
              <w:t>Lázaro Cárdenas</w:t>
            </w:r>
          </w:p>
        </w:tc>
        <w:tc>
          <w:tcPr>
            <w:tcW w:w="2137" w:type="pct"/>
            <w:noWrap/>
            <w:hideMark/>
          </w:tcPr>
          <w:p w14:paraId="03734098" w14:textId="77777777" w:rsidR="00952E57" w:rsidRPr="00F30FD1" w:rsidRDefault="00952E57" w:rsidP="00952E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 xml:space="preserve">             1,138 </w:t>
            </w:r>
          </w:p>
        </w:tc>
      </w:tr>
      <w:tr w:rsidR="00952E57" w:rsidRPr="00F30FD1" w14:paraId="450ACA25" w14:textId="77777777" w:rsidTr="0073052C">
        <w:trPr>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44BC292B"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Othón P. Blanco</w:t>
            </w:r>
          </w:p>
        </w:tc>
        <w:tc>
          <w:tcPr>
            <w:tcW w:w="2137" w:type="pct"/>
            <w:noWrap/>
            <w:hideMark/>
          </w:tcPr>
          <w:p w14:paraId="018421A1" w14:textId="77777777" w:rsidR="00952E57" w:rsidRPr="00F30FD1" w:rsidRDefault="00952E57" w:rsidP="00952E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2,827 </w:t>
            </w:r>
          </w:p>
        </w:tc>
      </w:tr>
      <w:tr w:rsidR="00952E57" w:rsidRPr="00F30FD1" w14:paraId="47D09230" w14:textId="77777777" w:rsidTr="007305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49F9D12C"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Puerto Morelos</w:t>
            </w:r>
          </w:p>
        </w:tc>
        <w:tc>
          <w:tcPr>
            <w:tcW w:w="2137" w:type="pct"/>
            <w:noWrap/>
            <w:hideMark/>
          </w:tcPr>
          <w:p w14:paraId="0FDA6139" w14:textId="77777777" w:rsidR="00952E57" w:rsidRPr="00F30FD1" w:rsidRDefault="00952E57" w:rsidP="00952E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 xml:space="preserve">             5,563 </w:t>
            </w:r>
          </w:p>
        </w:tc>
      </w:tr>
      <w:tr w:rsidR="00952E57" w:rsidRPr="00F30FD1" w14:paraId="4DBD89C4" w14:textId="77777777" w:rsidTr="0073052C">
        <w:trPr>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2785040B"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Solidaridad</w:t>
            </w:r>
          </w:p>
        </w:tc>
        <w:tc>
          <w:tcPr>
            <w:tcW w:w="2137" w:type="pct"/>
            <w:noWrap/>
            <w:hideMark/>
          </w:tcPr>
          <w:p w14:paraId="34F8F436" w14:textId="77777777" w:rsidR="00952E57" w:rsidRPr="00F30FD1" w:rsidRDefault="00952E57" w:rsidP="00952E57">
            <w:pPr>
              <w:spacing w:after="0" w:line="240" w:lineRule="auto"/>
              <w:jc w:val="left"/>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39,845 </w:t>
            </w:r>
          </w:p>
        </w:tc>
      </w:tr>
      <w:tr w:rsidR="00952E57" w:rsidRPr="00F30FD1" w14:paraId="2092AF55" w14:textId="77777777" w:rsidTr="0073052C">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63" w:type="pct"/>
            <w:noWrap/>
            <w:hideMark/>
          </w:tcPr>
          <w:p w14:paraId="7B5B0F59"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Tulum</w:t>
            </w:r>
          </w:p>
        </w:tc>
        <w:tc>
          <w:tcPr>
            <w:tcW w:w="2137" w:type="pct"/>
            <w:noWrap/>
            <w:hideMark/>
          </w:tcPr>
          <w:p w14:paraId="6F68BFCB" w14:textId="77777777" w:rsidR="00952E57" w:rsidRPr="00F30FD1" w:rsidRDefault="00952E57" w:rsidP="00952E57">
            <w:pPr>
              <w:spacing w:after="0" w:line="240" w:lineRule="auto"/>
              <w:jc w:val="left"/>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 xml:space="preserve">             7,124 </w:t>
            </w:r>
          </w:p>
        </w:tc>
      </w:tr>
    </w:tbl>
    <w:p w14:paraId="365D089A" w14:textId="77777777" w:rsidR="00952E57" w:rsidRPr="00F30FD1" w:rsidRDefault="00952E57" w:rsidP="005104A8">
      <w:pPr>
        <w:spacing w:after="0"/>
        <w:jc w:val="center"/>
        <w:rPr>
          <w:rFonts w:eastAsia="Times New Roman" w:cs="Futura"/>
          <w:color w:val="595959"/>
          <w:sz w:val="14"/>
          <w:szCs w:val="14"/>
        </w:rPr>
      </w:pPr>
      <w:r w:rsidRPr="00F30FD1">
        <w:rPr>
          <w:rFonts w:eastAsia="Times New Roman" w:cs="Futura"/>
          <w:color w:val="595959"/>
          <w:sz w:val="14"/>
          <w:szCs w:val="14"/>
        </w:rPr>
        <w:t>Fuente: Secretaría de Turismo del Estado de Quintana Roo.</w:t>
      </w:r>
    </w:p>
    <w:p w14:paraId="2A1FC2AE" w14:textId="77777777" w:rsidR="00952E57" w:rsidRPr="00F30FD1" w:rsidRDefault="00952E57" w:rsidP="00952E57">
      <w:pPr>
        <w:spacing w:after="0"/>
        <w:jc w:val="center"/>
        <w:rPr>
          <w:lang w:val="es-MX" w:eastAsia="en-US"/>
        </w:rPr>
      </w:pPr>
    </w:p>
    <w:p w14:paraId="1F7C52AC" w14:textId="77777777" w:rsidR="00952E57" w:rsidRPr="00F30FD1" w:rsidRDefault="00952E57" w:rsidP="00952E57">
      <w:pPr>
        <w:spacing w:after="0"/>
        <w:rPr>
          <w:rFonts w:eastAsia="Times New Roman" w:cs="Futura"/>
          <w:color w:val="595959"/>
        </w:rPr>
      </w:pPr>
      <w:r w:rsidRPr="00F30FD1">
        <w:rPr>
          <w:rFonts w:eastAsia="Times New Roman" w:cs="Futura"/>
          <w:color w:val="595959"/>
        </w:rPr>
        <w:t xml:space="preserve">Quintana Roo cuenta con seis principales centros turísticos: </w:t>
      </w:r>
      <w:proofErr w:type="spellStart"/>
      <w:r w:rsidRPr="00F30FD1">
        <w:rPr>
          <w:rFonts w:eastAsia="Times New Roman" w:cs="Futura"/>
          <w:color w:val="595959"/>
        </w:rPr>
        <w:t>Akumal</w:t>
      </w:r>
      <w:proofErr w:type="spellEnd"/>
      <w:r w:rsidRPr="00F30FD1">
        <w:rPr>
          <w:rFonts w:eastAsia="Times New Roman" w:cs="Futura"/>
          <w:color w:val="595959"/>
        </w:rPr>
        <w:t xml:space="preserve">, Cancún, Cozumel. Isla Mujeres, Playa del Carmen y </w:t>
      </w:r>
      <w:proofErr w:type="spellStart"/>
      <w:r w:rsidRPr="00F30FD1">
        <w:rPr>
          <w:rFonts w:eastAsia="Times New Roman" w:cs="Futura"/>
          <w:color w:val="595959"/>
        </w:rPr>
        <w:t>Playacar</w:t>
      </w:r>
      <w:proofErr w:type="spellEnd"/>
      <w:r w:rsidRPr="00F30FD1">
        <w:rPr>
          <w:rFonts w:eastAsia="Times New Roman" w:cs="Futura"/>
          <w:color w:val="595959"/>
        </w:rPr>
        <w:t xml:space="preserve">. El porcentaje de ocupación hotelera en el Estado en 2018 es de 76.1 %, superior al 56.89 % observado a nivel nacional. El porcentaje de ocupación promedio por centro turístico en Quintana Roo se muestra en la tabla siguiente: </w:t>
      </w:r>
    </w:p>
    <w:p w14:paraId="7F7C5291" w14:textId="0FE99730" w:rsidR="003E3818" w:rsidRPr="00F30FD1" w:rsidRDefault="003E3818">
      <w:pPr>
        <w:spacing w:after="0" w:line="240" w:lineRule="auto"/>
        <w:jc w:val="left"/>
        <w:rPr>
          <w:rFonts w:eastAsia="Times New Roman" w:cs="Futura"/>
          <w:color w:val="595959"/>
        </w:rPr>
      </w:pPr>
      <w:r w:rsidRPr="00F30FD1">
        <w:rPr>
          <w:rFonts w:eastAsia="Times New Roman" w:cs="Futura"/>
          <w:color w:val="595959"/>
        </w:rPr>
        <w:br w:type="page"/>
      </w:r>
    </w:p>
    <w:p w14:paraId="5F788CD2" w14:textId="025129BD" w:rsidR="00952E57" w:rsidRPr="00F30FD1" w:rsidRDefault="0073052C" w:rsidP="00952E57">
      <w:pPr>
        <w:pStyle w:val="Epgrafe"/>
        <w:rPr>
          <w:rFonts w:ascii="Futura T OT" w:hAnsi="Futura T OT"/>
        </w:rPr>
      </w:pPr>
      <w:r w:rsidRPr="00F30FD1">
        <w:rPr>
          <w:rFonts w:ascii="Futura T OT" w:hAnsi="Futura T OT"/>
        </w:rPr>
        <w:lastRenderedPageBreak/>
        <w:t>Tabla T.</w:t>
      </w:r>
      <w:r w:rsidR="00100B8B">
        <w:rPr>
          <w:rFonts w:ascii="Futura T OT" w:hAnsi="Futura T OT"/>
        </w:rPr>
        <w:t>1</w:t>
      </w:r>
      <w:r w:rsidRPr="00F30FD1">
        <w:rPr>
          <w:rFonts w:ascii="Futura T OT" w:hAnsi="Futura T OT"/>
        </w:rPr>
        <w:t xml:space="preserve">9 </w:t>
      </w:r>
      <w:r w:rsidR="00952E57" w:rsidRPr="00F30FD1">
        <w:rPr>
          <w:rFonts w:ascii="Futura T OT" w:hAnsi="Futura T OT"/>
        </w:rPr>
        <w:t>Porcentaje de ocupación promedio por centro turístico en Quintana Roo, 2018</w:t>
      </w:r>
    </w:p>
    <w:tbl>
      <w:tblPr>
        <w:tblStyle w:val="Listaclara-nfasis5"/>
        <w:tblW w:w="5000" w:type="pct"/>
        <w:tblLook w:val="04A0" w:firstRow="1" w:lastRow="0" w:firstColumn="1" w:lastColumn="0" w:noHBand="0" w:noVBand="1"/>
      </w:tblPr>
      <w:tblGrid>
        <w:gridCol w:w="3654"/>
        <w:gridCol w:w="4471"/>
        <w:gridCol w:w="1638"/>
      </w:tblGrid>
      <w:tr w:rsidR="00952E57" w:rsidRPr="00F30FD1" w14:paraId="75B4CEC7" w14:textId="77777777" w:rsidTr="0099099D">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71" w:type="pct"/>
            <w:shd w:val="clear" w:color="auto" w:fill="808080" w:themeFill="background1" w:themeFillShade="80"/>
            <w:noWrap/>
            <w:vAlign w:val="center"/>
            <w:hideMark/>
          </w:tcPr>
          <w:p w14:paraId="2EBF2FC7" w14:textId="77777777" w:rsidR="00952E57" w:rsidRPr="0099099D" w:rsidRDefault="00952E57" w:rsidP="0099099D">
            <w:pPr>
              <w:spacing w:after="0" w:line="240" w:lineRule="auto"/>
              <w:jc w:val="center"/>
              <w:rPr>
                <w:lang w:val="es-MX" w:eastAsia="en-US"/>
              </w:rPr>
            </w:pPr>
            <w:r w:rsidRPr="0099099D">
              <w:rPr>
                <w:lang w:val="es-MX" w:eastAsia="en-US"/>
              </w:rPr>
              <w:t>Centro turístico</w:t>
            </w:r>
          </w:p>
        </w:tc>
        <w:tc>
          <w:tcPr>
            <w:tcW w:w="2290" w:type="pct"/>
            <w:shd w:val="clear" w:color="auto" w:fill="808080" w:themeFill="background1" w:themeFillShade="80"/>
            <w:noWrap/>
            <w:vAlign w:val="center"/>
            <w:hideMark/>
          </w:tcPr>
          <w:p w14:paraId="7798B6D0" w14:textId="77777777" w:rsidR="00952E57" w:rsidRPr="0099099D" w:rsidRDefault="00952E57" w:rsidP="0099099D">
            <w:pPr>
              <w:spacing w:after="0" w:line="240" w:lineRule="auto"/>
              <w:jc w:val="center"/>
              <w:cnfStyle w:val="100000000000" w:firstRow="1" w:lastRow="0" w:firstColumn="0" w:lastColumn="0" w:oddVBand="0" w:evenVBand="0" w:oddHBand="0" w:evenHBand="0" w:firstRowFirstColumn="0" w:firstRowLastColumn="0" w:lastRowFirstColumn="0" w:lastRowLastColumn="0"/>
              <w:rPr>
                <w:lang w:val="es-MX" w:eastAsia="en-US"/>
              </w:rPr>
            </w:pPr>
            <w:r w:rsidRPr="0099099D">
              <w:rPr>
                <w:lang w:val="es-MX" w:eastAsia="en-US"/>
              </w:rPr>
              <w:t>2017</w:t>
            </w:r>
          </w:p>
        </w:tc>
        <w:tc>
          <w:tcPr>
            <w:tcW w:w="839" w:type="pct"/>
            <w:shd w:val="clear" w:color="auto" w:fill="808080" w:themeFill="background1" w:themeFillShade="80"/>
            <w:noWrap/>
            <w:vAlign w:val="center"/>
            <w:hideMark/>
          </w:tcPr>
          <w:p w14:paraId="38AA3B61" w14:textId="77777777" w:rsidR="00952E57" w:rsidRPr="0099099D" w:rsidRDefault="00952E57" w:rsidP="0099099D">
            <w:pPr>
              <w:spacing w:after="0" w:line="240" w:lineRule="auto"/>
              <w:jc w:val="center"/>
              <w:cnfStyle w:val="100000000000" w:firstRow="1" w:lastRow="0" w:firstColumn="0" w:lastColumn="0" w:oddVBand="0" w:evenVBand="0" w:oddHBand="0" w:evenHBand="0" w:firstRowFirstColumn="0" w:firstRowLastColumn="0" w:lastRowFirstColumn="0" w:lastRowLastColumn="0"/>
              <w:rPr>
                <w:lang w:val="es-MX" w:eastAsia="en-US"/>
              </w:rPr>
            </w:pPr>
            <w:r w:rsidRPr="0099099D">
              <w:rPr>
                <w:lang w:val="es-MX" w:eastAsia="en-US"/>
              </w:rPr>
              <w:t>2018</w:t>
            </w:r>
          </w:p>
        </w:tc>
      </w:tr>
      <w:tr w:rsidR="00952E57" w:rsidRPr="00F30FD1" w14:paraId="0254D8CB" w14:textId="77777777" w:rsidTr="002452B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71" w:type="pct"/>
            <w:noWrap/>
            <w:hideMark/>
          </w:tcPr>
          <w:p w14:paraId="346DA0A1" w14:textId="77777777" w:rsidR="00952E57" w:rsidRPr="00F30FD1" w:rsidRDefault="00952E57" w:rsidP="00952E57">
            <w:pPr>
              <w:spacing w:after="0" w:line="240" w:lineRule="auto"/>
              <w:jc w:val="left"/>
              <w:rPr>
                <w:rFonts w:eastAsia="Times New Roman" w:cs="Futura"/>
                <w:color w:val="595959"/>
              </w:rPr>
            </w:pPr>
            <w:proofErr w:type="spellStart"/>
            <w:r w:rsidRPr="00F30FD1">
              <w:rPr>
                <w:rFonts w:eastAsia="Times New Roman" w:cs="Futura"/>
                <w:color w:val="595959"/>
              </w:rPr>
              <w:t>Akumal</w:t>
            </w:r>
            <w:proofErr w:type="spellEnd"/>
          </w:p>
        </w:tc>
        <w:tc>
          <w:tcPr>
            <w:tcW w:w="2290" w:type="pct"/>
            <w:noWrap/>
            <w:hideMark/>
          </w:tcPr>
          <w:p w14:paraId="6CB80F63" w14:textId="77777777" w:rsidR="00952E57" w:rsidRPr="00F30FD1" w:rsidRDefault="00952E57" w:rsidP="00952E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84.9%</w:t>
            </w:r>
          </w:p>
        </w:tc>
        <w:tc>
          <w:tcPr>
            <w:tcW w:w="839" w:type="pct"/>
            <w:noWrap/>
            <w:hideMark/>
          </w:tcPr>
          <w:p w14:paraId="6C332D11" w14:textId="77777777" w:rsidR="00952E57" w:rsidRPr="00F30FD1" w:rsidRDefault="00952E57" w:rsidP="00952E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84.4%</w:t>
            </w:r>
          </w:p>
        </w:tc>
      </w:tr>
      <w:tr w:rsidR="00952E57" w:rsidRPr="00F30FD1" w14:paraId="51BEB06A" w14:textId="77777777" w:rsidTr="002452B5">
        <w:trPr>
          <w:trHeight w:val="240"/>
        </w:trPr>
        <w:tc>
          <w:tcPr>
            <w:cnfStyle w:val="001000000000" w:firstRow="0" w:lastRow="0" w:firstColumn="1" w:lastColumn="0" w:oddVBand="0" w:evenVBand="0" w:oddHBand="0" w:evenHBand="0" w:firstRowFirstColumn="0" w:firstRowLastColumn="0" w:lastRowFirstColumn="0" w:lastRowLastColumn="0"/>
            <w:tcW w:w="1871" w:type="pct"/>
            <w:noWrap/>
            <w:hideMark/>
          </w:tcPr>
          <w:p w14:paraId="0C0DA1B7"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Cancún</w:t>
            </w:r>
          </w:p>
        </w:tc>
        <w:tc>
          <w:tcPr>
            <w:tcW w:w="2290" w:type="pct"/>
            <w:noWrap/>
            <w:hideMark/>
          </w:tcPr>
          <w:p w14:paraId="0201A548" w14:textId="77777777" w:rsidR="00952E57" w:rsidRPr="00F30FD1" w:rsidRDefault="00952E57" w:rsidP="00952E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74.8%</w:t>
            </w:r>
          </w:p>
        </w:tc>
        <w:tc>
          <w:tcPr>
            <w:tcW w:w="839" w:type="pct"/>
            <w:noWrap/>
            <w:hideMark/>
          </w:tcPr>
          <w:p w14:paraId="142E5D51" w14:textId="77777777" w:rsidR="00952E57" w:rsidRPr="00F30FD1" w:rsidRDefault="00952E57" w:rsidP="00952E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74.6%</w:t>
            </w:r>
          </w:p>
        </w:tc>
      </w:tr>
      <w:tr w:rsidR="00952E57" w:rsidRPr="00F30FD1" w14:paraId="3C0C6FEE" w14:textId="77777777" w:rsidTr="002452B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71" w:type="pct"/>
            <w:noWrap/>
            <w:hideMark/>
          </w:tcPr>
          <w:p w14:paraId="1B82C116"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Cozumel</w:t>
            </w:r>
          </w:p>
        </w:tc>
        <w:tc>
          <w:tcPr>
            <w:tcW w:w="2290" w:type="pct"/>
            <w:noWrap/>
            <w:hideMark/>
          </w:tcPr>
          <w:p w14:paraId="0236283C" w14:textId="77777777" w:rsidR="00952E57" w:rsidRPr="00F30FD1" w:rsidRDefault="00952E57" w:rsidP="00952E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64.7%</w:t>
            </w:r>
          </w:p>
        </w:tc>
        <w:tc>
          <w:tcPr>
            <w:tcW w:w="839" w:type="pct"/>
            <w:noWrap/>
            <w:hideMark/>
          </w:tcPr>
          <w:p w14:paraId="72B244F5" w14:textId="77777777" w:rsidR="00952E57" w:rsidRPr="00F30FD1" w:rsidRDefault="00952E57" w:rsidP="00952E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57.1%</w:t>
            </w:r>
          </w:p>
        </w:tc>
      </w:tr>
      <w:tr w:rsidR="00952E57" w:rsidRPr="00F30FD1" w14:paraId="31870643" w14:textId="77777777" w:rsidTr="002452B5">
        <w:trPr>
          <w:trHeight w:val="240"/>
        </w:trPr>
        <w:tc>
          <w:tcPr>
            <w:cnfStyle w:val="001000000000" w:firstRow="0" w:lastRow="0" w:firstColumn="1" w:lastColumn="0" w:oddVBand="0" w:evenVBand="0" w:oddHBand="0" w:evenHBand="0" w:firstRowFirstColumn="0" w:firstRowLastColumn="0" w:lastRowFirstColumn="0" w:lastRowLastColumn="0"/>
            <w:tcW w:w="1871" w:type="pct"/>
            <w:noWrap/>
            <w:hideMark/>
          </w:tcPr>
          <w:p w14:paraId="442ED0B5"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Isla Mujeres</w:t>
            </w:r>
          </w:p>
        </w:tc>
        <w:tc>
          <w:tcPr>
            <w:tcW w:w="2290" w:type="pct"/>
            <w:noWrap/>
            <w:hideMark/>
          </w:tcPr>
          <w:p w14:paraId="53098206" w14:textId="77777777" w:rsidR="00952E57" w:rsidRPr="00F30FD1" w:rsidRDefault="00952E57" w:rsidP="00952E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59.7%</w:t>
            </w:r>
          </w:p>
        </w:tc>
        <w:tc>
          <w:tcPr>
            <w:tcW w:w="839" w:type="pct"/>
            <w:noWrap/>
            <w:hideMark/>
          </w:tcPr>
          <w:p w14:paraId="2ECE0AF4" w14:textId="77777777" w:rsidR="00952E57" w:rsidRPr="00F30FD1" w:rsidRDefault="00952E57" w:rsidP="00952E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60.4%</w:t>
            </w:r>
          </w:p>
        </w:tc>
      </w:tr>
      <w:tr w:rsidR="00952E57" w:rsidRPr="00F30FD1" w14:paraId="1455287E" w14:textId="77777777" w:rsidTr="002452B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71" w:type="pct"/>
            <w:noWrap/>
            <w:hideMark/>
          </w:tcPr>
          <w:p w14:paraId="24080717"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Playa del Carmen</w:t>
            </w:r>
          </w:p>
        </w:tc>
        <w:tc>
          <w:tcPr>
            <w:tcW w:w="2290" w:type="pct"/>
            <w:noWrap/>
            <w:hideMark/>
          </w:tcPr>
          <w:p w14:paraId="6304D385" w14:textId="77777777" w:rsidR="00952E57" w:rsidRPr="00F30FD1" w:rsidRDefault="00952E57" w:rsidP="00952E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77.8%</w:t>
            </w:r>
          </w:p>
        </w:tc>
        <w:tc>
          <w:tcPr>
            <w:tcW w:w="839" w:type="pct"/>
            <w:noWrap/>
            <w:hideMark/>
          </w:tcPr>
          <w:p w14:paraId="4B33912C" w14:textId="77777777" w:rsidR="00952E57" w:rsidRPr="00F30FD1" w:rsidRDefault="00952E57" w:rsidP="00952E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73.1%</w:t>
            </w:r>
          </w:p>
        </w:tc>
      </w:tr>
      <w:tr w:rsidR="00952E57" w:rsidRPr="00F30FD1" w14:paraId="5C25E48F" w14:textId="77777777" w:rsidTr="002452B5">
        <w:trPr>
          <w:trHeight w:val="240"/>
        </w:trPr>
        <w:tc>
          <w:tcPr>
            <w:cnfStyle w:val="001000000000" w:firstRow="0" w:lastRow="0" w:firstColumn="1" w:lastColumn="0" w:oddVBand="0" w:evenVBand="0" w:oddHBand="0" w:evenHBand="0" w:firstRowFirstColumn="0" w:firstRowLastColumn="0" w:lastRowFirstColumn="0" w:lastRowLastColumn="0"/>
            <w:tcW w:w="1871" w:type="pct"/>
            <w:noWrap/>
            <w:hideMark/>
          </w:tcPr>
          <w:p w14:paraId="21FF25A5" w14:textId="77777777" w:rsidR="00952E57" w:rsidRPr="00F30FD1" w:rsidRDefault="00952E57" w:rsidP="00952E57">
            <w:pPr>
              <w:spacing w:after="0" w:line="240" w:lineRule="auto"/>
              <w:jc w:val="left"/>
              <w:rPr>
                <w:rFonts w:eastAsia="Times New Roman" w:cs="Futura"/>
                <w:color w:val="595959"/>
              </w:rPr>
            </w:pPr>
            <w:proofErr w:type="spellStart"/>
            <w:r w:rsidRPr="00F30FD1">
              <w:rPr>
                <w:rFonts w:eastAsia="Times New Roman" w:cs="Futura"/>
                <w:color w:val="595959"/>
              </w:rPr>
              <w:t>Playacar</w:t>
            </w:r>
            <w:proofErr w:type="spellEnd"/>
          </w:p>
        </w:tc>
        <w:tc>
          <w:tcPr>
            <w:tcW w:w="2290" w:type="pct"/>
            <w:noWrap/>
            <w:hideMark/>
          </w:tcPr>
          <w:p w14:paraId="5453E370" w14:textId="77777777" w:rsidR="00952E57" w:rsidRPr="00F30FD1" w:rsidRDefault="00952E57" w:rsidP="00952E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76.7%</w:t>
            </w:r>
          </w:p>
        </w:tc>
        <w:tc>
          <w:tcPr>
            <w:tcW w:w="839" w:type="pct"/>
            <w:noWrap/>
            <w:hideMark/>
          </w:tcPr>
          <w:p w14:paraId="314917E1" w14:textId="77777777" w:rsidR="00952E57" w:rsidRPr="00F30FD1" w:rsidRDefault="00952E57" w:rsidP="00952E5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86.0%</w:t>
            </w:r>
          </w:p>
        </w:tc>
      </w:tr>
      <w:tr w:rsidR="00952E57" w:rsidRPr="00F30FD1" w14:paraId="14BFFB1F" w14:textId="77777777" w:rsidTr="002452B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871" w:type="pct"/>
            <w:noWrap/>
            <w:hideMark/>
          </w:tcPr>
          <w:p w14:paraId="34BE2947" w14:textId="77777777" w:rsidR="00952E57" w:rsidRPr="00F30FD1" w:rsidRDefault="00952E57" w:rsidP="00952E57">
            <w:pPr>
              <w:spacing w:after="0" w:line="240" w:lineRule="auto"/>
              <w:jc w:val="left"/>
              <w:rPr>
                <w:rFonts w:eastAsia="Times New Roman" w:cs="Futura"/>
                <w:color w:val="595959"/>
              </w:rPr>
            </w:pPr>
            <w:r w:rsidRPr="00F30FD1">
              <w:rPr>
                <w:rFonts w:eastAsia="Times New Roman" w:cs="Futura"/>
                <w:color w:val="595959"/>
              </w:rPr>
              <w:t>Otros Riviera Maya</w:t>
            </w:r>
          </w:p>
        </w:tc>
        <w:tc>
          <w:tcPr>
            <w:tcW w:w="2290" w:type="pct"/>
            <w:noWrap/>
            <w:hideMark/>
          </w:tcPr>
          <w:p w14:paraId="7E424EC6" w14:textId="77777777" w:rsidR="00952E57" w:rsidRPr="00F30FD1" w:rsidRDefault="00952E57" w:rsidP="00952E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86.2%</w:t>
            </w:r>
          </w:p>
        </w:tc>
        <w:tc>
          <w:tcPr>
            <w:tcW w:w="839" w:type="pct"/>
            <w:noWrap/>
            <w:hideMark/>
          </w:tcPr>
          <w:p w14:paraId="50D4F4CB" w14:textId="77777777" w:rsidR="00952E57" w:rsidRPr="00F30FD1" w:rsidRDefault="00952E57" w:rsidP="00952E5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Futura"/>
                <w:b/>
                <w:bCs/>
                <w:color w:val="595959"/>
              </w:rPr>
            </w:pPr>
            <w:r w:rsidRPr="00F30FD1">
              <w:rPr>
                <w:rFonts w:eastAsia="Times New Roman" w:cs="Futura"/>
                <w:b/>
                <w:bCs/>
                <w:color w:val="595959"/>
              </w:rPr>
              <w:t>80.2%</w:t>
            </w:r>
          </w:p>
        </w:tc>
      </w:tr>
    </w:tbl>
    <w:p w14:paraId="241192E7" w14:textId="77777777" w:rsidR="00952E57" w:rsidRPr="00F30FD1" w:rsidRDefault="00952E57" w:rsidP="00952E57">
      <w:pPr>
        <w:spacing w:after="0" w:line="240" w:lineRule="auto"/>
        <w:jc w:val="center"/>
        <w:rPr>
          <w:sz w:val="14"/>
          <w:szCs w:val="14"/>
          <w:lang w:val="es-MX" w:eastAsia="en-US"/>
        </w:rPr>
      </w:pPr>
      <w:r w:rsidRPr="00F30FD1">
        <w:rPr>
          <w:sz w:val="14"/>
          <w:szCs w:val="14"/>
          <w:lang w:val="es-MX" w:eastAsia="en-US"/>
        </w:rPr>
        <w:t>Fuente: DATATUR</w:t>
      </w:r>
    </w:p>
    <w:p w14:paraId="513D7C10" w14:textId="77777777" w:rsidR="00952E57" w:rsidRPr="00F30FD1" w:rsidRDefault="00952E57" w:rsidP="00952E57">
      <w:pPr>
        <w:spacing w:after="0"/>
        <w:rPr>
          <w:lang w:val="es-MX" w:eastAsia="en-US"/>
        </w:rPr>
      </w:pPr>
    </w:p>
    <w:p w14:paraId="3ECD4AFA" w14:textId="77777777" w:rsidR="00952E57" w:rsidRPr="00F30FD1" w:rsidRDefault="00952E57" w:rsidP="00952E57">
      <w:pPr>
        <w:spacing w:after="0"/>
        <w:rPr>
          <w:rFonts w:eastAsia="Times New Roman" w:cs="Futura"/>
          <w:color w:val="595959"/>
        </w:rPr>
      </w:pPr>
      <w:r w:rsidRPr="00F30FD1">
        <w:rPr>
          <w:rFonts w:eastAsia="Times New Roman" w:cs="Futura"/>
          <w:color w:val="595959"/>
        </w:rPr>
        <w:t xml:space="preserve">El Estado de Quintana Roo tiene 3 regiones bien definidas: Caribe Norte, Zona Maya y Zona Sur; la región Caribe Norte, comprende los municipios de Benito Juárez, Isla Mujeres, Cozumel, Solidaridad y Tulum, se caracteriza principalmente porque predominan las actividades relacionadas con la actividad turística. </w:t>
      </w:r>
    </w:p>
    <w:p w14:paraId="64C23880" w14:textId="77777777" w:rsidR="00952E57" w:rsidRPr="00F30FD1" w:rsidRDefault="00952E57" w:rsidP="00952E57">
      <w:pPr>
        <w:spacing w:after="0"/>
        <w:rPr>
          <w:rFonts w:eastAsia="Times New Roman" w:cs="Futura"/>
          <w:color w:val="595959"/>
        </w:rPr>
      </w:pPr>
    </w:p>
    <w:p w14:paraId="09FE84FC" w14:textId="77777777" w:rsidR="00952E57" w:rsidRPr="00F30FD1" w:rsidRDefault="00952E57" w:rsidP="00952E57">
      <w:pPr>
        <w:spacing w:after="0"/>
        <w:rPr>
          <w:rFonts w:eastAsia="Times New Roman" w:cs="Futura"/>
          <w:color w:val="595959"/>
        </w:rPr>
      </w:pPr>
      <w:r w:rsidRPr="00F30FD1">
        <w:rPr>
          <w:rFonts w:eastAsia="Times New Roman" w:cs="Futura"/>
          <w:color w:val="595959"/>
        </w:rPr>
        <w:t>La Zona Maya es rica en cultura autóctona y se ha esforzado por conservar las costumbres y usos de esta gran cultura maya, además que cuenta con una cantidad considerable de iglesias. Esta zona tiene participación destacada en la apicultura.</w:t>
      </w:r>
    </w:p>
    <w:p w14:paraId="04405C0A" w14:textId="77777777" w:rsidR="00952E57" w:rsidRPr="00F30FD1" w:rsidRDefault="00952E57" w:rsidP="00952E57">
      <w:pPr>
        <w:spacing w:after="0"/>
        <w:rPr>
          <w:rFonts w:eastAsia="Times New Roman" w:cs="Futura"/>
          <w:color w:val="595959"/>
        </w:rPr>
      </w:pPr>
    </w:p>
    <w:p w14:paraId="3417B0B8" w14:textId="77777777" w:rsidR="00952E57" w:rsidRPr="00F30FD1" w:rsidRDefault="00952E57" w:rsidP="00952E57">
      <w:pPr>
        <w:spacing w:after="0"/>
        <w:rPr>
          <w:rFonts w:eastAsia="Times New Roman" w:cs="Futura"/>
          <w:color w:val="595959"/>
        </w:rPr>
      </w:pPr>
      <w:r w:rsidRPr="00F30FD1">
        <w:rPr>
          <w:rFonts w:eastAsia="Times New Roman" w:cs="Futura"/>
          <w:color w:val="595959"/>
        </w:rPr>
        <w:t xml:space="preserve">Por último, la Zona Sur comprende los municipios de Bacalar y Othón P. Blanco, y es donde se ubican los poderes del gobierno estatal y las delegaciones federales. Predominan las actividades terciarias relacionadas con la burocracia, seguidas de las actividades secundarias y por último las actividades primarias, que tienen mayor importancia que las otras dos regiones, principalmente por el cultivo de la caña de azúcar que abastece el Ingenio San Rafael de </w:t>
      </w:r>
      <w:proofErr w:type="spellStart"/>
      <w:r w:rsidRPr="00F30FD1">
        <w:rPr>
          <w:rFonts w:eastAsia="Times New Roman" w:cs="Futura"/>
          <w:color w:val="595959"/>
        </w:rPr>
        <w:t>Pucté</w:t>
      </w:r>
      <w:proofErr w:type="spellEnd"/>
      <w:r w:rsidRPr="00F30FD1">
        <w:rPr>
          <w:rFonts w:eastAsia="Times New Roman" w:cs="Futura"/>
          <w:color w:val="595959"/>
        </w:rPr>
        <w:t xml:space="preserve">, La ganadería de esta zona es también la más importante del Estado. También se cuenta con potencial para el turismo cultural al contar con las zonas arqueológicas de mayor relevancia como son: </w:t>
      </w:r>
      <w:proofErr w:type="spellStart"/>
      <w:r w:rsidRPr="00F30FD1">
        <w:rPr>
          <w:rFonts w:eastAsia="Times New Roman" w:cs="Futura"/>
          <w:color w:val="595959"/>
        </w:rPr>
        <w:t>Kohunlich</w:t>
      </w:r>
      <w:proofErr w:type="spellEnd"/>
      <w:r w:rsidRPr="00F30FD1">
        <w:rPr>
          <w:rFonts w:eastAsia="Times New Roman" w:cs="Futura"/>
          <w:color w:val="595959"/>
        </w:rPr>
        <w:t xml:space="preserve">, </w:t>
      </w:r>
      <w:proofErr w:type="spellStart"/>
      <w:r w:rsidRPr="00F30FD1">
        <w:rPr>
          <w:rFonts w:eastAsia="Times New Roman" w:cs="Futura"/>
          <w:color w:val="595959"/>
        </w:rPr>
        <w:t>Kinichna</w:t>
      </w:r>
      <w:proofErr w:type="spellEnd"/>
      <w:r w:rsidRPr="00F30FD1">
        <w:rPr>
          <w:rFonts w:eastAsia="Times New Roman" w:cs="Futura"/>
          <w:color w:val="595959"/>
        </w:rPr>
        <w:t xml:space="preserve">, </w:t>
      </w:r>
      <w:proofErr w:type="spellStart"/>
      <w:r w:rsidRPr="00F30FD1">
        <w:rPr>
          <w:rFonts w:eastAsia="Times New Roman" w:cs="Futura"/>
          <w:color w:val="595959"/>
        </w:rPr>
        <w:t>Dzibanché</w:t>
      </w:r>
      <w:proofErr w:type="spellEnd"/>
      <w:r w:rsidRPr="00F30FD1">
        <w:rPr>
          <w:rFonts w:eastAsia="Times New Roman" w:cs="Futura"/>
          <w:color w:val="595959"/>
        </w:rPr>
        <w:t xml:space="preserve">, </w:t>
      </w:r>
      <w:proofErr w:type="spellStart"/>
      <w:r w:rsidRPr="00F30FD1">
        <w:rPr>
          <w:rFonts w:eastAsia="Times New Roman" w:cs="Futura"/>
          <w:color w:val="595959"/>
        </w:rPr>
        <w:t>Chacchoben</w:t>
      </w:r>
      <w:proofErr w:type="spellEnd"/>
      <w:r w:rsidRPr="00F30FD1">
        <w:rPr>
          <w:rFonts w:eastAsia="Times New Roman" w:cs="Futura"/>
          <w:color w:val="595959"/>
        </w:rPr>
        <w:t xml:space="preserve">, </w:t>
      </w:r>
      <w:proofErr w:type="spellStart"/>
      <w:r w:rsidRPr="00F30FD1">
        <w:rPr>
          <w:rFonts w:eastAsia="Times New Roman" w:cs="Futura"/>
          <w:color w:val="595959"/>
        </w:rPr>
        <w:t>Oxtankah</w:t>
      </w:r>
      <w:proofErr w:type="spellEnd"/>
      <w:r w:rsidRPr="00F30FD1">
        <w:rPr>
          <w:rFonts w:eastAsia="Times New Roman" w:cs="Futura"/>
          <w:color w:val="595959"/>
        </w:rPr>
        <w:t xml:space="preserve"> y muy pronto en el municipio de Bacalar se abrirá la Zona Arqueológica de </w:t>
      </w:r>
      <w:proofErr w:type="spellStart"/>
      <w:r w:rsidRPr="00F30FD1">
        <w:rPr>
          <w:rFonts w:eastAsia="Times New Roman" w:cs="Futura"/>
          <w:color w:val="595959"/>
        </w:rPr>
        <w:t>Ichkabal</w:t>
      </w:r>
      <w:proofErr w:type="spellEnd"/>
      <w:r w:rsidRPr="00F30FD1">
        <w:rPr>
          <w:rFonts w:eastAsia="Times New Roman" w:cs="Futura"/>
          <w:color w:val="595959"/>
        </w:rPr>
        <w:t>, lo cual potenciará el turismo cultural y deportivo ya que cuenta con hermosas lagunas que pueden ser empleadas para los deportes acuáticos.</w:t>
      </w:r>
    </w:p>
    <w:p w14:paraId="0BE34875" w14:textId="77777777" w:rsidR="00952E57" w:rsidRPr="00F30FD1" w:rsidRDefault="00952E57" w:rsidP="00952E57">
      <w:pPr>
        <w:spacing w:after="0"/>
        <w:rPr>
          <w:rFonts w:eastAsia="Times New Roman" w:cs="Futura"/>
          <w:color w:val="595959"/>
        </w:rPr>
      </w:pPr>
    </w:p>
    <w:p w14:paraId="295F5A2A" w14:textId="77777777" w:rsidR="00952E57" w:rsidRPr="00F30FD1" w:rsidRDefault="00952E57" w:rsidP="00952E57">
      <w:pPr>
        <w:rPr>
          <w:rFonts w:eastAsia="Times New Roman" w:cs="Futura"/>
          <w:color w:val="595959"/>
        </w:rPr>
      </w:pPr>
      <w:r w:rsidRPr="00F30FD1">
        <w:rPr>
          <w:rFonts w:eastAsia="Times New Roman" w:cs="Futura"/>
          <w:color w:val="595959"/>
        </w:rPr>
        <w:t xml:space="preserve">Uno de los aspectos a resaltar es que el dinamismo de Quintana Roo es superior a la media nacional, en 2018 hubo un incremento de 5.1% del PIB, mientras que la federación creció 2.1 %. El Producto </w:t>
      </w:r>
      <w:r w:rsidRPr="00F30FD1">
        <w:rPr>
          <w:rFonts w:eastAsia="Times New Roman" w:cs="Futura"/>
          <w:color w:val="595959"/>
        </w:rPr>
        <w:lastRenderedPageBreak/>
        <w:t xml:space="preserve">Interno Bruto en 2018 fue de $353,671 millones de pesos, de los cuales $3,229 millones de pesos (el 0.91 %) fue generado por el sector primario que incluye las actividades relacionadas con la agricultura, apicultura, ganadería y pesca. </w:t>
      </w:r>
    </w:p>
    <w:p w14:paraId="4A12D6CC" w14:textId="77777777" w:rsidR="00952E57" w:rsidRPr="00F30FD1" w:rsidRDefault="00952E57" w:rsidP="00952E57">
      <w:pPr>
        <w:rPr>
          <w:rFonts w:eastAsia="Times New Roman" w:cs="Futura"/>
          <w:color w:val="595959"/>
        </w:rPr>
      </w:pPr>
      <w:r w:rsidRPr="00F30FD1">
        <w:rPr>
          <w:rFonts w:eastAsia="Times New Roman" w:cs="Futura"/>
          <w:color w:val="595959"/>
        </w:rPr>
        <w:t xml:space="preserve">El 12.43 % (equivalente a $43,975 millones de pesos) fue producido en el sector secundario, que incluye las actividades de minería, construcción (aporta más de $30,000 millones de pesos), la industria manufacturara y las actividades relacionadas a la electricidad, agua y gas.  </w:t>
      </w:r>
    </w:p>
    <w:p w14:paraId="4FC72C45" w14:textId="77777777" w:rsidR="00952E57" w:rsidRPr="00F30FD1" w:rsidRDefault="00952E57" w:rsidP="00952E57">
      <w:pPr>
        <w:rPr>
          <w:rFonts w:eastAsia="Times New Roman" w:cs="Futura"/>
          <w:color w:val="595959"/>
        </w:rPr>
      </w:pPr>
      <w:r w:rsidRPr="00F30FD1">
        <w:rPr>
          <w:rFonts w:eastAsia="Times New Roman" w:cs="Futura"/>
          <w:color w:val="595959"/>
        </w:rPr>
        <w:t xml:space="preserve">En el sector terciario se encuentran las actividades relacionadas con el comercio, los servicios (financieros, inmobiliarios, profesionales, educativos y de salud), el turismo (servicios de esparcimiento, de alojamiento y de preparación de alimentos y bebidas) y los aspectos ligados a la burocracia. En conjunto aportan el 86.65% del PIB, equivalente a $306,468 millones de pesos. </w:t>
      </w:r>
    </w:p>
    <w:p w14:paraId="26FA3CF1" w14:textId="7F35DBEC" w:rsidR="003E3818" w:rsidRPr="00F30FD1" w:rsidRDefault="003E3818">
      <w:pPr>
        <w:spacing w:after="0" w:line="240" w:lineRule="auto"/>
        <w:jc w:val="left"/>
        <w:rPr>
          <w:highlight w:val="yellow"/>
          <w:lang w:val="es-MX" w:eastAsia="en-US"/>
        </w:rPr>
      </w:pPr>
      <w:r w:rsidRPr="00F30FD1">
        <w:rPr>
          <w:highlight w:val="yellow"/>
          <w:lang w:val="es-MX" w:eastAsia="en-US"/>
        </w:rPr>
        <w:br w:type="page"/>
      </w:r>
    </w:p>
    <w:p w14:paraId="6900B646" w14:textId="455177A6" w:rsidR="00952E57" w:rsidRPr="00F30FD1" w:rsidRDefault="00100B8B" w:rsidP="00952E57">
      <w:pPr>
        <w:pStyle w:val="Epgrafe"/>
        <w:rPr>
          <w:rFonts w:ascii="Futura T OT" w:hAnsi="Futura T OT"/>
          <w:highlight w:val="yellow"/>
        </w:rPr>
      </w:pPr>
      <w:r>
        <w:rPr>
          <w:rFonts w:ascii="Futura T OT" w:hAnsi="Futura T OT"/>
        </w:rPr>
        <w:lastRenderedPageBreak/>
        <w:t>Grafica G.16</w:t>
      </w:r>
      <w:r w:rsidR="00952E57" w:rsidRPr="00F30FD1">
        <w:rPr>
          <w:rFonts w:ascii="Futura T OT" w:hAnsi="Futura T OT"/>
        </w:rPr>
        <w:t xml:space="preserve"> Producto Interno Bruto</w:t>
      </w:r>
      <w:r w:rsidR="008B381D" w:rsidRPr="00F30FD1">
        <w:rPr>
          <w:rFonts w:ascii="Futura T OT" w:hAnsi="Futura T OT"/>
        </w:rPr>
        <w:t xml:space="preserve"> de Quintana Roo por Sectores, 2018, </w:t>
      </w:r>
      <w:r w:rsidR="00A85031" w:rsidRPr="00F30FD1">
        <w:rPr>
          <w:rFonts w:ascii="Futura T OT" w:hAnsi="Futura T OT"/>
        </w:rPr>
        <w:t>en millones</w:t>
      </w:r>
      <w:r w:rsidR="008B381D" w:rsidRPr="00F30FD1">
        <w:rPr>
          <w:rFonts w:ascii="Futura T OT" w:hAnsi="Futura T OT"/>
        </w:rPr>
        <w:t xml:space="preserve"> de</w:t>
      </w:r>
      <w:r w:rsidR="00952E57" w:rsidRPr="00F30FD1">
        <w:rPr>
          <w:rFonts w:ascii="Futura T OT" w:hAnsi="Futura T OT"/>
        </w:rPr>
        <w:t xml:space="preserve"> pesos corrientes.</w:t>
      </w:r>
    </w:p>
    <w:p w14:paraId="5B5D9BA1" w14:textId="77777777" w:rsidR="00952E57" w:rsidRPr="00F30FD1" w:rsidRDefault="00952E57" w:rsidP="00952E57">
      <w:pPr>
        <w:spacing w:after="0" w:line="240" w:lineRule="auto"/>
        <w:jc w:val="center"/>
        <w:rPr>
          <w:highlight w:val="yellow"/>
          <w:lang w:val="es-MX" w:eastAsia="en-US"/>
        </w:rPr>
      </w:pPr>
      <w:r w:rsidRPr="00F30FD1">
        <w:rPr>
          <w:noProof/>
          <w:lang w:val="es-MX" w:eastAsia="es-MX"/>
        </w:rPr>
        <w:drawing>
          <wp:inline distT="0" distB="0" distL="0" distR="0" wp14:anchorId="0314F455" wp14:editId="750DC4C0">
            <wp:extent cx="4572000" cy="2743200"/>
            <wp:effectExtent l="0" t="0" r="0" b="0"/>
            <wp:docPr id="8" name="Gráfico 8">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5174947E-28EF-41CE-B08B-6C4B9245D9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185911" w14:textId="77777777" w:rsidR="00952E57" w:rsidRPr="00F30FD1" w:rsidRDefault="00952E57" w:rsidP="005104A8">
      <w:pPr>
        <w:spacing w:after="0"/>
        <w:rPr>
          <w:rFonts w:eastAsia="Times New Roman" w:cs="Futura"/>
          <w:color w:val="595959"/>
          <w:sz w:val="14"/>
          <w:szCs w:val="14"/>
        </w:rPr>
      </w:pPr>
      <w:r w:rsidRPr="00F30FD1">
        <w:rPr>
          <w:rFonts w:eastAsia="Times New Roman" w:cs="Futura"/>
          <w:color w:val="595959"/>
          <w:sz w:val="14"/>
          <w:szCs w:val="14"/>
        </w:rPr>
        <w:t>Fuente: Instituto Nacional de Estadística y Geografía (INEGI).</w:t>
      </w:r>
    </w:p>
    <w:p w14:paraId="1F1DD5C4" w14:textId="77777777" w:rsidR="00952E57" w:rsidRPr="00F30FD1" w:rsidRDefault="00952E57" w:rsidP="00952E57">
      <w:pPr>
        <w:spacing w:after="0"/>
        <w:rPr>
          <w:rFonts w:eastAsia="Times New Roman" w:cs="Futura"/>
          <w:color w:val="595959"/>
        </w:rPr>
      </w:pPr>
    </w:p>
    <w:p w14:paraId="569E8BF4" w14:textId="77777777" w:rsidR="00952E57" w:rsidRPr="00F30FD1" w:rsidRDefault="00952E57" w:rsidP="00952E57">
      <w:pPr>
        <w:spacing w:after="0"/>
        <w:rPr>
          <w:rFonts w:eastAsia="Times New Roman" w:cs="Futura"/>
          <w:color w:val="595959"/>
        </w:rPr>
      </w:pPr>
      <w:r w:rsidRPr="00F30FD1">
        <w:rPr>
          <w:rFonts w:eastAsia="Times New Roman" w:cs="Futura"/>
          <w:color w:val="595959"/>
        </w:rPr>
        <w:t xml:space="preserve">El Producto Interno Bruto desagregado permite revelar las fortalezas y capacidades económicas de cada municipio para cada sector económico. Se observa que existen tres municipios que en su conjunto aportan casi el 80 % del PIB de la entidad: Benito Juárez (47.15 %), Solidaridad (19.07 %) y Othón P. Blanco (13.52 %).  </w:t>
      </w:r>
    </w:p>
    <w:p w14:paraId="1B6C01FC" w14:textId="77777777" w:rsidR="00952E57" w:rsidRPr="00F30FD1" w:rsidRDefault="00952E57" w:rsidP="00952E57">
      <w:pPr>
        <w:spacing w:after="0"/>
        <w:rPr>
          <w:rFonts w:eastAsia="Times New Roman" w:cs="Futura"/>
          <w:color w:val="595959"/>
        </w:rPr>
      </w:pPr>
    </w:p>
    <w:p w14:paraId="1994DB12" w14:textId="77777777" w:rsidR="00952E57" w:rsidRPr="00F30FD1" w:rsidRDefault="00952E57" w:rsidP="00952E57">
      <w:pPr>
        <w:spacing w:after="0"/>
        <w:rPr>
          <w:rFonts w:eastAsia="Times New Roman" w:cs="Futura"/>
          <w:color w:val="595959"/>
        </w:rPr>
      </w:pPr>
      <w:r w:rsidRPr="00F30FD1">
        <w:rPr>
          <w:rFonts w:eastAsia="Times New Roman" w:cs="Futura"/>
          <w:color w:val="595959"/>
        </w:rPr>
        <w:t xml:space="preserve">El municipio de Othón P. Blanco genera el 48.81 % de la producción de las actividades primarias, seguido de Bacalar (16.40 %), Felipe Carrillo Puerto (13.48 %) y José María Morelos (12.46 %). Estos municipios aportan más del 91 % de la actividad primera, que incluye agricultura, ganadería, pesca, explotación forestal y apicultura. </w:t>
      </w:r>
    </w:p>
    <w:p w14:paraId="7EA4EFB1" w14:textId="77777777" w:rsidR="00952E57" w:rsidRPr="00F30FD1" w:rsidRDefault="00952E57" w:rsidP="00952E57">
      <w:pPr>
        <w:spacing w:after="0"/>
        <w:rPr>
          <w:rFonts w:eastAsia="Times New Roman" w:cs="Futura"/>
          <w:color w:val="595959"/>
        </w:rPr>
      </w:pPr>
    </w:p>
    <w:p w14:paraId="188C554F" w14:textId="77777777" w:rsidR="00952E57" w:rsidRPr="00F30FD1" w:rsidRDefault="00952E57" w:rsidP="00952E57">
      <w:pPr>
        <w:spacing w:after="0"/>
        <w:rPr>
          <w:rFonts w:eastAsia="Times New Roman" w:cs="Futura"/>
          <w:color w:val="595959"/>
        </w:rPr>
      </w:pPr>
      <w:r w:rsidRPr="00F30FD1">
        <w:rPr>
          <w:rFonts w:eastAsia="Times New Roman" w:cs="Futura"/>
          <w:color w:val="595959"/>
        </w:rPr>
        <w:t>Las actividades secundarias siguen un patrón similar que el PIB total, siendo Benito Juárez (39.36 %), Othón P. Blanco (25.22 %) y Solidaridad (19.14 %). Cabe señalar que Cozumel agrupa el 90.24 % de la producción minera de la entidad.</w:t>
      </w:r>
    </w:p>
    <w:p w14:paraId="5AB182DA" w14:textId="77777777" w:rsidR="00952E57" w:rsidRPr="00F30FD1" w:rsidRDefault="00952E57" w:rsidP="00952E57">
      <w:pPr>
        <w:spacing w:after="0"/>
        <w:rPr>
          <w:rFonts w:eastAsia="Times New Roman" w:cs="Futura"/>
          <w:color w:val="595959"/>
        </w:rPr>
      </w:pPr>
    </w:p>
    <w:p w14:paraId="66F5C627" w14:textId="77777777" w:rsidR="00952E57" w:rsidRPr="00F30FD1" w:rsidRDefault="00952E57" w:rsidP="00952E57">
      <w:pPr>
        <w:spacing w:after="0"/>
        <w:rPr>
          <w:rFonts w:eastAsia="Times New Roman" w:cs="Futura"/>
          <w:color w:val="595959"/>
        </w:rPr>
      </w:pPr>
      <w:r w:rsidRPr="00F30FD1">
        <w:rPr>
          <w:rFonts w:eastAsia="Times New Roman" w:cs="Futura"/>
          <w:color w:val="595959"/>
        </w:rPr>
        <w:lastRenderedPageBreak/>
        <w:t xml:space="preserve">Dentro del sector terciario, que incluye las principales actividades en la entidad, se observa que Benito Juárez acumula el 48.74 % de la producción, en algunos sectores incluso supera el 50% como son Comercio al por Mayor, Comercio al por Menor, Información en Medios de Comunicación, Servicios Inmobiliarios, Servicios Profesionales, Científicos y Técnicos, y Servicios de Apoyo y Remediación.  </w:t>
      </w:r>
    </w:p>
    <w:p w14:paraId="7DBFA1A7" w14:textId="77777777" w:rsidR="00952E57" w:rsidRPr="00F30FD1" w:rsidRDefault="00952E57" w:rsidP="00952E57">
      <w:pPr>
        <w:spacing w:after="0"/>
        <w:rPr>
          <w:rFonts w:eastAsia="Times New Roman" w:cs="Futura"/>
          <w:color w:val="595959"/>
        </w:rPr>
      </w:pPr>
    </w:p>
    <w:p w14:paraId="3BA97B8E" w14:textId="77777777" w:rsidR="00952E57" w:rsidRPr="00F30FD1" w:rsidRDefault="00952E57" w:rsidP="00952E57">
      <w:pPr>
        <w:spacing w:after="0"/>
        <w:rPr>
          <w:rFonts w:eastAsia="Times New Roman" w:cs="Futura"/>
          <w:color w:val="595959"/>
        </w:rPr>
      </w:pPr>
      <w:r w:rsidRPr="00F30FD1">
        <w:rPr>
          <w:rFonts w:eastAsia="Times New Roman" w:cs="Futura"/>
          <w:color w:val="595959"/>
        </w:rPr>
        <w:t>Cozumel sobresale en los Servicios de Esparcimiento y los Servicios de Transporte, Correos y Almacenamiento.  Las actividades más destacadas de Isla Mujeres son Servicios de Esparcimiento y Servicios de Alojamiento.</w:t>
      </w:r>
    </w:p>
    <w:p w14:paraId="6FF5C209" w14:textId="77777777" w:rsidR="00952E57" w:rsidRPr="00F30FD1" w:rsidRDefault="00952E57" w:rsidP="00952E57">
      <w:pPr>
        <w:spacing w:after="0"/>
        <w:rPr>
          <w:rFonts w:eastAsia="Times New Roman" w:cs="Futura"/>
          <w:color w:val="595959"/>
        </w:rPr>
      </w:pPr>
    </w:p>
    <w:p w14:paraId="4221D01A" w14:textId="481DDDEE" w:rsidR="00952E57" w:rsidRPr="00F30FD1" w:rsidRDefault="00100B8B" w:rsidP="00952E57">
      <w:pPr>
        <w:pStyle w:val="Epgrafe"/>
        <w:rPr>
          <w:rFonts w:ascii="Futura T OT" w:hAnsi="Futura T OT"/>
        </w:rPr>
      </w:pPr>
      <w:r>
        <w:rPr>
          <w:rFonts w:ascii="Futura T OT" w:hAnsi="Futura T OT"/>
        </w:rPr>
        <w:t>Tabla T.20</w:t>
      </w:r>
      <w:r w:rsidR="002452B5" w:rsidRPr="00F30FD1">
        <w:rPr>
          <w:rFonts w:ascii="Futura T OT" w:hAnsi="Futura T OT"/>
        </w:rPr>
        <w:t xml:space="preserve"> </w:t>
      </w:r>
      <w:r w:rsidR="00952E57" w:rsidRPr="00F30FD1">
        <w:rPr>
          <w:rFonts w:ascii="Futura T OT" w:hAnsi="Futura T OT"/>
        </w:rPr>
        <w:t>Producto Interno Bruto</w:t>
      </w:r>
      <w:r w:rsidR="00A8009B" w:rsidRPr="00F30FD1">
        <w:rPr>
          <w:rFonts w:ascii="Futura T OT" w:hAnsi="Futura T OT"/>
        </w:rPr>
        <w:t xml:space="preserve"> de Quintana Roo</w:t>
      </w:r>
      <w:r w:rsidR="00952E57" w:rsidRPr="00F30FD1">
        <w:rPr>
          <w:rFonts w:ascii="Futura T OT" w:hAnsi="Futura T OT"/>
        </w:rPr>
        <w:t xml:space="preserve"> por Municipio, 2018</w:t>
      </w:r>
      <w:r w:rsidR="00A8009B" w:rsidRPr="00F30FD1">
        <w:rPr>
          <w:rFonts w:ascii="Futura T OT" w:hAnsi="Futura T OT"/>
        </w:rPr>
        <w:t>, millones de pesos corrientes.</w:t>
      </w:r>
    </w:p>
    <w:tbl>
      <w:tblPr>
        <w:tblStyle w:val="Listaclara-nfasis5"/>
        <w:tblW w:w="5000" w:type="pct"/>
        <w:tblLook w:val="04A0" w:firstRow="1" w:lastRow="0" w:firstColumn="1" w:lastColumn="0" w:noHBand="0" w:noVBand="1"/>
      </w:tblPr>
      <w:tblGrid>
        <w:gridCol w:w="4079"/>
        <w:gridCol w:w="3276"/>
        <w:gridCol w:w="2408"/>
      </w:tblGrid>
      <w:tr w:rsidR="00952E57" w:rsidRPr="00F30FD1" w14:paraId="1361C7F5" w14:textId="77777777" w:rsidTr="0099099D">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089" w:type="pct"/>
            <w:shd w:val="clear" w:color="auto" w:fill="808080" w:themeFill="background1" w:themeFillShade="80"/>
            <w:noWrap/>
            <w:vAlign w:val="center"/>
            <w:hideMark/>
          </w:tcPr>
          <w:p w14:paraId="26394073" w14:textId="77777777" w:rsidR="00952E57" w:rsidRPr="0099099D" w:rsidRDefault="00952E57" w:rsidP="0099099D">
            <w:pPr>
              <w:spacing w:after="0"/>
              <w:jc w:val="center"/>
              <w:rPr>
                <w:rFonts w:eastAsia="Times New Roman" w:cs="Futura"/>
              </w:rPr>
            </w:pPr>
            <w:r w:rsidRPr="0099099D">
              <w:rPr>
                <w:rFonts w:eastAsia="Times New Roman" w:cs="Futura"/>
              </w:rPr>
              <w:t>Municipio</w:t>
            </w:r>
          </w:p>
        </w:tc>
        <w:tc>
          <w:tcPr>
            <w:tcW w:w="1678" w:type="pct"/>
            <w:shd w:val="clear" w:color="auto" w:fill="808080" w:themeFill="background1" w:themeFillShade="80"/>
            <w:noWrap/>
            <w:vAlign w:val="center"/>
            <w:hideMark/>
          </w:tcPr>
          <w:p w14:paraId="7D6A4ECB" w14:textId="77777777" w:rsidR="00952E57" w:rsidRPr="0099099D" w:rsidRDefault="00952E57" w:rsidP="0099099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Futura"/>
              </w:rPr>
            </w:pPr>
            <w:r w:rsidRPr="0099099D">
              <w:rPr>
                <w:rFonts w:eastAsia="Times New Roman" w:cs="Futura"/>
              </w:rPr>
              <w:t>PIB</w:t>
            </w:r>
          </w:p>
        </w:tc>
        <w:tc>
          <w:tcPr>
            <w:tcW w:w="1233" w:type="pct"/>
            <w:shd w:val="clear" w:color="auto" w:fill="808080" w:themeFill="background1" w:themeFillShade="80"/>
            <w:noWrap/>
            <w:vAlign w:val="center"/>
            <w:hideMark/>
          </w:tcPr>
          <w:p w14:paraId="725DCBD6" w14:textId="77777777" w:rsidR="00952E57" w:rsidRPr="0099099D" w:rsidRDefault="00952E57" w:rsidP="0099099D">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Futura"/>
              </w:rPr>
            </w:pPr>
            <w:r w:rsidRPr="0099099D">
              <w:rPr>
                <w:rFonts w:eastAsia="Times New Roman" w:cs="Futura"/>
              </w:rPr>
              <w:t>% del total</w:t>
            </w:r>
          </w:p>
        </w:tc>
      </w:tr>
      <w:tr w:rsidR="00952E57" w:rsidRPr="00F30FD1" w14:paraId="7D689E30" w14:textId="77777777" w:rsidTr="00245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2940B52F" w14:textId="77777777" w:rsidR="00952E57" w:rsidRPr="00F30FD1" w:rsidRDefault="00952E57" w:rsidP="005104A8">
            <w:pPr>
              <w:spacing w:after="0"/>
              <w:rPr>
                <w:rFonts w:eastAsia="Times New Roman" w:cs="Futura"/>
                <w:color w:val="595959"/>
              </w:rPr>
            </w:pPr>
            <w:r w:rsidRPr="00F30FD1">
              <w:rPr>
                <w:rFonts w:eastAsia="Times New Roman" w:cs="Futura"/>
                <w:color w:val="595959"/>
              </w:rPr>
              <w:t>Bacalar</w:t>
            </w:r>
          </w:p>
        </w:tc>
        <w:tc>
          <w:tcPr>
            <w:tcW w:w="1678" w:type="pct"/>
            <w:noWrap/>
            <w:hideMark/>
          </w:tcPr>
          <w:p w14:paraId="327381E0"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4,445 </w:t>
            </w:r>
          </w:p>
        </w:tc>
        <w:tc>
          <w:tcPr>
            <w:tcW w:w="1233" w:type="pct"/>
            <w:noWrap/>
            <w:hideMark/>
          </w:tcPr>
          <w:p w14:paraId="144A31E3"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1.26%</w:t>
            </w:r>
          </w:p>
        </w:tc>
      </w:tr>
      <w:tr w:rsidR="00952E57" w:rsidRPr="00F30FD1" w14:paraId="66C7BBB1" w14:textId="77777777" w:rsidTr="002452B5">
        <w:trPr>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318997A4" w14:textId="77777777" w:rsidR="00952E57" w:rsidRPr="00F30FD1" w:rsidRDefault="00952E57" w:rsidP="005104A8">
            <w:pPr>
              <w:spacing w:after="0"/>
              <w:rPr>
                <w:rFonts w:eastAsia="Times New Roman" w:cs="Futura"/>
                <w:color w:val="595959"/>
              </w:rPr>
            </w:pPr>
            <w:r w:rsidRPr="00F30FD1">
              <w:rPr>
                <w:rFonts w:eastAsia="Times New Roman" w:cs="Futura"/>
                <w:color w:val="595959"/>
              </w:rPr>
              <w:t>Benito Juárez</w:t>
            </w:r>
          </w:p>
        </w:tc>
        <w:tc>
          <w:tcPr>
            <w:tcW w:w="1678" w:type="pct"/>
            <w:noWrap/>
            <w:hideMark/>
          </w:tcPr>
          <w:p w14:paraId="068B4054"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166,740 </w:t>
            </w:r>
          </w:p>
        </w:tc>
        <w:tc>
          <w:tcPr>
            <w:tcW w:w="1233" w:type="pct"/>
            <w:noWrap/>
            <w:hideMark/>
          </w:tcPr>
          <w:p w14:paraId="272F9083"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47.15%</w:t>
            </w:r>
          </w:p>
        </w:tc>
      </w:tr>
      <w:tr w:rsidR="00952E57" w:rsidRPr="00F30FD1" w14:paraId="7119FA03" w14:textId="77777777" w:rsidTr="00245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177867CB" w14:textId="77777777" w:rsidR="00952E57" w:rsidRPr="00F30FD1" w:rsidRDefault="00952E57" w:rsidP="005104A8">
            <w:pPr>
              <w:spacing w:after="0"/>
              <w:rPr>
                <w:rFonts w:eastAsia="Times New Roman" w:cs="Futura"/>
                <w:color w:val="595959"/>
              </w:rPr>
            </w:pPr>
            <w:r w:rsidRPr="00F30FD1">
              <w:rPr>
                <w:rFonts w:eastAsia="Times New Roman" w:cs="Futura"/>
                <w:color w:val="595959"/>
              </w:rPr>
              <w:t>Cozumel</w:t>
            </w:r>
          </w:p>
        </w:tc>
        <w:tc>
          <w:tcPr>
            <w:tcW w:w="1678" w:type="pct"/>
            <w:noWrap/>
            <w:hideMark/>
          </w:tcPr>
          <w:p w14:paraId="01329F35"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26,407 </w:t>
            </w:r>
          </w:p>
        </w:tc>
        <w:tc>
          <w:tcPr>
            <w:tcW w:w="1233" w:type="pct"/>
            <w:noWrap/>
            <w:hideMark/>
          </w:tcPr>
          <w:p w14:paraId="0E125A2C"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7.47%</w:t>
            </w:r>
          </w:p>
        </w:tc>
      </w:tr>
      <w:tr w:rsidR="00952E57" w:rsidRPr="00F30FD1" w14:paraId="25C54F22" w14:textId="77777777" w:rsidTr="002452B5">
        <w:trPr>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0C993AFE" w14:textId="77777777" w:rsidR="00952E57" w:rsidRPr="00F30FD1" w:rsidRDefault="00952E57" w:rsidP="005104A8">
            <w:pPr>
              <w:spacing w:after="0"/>
              <w:rPr>
                <w:rFonts w:eastAsia="Times New Roman" w:cs="Futura"/>
                <w:color w:val="595959"/>
              </w:rPr>
            </w:pPr>
            <w:r w:rsidRPr="00F30FD1">
              <w:rPr>
                <w:rFonts w:eastAsia="Times New Roman" w:cs="Futura"/>
                <w:color w:val="595959"/>
              </w:rPr>
              <w:t>Felipe Carrillo Puerto</w:t>
            </w:r>
          </w:p>
        </w:tc>
        <w:tc>
          <w:tcPr>
            <w:tcW w:w="1678" w:type="pct"/>
            <w:noWrap/>
            <w:hideMark/>
          </w:tcPr>
          <w:p w14:paraId="6D78E1BC"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8,340 </w:t>
            </w:r>
          </w:p>
        </w:tc>
        <w:tc>
          <w:tcPr>
            <w:tcW w:w="1233" w:type="pct"/>
            <w:noWrap/>
            <w:hideMark/>
          </w:tcPr>
          <w:p w14:paraId="5178E3BB"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2.36%</w:t>
            </w:r>
          </w:p>
        </w:tc>
      </w:tr>
      <w:tr w:rsidR="00952E57" w:rsidRPr="00F30FD1" w14:paraId="040400B6" w14:textId="77777777" w:rsidTr="00245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1D7988CC" w14:textId="77777777" w:rsidR="00952E57" w:rsidRPr="00F30FD1" w:rsidRDefault="00952E57" w:rsidP="005104A8">
            <w:pPr>
              <w:spacing w:after="0"/>
              <w:rPr>
                <w:rFonts w:eastAsia="Times New Roman" w:cs="Futura"/>
                <w:color w:val="595959"/>
              </w:rPr>
            </w:pPr>
            <w:r w:rsidRPr="00F30FD1">
              <w:rPr>
                <w:rFonts w:eastAsia="Times New Roman" w:cs="Futura"/>
                <w:color w:val="595959"/>
              </w:rPr>
              <w:t>Isla Mujeres</w:t>
            </w:r>
          </w:p>
        </w:tc>
        <w:tc>
          <w:tcPr>
            <w:tcW w:w="1678" w:type="pct"/>
            <w:noWrap/>
            <w:hideMark/>
          </w:tcPr>
          <w:p w14:paraId="5A81AB7C"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6,766 </w:t>
            </w:r>
          </w:p>
        </w:tc>
        <w:tc>
          <w:tcPr>
            <w:tcW w:w="1233" w:type="pct"/>
            <w:noWrap/>
            <w:hideMark/>
          </w:tcPr>
          <w:p w14:paraId="3B9CA8C9"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1.91%</w:t>
            </w:r>
          </w:p>
        </w:tc>
      </w:tr>
      <w:tr w:rsidR="00952E57" w:rsidRPr="00F30FD1" w14:paraId="202FD792" w14:textId="77777777" w:rsidTr="002452B5">
        <w:trPr>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289C09DB" w14:textId="77777777" w:rsidR="00952E57" w:rsidRPr="00F30FD1" w:rsidRDefault="00952E57" w:rsidP="005104A8">
            <w:pPr>
              <w:spacing w:after="0"/>
              <w:rPr>
                <w:rFonts w:eastAsia="Times New Roman" w:cs="Futura"/>
                <w:color w:val="595959"/>
              </w:rPr>
            </w:pPr>
            <w:r w:rsidRPr="00F30FD1">
              <w:rPr>
                <w:rFonts w:eastAsia="Times New Roman" w:cs="Futura"/>
                <w:color w:val="595959"/>
              </w:rPr>
              <w:t>José María Morelos</w:t>
            </w:r>
          </w:p>
        </w:tc>
        <w:tc>
          <w:tcPr>
            <w:tcW w:w="1678" w:type="pct"/>
            <w:noWrap/>
            <w:hideMark/>
          </w:tcPr>
          <w:p w14:paraId="0532D1D5"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4,749 </w:t>
            </w:r>
          </w:p>
        </w:tc>
        <w:tc>
          <w:tcPr>
            <w:tcW w:w="1233" w:type="pct"/>
            <w:noWrap/>
            <w:hideMark/>
          </w:tcPr>
          <w:p w14:paraId="09A87F7F"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1.34%</w:t>
            </w:r>
          </w:p>
        </w:tc>
      </w:tr>
      <w:tr w:rsidR="00952E57" w:rsidRPr="00F30FD1" w14:paraId="150B2331" w14:textId="77777777" w:rsidTr="00245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666DCADD" w14:textId="77777777" w:rsidR="00952E57" w:rsidRPr="00F30FD1" w:rsidRDefault="00952E57" w:rsidP="005104A8">
            <w:pPr>
              <w:spacing w:after="0"/>
              <w:rPr>
                <w:rFonts w:eastAsia="Times New Roman" w:cs="Futura"/>
                <w:color w:val="595959"/>
              </w:rPr>
            </w:pPr>
            <w:r w:rsidRPr="00F30FD1">
              <w:rPr>
                <w:rFonts w:eastAsia="Times New Roman" w:cs="Futura"/>
                <w:color w:val="595959"/>
              </w:rPr>
              <w:t>Lázaro Cárdenas</w:t>
            </w:r>
          </w:p>
        </w:tc>
        <w:tc>
          <w:tcPr>
            <w:tcW w:w="1678" w:type="pct"/>
            <w:noWrap/>
            <w:hideMark/>
          </w:tcPr>
          <w:p w14:paraId="1D0C5D6C"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2,990 </w:t>
            </w:r>
          </w:p>
        </w:tc>
        <w:tc>
          <w:tcPr>
            <w:tcW w:w="1233" w:type="pct"/>
            <w:noWrap/>
            <w:hideMark/>
          </w:tcPr>
          <w:p w14:paraId="7E68C99A"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0.85%</w:t>
            </w:r>
          </w:p>
        </w:tc>
      </w:tr>
      <w:tr w:rsidR="00952E57" w:rsidRPr="00F30FD1" w14:paraId="08BF2C60" w14:textId="77777777" w:rsidTr="002452B5">
        <w:trPr>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6751C738" w14:textId="77777777" w:rsidR="00952E57" w:rsidRPr="00F30FD1" w:rsidRDefault="00952E57" w:rsidP="005104A8">
            <w:pPr>
              <w:spacing w:after="0"/>
              <w:rPr>
                <w:rFonts w:eastAsia="Times New Roman" w:cs="Futura"/>
                <w:color w:val="595959"/>
              </w:rPr>
            </w:pPr>
            <w:r w:rsidRPr="00F30FD1">
              <w:rPr>
                <w:rFonts w:eastAsia="Times New Roman" w:cs="Futura"/>
                <w:color w:val="595959"/>
              </w:rPr>
              <w:t>Othón P. Blanco</w:t>
            </w:r>
          </w:p>
        </w:tc>
        <w:tc>
          <w:tcPr>
            <w:tcW w:w="1678" w:type="pct"/>
            <w:noWrap/>
            <w:hideMark/>
          </w:tcPr>
          <w:p w14:paraId="4754A6EE"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47,810 </w:t>
            </w:r>
          </w:p>
        </w:tc>
        <w:tc>
          <w:tcPr>
            <w:tcW w:w="1233" w:type="pct"/>
            <w:noWrap/>
            <w:hideMark/>
          </w:tcPr>
          <w:p w14:paraId="1594CE68"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13.52%</w:t>
            </w:r>
          </w:p>
        </w:tc>
      </w:tr>
      <w:tr w:rsidR="00952E57" w:rsidRPr="00F30FD1" w14:paraId="6B239B27" w14:textId="77777777" w:rsidTr="00245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29160205" w14:textId="77777777" w:rsidR="00952E57" w:rsidRPr="00F30FD1" w:rsidRDefault="00952E57" w:rsidP="005104A8">
            <w:pPr>
              <w:spacing w:after="0"/>
              <w:rPr>
                <w:rFonts w:eastAsia="Times New Roman" w:cs="Futura"/>
                <w:color w:val="595959"/>
              </w:rPr>
            </w:pPr>
            <w:r w:rsidRPr="00F30FD1">
              <w:rPr>
                <w:rFonts w:eastAsia="Times New Roman" w:cs="Futura"/>
                <w:color w:val="595959"/>
              </w:rPr>
              <w:t xml:space="preserve">Puerto Morelos </w:t>
            </w:r>
          </w:p>
        </w:tc>
        <w:tc>
          <w:tcPr>
            <w:tcW w:w="1678" w:type="pct"/>
            <w:noWrap/>
            <w:hideMark/>
          </w:tcPr>
          <w:p w14:paraId="4C58348F"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6,761 </w:t>
            </w:r>
          </w:p>
        </w:tc>
        <w:tc>
          <w:tcPr>
            <w:tcW w:w="1233" w:type="pct"/>
            <w:noWrap/>
            <w:hideMark/>
          </w:tcPr>
          <w:p w14:paraId="6EE53B5F"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1.91%</w:t>
            </w:r>
          </w:p>
        </w:tc>
      </w:tr>
      <w:tr w:rsidR="00952E57" w:rsidRPr="00F30FD1" w14:paraId="22569D72" w14:textId="77777777" w:rsidTr="002452B5">
        <w:trPr>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500419BC" w14:textId="77777777" w:rsidR="00952E57" w:rsidRPr="00F30FD1" w:rsidRDefault="00952E57" w:rsidP="005104A8">
            <w:pPr>
              <w:spacing w:after="0"/>
              <w:rPr>
                <w:rFonts w:eastAsia="Times New Roman" w:cs="Futura"/>
                <w:color w:val="595959"/>
              </w:rPr>
            </w:pPr>
            <w:r w:rsidRPr="00F30FD1">
              <w:rPr>
                <w:rFonts w:eastAsia="Times New Roman" w:cs="Futura"/>
                <w:color w:val="595959"/>
              </w:rPr>
              <w:t>Solidaridad</w:t>
            </w:r>
          </w:p>
        </w:tc>
        <w:tc>
          <w:tcPr>
            <w:tcW w:w="1678" w:type="pct"/>
            <w:noWrap/>
            <w:hideMark/>
          </w:tcPr>
          <w:p w14:paraId="485C10CC"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67,455 </w:t>
            </w:r>
          </w:p>
        </w:tc>
        <w:tc>
          <w:tcPr>
            <w:tcW w:w="1233" w:type="pct"/>
            <w:noWrap/>
            <w:hideMark/>
          </w:tcPr>
          <w:p w14:paraId="0EFD313D" w14:textId="77777777" w:rsidR="00952E57" w:rsidRPr="00F30FD1" w:rsidRDefault="00952E57" w:rsidP="005104A8">
            <w:pPr>
              <w:spacing w:after="0"/>
              <w:cnfStyle w:val="000000000000" w:firstRow="0" w:lastRow="0" w:firstColumn="0" w:lastColumn="0" w:oddVBand="0" w:evenVBand="0" w:oddHBand="0" w:evenHBand="0" w:firstRowFirstColumn="0" w:firstRowLastColumn="0" w:lastRowFirstColumn="0" w:lastRowLastColumn="0"/>
              <w:rPr>
                <w:rFonts w:eastAsia="Times New Roman" w:cs="Futura"/>
                <w:color w:val="595959"/>
              </w:rPr>
            </w:pPr>
            <w:r w:rsidRPr="00F30FD1">
              <w:rPr>
                <w:rFonts w:eastAsia="Times New Roman" w:cs="Futura"/>
                <w:color w:val="595959"/>
              </w:rPr>
              <w:t>19.07%</w:t>
            </w:r>
          </w:p>
        </w:tc>
      </w:tr>
      <w:tr w:rsidR="00952E57" w:rsidRPr="00F30FD1" w14:paraId="36E0694C" w14:textId="77777777" w:rsidTr="002452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9" w:type="pct"/>
            <w:noWrap/>
            <w:hideMark/>
          </w:tcPr>
          <w:p w14:paraId="6FE2DF4D" w14:textId="77777777" w:rsidR="00952E57" w:rsidRPr="00F30FD1" w:rsidRDefault="00952E57" w:rsidP="005104A8">
            <w:pPr>
              <w:spacing w:after="0"/>
              <w:rPr>
                <w:rFonts w:eastAsia="Times New Roman" w:cs="Futura"/>
                <w:color w:val="595959"/>
              </w:rPr>
            </w:pPr>
            <w:r w:rsidRPr="00F30FD1">
              <w:rPr>
                <w:rFonts w:eastAsia="Times New Roman" w:cs="Futura"/>
                <w:color w:val="595959"/>
              </w:rPr>
              <w:t>Tulum</w:t>
            </w:r>
          </w:p>
        </w:tc>
        <w:tc>
          <w:tcPr>
            <w:tcW w:w="1678" w:type="pct"/>
            <w:noWrap/>
            <w:hideMark/>
          </w:tcPr>
          <w:p w14:paraId="6D9D7259"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 xml:space="preserve">           11,209 </w:t>
            </w:r>
          </w:p>
        </w:tc>
        <w:tc>
          <w:tcPr>
            <w:tcW w:w="1233" w:type="pct"/>
            <w:noWrap/>
            <w:hideMark/>
          </w:tcPr>
          <w:p w14:paraId="4C38B765" w14:textId="77777777" w:rsidR="00952E57" w:rsidRPr="00F30FD1" w:rsidRDefault="00952E57" w:rsidP="005104A8">
            <w:pPr>
              <w:spacing w:after="0"/>
              <w:cnfStyle w:val="000000100000" w:firstRow="0" w:lastRow="0" w:firstColumn="0" w:lastColumn="0" w:oddVBand="0" w:evenVBand="0" w:oddHBand="1" w:evenHBand="0" w:firstRowFirstColumn="0" w:firstRowLastColumn="0" w:lastRowFirstColumn="0" w:lastRowLastColumn="0"/>
              <w:rPr>
                <w:rFonts w:eastAsia="Times New Roman" w:cs="Futura"/>
                <w:color w:val="595959"/>
              </w:rPr>
            </w:pPr>
            <w:r w:rsidRPr="00F30FD1">
              <w:rPr>
                <w:rFonts w:eastAsia="Times New Roman" w:cs="Futura"/>
                <w:color w:val="595959"/>
              </w:rPr>
              <w:t>3.17%</w:t>
            </w:r>
          </w:p>
        </w:tc>
      </w:tr>
    </w:tbl>
    <w:p w14:paraId="5A3446A6" w14:textId="14E227FD" w:rsidR="00952E57" w:rsidRPr="00F30FD1" w:rsidRDefault="00952E57" w:rsidP="005104A8">
      <w:pPr>
        <w:spacing w:after="0"/>
        <w:rPr>
          <w:rFonts w:eastAsia="Times New Roman" w:cs="Futura"/>
          <w:color w:val="595959"/>
          <w:sz w:val="14"/>
          <w:szCs w:val="14"/>
        </w:rPr>
      </w:pPr>
      <w:r w:rsidRPr="00F30FD1">
        <w:rPr>
          <w:rFonts w:eastAsia="Times New Roman" w:cs="Futura"/>
          <w:color w:val="595959"/>
          <w:sz w:val="14"/>
          <w:szCs w:val="14"/>
        </w:rPr>
        <w:t>Fuente: Elaboración de la Subsecretaría Técnica Hacendaria de la Secretaría de Finanzas y Planeación.</w:t>
      </w:r>
      <w:bookmarkEnd w:id="25"/>
    </w:p>
    <w:p w14:paraId="173EE651" w14:textId="77777777" w:rsidR="0026662C" w:rsidRPr="00F30FD1" w:rsidRDefault="0026662C" w:rsidP="0026662C">
      <w:pPr>
        <w:rPr>
          <w:rFonts w:eastAsia="Times New Roman" w:cs="Futura"/>
          <w:color w:val="595959"/>
        </w:rPr>
      </w:pPr>
      <w:r w:rsidRPr="00F30FD1">
        <w:rPr>
          <w:rFonts w:eastAsia="Times New Roman" w:cs="Futura"/>
          <w:color w:val="595959"/>
        </w:rPr>
        <w:t xml:space="preserve">En años recientes el desarrollo económico del país ha sido impulsado en forma importante por el dinamismo de la actividad económica y atracción de inversión extranjera y nacional directa, por ello la necesidad de promover e impulsar dicha actividad como prioritaria no solo para el desarrollo económico del Estado, si no para el crecimiento y cumplimiento de demandas de productos y servicios de los diversos sectores del Estado de Quintana Roo. </w:t>
      </w:r>
    </w:p>
    <w:p w14:paraId="63167921" w14:textId="77777777" w:rsidR="0026662C" w:rsidRPr="00F30FD1" w:rsidRDefault="0026662C" w:rsidP="0026662C">
      <w:pPr>
        <w:rPr>
          <w:rFonts w:eastAsia="Times New Roman" w:cs="Futura"/>
          <w:color w:val="595959"/>
        </w:rPr>
      </w:pPr>
      <w:r w:rsidRPr="00F30FD1">
        <w:rPr>
          <w:rFonts w:eastAsia="Times New Roman" w:cs="Futura"/>
          <w:color w:val="595959"/>
        </w:rPr>
        <w:lastRenderedPageBreak/>
        <w:t xml:space="preserve">Con dicha visión de crecimiento hoy el País cuenta con diversas Instituciones Estatales cuyo objetivo es la generación de condiciones para el establecimiento de inversiones tanto extranjeras como nacionales, mediante la implementación de instrumentos modernos que permitan el establecimiento de inversiones directas que potencialicen aquellos sectores que por diversos factores se ha visto limitados en su crecimiento económico. </w:t>
      </w:r>
    </w:p>
    <w:p w14:paraId="7031E0AB" w14:textId="77777777" w:rsidR="0026662C" w:rsidRPr="00F30FD1" w:rsidRDefault="0026662C" w:rsidP="0026662C">
      <w:pPr>
        <w:rPr>
          <w:rFonts w:eastAsia="Times New Roman" w:cs="Futura"/>
          <w:color w:val="595959"/>
        </w:rPr>
      </w:pPr>
      <w:r w:rsidRPr="00F30FD1">
        <w:rPr>
          <w:rFonts w:eastAsia="Times New Roman" w:cs="Futura"/>
          <w:color w:val="595959"/>
        </w:rPr>
        <w:t>Uno de los objetivos de la Secretaria de relaciones exteriores es generar inversión extranjera directa en el país potencializando diversos sectores empresariales y las exportaciones.</w:t>
      </w:r>
    </w:p>
    <w:p w14:paraId="4484FFB9" w14:textId="77777777" w:rsidR="0026662C" w:rsidRPr="00F30FD1" w:rsidRDefault="0026662C" w:rsidP="0026662C">
      <w:pPr>
        <w:rPr>
          <w:rFonts w:eastAsia="Times New Roman" w:cs="Futura"/>
          <w:color w:val="595959"/>
        </w:rPr>
      </w:pPr>
      <w:r w:rsidRPr="00F30FD1">
        <w:rPr>
          <w:rFonts w:eastAsia="Times New Roman" w:cs="Futura"/>
          <w:color w:val="595959"/>
        </w:rPr>
        <w:t xml:space="preserve">Por ejemplo, el Estado de Aguascalientes cuenta con el Fideicomiso de Inversión y Administración para el Desarrollo Económico del Estado, instrumento para la inversión en obras de infraestructura estratégica del Estado, así como otorgar financiamiento para la creación, expansión, administración y otorgamiento de apoyos e incentivos en la creación y consolidación </w:t>
      </w:r>
      <w:proofErr w:type="gramStart"/>
      <w:r w:rsidRPr="00F30FD1">
        <w:rPr>
          <w:rFonts w:eastAsia="Times New Roman" w:cs="Futura"/>
          <w:color w:val="595959"/>
        </w:rPr>
        <w:t>de la</w:t>
      </w:r>
      <w:proofErr w:type="gramEnd"/>
      <w:r w:rsidRPr="00F30FD1">
        <w:rPr>
          <w:rFonts w:eastAsia="Times New Roman" w:cs="Futura"/>
          <w:color w:val="595959"/>
        </w:rPr>
        <w:t xml:space="preserve"> micro, pequeña, mediana y grande empresa.</w:t>
      </w:r>
    </w:p>
    <w:p w14:paraId="3D5342EF" w14:textId="77777777" w:rsidR="0026662C" w:rsidRPr="00F30FD1" w:rsidRDefault="0026662C" w:rsidP="0026662C">
      <w:pPr>
        <w:rPr>
          <w:rFonts w:eastAsia="Times New Roman" w:cs="Futura"/>
          <w:color w:val="595959"/>
        </w:rPr>
      </w:pPr>
      <w:r w:rsidRPr="00F30FD1">
        <w:rPr>
          <w:rFonts w:eastAsia="Times New Roman" w:cs="Futura"/>
          <w:color w:val="595959"/>
        </w:rPr>
        <w:t>Asimismo, el Estado de Querétaro cuenta con el Fideicomiso Promotor de Proyectos Económicos y de Bienestar Social, cuyo objetivo es promover, apoyar, gestionar y coordinar ante los particulares y las autoridades competentes la ejecución de planes, programas y proyectos para el desarrollo integral del Estado.</w:t>
      </w:r>
    </w:p>
    <w:p w14:paraId="3E3BA5CA" w14:textId="77777777" w:rsidR="0026662C" w:rsidRPr="00F30FD1" w:rsidRDefault="0026662C" w:rsidP="0026662C">
      <w:pPr>
        <w:rPr>
          <w:rFonts w:eastAsia="Times New Roman" w:cs="Futura"/>
          <w:color w:val="595959"/>
        </w:rPr>
      </w:pPr>
      <w:r w:rsidRPr="00F30FD1">
        <w:rPr>
          <w:rFonts w:eastAsia="Times New Roman" w:cs="Futura"/>
          <w:color w:val="595959"/>
        </w:rPr>
        <w:t>Lo anterior en el contexto nacional de la necesidad de generar los mecanismos, planes y programas que permiten el establecimiento de nuevas inversiones enfocadas en los diversos sectores por potencializar.</w:t>
      </w:r>
    </w:p>
    <w:p w14:paraId="1153FD7E" w14:textId="77777777" w:rsidR="0026662C" w:rsidRPr="00F30FD1" w:rsidRDefault="0026662C" w:rsidP="0026662C">
      <w:pPr>
        <w:rPr>
          <w:rFonts w:eastAsia="Times New Roman" w:cs="Futura"/>
          <w:color w:val="595959"/>
        </w:rPr>
      </w:pPr>
      <w:r w:rsidRPr="00F30FD1">
        <w:rPr>
          <w:rFonts w:eastAsia="Times New Roman" w:cs="Futura"/>
          <w:color w:val="595959"/>
        </w:rPr>
        <w:t>Es así como nace la necesidad de generar en el Estado de Quintana Roo políticas encaminadas al establecimiento de dichos mecanismos enfocados en la generación de acciones tendientes a la atracción de inversiones públicas y privadas, fondos de inversión y mecanismos de financiamiento que no sólo dinamicen el crecimiento de las empresas ya establecidas, sino que en una sinergia con el Estado se generen las condiciones para el desarrollo y potencialización de infraestructura necesaria en los diversos sectores económicos.</w:t>
      </w:r>
    </w:p>
    <w:p w14:paraId="2287376E" w14:textId="77777777" w:rsidR="00952E57" w:rsidRPr="00F30FD1" w:rsidRDefault="00952E57" w:rsidP="0026662C">
      <w:pPr>
        <w:spacing w:after="0" w:line="240" w:lineRule="auto"/>
        <w:ind w:left="709" w:hanging="709"/>
        <w:rPr>
          <w:lang w:val="es-MX" w:eastAsia="en-US"/>
        </w:rPr>
      </w:pPr>
    </w:p>
    <w:p w14:paraId="38664ABB" w14:textId="77777777" w:rsidR="00952E57" w:rsidRPr="00F30FD1" w:rsidRDefault="00952E57" w:rsidP="00952E57">
      <w:pPr>
        <w:spacing w:after="0" w:line="240" w:lineRule="auto"/>
        <w:ind w:left="709" w:hanging="709"/>
        <w:jc w:val="center"/>
        <w:rPr>
          <w:lang w:val="es-MX" w:eastAsia="en-US"/>
        </w:rPr>
      </w:pPr>
    </w:p>
    <w:p w14:paraId="14BFA784" w14:textId="77777777" w:rsidR="00952E57" w:rsidRPr="00F30FD1" w:rsidRDefault="00952E57" w:rsidP="00952E57">
      <w:pPr>
        <w:spacing w:after="0" w:line="240" w:lineRule="auto"/>
        <w:ind w:left="709" w:hanging="709"/>
        <w:jc w:val="center"/>
        <w:rPr>
          <w:lang w:val="es-MX" w:eastAsia="en-US"/>
        </w:rPr>
      </w:pPr>
    </w:p>
    <w:p w14:paraId="178A1C64" w14:textId="656D4907" w:rsidR="002452B5" w:rsidRPr="00F30FD1" w:rsidRDefault="002452B5">
      <w:pPr>
        <w:spacing w:after="0" w:line="240" w:lineRule="auto"/>
        <w:jc w:val="left"/>
        <w:rPr>
          <w:rFonts w:eastAsia="Times New Roman" w:cs="Arial"/>
          <w:lang w:val="es-ES"/>
        </w:rPr>
      </w:pPr>
      <w:r w:rsidRPr="00F30FD1">
        <w:rPr>
          <w:rFonts w:eastAsia="Times New Roman" w:cs="Arial"/>
          <w:lang w:val="es-ES"/>
        </w:rPr>
        <w:br w:type="page"/>
      </w:r>
    </w:p>
    <w:p w14:paraId="286FECF7" w14:textId="1EAC2317" w:rsidR="00952E57" w:rsidRPr="00F30FD1" w:rsidRDefault="003A6E67" w:rsidP="002452B5">
      <w:pPr>
        <w:pStyle w:val="Ttulo2"/>
      </w:pPr>
      <w:r w:rsidRPr="00F30FD1">
        <w:rPr>
          <w:lang w:val="es-ES"/>
        </w:rPr>
        <w:lastRenderedPageBreak/>
        <w:t xml:space="preserve">ALINEACIÓN DEL PROGRAMA CON </w:t>
      </w:r>
      <w:r w:rsidRPr="00F30FD1">
        <w:t xml:space="preserve">EL PLAN NACIONAL DE DESARROLLO, PROGRAMA SECTORIAL FEDERAL,  EL PED </w:t>
      </w:r>
      <w:r w:rsidR="00952E57" w:rsidRPr="00F30FD1">
        <w:t>2016-2022</w:t>
      </w:r>
      <w:r w:rsidRPr="00F30FD1">
        <w:t xml:space="preserve">,  AGENDA 2030  y  PLAN ESTRATEGICO </w:t>
      </w:r>
      <w:r w:rsidR="00EF7D50" w:rsidRPr="00F30FD1">
        <w:t xml:space="preserve"> 2018-2022</w:t>
      </w:r>
      <w:r w:rsidRPr="00F30FD1">
        <w:t>.</w:t>
      </w:r>
    </w:p>
    <w:p w14:paraId="68E281E4" w14:textId="77777777" w:rsidR="00952E57" w:rsidRPr="00F30FD1" w:rsidRDefault="00952E57" w:rsidP="00952E57">
      <w:pPr>
        <w:spacing w:after="0" w:line="240" w:lineRule="auto"/>
        <w:ind w:left="360"/>
        <w:jc w:val="center"/>
        <w:rPr>
          <w:rFonts w:eastAsia="Times New Roman" w:cs="Arial"/>
          <w:b/>
          <w:sz w:val="20"/>
          <w:szCs w:val="22"/>
          <w:lang w:val="es-MX"/>
        </w:rPr>
      </w:pPr>
    </w:p>
    <w:p w14:paraId="549DF094" w14:textId="50190B6A" w:rsidR="00952E57" w:rsidRPr="00F30FD1" w:rsidRDefault="00100B8B" w:rsidP="002452B5">
      <w:pPr>
        <w:pStyle w:val="Epgrafe"/>
        <w:rPr>
          <w:rFonts w:ascii="Futura T OT" w:hAnsi="Futura T OT"/>
        </w:rPr>
      </w:pPr>
      <w:r>
        <w:rPr>
          <w:rFonts w:ascii="Futura T OT" w:hAnsi="Futura T OT"/>
        </w:rPr>
        <w:t>Tabla T.21</w:t>
      </w:r>
      <w:r w:rsidR="002452B5" w:rsidRPr="00F30FD1">
        <w:rPr>
          <w:rFonts w:ascii="Futura T OT" w:hAnsi="Futura T OT"/>
        </w:rPr>
        <w:t xml:space="preserve"> Alineación </w:t>
      </w:r>
      <w:r w:rsidR="00C120D0" w:rsidRPr="00F30FD1">
        <w:rPr>
          <w:rFonts w:ascii="Futura T OT" w:hAnsi="Futura T OT"/>
        </w:rPr>
        <w:t>a los Objetivos Nacionales y Estatales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1881"/>
        <w:gridCol w:w="1813"/>
        <w:gridCol w:w="1724"/>
        <w:gridCol w:w="1462"/>
        <w:gridCol w:w="1666"/>
        <w:gridCol w:w="1150"/>
      </w:tblGrid>
      <w:tr w:rsidR="009E3067" w:rsidRPr="00F30FD1" w14:paraId="1539C101" w14:textId="77777777" w:rsidTr="0026662C">
        <w:trPr>
          <w:trHeight w:val="227"/>
          <w:tblHeader/>
          <w:jc w:val="center"/>
        </w:trPr>
        <w:tc>
          <w:tcPr>
            <w:tcW w:w="970" w:type="pct"/>
            <w:shd w:val="clear" w:color="auto" w:fill="A6A6A6"/>
            <w:tcMar>
              <w:top w:w="72" w:type="dxa"/>
              <w:left w:w="144" w:type="dxa"/>
              <w:bottom w:w="72" w:type="dxa"/>
              <w:right w:w="144" w:type="dxa"/>
            </w:tcMar>
            <w:vAlign w:val="center"/>
            <w:hideMark/>
          </w:tcPr>
          <w:p w14:paraId="4A23350F" w14:textId="77777777" w:rsidR="00952E57" w:rsidRPr="00F30FD1" w:rsidRDefault="00952E57" w:rsidP="00355785">
            <w:pPr>
              <w:spacing w:after="0" w:line="240" w:lineRule="auto"/>
              <w:jc w:val="center"/>
              <w:rPr>
                <w:rFonts w:eastAsia="Times New Roman" w:cs="Arial"/>
                <w:sz w:val="20"/>
                <w:szCs w:val="20"/>
                <w:lang w:val="es-MX"/>
              </w:rPr>
            </w:pPr>
            <w:r w:rsidRPr="00F30FD1">
              <w:rPr>
                <w:rFonts w:eastAsia="Times New Roman" w:cs="Arial"/>
                <w:sz w:val="20"/>
                <w:szCs w:val="20"/>
                <w:lang w:val="es-MX"/>
              </w:rPr>
              <w:t>Objetivos del Programa Sectorial, Institucional y Especial</w:t>
            </w:r>
          </w:p>
        </w:tc>
        <w:tc>
          <w:tcPr>
            <w:tcW w:w="935" w:type="pct"/>
            <w:shd w:val="clear" w:color="auto" w:fill="A6A6A6"/>
            <w:tcMar>
              <w:top w:w="72" w:type="dxa"/>
              <w:left w:w="144" w:type="dxa"/>
              <w:bottom w:w="72" w:type="dxa"/>
              <w:right w:w="144" w:type="dxa"/>
            </w:tcMar>
            <w:vAlign w:val="center"/>
            <w:hideMark/>
          </w:tcPr>
          <w:p w14:paraId="43B74B61" w14:textId="77777777" w:rsidR="00952E57" w:rsidRPr="00F30FD1" w:rsidRDefault="00952E57" w:rsidP="00355785">
            <w:pPr>
              <w:spacing w:after="0" w:line="240" w:lineRule="auto"/>
              <w:jc w:val="center"/>
              <w:rPr>
                <w:rFonts w:eastAsia="Times New Roman" w:cs="Arial"/>
                <w:sz w:val="20"/>
                <w:szCs w:val="20"/>
                <w:lang w:val="es-MX"/>
              </w:rPr>
            </w:pPr>
            <w:r w:rsidRPr="00F30FD1">
              <w:rPr>
                <w:rFonts w:eastAsia="Times New Roman" w:cs="Arial"/>
                <w:sz w:val="20"/>
                <w:szCs w:val="20"/>
                <w:lang w:val="es-MX"/>
              </w:rPr>
              <w:t>Objetivos del Programa PED 2016-2022</w:t>
            </w:r>
          </w:p>
        </w:tc>
        <w:tc>
          <w:tcPr>
            <w:tcW w:w="889" w:type="pct"/>
            <w:shd w:val="clear" w:color="auto" w:fill="A6A6A6"/>
            <w:tcMar>
              <w:top w:w="72" w:type="dxa"/>
              <w:left w:w="144" w:type="dxa"/>
              <w:bottom w:w="72" w:type="dxa"/>
              <w:right w:w="144" w:type="dxa"/>
            </w:tcMar>
            <w:vAlign w:val="center"/>
            <w:hideMark/>
          </w:tcPr>
          <w:p w14:paraId="69D3944A" w14:textId="77777777" w:rsidR="00952E57" w:rsidRPr="00F30FD1" w:rsidRDefault="00952E57" w:rsidP="00355785">
            <w:pPr>
              <w:spacing w:after="0" w:line="240" w:lineRule="auto"/>
              <w:jc w:val="center"/>
              <w:rPr>
                <w:rFonts w:eastAsia="Times New Roman" w:cs="Arial"/>
                <w:sz w:val="20"/>
                <w:szCs w:val="20"/>
                <w:lang w:val="es-MX"/>
              </w:rPr>
            </w:pPr>
            <w:r w:rsidRPr="00F30FD1">
              <w:rPr>
                <w:rFonts w:eastAsia="Times New Roman" w:cs="Arial"/>
                <w:sz w:val="20"/>
                <w:szCs w:val="20"/>
                <w:lang w:val="es-MX"/>
              </w:rPr>
              <w:t xml:space="preserve">Objetivos del Programa Sectorial </w:t>
            </w:r>
            <w:proofErr w:type="spellStart"/>
            <w:r w:rsidRPr="00F30FD1">
              <w:rPr>
                <w:rFonts w:eastAsia="Times New Roman" w:cs="Arial"/>
                <w:sz w:val="20"/>
                <w:szCs w:val="20"/>
                <w:lang w:val="es-MX"/>
              </w:rPr>
              <w:t>u</w:t>
            </w:r>
            <w:proofErr w:type="spellEnd"/>
            <w:r w:rsidRPr="00F30FD1">
              <w:rPr>
                <w:rFonts w:eastAsia="Times New Roman" w:cs="Arial"/>
                <w:sz w:val="20"/>
                <w:szCs w:val="20"/>
                <w:lang w:val="es-MX"/>
              </w:rPr>
              <w:t xml:space="preserve"> Homólogo Federal 2019-2024</w:t>
            </w:r>
          </w:p>
        </w:tc>
        <w:tc>
          <w:tcPr>
            <w:tcW w:w="754" w:type="pct"/>
            <w:shd w:val="clear" w:color="auto" w:fill="A6A6A6"/>
            <w:tcMar>
              <w:top w:w="72" w:type="dxa"/>
              <w:left w:w="144" w:type="dxa"/>
              <w:bottom w:w="72" w:type="dxa"/>
              <w:right w:w="144" w:type="dxa"/>
            </w:tcMar>
            <w:vAlign w:val="center"/>
            <w:hideMark/>
          </w:tcPr>
          <w:p w14:paraId="74ECC2BB" w14:textId="77777777" w:rsidR="00952E57" w:rsidRPr="00F30FD1" w:rsidRDefault="00952E57" w:rsidP="00355785">
            <w:pPr>
              <w:spacing w:after="0" w:line="240" w:lineRule="auto"/>
              <w:jc w:val="center"/>
              <w:rPr>
                <w:rFonts w:eastAsia="Times New Roman" w:cs="Arial"/>
                <w:sz w:val="20"/>
                <w:szCs w:val="20"/>
                <w:lang w:val="es-MX"/>
              </w:rPr>
            </w:pPr>
            <w:r w:rsidRPr="00F30FD1">
              <w:rPr>
                <w:rFonts w:eastAsia="Times New Roman" w:cs="Arial"/>
                <w:sz w:val="20"/>
                <w:szCs w:val="20"/>
                <w:lang w:val="es-MX"/>
              </w:rPr>
              <w:t>Apartado del PND 2019-2024</w:t>
            </w:r>
          </w:p>
        </w:tc>
        <w:tc>
          <w:tcPr>
            <w:tcW w:w="859" w:type="pct"/>
            <w:shd w:val="clear" w:color="auto" w:fill="A6A6A6"/>
            <w:vAlign w:val="center"/>
          </w:tcPr>
          <w:p w14:paraId="39F776B2" w14:textId="77777777" w:rsidR="00952E57" w:rsidRPr="00F30FD1" w:rsidRDefault="00952E57" w:rsidP="00355785">
            <w:pPr>
              <w:spacing w:after="0" w:line="240" w:lineRule="auto"/>
              <w:jc w:val="center"/>
              <w:rPr>
                <w:rFonts w:eastAsia="Times New Roman" w:cs="Arial"/>
                <w:sz w:val="20"/>
                <w:szCs w:val="20"/>
                <w:lang w:val="es-MX"/>
              </w:rPr>
            </w:pPr>
            <w:r w:rsidRPr="00F30FD1">
              <w:rPr>
                <w:rFonts w:eastAsia="Times New Roman" w:cs="Arial"/>
                <w:sz w:val="20"/>
                <w:szCs w:val="20"/>
                <w:lang w:val="es-MX"/>
              </w:rPr>
              <w:t>Objetivo de la Agenda 2030</w:t>
            </w:r>
          </w:p>
        </w:tc>
        <w:tc>
          <w:tcPr>
            <w:tcW w:w="594" w:type="pct"/>
            <w:shd w:val="clear" w:color="auto" w:fill="A6A6A6"/>
            <w:vAlign w:val="center"/>
          </w:tcPr>
          <w:p w14:paraId="659160C1" w14:textId="77777777" w:rsidR="00952E57" w:rsidRPr="00F30FD1" w:rsidRDefault="00952E57" w:rsidP="00355785">
            <w:pPr>
              <w:spacing w:after="0" w:line="240" w:lineRule="auto"/>
              <w:jc w:val="center"/>
              <w:rPr>
                <w:rFonts w:eastAsia="Times New Roman" w:cs="Arial"/>
                <w:sz w:val="20"/>
                <w:szCs w:val="20"/>
                <w:lang w:val="es-MX"/>
              </w:rPr>
            </w:pPr>
            <w:r w:rsidRPr="00F30FD1">
              <w:rPr>
                <w:rFonts w:eastAsia="Times New Roman" w:cs="Arial"/>
                <w:sz w:val="20"/>
                <w:szCs w:val="20"/>
                <w:lang w:val="es-MX"/>
              </w:rPr>
              <w:t>Objetivo General del Plan Estratégico 2018-2022</w:t>
            </w:r>
          </w:p>
        </w:tc>
      </w:tr>
      <w:tr w:rsidR="009E3067" w:rsidRPr="00F30FD1" w14:paraId="2FDF8089" w14:textId="77777777" w:rsidTr="0026662C">
        <w:trPr>
          <w:trHeight w:val="227"/>
          <w:jc w:val="center"/>
        </w:trPr>
        <w:tc>
          <w:tcPr>
            <w:tcW w:w="970" w:type="pct"/>
            <w:shd w:val="clear" w:color="auto" w:fill="FFFFFF"/>
            <w:tcMar>
              <w:top w:w="72" w:type="dxa"/>
              <w:left w:w="144" w:type="dxa"/>
              <w:bottom w:w="72" w:type="dxa"/>
              <w:right w:w="144" w:type="dxa"/>
            </w:tcMar>
            <w:vAlign w:val="center"/>
          </w:tcPr>
          <w:p w14:paraId="41EC1723" w14:textId="22BE3E5A" w:rsidR="00EF7D50" w:rsidRPr="00F30FD1" w:rsidRDefault="00EF7D50"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 xml:space="preserve">1.- </w:t>
            </w:r>
            <w:r w:rsidR="002745E6" w:rsidRPr="00F30FD1">
              <w:rPr>
                <w:rFonts w:eastAsia="Times New Roman" w:cs="Futura"/>
                <w:color w:val="595959"/>
                <w:sz w:val="20"/>
                <w:szCs w:val="20"/>
              </w:rPr>
              <w:t>Aumentar los niveles de captación de ingresos propios y federales, así como renegociar las condiciones de la deuda.</w:t>
            </w:r>
          </w:p>
        </w:tc>
        <w:tc>
          <w:tcPr>
            <w:tcW w:w="935" w:type="pct"/>
            <w:shd w:val="clear" w:color="auto" w:fill="auto"/>
            <w:tcMar>
              <w:top w:w="72" w:type="dxa"/>
              <w:left w:w="144" w:type="dxa"/>
              <w:bottom w:w="72" w:type="dxa"/>
              <w:right w:w="144" w:type="dxa"/>
            </w:tcMar>
            <w:vAlign w:val="center"/>
          </w:tcPr>
          <w:p w14:paraId="194069E4" w14:textId="3E00CA07" w:rsidR="00EF7D50" w:rsidRPr="00F30FD1" w:rsidRDefault="009E3067" w:rsidP="00355785">
            <w:pPr>
              <w:tabs>
                <w:tab w:val="left" w:pos="2813"/>
              </w:tabs>
              <w:spacing w:after="0" w:line="240" w:lineRule="auto"/>
              <w:jc w:val="center"/>
              <w:rPr>
                <w:rFonts w:eastAsia="Times New Roman" w:cs="Futura"/>
                <w:color w:val="595959"/>
                <w:sz w:val="20"/>
                <w:szCs w:val="20"/>
              </w:rPr>
            </w:pPr>
            <w:r w:rsidRPr="00F30FD1">
              <w:rPr>
                <w:rFonts w:eastAsia="Times New Roman" w:cs="Futura"/>
                <w:color w:val="595959"/>
                <w:sz w:val="20"/>
                <w:szCs w:val="20"/>
              </w:rPr>
              <w:t xml:space="preserve">3.18.- </w:t>
            </w:r>
            <w:r w:rsidR="009E6C16" w:rsidRPr="00F30FD1">
              <w:rPr>
                <w:rFonts w:eastAsia="Times New Roman" w:cs="Futura"/>
                <w:color w:val="595959"/>
                <w:sz w:val="20"/>
                <w:szCs w:val="20"/>
              </w:rPr>
              <w:t>Implementar una política hacendaria integral a través del incremento de los ingresos propios que permita al gobierno mantener una estabilidad económica y la sustentabilidad de las finanzas públicas.</w:t>
            </w:r>
          </w:p>
        </w:tc>
        <w:tc>
          <w:tcPr>
            <w:tcW w:w="889" w:type="pct"/>
            <w:shd w:val="clear" w:color="auto" w:fill="FFFFFF"/>
            <w:tcMar>
              <w:top w:w="72" w:type="dxa"/>
              <w:left w:w="144" w:type="dxa"/>
              <w:bottom w:w="72" w:type="dxa"/>
              <w:right w:w="144" w:type="dxa"/>
            </w:tcMar>
            <w:vAlign w:val="center"/>
          </w:tcPr>
          <w:p w14:paraId="572B10F1" w14:textId="1E923F44" w:rsidR="00EF7D50" w:rsidRPr="00F30FD1" w:rsidRDefault="00D83F17"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N/D</w:t>
            </w:r>
          </w:p>
        </w:tc>
        <w:tc>
          <w:tcPr>
            <w:tcW w:w="754" w:type="pct"/>
            <w:shd w:val="clear" w:color="auto" w:fill="FFFFFF"/>
            <w:tcMar>
              <w:top w:w="72" w:type="dxa"/>
              <w:left w:w="144" w:type="dxa"/>
              <w:bottom w:w="72" w:type="dxa"/>
              <w:right w:w="144" w:type="dxa"/>
            </w:tcMar>
            <w:vAlign w:val="center"/>
          </w:tcPr>
          <w:p w14:paraId="1FD3E4E6" w14:textId="77777777" w:rsidR="009E3067" w:rsidRPr="00F30FD1" w:rsidRDefault="009E3067"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3. Economía</w:t>
            </w:r>
          </w:p>
          <w:p w14:paraId="2A35C179" w14:textId="1F011F07" w:rsidR="00EF7D50" w:rsidRPr="00F30FD1" w:rsidRDefault="009E3067"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Mantener Finanzas Sanas</w:t>
            </w:r>
          </w:p>
        </w:tc>
        <w:tc>
          <w:tcPr>
            <w:tcW w:w="859" w:type="pct"/>
            <w:shd w:val="clear" w:color="auto" w:fill="FFFFFF"/>
            <w:vAlign w:val="center"/>
          </w:tcPr>
          <w:p w14:paraId="5F72E555" w14:textId="77777777" w:rsidR="00EF7D50"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 Fin de la Pobreza.</w:t>
            </w:r>
          </w:p>
          <w:p w14:paraId="6106F81B" w14:textId="495F7BC7"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5.- Igualdad de Género.</w:t>
            </w:r>
          </w:p>
          <w:p w14:paraId="1EE8AB92" w14:textId="77777777" w:rsidR="000C54BC" w:rsidRPr="00F30FD1" w:rsidRDefault="000C54BC" w:rsidP="00355785">
            <w:pPr>
              <w:spacing w:after="0" w:line="240" w:lineRule="auto"/>
              <w:jc w:val="center"/>
              <w:rPr>
                <w:rFonts w:eastAsia="Times New Roman" w:cs="Futura"/>
                <w:color w:val="595959"/>
                <w:sz w:val="20"/>
                <w:szCs w:val="20"/>
              </w:rPr>
            </w:pPr>
          </w:p>
          <w:p w14:paraId="3C2A975F" w14:textId="3A0F8AD4"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12.- Producción y Consumo Responsables</w:t>
            </w:r>
          </w:p>
          <w:p w14:paraId="014DB5D8" w14:textId="77777777" w:rsidR="000C54BC" w:rsidRPr="00F30FD1" w:rsidRDefault="000C54BC" w:rsidP="00355785">
            <w:pPr>
              <w:spacing w:after="0" w:line="240" w:lineRule="auto"/>
              <w:jc w:val="center"/>
              <w:rPr>
                <w:rFonts w:eastAsia="Times New Roman" w:cs="Futura"/>
                <w:color w:val="595959"/>
                <w:sz w:val="20"/>
                <w:szCs w:val="20"/>
              </w:rPr>
            </w:pPr>
          </w:p>
          <w:p w14:paraId="1B38D9E6" w14:textId="321B8A9D"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16.- Paz, Justicia e Instituciones Sólidas.</w:t>
            </w:r>
          </w:p>
          <w:p w14:paraId="7B2CE25B" w14:textId="77777777" w:rsidR="000C54BC" w:rsidRPr="00F30FD1" w:rsidRDefault="000C54BC" w:rsidP="00355785">
            <w:pPr>
              <w:spacing w:after="0" w:line="240" w:lineRule="auto"/>
              <w:jc w:val="center"/>
              <w:rPr>
                <w:rFonts w:eastAsia="Times New Roman" w:cs="Futura"/>
                <w:color w:val="595959"/>
                <w:sz w:val="20"/>
                <w:szCs w:val="20"/>
              </w:rPr>
            </w:pPr>
          </w:p>
          <w:p w14:paraId="60273869" w14:textId="47033364"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17.- Alianzas para lograr los Objetivos.</w:t>
            </w:r>
          </w:p>
          <w:p w14:paraId="6B4C0337" w14:textId="56D5B44D" w:rsidR="000C54BC" w:rsidRPr="00F30FD1" w:rsidRDefault="000C54BC" w:rsidP="00355785">
            <w:pPr>
              <w:spacing w:after="0" w:line="240" w:lineRule="auto"/>
              <w:jc w:val="center"/>
              <w:rPr>
                <w:rFonts w:eastAsia="Times New Roman" w:cs="Futura"/>
                <w:color w:val="595959"/>
                <w:sz w:val="20"/>
                <w:szCs w:val="20"/>
              </w:rPr>
            </w:pPr>
          </w:p>
        </w:tc>
        <w:tc>
          <w:tcPr>
            <w:tcW w:w="594" w:type="pct"/>
            <w:shd w:val="clear" w:color="auto" w:fill="FFFFFF"/>
            <w:vAlign w:val="center"/>
          </w:tcPr>
          <w:p w14:paraId="1AA736CE" w14:textId="77777777" w:rsidR="0002431E" w:rsidRPr="00F30FD1" w:rsidRDefault="0002431E" w:rsidP="00355785">
            <w:pPr>
              <w:tabs>
                <w:tab w:val="left" w:pos="2813"/>
              </w:tabs>
              <w:spacing w:after="0" w:line="240" w:lineRule="auto"/>
              <w:jc w:val="center"/>
              <w:rPr>
                <w:rFonts w:eastAsia="Times New Roman" w:cs="Futura"/>
                <w:color w:val="595959"/>
                <w:sz w:val="20"/>
                <w:szCs w:val="20"/>
              </w:rPr>
            </w:pPr>
          </w:p>
          <w:p w14:paraId="1BEE4478" w14:textId="77777777" w:rsidR="0002431E" w:rsidRPr="00F30FD1" w:rsidRDefault="0002431E" w:rsidP="00355785">
            <w:pPr>
              <w:tabs>
                <w:tab w:val="left" w:pos="2813"/>
              </w:tabs>
              <w:spacing w:after="0" w:line="240" w:lineRule="auto"/>
              <w:jc w:val="center"/>
              <w:rPr>
                <w:rFonts w:eastAsia="Times New Roman" w:cs="Futura"/>
                <w:color w:val="595959"/>
                <w:sz w:val="20"/>
                <w:szCs w:val="20"/>
              </w:rPr>
            </w:pPr>
          </w:p>
          <w:p w14:paraId="1EC57BF3" w14:textId="77777777" w:rsidR="0002431E" w:rsidRPr="00F30FD1" w:rsidRDefault="0002431E" w:rsidP="00355785">
            <w:pPr>
              <w:tabs>
                <w:tab w:val="left" w:pos="2813"/>
              </w:tabs>
              <w:spacing w:after="0" w:line="240" w:lineRule="auto"/>
              <w:jc w:val="center"/>
              <w:rPr>
                <w:rFonts w:eastAsia="Times New Roman" w:cs="Futura"/>
                <w:color w:val="595959"/>
                <w:sz w:val="20"/>
                <w:szCs w:val="20"/>
              </w:rPr>
            </w:pPr>
          </w:p>
          <w:p w14:paraId="1930D047" w14:textId="77777777" w:rsidR="0002431E" w:rsidRPr="00F30FD1" w:rsidRDefault="0002431E" w:rsidP="00355785">
            <w:pPr>
              <w:tabs>
                <w:tab w:val="left" w:pos="2813"/>
              </w:tabs>
              <w:spacing w:after="0" w:line="240" w:lineRule="auto"/>
              <w:jc w:val="center"/>
              <w:rPr>
                <w:rFonts w:eastAsia="Times New Roman" w:cs="Futura"/>
                <w:color w:val="595959"/>
                <w:sz w:val="20"/>
                <w:szCs w:val="20"/>
              </w:rPr>
            </w:pPr>
          </w:p>
          <w:p w14:paraId="00B2F3B6" w14:textId="77777777" w:rsidR="0002431E" w:rsidRPr="00F30FD1" w:rsidRDefault="0002431E" w:rsidP="00355785">
            <w:pPr>
              <w:tabs>
                <w:tab w:val="left" w:pos="2813"/>
              </w:tabs>
              <w:spacing w:after="0" w:line="240" w:lineRule="auto"/>
              <w:jc w:val="center"/>
              <w:rPr>
                <w:rFonts w:eastAsia="Times New Roman" w:cs="Futura"/>
                <w:color w:val="595959"/>
                <w:sz w:val="20"/>
                <w:szCs w:val="20"/>
              </w:rPr>
            </w:pPr>
          </w:p>
          <w:p w14:paraId="6C3C3E45" w14:textId="77777777" w:rsidR="0002431E" w:rsidRPr="00F30FD1" w:rsidRDefault="0002431E" w:rsidP="00355785">
            <w:pPr>
              <w:tabs>
                <w:tab w:val="left" w:pos="2813"/>
              </w:tabs>
              <w:spacing w:after="0" w:line="240" w:lineRule="auto"/>
              <w:jc w:val="center"/>
              <w:rPr>
                <w:rFonts w:eastAsia="Times New Roman" w:cs="Futura"/>
                <w:color w:val="595959"/>
                <w:sz w:val="20"/>
                <w:szCs w:val="20"/>
              </w:rPr>
            </w:pPr>
          </w:p>
          <w:p w14:paraId="5E2DBCE6" w14:textId="77777777" w:rsidR="0002431E" w:rsidRPr="00F30FD1" w:rsidRDefault="0002431E" w:rsidP="00355785">
            <w:pPr>
              <w:tabs>
                <w:tab w:val="left" w:pos="2813"/>
              </w:tabs>
              <w:spacing w:after="0" w:line="240" w:lineRule="auto"/>
              <w:jc w:val="center"/>
              <w:rPr>
                <w:rFonts w:eastAsia="Times New Roman" w:cs="Futura"/>
                <w:color w:val="595959"/>
                <w:sz w:val="20"/>
                <w:szCs w:val="20"/>
              </w:rPr>
            </w:pPr>
          </w:p>
          <w:p w14:paraId="6C6525E9" w14:textId="220C4088" w:rsidR="007847EC" w:rsidRPr="00F30FD1" w:rsidRDefault="0002431E" w:rsidP="00355785">
            <w:pPr>
              <w:tabs>
                <w:tab w:val="left" w:pos="2813"/>
              </w:tabs>
              <w:spacing w:after="0" w:line="240" w:lineRule="auto"/>
              <w:jc w:val="center"/>
              <w:rPr>
                <w:rFonts w:eastAsia="Times New Roman" w:cs="Futura"/>
                <w:color w:val="595959"/>
                <w:sz w:val="20"/>
                <w:szCs w:val="20"/>
              </w:rPr>
            </w:pPr>
            <w:r w:rsidRPr="00F30FD1">
              <w:rPr>
                <w:rFonts w:eastAsia="Times New Roman" w:cs="Futura"/>
                <w:color w:val="595959"/>
                <w:sz w:val="20"/>
                <w:szCs w:val="20"/>
              </w:rPr>
              <w:t>3</w:t>
            </w:r>
            <w:r w:rsidR="007847EC" w:rsidRPr="00F30FD1">
              <w:rPr>
                <w:rFonts w:eastAsia="Times New Roman" w:cs="Futura"/>
                <w:color w:val="595959"/>
                <w:sz w:val="20"/>
                <w:szCs w:val="20"/>
              </w:rPr>
              <w:t>.Impulsar justicia para todos</w:t>
            </w:r>
          </w:p>
          <w:p w14:paraId="5E244107" w14:textId="77777777" w:rsidR="00EF7D50" w:rsidRPr="00F30FD1" w:rsidRDefault="00EF7D50" w:rsidP="00355785">
            <w:pPr>
              <w:tabs>
                <w:tab w:val="left" w:pos="2813"/>
              </w:tabs>
              <w:spacing w:after="0" w:line="240" w:lineRule="auto"/>
              <w:jc w:val="center"/>
              <w:rPr>
                <w:rFonts w:eastAsia="Times New Roman" w:cs="Futura"/>
                <w:color w:val="595959"/>
                <w:sz w:val="20"/>
                <w:szCs w:val="20"/>
              </w:rPr>
            </w:pPr>
          </w:p>
        </w:tc>
      </w:tr>
      <w:tr w:rsidR="009E3067" w:rsidRPr="00F30FD1" w14:paraId="14C57FAD" w14:textId="77777777" w:rsidTr="0026662C">
        <w:trPr>
          <w:trHeight w:val="227"/>
          <w:jc w:val="center"/>
        </w:trPr>
        <w:tc>
          <w:tcPr>
            <w:tcW w:w="970" w:type="pct"/>
            <w:shd w:val="clear" w:color="auto" w:fill="FFFFFF"/>
            <w:tcMar>
              <w:top w:w="72" w:type="dxa"/>
              <w:left w:w="144" w:type="dxa"/>
              <w:bottom w:w="72" w:type="dxa"/>
              <w:right w:w="144" w:type="dxa"/>
            </w:tcMar>
            <w:vAlign w:val="center"/>
          </w:tcPr>
          <w:p w14:paraId="39F9F35D" w14:textId="5BAC0E32" w:rsidR="00EF7D50" w:rsidRPr="00F30FD1" w:rsidRDefault="002745E6" w:rsidP="0099099D">
            <w:pPr>
              <w:spacing w:after="0" w:line="240" w:lineRule="auto"/>
              <w:jc w:val="center"/>
              <w:rPr>
                <w:rFonts w:eastAsia="Times New Roman" w:cs="Futura"/>
                <w:color w:val="595959"/>
                <w:sz w:val="20"/>
                <w:szCs w:val="20"/>
              </w:rPr>
            </w:pPr>
            <w:r w:rsidRPr="00F30FD1">
              <w:rPr>
                <w:rFonts w:eastAsia="Times New Roman" w:cs="Futura"/>
                <w:color w:val="595959"/>
                <w:sz w:val="20"/>
                <w:szCs w:val="20"/>
              </w:rPr>
              <w:t>2.-</w:t>
            </w:r>
            <w:r w:rsidR="0099099D">
              <w:rPr>
                <w:rFonts w:eastAsia="Times New Roman" w:cs="Futura"/>
                <w:color w:val="595959"/>
                <w:sz w:val="20"/>
                <w:szCs w:val="20"/>
              </w:rPr>
              <w:t xml:space="preserve"> </w:t>
            </w:r>
            <w:r w:rsidR="0099099D" w:rsidRPr="0099099D">
              <w:rPr>
                <w:rFonts w:eastAsia="Times New Roman" w:cs="Futura"/>
                <w:color w:val="595959"/>
                <w:sz w:val="20"/>
                <w:szCs w:val="20"/>
              </w:rPr>
              <w:t xml:space="preserve">Consolidar la Gestión para Resultados a través de su herramienta, el Presupuesto basado en Resultados, asegurando que el ciclo presupuestario se desarrolle de </w:t>
            </w:r>
            <w:r w:rsidR="0099099D" w:rsidRPr="0099099D">
              <w:rPr>
                <w:rFonts w:eastAsia="Times New Roman" w:cs="Futura"/>
                <w:color w:val="595959"/>
                <w:sz w:val="20"/>
                <w:szCs w:val="20"/>
              </w:rPr>
              <w:lastRenderedPageBreak/>
              <w:t>manera efectiva y que permita al gobierno mantener su estabilidad económica y sustentabilidad de las finanzas públicas</w:t>
            </w:r>
          </w:p>
        </w:tc>
        <w:tc>
          <w:tcPr>
            <w:tcW w:w="935" w:type="pct"/>
            <w:shd w:val="clear" w:color="auto" w:fill="auto"/>
            <w:tcMar>
              <w:top w:w="72" w:type="dxa"/>
              <w:left w:w="144" w:type="dxa"/>
              <w:bottom w:w="72" w:type="dxa"/>
              <w:right w:w="144" w:type="dxa"/>
            </w:tcMar>
            <w:vAlign w:val="center"/>
          </w:tcPr>
          <w:p w14:paraId="14982BF4" w14:textId="3F535293" w:rsidR="009E6C16" w:rsidRPr="00F30FD1" w:rsidRDefault="009E3067" w:rsidP="00355785">
            <w:pPr>
              <w:jc w:val="center"/>
              <w:rPr>
                <w:rFonts w:eastAsia="Times New Roman" w:cs="Futura"/>
                <w:color w:val="595959"/>
                <w:sz w:val="20"/>
                <w:szCs w:val="20"/>
              </w:rPr>
            </w:pPr>
            <w:r w:rsidRPr="00F30FD1">
              <w:rPr>
                <w:rFonts w:eastAsia="Times New Roman" w:cs="Futura"/>
                <w:color w:val="595959"/>
                <w:sz w:val="20"/>
                <w:szCs w:val="20"/>
              </w:rPr>
              <w:lastRenderedPageBreak/>
              <w:t xml:space="preserve">3.19.- </w:t>
            </w:r>
            <w:r w:rsidR="009E6C16" w:rsidRPr="00F30FD1">
              <w:rPr>
                <w:rFonts w:eastAsia="Times New Roman" w:cs="Futura"/>
                <w:color w:val="595959"/>
                <w:sz w:val="20"/>
                <w:szCs w:val="20"/>
              </w:rPr>
              <w:t xml:space="preserve">Consolidar la Gestión para Resultados como  un Modelo de Cultura Organizacional, Directiva y de Gestión que permita la </w:t>
            </w:r>
            <w:r w:rsidR="009E6C16" w:rsidRPr="00F30FD1">
              <w:rPr>
                <w:rFonts w:eastAsia="Times New Roman" w:cs="Futura"/>
                <w:color w:val="595959"/>
                <w:sz w:val="20"/>
                <w:szCs w:val="20"/>
              </w:rPr>
              <w:lastRenderedPageBreak/>
              <w:t>Creación de Valor Público en la Administración Pública Estatal</w:t>
            </w:r>
          </w:p>
          <w:p w14:paraId="44F9FC2B" w14:textId="77777777" w:rsidR="00EF7D50" w:rsidRPr="00F30FD1" w:rsidRDefault="00EF7D50" w:rsidP="00355785">
            <w:pPr>
              <w:tabs>
                <w:tab w:val="left" w:pos="2813"/>
              </w:tabs>
              <w:spacing w:after="0" w:line="240" w:lineRule="auto"/>
              <w:jc w:val="center"/>
              <w:rPr>
                <w:rFonts w:eastAsia="Times New Roman" w:cs="Futura"/>
                <w:color w:val="595959"/>
                <w:sz w:val="20"/>
                <w:szCs w:val="20"/>
              </w:rPr>
            </w:pPr>
          </w:p>
        </w:tc>
        <w:tc>
          <w:tcPr>
            <w:tcW w:w="889" w:type="pct"/>
            <w:shd w:val="clear" w:color="auto" w:fill="FFFFFF"/>
            <w:tcMar>
              <w:top w:w="72" w:type="dxa"/>
              <w:left w:w="144" w:type="dxa"/>
              <w:bottom w:w="72" w:type="dxa"/>
              <w:right w:w="144" w:type="dxa"/>
            </w:tcMar>
            <w:vAlign w:val="center"/>
          </w:tcPr>
          <w:p w14:paraId="454BDF1A" w14:textId="44DCC3AD" w:rsidR="00EF7D50" w:rsidRPr="00F30FD1" w:rsidRDefault="00D83F17" w:rsidP="00D83F17">
            <w:pPr>
              <w:spacing w:after="0" w:line="240" w:lineRule="auto"/>
              <w:jc w:val="center"/>
              <w:rPr>
                <w:rFonts w:eastAsia="Times New Roman" w:cs="Futura"/>
                <w:color w:val="595959"/>
                <w:sz w:val="20"/>
                <w:szCs w:val="20"/>
              </w:rPr>
            </w:pPr>
            <w:r w:rsidRPr="00F30FD1">
              <w:rPr>
                <w:rFonts w:eastAsia="Times New Roman" w:cs="Futura"/>
                <w:color w:val="595959"/>
                <w:sz w:val="20"/>
                <w:szCs w:val="20"/>
              </w:rPr>
              <w:lastRenderedPageBreak/>
              <w:t>N/D</w:t>
            </w:r>
          </w:p>
        </w:tc>
        <w:tc>
          <w:tcPr>
            <w:tcW w:w="754" w:type="pct"/>
            <w:shd w:val="clear" w:color="auto" w:fill="FFFFFF"/>
            <w:tcMar>
              <w:top w:w="72" w:type="dxa"/>
              <w:left w:w="144" w:type="dxa"/>
              <w:bottom w:w="72" w:type="dxa"/>
              <w:right w:w="144" w:type="dxa"/>
            </w:tcMar>
            <w:vAlign w:val="center"/>
          </w:tcPr>
          <w:p w14:paraId="04E93C30" w14:textId="77777777" w:rsidR="007640BF" w:rsidRPr="00F30FD1" w:rsidRDefault="007640BF"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3. Economía</w:t>
            </w:r>
          </w:p>
          <w:p w14:paraId="0ABACE5A" w14:textId="02B6B33D" w:rsidR="00EF7D50" w:rsidRPr="00F30FD1" w:rsidRDefault="007640BF"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Mantener Finanzas Sanas</w:t>
            </w:r>
          </w:p>
        </w:tc>
        <w:tc>
          <w:tcPr>
            <w:tcW w:w="859" w:type="pct"/>
            <w:shd w:val="clear" w:color="auto" w:fill="FFFFFF"/>
            <w:vAlign w:val="center"/>
          </w:tcPr>
          <w:p w14:paraId="7F2C45E8" w14:textId="77777777"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 Fin de la Pobreza.</w:t>
            </w:r>
          </w:p>
          <w:p w14:paraId="6082DCE6" w14:textId="5F7C88F3"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5.- Igualdad de Género.</w:t>
            </w:r>
          </w:p>
          <w:p w14:paraId="17615AEB" w14:textId="77777777" w:rsidR="000C54BC" w:rsidRPr="00F30FD1" w:rsidRDefault="000C54BC" w:rsidP="00355785">
            <w:pPr>
              <w:spacing w:after="0" w:line="240" w:lineRule="auto"/>
              <w:jc w:val="center"/>
              <w:rPr>
                <w:rFonts w:eastAsia="Times New Roman" w:cs="Futura"/>
                <w:color w:val="595959"/>
                <w:sz w:val="20"/>
                <w:szCs w:val="20"/>
              </w:rPr>
            </w:pPr>
          </w:p>
          <w:p w14:paraId="0CE9AA6A" w14:textId="77777777"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12.- Producción y Consumo Responsables</w:t>
            </w:r>
          </w:p>
          <w:p w14:paraId="7B3B4B18" w14:textId="77777777" w:rsidR="000C54BC" w:rsidRPr="00F30FD1" w:rsidRDefault="000C54BC" w:rsidP="00355785">
            <w:pPr>
              <w:spacing w:after="0" w:line="240" w:lineRule="auto"/>
              <w:jc w:val="center"/>
              <w:rPr>
                <w:rFonts w:eastAsia="Times New Roman" w:cs="Futura"/>
                <w:color w:val="595959"/>
                <w:sz w:val="20"/>
                <w:szCs w:val="20"/>
              </w:rPr>
            </w:pPr>
          </w:p>
          <w:p w14:paraId="2CBCC677" w14:textId="4016454A"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lastRenderedPageBreak/>
              <w:t>Objetivo 16.- Paz, Justicia e Instituciones Sólidas.</w:t>
            </w:r>
          </w:p>
          <w:p w14:paraId="6116888A" w14:textId="77777777" w:rsidR="000C54BC" w:rsidRPr="00F30FD1" w:rsidRDefault="000C54BC" w:rsidP="00355785">
            <w:pPr>
              <w:spacing w:after="0" w:line="240" w:lineRule="auto"/>
              <w:jc w:val="center"/>
              <w:rPr>
                <w:rFonts w:eastAsia="Times New Roman" w:cs="Futura"/>
                <w:color w:val="595959"/>
                <w:sz w:val="20"/>
                <w:szCs w:val="20"/>
              </w:rPr>
            </w:pPr>
          </w:p>
          <w:p w14:paraId="3880F0A6" w14:textId="77777777"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17.- Alianzas para lograr los Objetivos.</w:t>
            </w:r>
          </w:p>
          <w:p w14:paraId="3B8B075F" w14:textId="77777777" w:rsidR="00EF7D50" w:rsidRPr="00F30FD1" w:rsidRDefault="00EF7D50" w:rsidP="00355785">
            <w:pPr>
              <w:spacing w:after="0" w:line="240" w:lineRule="auto"/>
              <w:jc w:val="center"/>
              <w:rPr>
                <w:rFonts w:eastAsia="Times New Roman" w:cs="Futura"/>
                <w:color w:val="595959"/>
                <w:sz w:val="20"/>
                <w:szCs w:val="20"/>
              </w:rPr>
            </w:pPr>
          </w:p>
        </w:tc>
        <w:tc>
          <w:tcPr>
            <w:tcW w:w="594" w:type="pct"/>
            <w:shd w:val="clear" w:color="auto" w:fill="FFFFFF"/>
            <w:vAlign w:val="center"/>
          </w:tcPr>
          <w:p w14:paraId="3648AC2C" w14:textId="511323F3" w:rsidR="007640BF" w:rsidRPr="00F30FD1" w:rsidRDefault="007640BF" w:rsidP="00355785">
            <w:pPr>
              <w:tabs>
                <w:tab w:val="left" w:pos="2813"/>
              </w:tabs>
              <w:spacing w:after="0" w:line="240" w:lineRule="auto"/>
              <w:jc w:val="center"/>
              <w:rPr>
                <w:rFonts w:eastAsia="Times New Roman" w:cs="Futura"/>
                <w:color w:val="595959"/>
                <w:sz w:val="20"/>
                <w:szCs w:val="20"/>
              </w:rPr>
            </w:pPr>
            <w:r w:rsidRPr="00F30FD1">
              <w:rPr>
                <w:rFonts w:eastAsia="Times New Roman" w:cs="Futura"/>
                <w:color w:val="595959"/>
                <w:sz w:val="20"/>
                <w:szCs w:val="20"/>
              </w:rPr>
              <w:lastRenderedPageBreak/>
              <w:t>3.Impulsar justicia para todos</w:t>
            </w:r>
          </w:p>
          <w:p w14:paraId="5FA69596" w14:textId="77777777" w:rsidR="00EF7D50" w:rsidRPr="00F30FD1" w:rsidRDefault="00EF7D50" w:rsidP="00355785">
            <w:pPr>
              <w:tabs>
                <w:tab w:val="left" w:pos="2813"/>
              </w:tabs>
              <w:spacing w:after="0" w:line="240" w:lineRule="auto"/>
              <w:jc w:val="center"/>
              <w:rPr>
                <w:rFonts w:eastAsia="Times New Roman" w:cs="Futura"/>
                <w:color w:val="595959"/>
                <w:sz w:val="20"/>
                <w:szCs w:val="20"/>
              </w:rPr>
            </w:pPr>
          </w:p>
        </w:tc>
      </w:tr>
      <w:tr w:rsidR="009E3067" w:rsidRPr="00F30FD1" w14:paraId="485E578E" w14:textId="77777777" w:rsidTr="0026662C">
        <w:trPr>
          <w:trHeight w:val="227"/>
          <w:jc w:val="center"/>
        </w:trPr>
        <w:tc>
          <w:tcPr>
            <w:tcW w:w="970" w:type="pct"/>
            <w:shd w:val="clear" w:color="auto" w:fill="FFFFFF"/>
            <w:tcMar>
              <w:top w:w="72" w:type="dxa"/>
              <w:left w:w="144" w:type="dxa"/>
              <w:bottom w:w="72" w:type="dxa"/>
              <w:right w:w="144" w:type="dxa"/>
            </w:tcMar>
            <w:vAlign w:val="center"/>
          </w:tcPr>
          <w:p w14:paraId="490F1054" w14:textId="40FF1808" w:rsidR="009E6C16" w:rsidRPr="00F30FD1" w:rsidRDefault="009E6C16"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lastRenderedPageBreak/>
              <w:t xml:space="preserve">3.- </w:t>
            </w:r>
            <w:r w:rsidR="00C86967" w:rsidRPr="00F30FD1">
              <w:rPr>
                <w:rFonts w:eastAsia="Times New Roman" w:cs="Futura"/>
                <w:color w:val="595959"/>
                <w:sz w:val="20"/>
                <w:szCs w:val="20"/>
              </w:rPr>
              <w:t>Brindar acompañamiento y atención a los inversionistas que detecten oportunidades de negocio en Quintana Roo; fungiendo como soporte para la vinculación con entes públicos y privados que abonen a la concreción de proyectos de inversión en la entidad</w:t>
            </w:r>
            <w:r w:rsidRPr="00F30FD1">
              <w:rPr>
                <w:rFonts w:eastAsia="Times New Roman" w:cs="Futura"/>
                <w:color w:val="595959"/>
                <w:sz w:val="20"/>
                <w:szCs w:val="20"/>
              </w:rPr>
              <w:t>.</w:t>
            </w:r>
          </w:p>
        </w:tc>
        <w:tc>
          <w:tcPr>
            <w:tcW w:w="935" w:type="pct"/>
            <w:shd w:val="clear" w:color="auto" w:fill="FFFFFF"/>
            <w:tcMar>
              <w:top w:w="72" w:type="dxa"/>
              <w:left w:w="144" w:type="dxa"/>
              <w:bottom w:w="72" w:type="dxa"/>
              <w:right w:w="144" w:type="dxa"/>
            </w:tcMar>
            <w:vAlign w:val="center"/>
          </w:tcPr>
          <w:p w14:paraId="61F23CE8" w14:textId="7A9397AF" w:rsidR="009E6C16" w:rsidRPr="00F30FD1" w:rsidRDefault="009E3067" w:rsidP="00355785">
            <w:pPr>
              <w:tabs>
                <w:tab w:val="left" w:pos="2813"/>
              </w:tabs>
              <w:spacing w:after="0" w:line="240" w:lineRule="auto"/>
              <w:jc w:val="center"/>
              <w:rPr>
                <w:rFonts w:eastAsia="Times New Roman" w:cs="Futura"/>
                <w:color w:val="595959"/>
                <w:sz w:val="20"/>
                <w:szCs w:val="20"/>
              </w:rPr>
            </w:pPr>
            <w:r w:rsidRPr="00F30FD1">
              <w:rPr>
                <w:rFonts w:eastAsia="Times New Roman" w:cs="Futura"/>
                <w:color w:val="595959"/>
                <w:sz w:val="20"/>
                <w:szCs w:val="20"/>
              </w:rPr>
              <w:t>3.18.- Implementar una política hacendaria integral a través del incremento de los ingresos propios que permita al gobierno mantener una estabilidad económica y la sustentabilidad de las finanzas públicas.</w:t>
            </w:r>
          </w:p>
        </w:tc>
        <w:tc>
          <w:tcPr>
            <w:tcW w:w="889" w:type="pct"/>
            <w:shd w:val="clear" w:color="auto" w:fill="FFFFFF"/>
            <w:tcMar>
              <w:top w:w="72" w:type="dxa"/>
              <w:left w:w="144" w:type="dxa"/>
              <w:bottom w:w="72" w:type="dxa"/>
              <w:right w:w="144" w:type="dxa"/>
            </w:tcMar>
            <w:vAlign w:val="center"/>
          </w:tcPr>
          <w:p w14:paraId="1427C37C" w14:textId="77777777" w:rsidR="009E3067" w:rsidRPr="00F30FD1" w:rsidRDefault="009E3067" w:rsidP="00355785">
            <w:pPr>
              <w:spacing w:after="0" w:line="240" w:lineRule="auto"/>
              <w:jc w:val="center"/>
              <w:rPr>
                <w:rFonts w:eastAsia="Times New Roman" w:cs="Futura"/>
                <w:color w:val="595959"/>
                <w:sz w:val="20"/>
                <w:szCs w:val="20"/>
              </w:rPr>
            </w:pPr>
          </w:p>
          <w:p w14:paraId="25177AAE" w14:textId="081E6860" w:rsidR="009E6C16" w:rsidRPr="00F30FD1" w:rsidRDefault="00D83F17"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N/D</w:t>
            </w:r>
          </w:p>
        </w:tc>
        <w:tc>
          <w:tcPr>
            <w:tcW w:w="754" w:type="pct"/>
            <w:shd w:val="clear" w:color="auto" w:fill="FFFFFF"/>
            <w:tcMar>
              <w:top w:w="72" w:type="dxa"/>
              <w:left w:w="144" w:type="dxa"/>
              <w:bottom w:w="72" w:type="dxa"/>
              <w:right w:w="144" w:type="dxa"/>
            </w:tcMar>
            <w:vAlign w:val="center"/>
          </w:tcPr>
          <w:p w14:paraId="3606EEAC" w14:textId="77777777" w:rsidR="007640BF" w:rsidRPr="00F30FD1" w:rsidRDefault="007640BF"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3. Economía</w:t>
            </w:r>
          </w:p>
          <w:p w14:paraId="10CA3C5B" w14:textId="42FF0937" w:rsidR="009E6C16" w:rsidRPr="00F30FD1" w:rsidRDefault="007640BF"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Mantener Finanzas Sanas</w:t>
            </w:r>
          </w:p>
        </w:tc>
        <w:tc>
          <w:tcPr>
            <w:tcW w:w="859" w:type="pct"/>
            <w:shd w:val="clear" w:color="auto" w:fill="FFFFFF"/>
            <w:vAlign w:val="center"/>
          </w:tcPr>
          <w:p w14:paraId="479EC824" w14:textId="77777777"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 Fin de la Pobreza.</w:t>
            </w:r>
          </w:p>
          <w:p w14:paraId="3170DC34" w14:textId="377093C3"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5.- Igualdad de Género.</w:t>
            </w:r>
          </w:p>
          <w:p w14:paraId="51BC8989" w14:textId="77777777" w:rsidR="000C54BC" w:rsidRPr="00F30FD1" w:rsidRDefault="000C54BC" w:rsidP="00355785">
            <w:pPr>
              <w:spacing w:after="0" w:line="240" w:lineRule="auto"/>
              <w:jc w:val="center"/>
              <w:rPr>
                <w:rFonts w:eastAsia="Times New Roman" w:cs="Futura"/>
                <w:color w:val="595959"/>
                <w:sz w:val="20"/>
                <w:szCs w:val="20"/>
              </w:rPr>
            </w:pPr>
          </w:p>
          <w:p w14:paraId="48F53405" w14:textId="77777777"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12.- Producción y Consumo Responsables</w:t>
            </w:r>
          </w:p>
          <w:p w14:paraId="01D98933" w14:textId="77777777" w:rsidR="000C54BC" w:rsidRPr="00F30FD1" w:rsidRDefault="000C54BC" w:rsidP="00355785">
            <w:pPr>
              <w:spacing w:after="0" w:line="240" w:lineRule="auto"/>
              <w:jc w:val="center"/>
              <w:rPr>
                <w:rFonts w:eastAsia="Times New Roman" w:cs="Futura"/>
                <w:color w:val="595959"/>
                <w:sz w:val="20"/>
                <w:szCs w:val="20"/>
              </w:rPr>
            </w:pPr>
          </w:p>
          <w:p w14:paraId="117113CA" w14:textId="738C309D"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16.- Paz, Justicia e Instituciones Sólidas.</w:t>
            </w:r>
          </w:p>
          <w:p w14:paraId="3A10F0F2" w14:textId="77777777" w:rsidR="000C54BC" w:rsidRPr="00F30FD1" w:rsidRDefault="000C54BC" w:rsidP="00355785">
            <w:pPr>
              <w:spacing w:after="0" w:line="240" w:lineRule="auto"/>
              <w:jc w:val="center"/>
              <w:rPr>
                <w:rFonts w:eastAsia="Times New Roman" w:cs="Futura"/>
                <w:color w:val="595959"/>
                <w:sz w:val="20"/>
                <w:szCs w:val="20"/>
              </w:rPr>
            </w:pPr>
          </w:p>
          <w:p w14:paraId="36F8461C" w14:textId="77777777" w:rsidR="000C54BC" w:rsidRPr="00F30FD1" w:rsidRDefault="000C54BC" w:rsidP="00355785">
            <w:pPr>
              <w:spacing w:after="0" w:line="240" w:lineRule="auto"/>
              <w:jc w:val="center"/>
              <w:rPr>
                <w:rFonts w:eastAsia="Times New Roman" w:cs="Futura"/>
                <w:color w:val="595959"/>
                <w:sz w:val="20"/>
                <w:szCs w:val="20"/>
              </w:rPr>
            </w:pPr>
            <w:r w:rsidRPr="00F30FD1">
              <w:rPr>
                <w:rFonts w:eastAsia="Times New Roman" w:cs="Futura"/>
                <w:color w:val="595959"/>
                <w:sz w:val="20"/>
                <w:szCs w:val="20"/>
              </w:rPr>
              <w:t>Objetivo 17.- Alianzas para lograr los Objetivos.</w:t>
            </w:r>
          </w:p>
          <w:p w14:paraId="397A2C0D" w14:textId="77777777" w:rsidR="009E6C16" w:rsidRPr="00F30FD1" w:rsidRDefault="009E6C16" w:rsidP="00355785">
            <w:pPr>
              <w:spacing w:after="0" w:line="240" w:lineRule="auto"/>
              <w:jc w:val="center"/>
              <w:rPr>
                <w:rFonts w:eastAsia="Times New Roman" w:cs="Futura"/>
                <w:color w:val="595959"/>
                <w:sz w:val="20"/>
                <w:szCs w:val="20"/>
              </w:rPr>
            </w:pPr>
          </w:p>
        </w:tc>
        <w:tc>
          <w:tcPr>
            <w:tcW w:w="594" w:type="pct"/>
            <w:shd w:val="clear" w:color="auto" w:fill="FFFFFF"/>
            <w:vAlign w:val="center"/>
          </w:tcPr>
          <w:p w14:paraId="1D01E223" w14:textId="78B2D659" w:rsidR="007640BF" w:rsidRPr="00F30FD1" w:rsidRDefault="007640BF" w:rsidP="00355785">
            <w:pPr>
              <w:tabs>
                <w:tab w:val="left" w:pos="2813"/>
              </w:tabs>
              <w:spacing w:after="0" w:line="240" w:lineRule="auto"/>
              <w:jc w:val="center"/>
              <w:rPr>
                <w:rFonts w:eastAsia="Times New Roman" w:cs="Futura"/>
                <w:color w:val="595959"/>
                <w:sz w:val="20"/>
                <w:szCs w:val="20"/>
              </w:rPr>
            </w:pPr>
            <w:r w:rsidRPr="00F30FD1">
              <w:rPr>
                <w:rFonts w:eastAsia="Times New Roman" w:cs="Futura"/>
                <w:color w:val="595959"/>
                <w:sz w:val="20"/>
                <w:szCs w:val="20"/>
              </w:rPr>
              <w:t>3.Impulsar justicia para todos</w:t>
            </w:r>
          </w:p>
          <w:p w14:paraId="1EF8C305" w14:textId="77777777" w:rsidR="009E6C16" w:rsidRPr="00F30FD1" w:rsidRDefault="009E6C16" w:rsidP="00355785">
            <w:pPr>
              <w:tabs>
                <w:tab w:val="left" w:pos="2813"/>
              </w:tabs>
              <w:spacing w:after="0" w:line="240" w:lineRule="auto"/>
              <w:jc w:val="center"/>
              <w:rPr>
                <w:rFonts w:eastAsia="Times New Roman" w:cs="Futura"/>
                <w:color w:val="595959"/>
                <w:sz w:val="20"/>
                <w:szCs w:val="20"/>
              </w:rPr>
            </w:pPr>
          </w:p>
        </w:tc>
      </w:tr>
    </w:tbl>
    <w:p w14:paraId="5CA8BB3C" w14:textId="77777777" w:rsidR="00952E57" w:rsidRPr="00F30FD1" w:rsidRDefault="00952E57" w:rsidP="00952E57">
      <w:pPr>
        <w:spacing w:after="0" w:line="240" w:lineRule="auto"/>
        <w:ind w:left="1776"/>
        <w:contextualSpacing/>
        <w:rPr>
          <w:rFonts w:eastAsia="Times New Roman" w:cs="Arial"/>
          <w:sz w:val="10"/>
          <w:szCs w:val="22"/>
          <w:lang w:val="es-MX"/>
        </w:rPr>
      </w:pPr>
    </w:p>
    <w:p w14:paraId="5023CCB4" w14:textId="77777777" w:rsidR="00952E57" w:rsidRPr="00F30FD1" w:rsidRDefault="00952E57" w:rsidP="00952E57">
      <w:pPr>
        <w:spacing w:after="0" w:line="240" w:lineRule="auto"/>
        <w:rPr>
          <w:rFonts w:eastAsia="Times New Roman" w:cs="Arial"/>
          <w:sz w:val="20"/>
          <w:szCs w:val="22"/>
          <w:lang w:val="es-MX"/>
        </w:rPr>
      </w:pPr>
    </w:p>
    <w:p w14:paraId="0871026A" w14:textId="77777777" w:rsidR="00952E57" w:rsidRPr="00F30FD1" w:rsidRDefault="00952E57" w:rsidP="00952E57">
      <w:pPr>
        <w:spacing w:after="0" w:line="240" w:lineRule="auto"/>
        <w:ind w:left="851"/>
        <w:contextualSpacing/>
        <w:rPr>
          <w:rFonts w:eastAsia="Times New Roman" w:cs="Arial"/>
          <w:sz w:val="14"/>
          <w:szCs w:val="22"/>
          <w:lang w:val="es-MX"/>
        </w:rPr>
      </w:pPr>
    </w:p>
    <w:p w14:paraId="51904732" w14:textId="77777777" w:rsidR="0026662C" w:rsidRPr="00F30FD1" w:rsidRDefault="0026662C">
      <w:pPr>
        <w:spacing w:after="0" w:line="240" w:lineRule="auto"/>
        <w:jc w:val="left"/>
        <w:rPr>
          <w:rFonts w:eastAsia="Arial" w:cs="Times New Roman"/>
          <w:b/>
          <w:bCs/>
          <w:color w:val="4BACC6" w:themeColor="accent5"/>
          <w:lang w:val="es-MX" w:eastAsia="en-US"/>
        </w:rPr>
      </w:pPr>
      <w:bookmarkStart w:id="27" w:name="_Toc477971053"/>
      <w:r w:rsidRPr="00F30FD1">
        <w:rPr>
          <w:rFonts w:eastAsia="Arial" w:cs="Times New Roman"/>
          <w:b/>
          <w:bCs/>
          <w:color w:val="4BACC6" w:themeColor="accent5"/>
          <w:lang w:val="es-MX" w:eastAsia="en-US"/>
        </w:rPr>
        <w:br w:type="page"/>
      </w:r>
    </w:p>
    <w:p w14:paraId="5B780E36" w14:textId="6FF97F29" w:rsidR="00C120D0" w:rsidRPr="00F30FD1" w:rsidRDefault="00C120D0" w:rsidP="00C120D0">
      <w:pPr>
        <w:spacing w:after="0" w:line="240" w:lineRule="auto"/>
        <w:jc w:val="left"/>
        <w:rPr>
          <w:rFonts w:eastAsia="Arial" w:cs="Times New Roman"/>
          <w:b/>
          <w:bCs/>
          <w:color w:val="4BACC6" w:themeColor="accent5"/>
          <w:lang w:val="es-MX" w:eastAsia="en-US"/>
        </w:rPr>
      </w:pPr>
      <w:r w:rsidRPr="00F30FD1">
        <w:rPr>
          <w:rFonts w:eastAsia="Arial" w:cs="Times New Roman"/>
          <w:b/>
          <w:bCs/>
          <w:color w:val="4BACC6" w:themeColor="accent5"/>
          <w:lang w:val="es-MX" w:eastAsia="en-US"/>
        </w:rPr>
        <w:lastRenderedPageBreak/>
        <w:t>ALINEACIÓN ESTRUCTURAL PED-PROGRAMA SECTORIAL</w:t>
      </w:r>
    </w:p>
    <w:p w14:paraId="27C60A01" w14:textId="77777777" w:rsidR="00C120D0" w:rsidRPr="00F30FD1" w:rsidRDefault="00C120D0" w:rsidP="0002431E">
      <w:pPr>
        <w:spacing w:after="0" w:line="240" w:lineRule="auto"/>
        <w:ind w:left="360"/>
        <w:jc w:val="left"/>
        <w:rPr>
          <w:rFonts w:eastAsia="Arial" w:cs="Times New Roman"/>
          <w:b/>
          <w:bCs/>
          <w:color w:val="4BACC6" w:themeColor="accent5"/>
          <w:lang w:val="es-MX" w:eastAsia="en-US"/>
        </w:rPr>
      </w:pPr>
    </w:p>
    <w:p w14:paraId="551E3488" w14:textId="5EC31192" w:rsidR="0002431E" w:rsidRPr="00F30FD1" w:rsidRDefault="00100B8B" w:rsidP="00C120D0">
      <w:pPr>
        <w:spacing w:after="0" w:line="240" w:lineRule="auto"/>
        <w:ind w:left="360"/>
        <w:jc w:val="center"/>
        <w:rPr>
          <w:rFonts w:eastAsia="Arial" w:cs="Times New Roman"/>
          <w:b/>
          <w:bCs/>
          <w:color w:val="4BACC6" w:themeColor="accent5"/>
          <w:lang w:val="es-MX" w:eastAsia="en-US"/>
        </w:rPr>
      </w:pPr>
      <w:r>
        <w:rPr>
          <w:rFonts w:eastAsia="Arial" w:cs="Times New Roman"/>
          <w:b/>
          <w:bCs/>
          <w:color w:val="4BACC6" w:themeColor="accent5"/>
          <w:lang w:val="es-MX" w:eastAsia="en-US"/>
        </w:rPr>
        <w:t>Tabla T.22</w:t>
      </w:r>
      <w:r w:rsidR="00C120D0" w:rsidRPr="00F30FD1">
        <w:rPr>
          <w:rFonts w:eastAsia="Arial" w:cs="Times New Roman"/>
          <w:b/>
          <w:bCs/>
          <w:color w:val="4BACC6" w:themeColor="accent5"/>
          <w:lang w:val="es-MX" w:eastAsia="en-US"/>
        </w:rPr>
        <w:t xml:space="preserve"> Alineación Estructural PED-Programa Sectorial</w:t>
      </w:r>
    </w:p>
    <w:p w14:paraId="7B92E4FE" w14:textId="77777777" w:rsidR="001D269B" w:rsidRPr="00F30FD1" w:rsidRDefault="001D269B" w:rsidP="00C120D0">
      <w:pPr>
        <w:spacing w:after="0" w:line="240" w:lineRule="auto"/>
        <w:ind w:left="360"/>
        <w:jc w:val="center"/>
        <w:rPr>
          <w:rFonts w:eastAsia="Arial" w:cs="Times New Roman"/>
          <w:b/>
          <w:bCs/>
          <w:color w:val="4BACC6" w:themeColor="accent5"/>
          <w:lang w:val="es-MX" w:eastAsia="en-US"/>
        </w:rPr>
      </w:pPr>
    </w:p>
    <w:tbl>
      <w:tblPr>
        <w:tblW w:w="50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20" w:firstRow="1" w:lastRow="0" w:firstColumn="0" w:lastColumn="0" w:noHBand="0" w:noVBand="1"/>
      </w:tblPr>
      <w:tblGrid>
        <w:gridCol w:w="1702"/>
        <w:gridCol w:w="3420"/>
        <w:gridCol w:w="2593"/>
        <w:gridCol w:w="2130"/>
      </w:tblGrid>
      <w:tr w:rsidR="0002431E" w:rsidRPr="00F30FD1" w14:paraId="41B4862F" w14:textId="77777777" w:rsidTr="00F72B3A">
        <w:trPr>
          <w:trHeight w:val="170"/>
          <w:tblHeader/>
          <w:jc w:val="center"/>
        </w:trPr>
        <w:tc>
          <w:tcPr>
            <w:tcW w:w="864" w:type="pct"/>
            <w:shd w:val="clear" w:color="auto" w:fill="A6A6A6"/>
            <w:tcMar>
              <w:top w:w="72" w:type="dxa"/>
              <w:left w:w="144" w:type="dxa"/>
              <w:bottom w:w="72" w:type="dxa"/>
              <w:right w:w="144" w:type="dxa"/>
            </w:tcMar>
            <w:vAlign w:val="center"/>
            <w:hideMark/>
          </w:tcPr>
          <w:p w14:paraId="02D2283E" w14:textId="77777777" w:rsidR="0002431E" w:rsidRPr="00F30FD1" w:rsidRDefault="0002431E" w:rsidP="00EF6E27">
            <w:pPr>
              <w:spacing w:after="0" w:line="240" w:lineRule="auto"/>
              <w:jc w:val="center"/>
              <w:rPr>
                <w:rFonts w:eastAsia="Times New Roman" w:cs="Arial"/>
                <w:sz w:val="20"/>
                <w:szCs w:val="20"/>
                <w:lang w:val="es-MX"/>
              </w:rPr>
            </w:pPr>
            <w:r w:rsidRPr="00F30FD1">
              <w:rPr>
                <w:rFonts w:eastAsia="Times New Roman" w:cs="Arial"/>
                <w:sz w:val="20"/>
                <w:szCs w:val="20"/>
                <w:lang w:val="es-MX"/>
              </w:rPr>
              <w:t>Programa Estratégico del Plan Estatal 2016-2022</w:t>
            </w:r>
          </w:p>
        </w:tc>
        <w:tc>
          <w:tcPr>
            <w:tcW w:w="1737" w:type="pct"/>
            <w:shd w:val="clear" w:color="auto" w:fill="A6A6A6"/>
            <w:tcMar>
              <w:top w:w="72" w:type="dxa"/>
              <w:left w:w="144" w:type="dxa"/>
              <w:bottom w:w="72" w:type="dxa"/>
              <w:right w:w="144" w:type="dxa"/>
            </w:tcMar>
            <w:vAlign w:val="center"/>
            <w:hideMark/>
          </w:tcPr>
          <w:p w14:paraId="535E760A" w14:textId="77777777" w:rsidR="0002431E" w:rsidRPr="00F30FD1" w:rsidRDefault="0002431E" w:rsidP="00EF6E27">
            <w:pPr>
              <w:spacing w:after="0" w:line="240" w:lineRule="auto"/>
              <w:jc w:val="center"/>
              <w:rPr>
                <w:rFonts w:eastAsia="Times New Roman" w:cs="Arial"/>
                <w:sz w:val="20"/>
                <w:szCs w:val="20"/>
                <w:lang w:val="es-MX"/>
              </w:rPr>
            </w:pPr>
            <w:r w:rsidRPr="00F30FD1">
              <w:rPr>
                <w:rFonts w:eastAsia="Times New Roman" w:cs="Arial"/>
                <w:sz w:val="20"/>
                <w:szCs w:val="20"/>
                <w:lang w:val="es-MX"/>
              </w:rPr>
              <w:t>Líneas de acción del Plan Estatal</w:t>
            </w:r>
          </w:p>
          <w:p w14:paraId="69E33B38" w14:textId="77777777" w:rsidR="0002431E" w:rsidRPr="00F30FD1" w:rsidRDefault="0002431E" w:rsidP="00EF6E27">
            <w:pPr>
              <w:spacing w:after="0" w:line="240" w:lineRule="auto"/>
              <w:jc w:val="center"/>
              <w:rPr>
                <w:rFonts w:eastAsia="Times New Roman" w:cs="Arial"/>
                <w:sz w:val="20"/>
                <w:szCs w:val="20"/>
                <w:lang w:val="es-MX"/>
              </w:rPr>
            </w:pPr>
          </w:p>
        </w:tc>
        <w:tc>
          <w:tcPr>
            <w:tcW w:w="1317" w:type="pct"/>
            <w:shd w:val="clear" w:color="auto" w:fill="A6A6A6"/>
            <w:tcMar>
              <w:top w:w="72" w:type="dxa"/>
              <w:left w:w="144" w:type="dxa"/>
              <w:bottom w:w="72" w:type="dxa"/>
              <w:right w:w="144" w:type="dxa"/>
            </w:tcMar>
            <w:vAlign w:val="center"/>
            <w:hideMark/>
          </w:tcPr>
          <w:p w14:paraId="4D63BF2A" w14:textId="77777777" w:rsidR="0002431E" w:rsidRPr="00F30FD1" w:rsidRDefault="0002431E" w:rsidP="00EF6E27">
            <w:pPr>
              <w:spacing w:after="0" w:line="240" w:lineRule="auto"/>
              <w:jc w:val="center"/>
              <w:rPr>
                <w:rFonts w:eastAsia="Times New Roman" w:cs="Arial"/>
                <w:sz w:val="20"/>
                <w:szCs w:val="20"/>
                <w:lang w:val="es-MX"/>
              </w:rPr>
            </w:pPr>
            <w:r w:rsidRPr="00F30FD1">
              <w:rPr>
                <w:rFonts w:eastAsia="Times New Roman" w:cs="Arial"/>
                <w:sz w:val="20"/>
                <w:szCs w:val="20"/>
                <w:lang w:val="es-MX"/>
              </w:rPr>
              <w:t>Líneas de acción del Programas Sectorial, Institucional o Especial.</w:t>
            </w:r>
          </w:p>
          <w:p w14:paraId="06A996B6" w14:textId="77777777" w:rsidR="0002431E" w:rsidRPr="00F30FD1" w:rsidRDefault="0002431E" w:rsidP="00EF6E27">
            <w:pPr>
              <w:spacing w:after="0" w:line="240" w:lineRule="auto"/>
              <w:jc w:val="center"/>
              <w:rPr>
                <w:rFonts w:eastAsia="Times New Roman" w:cs="Arial"/>
                <w:sz w:val="20"/>
                <w:szCs w:val="20"/>
                <w:lang w:val="es-MX"/>
              </w:rPr>
            </w:pPr>
          </w:p>
        </w:tc>
        <w:tc>
          <w:tcPr>
            <w:tcW w:w="1082" w:type="pct"/>
            <w:shd w:val="clear" w:color="auto" w:fill="A6A6A6"/>
          </w:tcPr>
          <w:p w14:paraId="33077F89" w14:textId="77777777" w:rsidR="0002431E" w:rsidRPr="00F30FD1" w:rsidRDefault="0002431E" w:rsidP="00EF6E27">
            <w:pPr>
              <w:spacing w:after="0" w:line="240" w:lineRule="auto"/>
              <w:jc w:val="center"/>
              <w:rPr>
                <w:rFonts w:eastAsia="Times New Roman" w:cs="Arial"/>
                <w:sz w:val="20"/>
                <w:szCs w:val="20"/>
                <w:lang w:val="es-MX"/>
              </w:rPr>
            </w:pPr>
            <w:r w:rsidRPr="00F30FD1">
              <w:rPr>
                <w:rFonts w:eastAsia="Times New Roman" w:cs="Arial"/>
                <w:sz w:val="20"/>
                <w:szCs w:val="20"/>
                <w:lang w:val="es-MX"/>
              </w:rPr>
              <w:t>Objetivo del  Tema del Programa de Desarrollo</w:t>
            </w:r>
          </w:p>
        </w:tc>
      </w:tr>
      <w:tr w:rsidR="006272BD" w:rsidRPr="00F30FD1" w14:paraId="7C99EE0C" w14:textId="77777777" w:rsidTr="00F72B3A">
        <w:trPr>
          <w:trHeight w:val="170"/>
          <w:jc w:val="center"/>
        </w:trPr>
        <w:tc>
          <w:tcPr>
            <w:tcW w:w="864" w:type="pct"/>
            <w:vMerge w:val="restart"/>
            <w:shd w:val="clear" w:color="auto" w:fill="FFFFFF"/>
            <w:tcMar>
              <w:top w:w="72" w:type="dxa"/>
              <w:left w:w="144" w:type="dxa"/>
              <w:bottom w:w="72" w:type="dxa"/>
              <w:right w:w="144" w:type="dxa"/>
            </w:tcMar>
            <w:vAlign w:val="center"/>
            <w:hideMark/>
          </w:tcPr>
          <w:p w14:paraId="3AA28710" w14:textId="62300468" w:rsidR="006272BD" w:rsidRPr="00F30FD1" w:rsidRDefault="006272BD" w:rsidP="005104A8">
            <w:pPr>
              <w:spacing w:after="0" w:line="240" w:lineRule="auto"/>
              <w:rPr>
                <w:rFonts w:eastAsia="Times New Roman" w:cs="Futura"/>
                <w:color w:val="595959"/>
                <w:sz w:val="20"/>
                <w:szCs w:val="20"/>
              </w:rPr>
            </w:pPr>
            <w:r w:rsidRPr="00F30FD1">
              <w:rPr>
                <w:rFonts w:eastAsia="Times New Roman" w:cs="Futura"/>
                <w:color w:val="595959"/>
                <w:sz w:val="20"/>
                <w:szCs w:val="20"/>
              </w:rPr>
              <w:t>Programa 18: Finanzas Públicas Responsables.</w:t>
            </w:r>
          </w:p>
        </w:tc>
        <w:tc>
          <w:tcPr>
            <w:tcW w:w="1737" w:type="pct"/>
            <w:shd w:val="clear" w:color="auto" w:fill="FFFFFF"/>
            <w:tcMar>
              <w:top w:w="72" w:type="dxa"/>
              <w:left w:w="144" w:type="dxa"/>
              <w:bottom w:w="72" w:type="dxa"/>
              <w:right w:w="144" w:type="dxa"/>
            </w:tcMar>
            <w:vAlign w:val="center"/>
            <w:hideMark/>
          </w:tcPr>
          <w:p w14:paraId="72C100CE" w14:textId="711B95E9" w:rsidR="006272BD" w:rsidRPr="000D5D2E" w:rsidRDefault="006272BD" w:rsidP="005104A8">
            <w:pPr>
              <w:tabs>
                <w:tab w:val="left" w:pos="567"/>
              </w:tabs>
              <w:spacing w:after="0" w:line="240" w:lineRule="auto"/>
              <w:contextualSpacing/>
              <w:rPr>
                <w:rFonts w:eastAsia="Times New Roman" w:cs="Futura"/>
                <w:color w:val="595959"/>
                <w:sz w:val="18"/>
                <w:szCs w:val="20"/>
              </w:rPr>
            </w:pPr>
            <w:r w:rsidRPr="000D5D2E">
              <w:rPr>
                <w:rFonts w:eastAsia="Times New Roman" w:cs="Futura"/>
                <w:color w:val="595959"/>
                <w:sz w:val="18"/>
                <w:szCs w:val="20"/>
              </w:rPr>
              <w:t>1.- Actualizar y m</w:t>
            </w:r>
            <w:r w:rsidR="00F537A1" w:rsidRPr="000D5D2E">
              <w:rPr>
                <w:rFonts w:eastAsia="Times New Roman" w:cs="Futura"/>
                <w:color w:val="595959"/>
                <w:sz w:val="18"/>
                <w:szCs w:val="20"/>
              </w:rPr>
              <w:t xml:space="preserve">odernizar </w:t>
            </w:r>
            <w:r w:rsidRPr="000D5D2E">
              <w:rPr>
                <w:rFonts w:eastAsia="Times New Roman" w:cs="Futura"/>
                <w:color w:val="595959"/>
                <w:sz w:val="18"/>
                <w:szCs w:val="20"/>
              </w:rPr>
              <w:t>la cartografía estatal, así como promover la actualización de los registros catastrales, mediante el fortalecimiento y la colaboración de los tres órdenes de gobierno a través de convenios con los municipios y la federación a efecto de mantener actualizadas tanto la Plataforma de Información Catastral y Registral del Estado de Quintana Roo como la Plataforma Nacional de Información Registral y Catastral, sustentado en la actualización y fortalecimiento del Marco Jurídico Catastral.</w:t>
            </w:r>
          </w:p>
        </w:tc>
        <w:tc>
          <w:tcPr>
            <w:tcW w:w="1317" w:type="pct"/>
            <w:shd w:val="clear" w:color="auto" w:fill="FFFFFF"/>
            <w:tcMar>
              <w:top w:w="72" w:type="dxa"/>
              <w:left w:w="144" w:type="dxa"/>
              <w:bottom w:w="72" w:type="dxa"/>
              <w:right w:w="144" w:type="dxa"/>
            </w:tcMar>
            <w:vAlign w:val="center"/>
          </w:tcPr>
          <w:p w14:paraId="16F4B2C1" w14:textId="66D4D322" w:rsidR="00022F18" w:rsidRPr="000D5D2E" w:rsidRDefault="00022F18" w:rsidP="00022F18">
            <w:pPr>
              <w:spacing w:after="0" w:line="240" w:lineRule="auto"/>
              <w:rPr>
                <w:rFonts w:eastAsia="Times New Roman" w:cs="Futura"/>
                <w:color w:val="595959"/>
                <w:sz w:val="18"/>
                <w:szCs w:val="20"/>
              </w:rPr>
            </w:pPr>
            <w:r w:rsidRPr="000D5D2E">
              <w:rPr>
                <w:rFonts w:eastAsia="Times New Roman" w:cs="Futura"/>
                <w:color w:val="595959"/>
                <w:sz w:val="18"/>
                <w:szCs w:val="20"/>
              </w:rPr>
              <w:t xml:space="preserve">1.-Actualizar y modernizar la cartografía y el registro de datos catastrales del Estado, mediante el uso de una Plataforma Estatal de Información Catastral, a efecto de ampliar y </w:t>
            </w:r>
            <w:proofErr w:type="spellStart"/>
            <w:r w:rsidRPr="000D5D2E">
              <w:rPr>
                <w:rFonts w:eastAsia="Times New Roman" w:cs="Futura"/>
                <w:color w:val="595959"/>
                <w:sz w:val="18"/>
                <w:szCs w:val="20"/>
              </w:rPr>
              <w:t>eficientar</w:t>
            </w:r>
            <w:proofErr w:type="spellEnd"/>
            <w:r w:rsidRPr="000D5D2E">
              <w:rPr>
                <w:rFonts w:eastAsia="Times New Roman" w:cs="Futura"/>
                <w:color w:val="595959"/>
                <w:sz w:val="18"/>
                <w:szCs w:val="20"/>
              </w:rPr>
              <w:t xml:space="preserve"> la base contributiva del catastro.</w:t>
            </w:r>
          </w:p>
          <w:p w14:paraId="7148C676" w14:textId="201A9D8B" w:rsidR="006272BD" w:rsidRPr="000D5D2E" w:rsidRDefault="00022F18" w:rsidP="00022F18">
            <w:pPr>
              <w:spacing w:after="0" w:line="240" w:lineRule="auto"/>
              <w:rPr>
                <w:rFonts w:eastAsia="Times New Roman" w:cs="Futura"/>
                <w:color w:val="595959"/>
                <w:sz w:val="18"/>
                <w:szCs w:val="20"/>
              </w:rPr>
            </w:pPr>
            <w:r w:rsidRPr="000D5D2E">
              <w:rPr>
                <w:rFonts w:eastAsia="Times New Roman" w:cs="Futura"/>
                <w:color w:val="595959"/>
                <w:sz w:val="18"/>
                <w:szCs w:val="20"/>
              </w:rPr>
              <w:t>2.-</w:t>
            </w:r>
            <w:r w:rsidR="00355785" w:rsidRPr="000D5D2E">
              <w:rPr>
                <w:rFonts w:eastAsia="Times New Roman" w:cs="Futura"/>
                <w:color w:val="595959"/>
                <w:sz w:val="18"/>
                <w:szCs w:val="20"/>
              </w:rPr>
              <w:t xml:space="preserve"> </w:t>
            </w:r>
            <w:r w:rsidRPr="000D5D2E">
              <w:rPr>
                <w:rFonts w:eastAsia="Times New Roman" w:cs="Futura"/>
                <w:color w:val="595959"/>
                <w:sz w:val="18"/>
                <w:szCs w:val="20"/>
              </w:rPr>
              <w:t>Actualizar y complementar el Marco Jurídico del Catastro.</w:t>
            </w:r>
          </w:p>
        </w:tc>
        <w:tc>
          <w:tcPr>
            <w:tcW w:w="1082" w:type="pct"/>
            <w:vMerge w:val="restart"/>
            <w:shd w:val="clear" w:color="auto" w:fill="FFFFFF" w:themeFill="background1"/>
          </w:tcPr>
          <w:p w14:paraId="64F74188" w14:textId="49C7A52B" w:rsidR="006272BD" w:rsidRPr="00F30FD1" w:rsidRDefault="00C120D0" w:rsidP="005104A8">
            <w:pPr>
              <w:spacing w:after="0" w:line="240" w:lineRule="auto"/>
              <w:rPr>
                <w:rFonts w:eastAsia="Times New Roman" w:cs="Futura"/>
                <w:color w:val="595959"/>
                <w:sz w:val="20"/>
                <w:szCs w:val="20"/>
              </w:rPr>
            </w:pPr>
            <w:r w:rsidRPr="00F30FD1">
              <w:rPr>
                <w:rFonts w:eastAsia="Times New Roman" w:cs="Futura"/>
                <w:color w:val="595959"/>
                <w:sz w:val="20"/>
                <w:szCs w:val="20"/>
              </w:rPr>
              <w:t>1.- Aumentar los niveles de captación de ingresos propios y federales, así como renegociar las condiciones de la deuda.</w:t>
            </w:r>
          </w:p>
        </w:tc>
      </w:tr>
      <w:tr w:rsidR="006272BD" w:rsidRPr="00F30FD1" w14:paraId="09C094A4"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7641DB94" w14:textId="77777777" w:rsidR="006272BD" w:rsidRPr="00F30FD1" w:rsidRDefault="006272BD"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5791A4B1" w14:textId="63775BEC" w:rsidR="006272BD" w:rsidRPr="000D5D2E" w:rsidRDefault="006272BD" w:rsidP="00355785">
            <w:pPr>
              <w:spacing w:after="0" w:line="240" w:lineRule="auto"/>
              <w:rPr>
                <w:rFonts w:eastAsia="Times New Roman" w:cs="Futura"/>
                <w:color w:val="595959"/>
                <w:sz w:val="18"/>
                <w:szCs w:val="20"/>
              </w:rPr>
            </w:pPr>
            <w:r w:rsidRPr="000D5D2E">
              <w:rPr>
                <w:rFonts w:eastAsia="Times New Roman" w:cs="Futura"/>
                <w:color w:val="595959"/>
                <w:sz w:val="20"/>
                <w:szCs w:val="20"/>
              </w:rPr>
              <w:t xml:space="preserve">2.- Elaborar y publicar informes con </w:t>
            </w:r>
            <w:proofErr w:type="spellStart"/>
            <w:r w:rsidRPr="000D5D2E">
              <w:rPr>
                <w:rFonts w:eastAsia="Times New Roman" w:cs="Futura"/>
                <w:color w:val="595959"/>
                <w:sz w:val="20"/>
                <w:szCs w:val="20"/>
              </w:rPr>
              <w:t>periódicidad</w:t>
            </w:r>
            <w:proofErr w:type="spellEnd"/>
            <w:r w:rsidRPr="000D5D2E">
              <w:rPr>
                <w:rFonts w:eastAsia="Times New Roman" w:cs="Futura"/>
                <w:color w:val="595959"/>
                <w:sz w:val="20"/>
                <w:szCs w:val="20"/>
              </w:rPr>
              <w:t xml:space="preserve"> trimestral, que permita dar a conocer la evolución  de la deuda pública directa y contingente del Estado.</w:t>
            </w:r>
          </w:p>
        </w:tc>
        <w:tc>
          <w:tcPr>
            <w:tcW w:w="1317" w:type="pct"/>
            <w:shd w:val="clear" w:color="auto" w:fill="FFFFFF"/>
            <w:tcMar>
              <w:top w:w="72" w:type="dxa"/>
              <w:left w:w="144" w:type="dxa"/>
              <w:bottom w:w="72" w:type="dxa"/>
              <w:right w:w="144" w:type="dxa"/>
            </w:tcMar>
            <w:vAlign w:val="center"/>
          </w:tcPr>
          <w:p w14:paraId="0E1B7008" w14:textId="381AB264" w:rsidR="00355785" w:rsidRPr="000D5D2E" w:rsidRDefault="00355785" w:rsidP="00355785">
            <w:pPr>
              <w:spacing w:after="0" w:line="240" w:lineRule="auto"/>
              <w:rPr>
                <w:rFonts w:eastAsia="Times New Roman" w:cs="Futura"/>
                <w:color w:val="595959"/>
                <w:sz w:val="18"/>
                <w:szCs w:val="20"/>
              </w:rPr>
            </w:pPr>
            <w:r w:rsidRPr="000D5D2E">
              <w:rPr>
                <w:rFonts w:eastAsia="Times New Roman" w:cs="Futura"/>
                <w:color w:val="595959"/>
                <w:sz w:val="18"/>
                <w:szCs w:val="20"/>
              </w:rPr>
              <w:t>1.-Transparentar la deuda pública estatal mediante la publicación periódica de los informes correspondientes, con los criterios establecidos en la Ley de Disciplina Financiera y normatividad aplicable.</w:t>
            </w:r>
          </w:p>
          <w:p w14:paraId="4DA59B7A" w14:textId="182352FA" w:rsidR="00355785" w:rsidRPr="000D5D2E" w:rsidRDefault="00355785" w:rsidP="00355785">
            <w:pPr>
              <w:spacing w:after="0" w:line="240" w:lineRule="auto"/>
              <w:rPr>
                <w:rFonts w:eastAsia="Times New Roman" w:cs="Futura"/>
                <w:color w:val="595959"/>
                <w:sz w:val="18"/>
                <w:szCs w:val="20"/>
              </w:rPr>
            </w:pPr>
            <w:r w:rsidRPr="000D5D2E">
              <w:rPr>
                <w:rFonts w:eastAsia="Times New Roman" w:cs="Futura"/>
                <w:color w:val="595959"/>
                <w:sz w:val="18"/>
                <w:szCs w:val="20"/>
              </w:rPr>
              <w:t>2.- Administrar el Registro Estatal de Obligaciones y Financiamientos.</w:t>
            </w:r>
          </w:p>
          <w:p w14:paraId="654A767A" w14:textId="6B0595A6" w:rsidR="00355785" w:rsidRPr="000D5D2E" w:rsidRDefault="00355785" w:rsidP="00355785">
            <w:pPr>
              <w:spacing w:after="0" w:line="240" w:lineRule="auto"/>
              <w:rPr>
                <w:rFonts w:eastAsia="Times New Roman" w:cs="Futura"/>
                <w:color w:val="595959"/>
                <w:sz w:val="18"/>
                <w:szCs w:val="20"/>
              </w:rPr>
            </w:pPr>
            <w:r w:rsidRPr="000D5D2E">
              <w:rPr>
                <w:rFonts w:eastAsia="Times New Roman" w:cs="Futura"/>
                <w:color w:val="595959"/>
                <w:sz w:val="18"/>
                <w:szCs w:val="20"/>
              </w:rPr>
              <w:t xml:space="preserve">3.- Cumplir con la formulación del presupuesto de endeudamiento anual. </w:t>
            </w:r>
          </w:p>
          <w:p w14:paraId="74B01A62" w14:textId="33A3D251" w:rsidR="00355785" w:rsidRPr="000D5D2E" w:rsidRDefault="00355785" w:rsidP="00355785">
            <w:pPr>
              <w:spacing w:after="0" w:line="240" w:lineRule="auto"/>
              <w:rPr>
                <w:rFonts w:eastAsia="Times New Roman" w:cs="Futura"/>
                <w:color w:val="595959"/>
                <w:sz w:val="18"/>
                <w:szCs w:val="20"/>
              </w:rPr>
            </w:pPr>
            <w:r w:rsidRPr="000D5D2E">
              <w:rPr>
                <w:rFonts w:eastAsia="Times New Roman" w:cs="Futura"/>
                <w:color w:val="595959"/>
                <w:sz w:val="18"/>
                <w:szCs w:val="20"/>
              </w:rPr>
              <w:t>4.- Dar seguimiento y atención de obligaciones, de los contratos financieros vigentes.</w:t>
            </w:r>
          </w:p>
          <w:p w14:paraId="0967F1BF" w14:textId="1CD8687B" w:rsidR="006272BD" w:rsidRPr="000D5D2E" w:rsidRDefault="00355785" w:rsidP="00355785">
            <w:pPr>
              <w:spacing w:after="0" w:line="240" w:lineRule="auto"/>
              <w:rPr>
                <w:rFonts w:eastAsia="Times New Roman" w:cs="Futura"/>
                <w:color w:val="595959"/>
                <w:sz w:val="18"/>
                <w:szCs w:val="20"/>
              </w:rPr>
            </w:pPr>
            <w:r w:rsidRPr="000D5D2E">
              <w:rPr>
                <w:rFonts w:eastAsia="Times New Roman" w:cs="Futura"/>
                <w:color w:val="595959"/>
                <w:sz w:val="18"/>
                <w:szCs w:val="20"/>
              </w:rPr>
              <w:t>5.- Proporcionar información para mantener actualizado el Sistema de Alertas.</w:t>
            </w:r>
          </w:p>
        </w:tc>
        <w:tc>
          <w:tcPr>
            <w:tcW w:w="1082" w:type="pct"/>
            <w:vMerge/>
            <w:shd w:val="clear" w:color="auto" w:fill="FFFFFF" w:themeFill="background1"/>
          </w:tcPr>
          <w:p w14:paraId="73B1DEE3" w14:textId="77777777" w:rsidR="006272BD" w:rsidRPr="00F30FD1" w:rsidRDefault="006272BD" w:rsidP="005104A8">
            <w:pPr>
              <w:spacing w:after="0" w:line="240" w:lineRule="auto"/>
              <w:rPr>
                <w:rFonts w:eastAsia="Times New Roman" w:cs="Futura"/>
                <w:color w:val="595959"/>
                <w:sz w:val="20"/>
                <w:szCs w:val="20"/>
              </w:rPr>
            </w:pPr>
          </w:p>
        </w:tc>
      </w:tr>
      <w:tr w:rsidR="006272BD" w:rsidRPr="00F30FD1" w14:paraId="77FAD4AA"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1AFD1B33" w14:textId="77777777" w:rsidR="006272BD" w:rsidRPr="00F30FD1" w:rsidRDefault="006272BD"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7B092653" w14:textId="750E5F26" w:rsidR="006272BD" w:rsidRPr="000D5D2E" w:rsidRDefault="006272BD" w:rsidP="00355785">
            <w:pPr>
              <w:spacing w:after="0" w:line="240" w:lineRule="auto"/>
              <w:rPr>
                <w:rFonts w:eastAsia="Times New Roman" w:cs="Futura"/>
                <w:color w:val="595959"/>
                <w:sz w:val="17"/>
                <w:szCs w:val="17"/>
              </w:rPr>
            </w:pPr>
            <w:r w:rsidRPr="000D5D2E">
              <w:rPr>
                <w:rFonts w:eastAsia="Times New Roman" w:cs="Futura"/>
                <w:color w:val="595959"/>
                <w:sz w:val="17"/>
                <w:szCs w:val="17"/>
              </w:rPr>
              <w:t>3.- Publicar la información con periodicidad trimestral de los Estados de Cuenta de los Fideicomisos que administren recursos del Fondo General de Participaciones, así como la documentación soporte de las operaciones que se realizan al amparo de los Fideicomisos.</w:t>
            </w:r>
          </w:p>
        </w:tc>
        <w:tc>
          <w:tcPr>
            <w:tcW w:w="1317" w:type="pct"/>
            <w:shd w:val="clear" w:color="auto" w:fill="FFFFFF"/>
            <w:tcMar>
              <w:top w:w="72" w:type="dxa"/>
              <w:left w:w="144" w:type="dxa"/>
              <w:bottom w:w="72" w:type="dxa"/>
              <w:right w:w="144" w:type="dxa"/>
            </w:tcMar>
            <w:vAlign w:val="center"/>
          </w:tcPr>
          <w:p w14:paraId="29104433" w14:textId="23929609" w:rsidR="006272BD" w:rsidRPr="000D5D2E" w:rsidRDefault="00355785" w:rsidP="00355785">
            <w:pPr>
              <w:spacing w:after="0" w:line="240" w:lineRule="auto"/>
              <w:rPr>
                <w:rFonts w:eastAsia="Times New Roman" w:cs="Futura"/>
                <w:color w:val="595959"/>
                <w:sz w:val="17"/>
                <w:szCs w:val="17"/>
              </w:rPr>
            </w:pPr>
            <w:r w:rsidRPr="000D5D2E">
              <w:rPr>
                <w:rFonts w:eastAsia="Times New Roman" w:cs="Futura"/>
                <w:color w:val="595959"/>
                <w:sz w:val="17"/>
                <w:szCs w:val="17"/>
              </w:rPr>
              <w:t>1.- Publicar informes trimestrales para transparentar los fideicomisos relacionados a la operatividad del Fondo General de Participaciones.</w:t>
            </w:r>
          </w:p>
        </w:tc>
        <w:tc>
          <w:tcPr>
            <w:tcW w:w="1082" w:type="pct"/>
            <w:vMerge/>
            <w:shd w:val="clear" w:color="auto" w:fill="FFFFFF" w:themeFill="background1"/>
          </w:tcPr>
          <w:p w14:paraId="701530B7" w14:textId="77777777" w:rsidR="006272BD" w:rsidRPr="00F30FD1" w:rsidRDefault="006272BD" w:rsidP="005104A8">
            <w:pPr>
              <w:spacing w:after="0" w:line="240" w:lineRule="auto"/>
              <w:rPr>
                <w:rFonts w:eastAsia="Times New Roman" w:cs="Futura"/>
                <w:color w:val="595959"/>
                <w:sz w:val="20"/>
                <w:szCs w:val="20"/>
              </w:rPr>
            </w:pPr>
          </w:p>
        </w:tc>
      </w:tr>
      <w:tr w:rsidR="006272BD" w:rsidRPr="00F30FD1" w14:paraId="60B1EDDA"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66E26F22" w14:textId="77777777" w:rsidR="006272BD" w:rsidRPr="00F30FD1" w:rsidRDefault="006272BD"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17CE62DD" w14:textId="6091B453" w:rsidR="006272BD" w:rsidRPr="000D5D2E" w:rsidRDefault="006272BD" w:rsidP="00355785">
            <w:pPr>
              <w:spacing w:after="0" w:line="240" w:lineRule="auto"/>
              <w:rPr>
                <w:rFonts w:eastAsia="Times New Roman" w:cs="Futura"/>
                <w:color w:val="595959"/>
                <w:sz w:val="18"/>
                <w:szCs w:val="18"/>
              </w:rPr>
            </w:pPr>
            <w:r w:rsidRPr="000D5D2E">
              <w:rPr>
                <w:rFonts w:eastAsia="Times New Roman" w:cs="Futura"/>
                <w:color w:val="595959"/>
                <w:sz w:val="18"/>
                <w:szCs w:val="18"/>
              </w:rPr>
              <w:t>10.- Impulsar programas de calidad total en la atención a usuarios internos y externos de los servicios tributarios.</w:t>
            </w:r>
          </w:p>
        </w:tc>
        <w:tc>
          <w:tcPr>
            <w:tcW w:w="1317" w:type="pct"/>
            <w:shd w:val="clear" w:color="auto" w:fill="FFFFFF"/>
            <w:tcMar>
              <w:top w:w="72" w:type="dxa"/>
              <w:left w:w="144" w:type="dxa"/>
              <w:bottom w:w="72" w:type="dxa"/>
              <w:right w:w="144" w:type="dxa"/>
            </w:tcMar>
            <w:vAlign w:val="center"/>
          </w:tcPr>
          <w:p w14:paraId="656E4575" w14:textId="466D4621" w:rsidR="000D5D2E" w:rsidRPr="000D5D2E" w:rsidRDefault="000D5D2E" w:rsidP="000D5D2E">
            <w:pPr>
              <w:spacing w:after="0" w:line="240" w:lineRule="auto"/>
              <w:rPr>
                <w:rFonts w:eastAsia="Times New Roman" w:cs="Futura"/>
                <w:color w:val="595959"/>
                <w:sz w:val="18"/>
                <w:szCs w:val="18"/>
              </w:rPr>
            </w:pPr>
            <w:r w:rsidRPr="000D5D2E">
              <w:rPr>
                <w:rFonts w:eastAsia="Times New Roman" w:cs="Futura"/>
                <w:color w:val="595959"/>
                <w:sz w:val="18"/>
                <w:szCs w:val="18"/>
              </w:rPr>
              <w:t>1.- Fortalecer el marco normativo institucional para salvaguardar los intereses de la propia Secretaría bajo los principios de legalidad, honradez y transparencia.</w:t>
            </w:r>
          </w:p>
          <w:p w14:paraId="63B38742" w14:textId="034B1992" w:rsidR="006272BD" w:rsidRPr="000D5D2E" w:rsidRDefault="000D5D2E" w:rsidP="000D5D2E">
            <w:pPr>
              <w:spacing w:after="0" w:line="240" w:lineRule="auto"/>
              <w:rPr>
                <w:rFonts w:eastAsia="Times New Roman" w:cs="Futura"/>
                <w:color w:val="595959"/>
                <w:sz w:val="18"/>
                <w:szCs w:val="18"/>
              </w:rPr>
            </w:pPr>
            <w:r w:rsidRPr="000D5D2E">
              <w:rPr>
                <w:rFonts w:eastAsia="Times New Roman" w:cs="Futura"/>
                <w:color w:val="595959"/>
                <w:sz w:val="18"/>
                <w:szCs w:val="18"/>
              </w:rPr>
              <w:t>2.- Garantizar la defensa legal y jurídica en toda clase de juicios y recursos en que la Secretaría de Finanzas y Planeación se parte mediante la atención de demandas  Administrativas interpuestas en contra de actos o resoluciones  que emitan las autoridades competentes.</w:t>
            </w:r>
          </w:p>
        </w:tc>
        <w:tc>
          <w:tcPr>
            <w:tcW w:w="1082" w:type="pct"/>
            <w:vMerge/>
            <w:shd w:val="clear" w:color="auto" w:fill="FFFFFF" w:themeFill="background1"/>
          </w:tcPr>
          <w:p w14:paraId="7958DA0C" w14:textId="77777777" w:rsidR="006272BD" w:rsidRPr="00F30FD1" w:rsidRDefault="006272BD" w:rsidP="005104A8">
            <w:pPr>
              <w:spacing w:after="0" w:line="240" w:lineRule="auto"/>
              <w:rPr>
                <w:rFonts w:eastAsia="Times New Roman" w:cs="Futura"/>
                <w:color w:val="595959"/>
                <w:sz w:val="20"/>
                <w:szCs w:val="20"/>
              </w:rPr>
            </w:pPr>
          </w:p>
        </w:tc>
      </w:tr>
      <w:tr w:rsidR="00F72B3A" w:rsidRPr="00F30FD1" w14:paraId="0256FF69"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1DE2182F" w14:textId="77777777" w:rsidR="00F72B3A" w:rsidRPr="00F30FD1" w:rsidRDefault="00F72B3A" w:rsidP="00F72B3A">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05C681DF" w14:textId="0F3FEE65" w:rsidR="00F72B3A" w:rsidRPr="000D5D2E" w:rsidRDefault="00F72B3A" w:rsidP="00F72B3A">
            <w:pPr>
              <w:spacing w:after="0" w:line="240" w:lineRule="auto"/>
              <w:rPr>
                <w:rFonts w:eastAsia="Times New Roman" w:cs="Futura"/>
                <w:color w:val="595959"/>
                <w:sz w:val="17"/>
                <w:szCs w:val="17"/>
              </w:rPr>
            </w:pPr>
            <w:r w:rsidRPr="000D5D2E">
              <w:rPr>
                <w:rFonts w:eastAsia="Times New Roman" w:cs="Futura"/>
                <w:color w:val="595959"/>
                <w:sz w:val="17"/>
                <w:szCs w:val="17"/>
              </w:rPr>
              <w:t>11.- Desarrollar en coordinación con las dependencias, entidades y organismos, estrategias encaminadas a elevar los ingresos propios.</w:t>
            </w:r>
          </w:p>
        </w:tc>
        <w:tc>
          <w:tcPr>
            <w:tcW w:w="1317" w:type="pct"/>
            <w:shd w:val="clear" w:color="auto" w:fill="FFFFFF"/>
            <w:tcMar>
              <w:top w:w="72" w:type="dxa"/>
              <w:left w:w="144" w:type="dxa"/>
              <w:bottom w:w="72" w:type="dxa"/>
              <w:right w:w="144" w:type="dxa"/>
            </w:tcMar>
            <w:vAlign w:val="center"/>
          </w:tcPr>
          <w:p w14:paraId="1F0D579C" w14:textId="77777777" w:rsidR="00F72B3A" w:rsidRPr="000D5D2E" w:rsidRDefault="00F72B3A" w:rsidP="00F72B3A">
            <w:pPr>
              <w:spacing w:after="0" w:line="240" w:lineRule="auto"/>
              <w:rPr>
                <w:rFonts w:eastAsia="Times New Roman" w:cs="Futura"/>
                <w:color w:val="595959"/>
                <w:sz w:val="17"/>
                <w:szCs w:val="17"/>
              </w:rPr>
            </w:pPr>
            <w:r w:rsidRPr="000D5D2E">
              <w:rPr>
                <w:rFonts w:eastAsia="Times New Roman" w:cs="Futura"/>
                <w:color w:val="595959"/>
                <w:sz w:val="17"/>
                <w:szCs w:val="17"/>
              </w:rPr>
              <w:t>1 Desarrollar, en coordinación con las dependencias, entidades y organismos, estrategias encaminadas a elevar los ingresos propios.</w:t>
            </w:r>
          </w:p>
          <w:p w14:paraId="692832C8" w14:textId="77777777" w:rsidR="00F72B3A" w:rsidRPr="000D5D2E" w:rsidRDefault="004D4D5B" w:rsidP="00F72B3A">
            <w:pPr>
              <w:spacing w:after="0" w:line="240" w:lineRule="auto"/>
              <w:rPr>
                <w:rFonts w:eastAsia="Times New Roman" w:cs="Futura"/>
                <w:color w:val="595959"/>
                <w:sz w:val="17"/>
                <w:szCs w:val="17"/>
              </w:rPr>
            </w:pPr>
            <w:r w:rsidRPr="000D5D2E">
              <w:rPr>
                <w:rFonts w:eastAsia="Times New Roman" w:cs="Futura"/>
                <w:color w:val="595959"/>
                <w:sz w:val="17"/>
                <w:szCs w:val="17"/>
              </w:rPr>
              <w:t xml:space="preserve">2.- </w:t>
            </w:r>
            <w:r w:rsidR="00F72B3A" w:rsidRPr="000D5D2E">
              <w:rPr>
                <w:rFonts w:eastAsia="Times New Roman" w:cs="Futura"/>
                <w:color w:val="595959"/>
                <w:sz w:val="17"/>
                <w:szCs w:val="17"/>
              </w:rPr>
              <w:t>Supervisar y verificar el cumplimiento de obligaciones fiscales de los contribuyentes.</w:t>
            </w:r>
          </w:p>
          <w:p w14:paraId="2B70F45F" w14:textId="2A0C9037" w:rsidR="000D5D2E" w:rsidRPr="000D5D2E" w:rsidRDefault="000D5D2E" w:rsidP="00F72B3A">
            <w:pPr>
              <w:spacing w:after="0" w:line="240" w:lineRule="auto"/>
              <w:rPr>
                <w:rFonts w:eastAsia="Times New Roman" w:cs="Futura"/>
                <w:color w:val="595959"/>
                <w:sz w:val="17"/>
                <w:szCs w:val="17"/>
              </w:rPr>
            </w:pPr>
            <w:r w:rsidRPr="000D5D2E">
              <w:rPr>
                <w:rFonts w:eastAsia="Times New Roman" w:cs="Futura"/>
                <w:color w:val="595959"/>
                <w:sz w:val="17"/>
                <w:szCs w:val="17"/>
              </w:rPr>
              <w:t>3.- Analizar los incentivos obtenidos por parte de la Federación derivado de estrategias de recaudación.</w:t>
            </w:r>
          </w:p>
        </w:tc>
        <w:tc>
          <w:tcPr>
            <w:tcW w:w="1082" w:type="pct"/>
            <w:vMerge/>
            <w:shd w:val="clear" w:color="auto" w:fill="FFFFFF" w:themeFill="background1"/>
          </w:tcPr>
          <w:p w14:paraId="275BA85F" w14:textId="77777777" w:rsidR="00F72B3A" w:rsidRPr="00F30FD1" w:rsidRDefault="00F72B3A" w:rsidP="00F72B3A">
            <w:pPr>
              <w:spacing w:after="0" w:line="240" w:lineRule="auto"/>
              <w:rPr>
                <w:rFonts w:eastAsia="Times New Roman" w:cs="Futura"/>
                <w:color w:val="595959"/>
                <w:sz w:val="20"/>
                <w:szCs w:val="20"/>
              </w:rPr>
            </w:pPr>
          </w:p>
        </w:tc>
      </w:tr>
      <w:tr w:rsidR="00F72B3A" w:rsidRPr="00F30FD1" w14:paraId="569B8F96"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6EF03265" w14:textId="77777777" w:rsidR="00F72B3A" w:rsidRPr="00F30FD1" w:rsidRDefault="00F72B3A" w:rsidP="00F72B3A">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0FCA4D7F" w14:textId="22A94F17" w:rsidR="00F72B3A" w:rsidRPr="000D5D2E" w:rsidRDefault="00F72B3A" w:rsidP="00F72B3A">
            <w:pPr>
              <w:spacing w:after="0" w:line="240" w:lineRule="auto"/>
              <w:rPr>
                <w:rFonts w:eastAsia="Times New Roman" w:cs="Futura"/>
                <w:color w:val="595959"/>
                <w:sz w:val="17"/>
                <w:szCs w:val="17"/>
              </w:rPr>
            </w:pPr>
            <w:r w:rsidRPr="000D5D2E">
              <w:rPr>
                <w:rFonts w:eastAsia="Times New Roman" w:cs="Futura"/>
                <w:color w:val="595959"/>
                <w:sz w:val="17"/>
                <w:szCs w:val="17"/>
              </w:rPr>
              <w:t>12.- Integrar un registro documental de información, con requisitos básicos para el cumplimiento del pago de impuestos por parte de los ciudadanos.</w:t>
            </w:r>
          </w:p>
        </w:tc>
        <w:tc>
          <w:tcPr>
            <w:tcW w:w="1317" w:type="pct"/>
            <w:shd w:val="clear" w:color="auto" w:fill="FFFFFF"/>
            <w:tcMar>
              <w:top w:w="72" w:type="dxa"/>
              <w:left w:w="144" w:type="dxa"/>
              <w:bottom w:w="72" w:type="dxa"/>
              <w:right w:w="144" w:type="dxa"/>
            </w:tcMar>
            <w:vAlign w:val="center"/>
          </w:tcPr>
          <w:p w14:paraId="5F0BBDE7" w14:textId="3919D2F3" w:rsidR="00F72B3A" w:rsidRPr="000D5D2E" w:rsidRDefault="000D5D2E" w:rsidP="00F72B3A">
            <w:pPr>
              <w:spacing w:after="0" w:line="240" w:lineRule="auto"/>
              <w:rPr>
                <w:rFonts w:eastAsia="Times New Roman" w:cs="Futura"/>
                <w:color w:val="595959"/>
                <w:sz w:val="17"/>
                <w:szCs w:val="17"/>
              </w:rPr>
            </w:pPr>
            <w:r w:rsidRPr="000D5D2E">
              <w:rPr>
                <w:rFonts w:eastAsia="Times New Roman" w:cs="Futura"/>
                <w:color w:val="595959"/>
                <w:sz w:val="17"/>
                <w:szCs w:val="17"/>
              </w:rPr>
              <w:t>1.- Incrementar y facilitar el cumplimiento voluntario del contribuyente a través del Desarrollo de herramientas tecnológicas, canales de servicio, formatos, instructivos y aplicaciones, orientándolos a brindar un servicio de alta calidad.</w:t>
            </w:r>
          </w:p>
        </w:tc>
        <w:tc>
          <w:tcPr>
            <w:tcW w:w="1082" w:type="pct"/>
            <w:vMerge/>
            <w:shd w:val="clear" w:color="auto" w:fill="FFFFFF" w:themeFill="background1"/>
          </w:tcPr>
          <w:p w14:paraId="60812CAB" w14:textId="77777777" w:rsidR="00F72B3A" w:rsidRPr="00F30FD1" w:rsidRDefault="00F72B3A" w:rsidP="00F72B3A">
            <w:pPr>
              <w:spacing w:after="0" w:line="240" w:lineRule="auto"/>
              <w:rPr>
                <w:rFonts w:eastAsia="Times New Roman" w:cs="Futura"/>
                <w:color w:val="595959"/>
                <w:sz w:val="20"/>
                <w:szCs w:val="20"/>
              </w:rPr>
            </w:pPr>
          </w:p>
        </w:tc>
      </w:tr>
      <w:tr w:rsidR="00F72B3A" w:rsidRPr="00F30FD1" w14:paraId="7DC62861"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11BA33C1" w14:textId="77777777" w:rsidR="00F72B3A" w:rsidRPr="00F30FD1" w:rsidRDefault="00F72B3A" w:rsidP="00F72B3A">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2F602218" w14:textId="5832C9CF" w:rsidR="00F72B3A" w:rsidRPr="000D5D2E" w:rsidRDefault="00F72B3A" w:rsidP="00F72B3A">
            <w:pPr>
              <w:spacing w:after="0" w:line="240" w:lineRule="auto"/>
              <w:rPr>
                <w:rFonts w:eastAsia="Times New Roman" w:cs="Futura"/>
                <w:color w:val="595959"/>
                <w:sz w:val="17"/>
                <w:szCs w:val="17"/>
              </w:rPr>
            </w:pPr>
            <w:r w:rsidRPr="000D5D2E">
              <w:rPr>
                <w:rFonts w:eastAsia="Times New Roman" w:cs="Futura"/>
                <w:color w:val="595959"/>
                <w:sz w:val="17"/>
                <w:szCs w:val="17"/>
              </w:rPr>
              <w:t>13.- Fortalecer los servicios de bancarización y pago electrónico de contribuciones.</w:t>
            </w:r>
          </w:p>
        </w:tc>
        <w:tc>
          <w:tcPr>
            <w:tcW w:w="1317" w:type="pct"/>
            <w:shd w:val="clear" w:color="auto" w:fill="FFFFFF"/>
            <w:tcMar>
              <w:top w:w="72" w:type="dxa"/>
              <w:left w:w="144" w:type="dxa"/>
              <w:bottom w:w="72" w:type="dxa"/>
              <w:right w:w="144" w:type="dxa"/>
            </w:tcMar>
            <w:vAlign w:val="center"/>
          </w:tcPr>
          <w:p w14:paraId="1608C84A" w14:textId="2B3D334E" w:rsidR="00F72B3A" w:rsidRPr="000D5D2E" w:rsidRDefault="00F72B3A" w:rsidP="00F72B3A">
            <w:pPr>
              <w:spacing w:after="0" w:line="240" w:lineRule="auto"/>
              <w:rPr>
                <w:rFonts w:eastAsia="Times New Roman" w:cs="Futura"/>
                <w:color w:val="595959"/>
                <w:sz w:val="17"/>
                <w:szCs w:val="17"/>
              </w:rPr>
            </w:pPr>
            <w:r w:rsidRPr="000D5D2E">
              <w:rPr>
                <w:rFonts w:eastAsia="Times New Roman" w:cs="Futura"/>
                <w:color w:val="595959"/>
                <w:sz w:val="17"/>
                <w:szCs w:val="17"/>
              </w:rPr>
              <w:t>1 Celebrar convenios con más instituciones bancarias</w:t>
            </w:r>
          </w:p>
        </w:tc>
        <w:tc>
          <w:tcPr>
            <w:tcW w:w="1082" w:type="pct"/>
            <w:vMerge/>
            <w:shd w:val="clear" w:color="auto" w:fill="FFFFFF" w:themeFill="background1"/>
          </w:tcPr>
          <w:p w14:paraId="69F882FE" w14:textId="77777777" w:rsidR="00F72B3A" w:rsidRPr="00F30FD1" w:rsidRDefault="00F72B3A" w:rsidP="00F72B3A">
            <w:pPr>
              <w:spacing w:after="0" w:line="240" w:lineRule="auto"/>
              <w:rPr>
                <w:rFonts w:eastAsia="Times New Roman" w:cs="Futura"/>
                <w:color w:val="595959"/>
                <w:sz w:val="20"/>
                <w:szCs w:val="20"/>
              </w:rPr>
            </w:pPr>
          </w:p>
        </w:tc>
      </w:tr>
      <w:tr w:rsidR="00F72B3A" w:rsidRPr="00F30FD1" w14:paraId="22EF3A3B"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5B17E5CC" w14:textId="77777777" w:rsidR="00F72B3A" w:rsidRPr="00F30FD1" w:rsidRDefault="00F72B3A" w:rsidP="00F72B3A">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3ED79F1F" w14:textId="2B7F92E3" w:rsidR="00F72B3A" w:rsidRPr="00F30FD1" w:rsidRDefault="00F72B3A" w:rsidP="00F72B3A">
            <w:pPr>
              <w:spacing w:after="0" w:line="240" w:lineRule="auto"/>
              <w:rPr>
                <w:rFonts w:eastAsia="Times New Roman" w:cs="Futura"/>
                <w:color w:val="595959"/>
                <w:sz w:val="20"/>
                <w:szCs w:val="20"/>
              </w:rPr>
            </w:pPr>
            <w:r w:rsidRPr="00F30FD1">
              <w:rPr>
                <w:rFonts w:eastAsia="Times New Roman" w:cs="Futura"/>
                <w:color w:val="595959"/>
                <w:sz w:val="20"/>
                <w:szCs w:val="20"/>
              </w:rPr>
              <w:t>14.- Fortalecer, con apoyo de herramientas tecnológicas, las tareas efectuadas por las Direcciones de Recaudación.</w:t>
            </w:r>
          </w:p>
        </w:tc>
        <w:tc>
          <w:tcPr>
            <w:tcW w:w="1317" w:type="pct"/>
            <w:shd w:val="clear" w:color="auto" w:fill="FFFFFF"/>
            <w:tcMar>
              <w:top w:w="72" w:type="dxa"/>
              <w:left w:w="144" w:type="dxa"/>
              <w:bottom w:w="72" w:type="dxa"/>
              <w:right w:w="144" w:type="dxa"/>
            </w:tcMar>
            <w:vAlign w:val="center"/>
          </w:tcPr>
          <w:p w14:paraId="3E42C0B9" w14:textId="77777777" w:rsidR="00F72B3A" w:rsidRPr="000D5D2E" w:rsidRDefault="00F72B3A" w:rsidP="00F72B3A">
            <w:pPr>
              <w:spacing w:after="0" w:line="240" w:lineRule="auto"/>
              <w:rPr>
                <w:rFonts w:eastAsia="Times New Roman" w:cs="Futura"/>
                <w:color w:val="595959"/>
                <w:sz w:val="18"/>
                <w:szCs w:val="20"/>
              </w:rPr>
            </w:pPr>
            <w:r w:rsidRPr="000D5D2E">
              <w:rPr>
                <w:rFonts w:eastAsia="Times New Roman" w:cs="Futura"/>
                <w:color w:val="595959"/>
                <w:sz w:val="18"/>
                <w:szCs w:val="20"/>
              </w:rPr>
              <w:t>1 Modernización de las herramientas tecnológicas (Software y Hardware) en las oficinas de recaudación.</w:t>
            </w:r>
          </w:p>
          <w:p w14:paraId="21E85645" w14:textId="77777777" w:rsidR="00F72B3A" w:rsidRPr="00F30FD1" w:rsidRDefault="00F72B3A" w:rsidP="00F72B3A">
            <w:pPr>
              <w:spacing w:after="0" w:line="240" w:lineRule="auto"/>
              <w:rPr>
                <w:rFonts w:eastAsia="Times New Roman" w:cs="Futura"/>
                <w:color w:val="595959"/>
                <w:sz w:val="20"/>
                <w:szCs w:val="20"/>
              </w:rPr>
            </w:pPr>
          </w:p>
          <w:p w14:paraId="69425F78" w14:textId="6725A12A" w:rsidR="00F72B3A" w:rsidRPr="00F30FD1" w:rsidRDefault="004D4D5B" w:rsidP="00F72B3A">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2.- </w:t>
            </w:r>
            <w:r w:rsidR="00F72B3A" w:rsidRPr="00F30FD1">
              <w:rPr>
                <w:rFonts w:eastAsia="Times New Roman" w:cs="Futura"/>
                <w:color w:val="595959"/>
                <w:sz w:val="20"/>
                <w:szCs w:val="20"/>
              </w:rPr>
              <w:t>Depurar padrones para fortalecer, con apoyo de herramientas tecnológicas, las tareas efectuadas por las oficinas de recaudación.</w:t>
            </w:r>
          </w:p>
          <w:p w14:paraId="32556698" w14:textId="77777777" w:rsidR="00F72B3A" w:rsidRPr="00F30FD1" w:rsidRDefault="00F72B3A" w:rsidP="00F72B3A">
            <w:pPr>
              <w:spacing w:after="0" w:line="240" w:lineRule="auto"/>
              <w:rPr>
                <w:rFonts w:eastAsia="Times New Roman" w:cs="Futura"/>
                <w:color w:val="595959"/>
                <w:sz w:val="20"/>
                <w:szCs w:val="20"/>
              </w:rPr>
            </w:pPr>
          </w:p>
          <w:p w14:paraId="114DB38F" w14:textId="50A3F071" w:rsidR="00F72B3A" w:rsidRPr="00F30FD1" w:rsidRDefault="004D4D5B" w:rsidP="00F72B3A">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3.- </w:t>
            </w:r>
            <w:r w:rsidR="00F72B3A" w:rsidRPr="00F30FD1">
              <w:rPr>
                <w:rFonts w:eastAsia="Times New Roman" w:cs="Futura"/>
                <w:color w:val="595959"/>
                <w:sz w:val="20"/>
                <w:szCs w:val="20"/>
              </w:rPr>
              <w:t xml:space="preserve">Diseñar y simplificar los procesos de </w:t>
            </w:r>
            <w:r w:rsidR="00880B52" w:rsidRPr="00F30FD1">
              <w:rPr>
                <w:rFonts w:eastAsia="Times New Roman" w:cs="Futura"/>
                <w:color w:val="595959"/>
                <w:sz w:val="20"/>
                <w:szCs w:val="20"/>
              </w:rPr>
              <w:t>recaudación de</w:t>
            </w:r>
            <w:r w:rsidR="00F72B3A" w:rsidRPr="00F30FD1">
              <w:rPr>
                <w:rFonts w:eastAsia="Times New Roman" w:cs="Futura"/>
                <w:color w:val="595959"/>
                <w:sz w:val="20"/>
                <w:szCs w:val="20"/>
              </w:rPr>
              <w:t xml:space="preserve"> los ingresos estatales.</w:t>
            </w:r>
          </w:p>
          <w:p w14:paraId="6CEE1C5C" w14:textId="77777777" w:rsidR="00F72B3A" w:rsidRPr="00F30FD1" w:rsidRDefault="00F72B3A" w:rsidP="00F72B3A">
            <w:pPr>
              <w:spacing w:after="0" w:line="240" w:lineRule="auto"/>
              <w:rPr>
                <w:rFonts w:eastAsia="Times New Roman" w:cs="Futura"/>
                <w:color w:val="595959"/>
                <w:sz w:val="20"/>
                <w:szCs w:val="20"/>
              </w:rPr>
            </w:pPr>
          </w:p>
          <w:p w14:paraId="05C2E418" w14:textId="45E32C56" w:rsidR="00F72B3A" w:rsidRPr="00F30FD1" w:rsidRDefault="004D4D5B" w:rsidP="00F72B3A">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4.- </w:t>
            </w:r>
            <w:r w:rsidR="00F72B3A" w:rsidRPr="00F30FD1">
              <w:rPr>
                <w:rFonts w:eastAsia="Times New Roman" w:cs="Futura"/>
                <w:color w:val="595959"/>
                <w:sz w:val="20"/>
                <w:szCs w:val="20"/>
              </w:rPr>
              <w:t>Sistematización de las actividades del barrido integral de calles.</w:t>
            </w:r>
          </w:p>
          <w:p w14:paraId="20B52B23" w14:textId="77777777" w:rsidR="00F72B3A" w:rsidRPr="00F30FD1" w:rsidRDefault="00F72B3A" w:rsidP="00F72B3A">
            <w:pPr>
              <w:spacing w:after="0" w:line="240" w:lineRule="auto"/>
              <w:rPr>
                <w:rFonts w:eastAsia="Times New Roman" w:cs="Futura"/>
                <w:color w:val="595959"/>
                <w:sz w:val="20"/>
                <w:szCs w:val="20"/>
              </w:rPr>
            </w:pPr>
          </w:p>
          <w:p w14:paraId="71004432" w14:textId="02E37BBD" w:rsidR="00F72B3A" w:rsidRPr="00F30FD1" w:rsidRDefault="004D4D5B" w:rsidP="00F72B3A">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5.- </w:t>
            </w:r>
            <w:r w:rsidR="00F72B3A" w:rsidRPr="00F30FD1">
              <w:rPr>
                <w:rFonts w:eastAsia="Times New Roman" w:cs="Futura"/>
                <w:color w:val="595959"/>
                <w:sz w:val="20"/>
                <w:szCs w:val="20"/>
              </w:rPr>
              <w:t>Diseñar y elaborar un marco geográfico fiscal que permita georreferenciar cualquier tipo de información así como actualizar la información geográfica fiscal del Estado.</w:t>
            </w:r>
          </w:p>
        </w:tc>
        <w:tc>
          <w:tcPr>
            <w:tcW w:w="1082" w:type="pct"/>
            <w:vMerge/>
            <w:shd w:val="clear" w:color="auto" w:fill="FFFFFF" w:themeFill="background1"/>
          </w:tcPr>
          <w:p w14:paraId="32452D7F" w14:textId="77777777" w:rsidR="00F72B3A" w:rsidRPr="00F30FD1" w:rsidRDefault="00F72B3A" w:rsidP="00F72B3A">
            <w:pPr>
              <w:spacing w:after="0" w:line="240" w:lineRule="auto"/>
              <w:rPr>
                <w:rFonts w:eastAsia="Times New Roman" w:cs="Futura"/>
                <w:color w:val="595959"/>
                <w:sz w:val="20"/>
                <w:szCs w:val="20"/>
              </w:rPr>
            </w:pPr>
          </w:p>
        </w:tc>
      </w:tr>
      <w:tr w:rsidR="00F72B3A" w:rsidRPr="00F30FD1" w14:paraId="4F9AAAFF"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20128963" w14:textId="77777777" w:rsidR="00F72B3A" w:rsidRPr="00F30FD1" w:rsidRDefault="00F72B3A" w:rsidP="00F72B3A">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022D691F" w14:textId="6043FE4C" w:rsidR="00F72B3A" w:rsidRPr="00F30FD1" w:rsidRDefault="00F72B3A" w:rsidP="00F72B3A">
            <w:pPr>
              <w:spacing w:after="0" w:line="240" w:lineRule="auto"/>
              <w:rPr>
                <w:rFonts w:eastAsia="Times New Roman" w:cs="Futura"/>
                <w:color w:val="595959"/>
                <w:sz w:val="20"/>
                <w:szCs w:val="20"/>
              </w:rPr>
            </w:pPr>
            <w:r w:rsidRPr="00F30FD1">
              <w:rPr>
                <w:rFonts w:eastAsia="Times New Roman" w:cs="Futura"/>
                <w:color w:val="595959"/>
                <w:sz w:val="20"/>
                <w:szCs w:val="20"/>
              </w:rPr>
              <w:t>15.- Efectuar, en coordinación con la federación, actos de fiscalización para el cumplimiento de obligaciones en materia de impuestos, derechos, productos y aprovechamientos.</w:t>
            </w:r>
          </w:p>
        </w:tc>
        <w:tc>
          <w:tcPr>
            <w:tcW w:w="1317" w:type="pct"/>
            <w:shd w:val="clear" w:color="auto" w:fill="FFFFFF"/>
            <w:tcMar>
              <w:top w:w="72" w:type="dxa"/>
              <w:left w:w="144" w:type="dxa"/>
              <w:bottom w:w="72" w:type="dxa"/>
              <w:right w:w="144" w:type="dxa"/>
            </w:tcMar>
            <w:vAlign w:val="center"/>
          </w:tcPr>
          <w:p w14:paraId="06FDA3A3" w14:textId="77777777" w:rsidR="00F72B3A" w:rsidRPr="00F30FD1" w:rsidRDefault="00F72B3A" w:rsidP="00F72B3A">
            <w:pPr>
              <w:spacing w:after="0" w:line="240" w:lineRule="auto"/>
              <w:rPr>
                <w:rFonts w:eastAsia="Times New Roman" w:cs="Futura"/>
                <w:color w:val="595959"/>
                <w:sz w:val="20"/>
                <w:szCs w:val="20"/>
              </w:rPr>
            </w:pPr>
            <w:r w:rsidRPr="00F30FD1">
              <w:rPr>
                <w:rFonts w:eastAsia="Times New Roman" w:cs="Futura"/>
                <w:color w:val="595959"/>
                <w:sz w:val="20"/>
                <w:szCs w:val="20"/>
              </w:rPr>
              <w:t>1 Realizar actos de presencia fiscal por medio de cartas invitación y verificación de comprobantes fiscales.</w:t>
            </w:r>
          </w:p>
          <w:p w14:paraId="4B7B63AE" w14:textId="77777777" w:rsidR="00F72B3A" w:rsidRPr="00F30FD1" w:rsidRDefault="00F72B3A" w:rsidP="00F72B3A">
            <w:pPr>
              <w:spacing w:after="0" w:line="240" w:lineRule="auto"/>
              <w:rPr>
                <w:rFonts w:eastAsia="Times New Roman" w:cs="Futura"/>
                <w:color w:val="595959"/>
                <w:sz w:val="20"/>
                <w:szCs w:val="20"/>
              </w:rPr>
            </w:pPr>
          </w:p>
          <w:p w14:paraId="57ABDE48" w14:textId="78CC2103" w:rsidR="00F72B3A" w:rsidRPr="00F30FD1" w:rsidRDefault="00FF7A9A" w:rsidP="00F72B3A">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2.- </w:t>
            </w:r>
            <w:r w:rsidR="00F72B3A" w:rsidRPr="00F30FD1">
              <w:rPr>
                <w:rFonts w:eastAsia="Times New Roman" w:cs="Futura"/>
                <w:color w:val="595959"/>
                <w:sz w:val="20"/>
                <w:szCs w:val="20"/>
              </w:rPr>
              <w:t>Elaborar propuestas de casos de ejemplaridad, delitos en el federal de contribuyentes, cancelación del sello digital y delitos por defraudación fiscal.</w:t>
            </w:r>
          </w:p>
          <w:p w14:paraId="777B4259" w14:textId="77777777" w:rsidR="00F72B3A" w:rsidRPr="00F30FD1" w:rsidRDefault="00F72B3A" w:rsidP="00F72B3A">
            <w:pPr>
              <w:spacing w:after="0" w:line="240" w:lineRule="auto"/>
              <w:rPr>
                <w:rFonts w:eastAsia="Times New Roman" w:cs="Futura"/>
                <w:color w:val="595959"/>
                <w:sz w:val="20"/>
                <w:szCs w:val="20"/>
              </w:rPr>
            </w:pPr>
          </w:p>
          <w:p w14:paraId="232668AF" w14:textId="2D6481FC" w:rsidR="00F72B3A" w:rsidRPr="00F30FD1" w:rsidRDefault="00FF7A9A" w:rsidP="00F72B3A">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3.- </w:t>
            </w:r>
            <w:r w:rsidR="00F72B3A" w:rsidRPr="00F30FD1">
              <w:rPr>
                <w:rFonts w:eastAsia="Times New Roman" w:cs="Futura"/>
                <w:color w:val="595959"/>
                <w:sz w:val="20"/>
                <w:szCs w:val="20"/>
              </w:rPr>
              <w:t>Realizar visitas domiciliarias y revisión de dictámenes y de gabinete.</w:t>
            </w:r>
          </w:p>
        </w:tc>
        <w:tc>
          <w:tcPr>
            <w:tcW w:w="1082" w:type="pct"/>
            <w:vMerge/>
            <w:shd w:val="clear" w:color="auto" w:fill="FFFFFF" w:themeFill="background1"/>
          </w:tcPr>
          <w:p w14:paraId="138AD1AE" w14:textId="77777777" w:rsidR="00F72B3A" w:rsidRPr="00F30FD1" w:rsidRDefault="00F72B3A" w:rsidP="00F72B3A">
            <w:pPr>
              <w:spacing w:after="0" w:line="240" w:lineRule="auto"/>
              <w:rPr>
                <w:rFonts w:eastAsia="Times New Roman" w:cs="Futura"/>
                <w:color w:val="595959"/>
                <w:sz w:val="20"/>
                <w:szCs w:val="20"/>
              </w:rPr>
            </w:pPr>
          </w:p>
        </w:tc>
      </w:tr>
      <w:tr w:rsidR="00F72B3A" w:rsidRPr="00F30FD1" w14:paraId="4F678A7D"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1D19A7B0" w14:textId="77777777" w:rsidR="00F72B3A" w:rsidRPr="00F30FD1" w:rsidRDefault="00F72B3A" w:rsidP="00F72B3A">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7C42D2B7" w14:textId="73856A18" w:rsidR="00F72B3A" w:rsidRPr="00F30FD1" w:rsidRDefault="00F72B3A" w:rsidP="00F72B3A">
            <w:pPr>
              <w:spacing w:after="0" w:line="240" w:lineRule="auto"/>
              <w:rPr>
                <w:rFonts w:eastAsia="Times New Roman" w:cs="Futura"/>
                <w:color w:val="595959"/>
                <w:sz w:val="20"/>
                <w:szCs w:val="20"/>
              </w:rPr>
            </w:pPr>
            <w:r w:rsidRPr="00F30FD1">
              <w:rPr>
                <w:rFonts w:eastAsia="Times New Roman" w:cs="Futura"/>
                <w:color w:val="595959"/>
                <w:sz w:val="20"/>
                <w:szCs w:val="20"/>
              </w:rPr>
              <w:t>16.- Mejorar, en coordinación con la Secretaría de Gestión Pública, los procesos y servicios que presta el gobierno del estado a través del Servicio de Administración Tributaria del Estado de Quintana Roo.</w:t>
            </w:r>
          </w:p>
        </w:tc>
        <w:tc>
          <w:tcPr>
            <w:tcW w:w="1317" w:type="pct"/>
            <w:shd w:val="clear" w:color="auto" w:fill="FFFFFF"/>
            <w:tcMar>
              <w:top w:w="72" w:type="dxa"/>
              <w:left w:w="144" w:type="dxa"/>
              <w:bottom w:w="72" w:type="dxa"/>
              <w:right w:w="144" w:type="dxa"/>
            </w:tcMar>
            <w:vAlign w:val="center"/>
          </w:tcPr>
          <w:p w14:paraId="47D9A9A9" w14:textId="204D06B3" w:rsidR="00F72B3A" w:rsidRPr="00F30FD1" w:rsidRDefault="00F72B3A" w:rsidP="00F72B3A">
            <w:pPr>
              <w:rPr>
                <w:rFonts w:eastAsia="Times New Roman" w:cs="Futura"/>
                <w:sz w:val="20"/>
                <w:szCs w:val="20"/>
              </w:rPr>
            </w:pPr>
            <w:r w:rsidRPr="00F30FD1">
              <w:rPr>
                <w:rFonts w:eastAsia="Times New Roman" w:cs="Futura"/>
                <w:color w:val="595959"/>
                <w:sz w:val="20"/>
                <w:szCs w:val="20"/>
              </w:rPr>
              <w:t>1 Mejorar en coordinación con la Secretaria de la contraloría del estado, trámites y servicios que presta el gobierno del Estado a través del Servicio de Administración Tributaria del Estado de Quintana Roo.</w:t>
            </w:r>
          </w:p>
        </w:tc>
        <w:tc>
          <w:tcPr>
            <w:tcW w:w="1082" w:type="pct"/>
            <w:vMerge/>
            <w:shd w:val="clear" w:color="auto" w:fill="FFFFFF" w:themeFill="background1"/>
          </w:tcPr>
          <w:p w14:paraId="0C70688C" w14:textId="77777777" w:rsidR="00F72B3A" w:rsidRPr="00F30FD1" w:rsidRDefault="00F72B3A" w:rsidP="00F72B3A">
            <w:pPr>
              <w:spacing w:after="0" w:line="240" w:lineRule="auto"/>
              <w:rPr>
                <w:rFonts w:eastAsia="Times New Roman" w:cs="Futura"/>
                <w:color w:val="595959"/>
                <w:sz w:val="20"/>
                <w:szCs w:val="20"/>
              </w:rPr>
            </w:pPr>
          </w:p>
        </w:tc>
      </w:tr>
      <w:tr w:rsidR="00F72B3A" w:rsidRPr="00F30FD1" w14:paraId="0C0E088F"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32F3F875" w14:textId="77777777" w:rsidR="00F72B3A" w:rsidRPr="00F30FD1" w:rsidRDefault="00F72B3A" w:rsidP="00F72B3A">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548F6031" w14:textId="70331A50" w:rsidR="00F72B3A" w:rsidRPr="00F30FD1" w:rsidRDefault="00F72B3A" w:rsidP="00F72B3A">
            <w:pPr>
              <w:spacing w:after="0" w:line="240" w:lineRule="auto"/>
              <w:rPr>
                <w:rFonts w:eastAsia="Times New Roman" w:cs="Futura"/>
                <w:color w:val="595959"/>
                <w:sz w:val="20"/>
                <w:szCs w:val="20"/>
              </w:rPr>
            </w:pPr>
            <w:r w:rsidRPr="00F30FD1">
              <w:rPr>
                <w:rFonts w:eastAsia="Times New Roman" w:cs="Futura"/>
                <w:color w:val="595959"/>
                <w:sz w:val="20"/>
                <w:szCs w:val="20"/>
              </w:rPr>
              <w:t>17.- Impulsar programas de calidad total en la atención a usuarios internos y externos de los servicios tributarios.</w:t>
            </w:r>
          </w:p>
        </w:tc>
        <w:tc>
          <w:tcPr>
            <w:tcW w:w="1317" w:type="pct"/>
            <w:shd w:val="clear" w:color="auto" w:fill="FFFFFF"/>
            <w:tcMar>
              <w:top w:w="72" w:type="dxa"/>
              <w:left w:w="144" w:type="dxa"/>
              <w:bottom w:w="72" w:type="dxa"/>
              <w:right w:w="144" w:type="dxa"/>
            </w:tcMar>
            <w:vAlign w:val="center"/>
          </w:tcPr>
          <w:p w14:paraId="0CAA6DD4" w14:textId="50DA29F2" w:rsidR="00F72B3A" w:rsidRPr="00F30FD1" w:rsidRDefault="00F72B3A" w:rsidP="00F72B3A">
            <w:pPr>
              <w:spacing w:after="0" w:line="240" w:lineRule="auto"/>
              <w:rPr>
                <w:rFonts w:eastAsia="Times New Roman" w:cs="Futura"/>
                <w:color w:val="595959"/>
                <w:sz w:val="20"/>
                <w:szCs w:val="20"/>
              </w:rPr>
            </w:pPr>
            <w:r w:rsidRPr="00F30FD1">
              <w:rPr>
                <w:rFonts w:eastAsia="Times New Roman" w:cs="Futura"/>
                <w:color w:val="595959"/>
                <w:sz w:val="20"/>
                <w:szCs w:val="20"/>
              </w:rPr>
              <w:t>1.- Proponer reformas a la Normatividad Fiscal de Estado que permitan la debida fundamentación y motivación de los actos de las autoridades fiscales del Servicio de Administración Tributaria del Estado de Quintana Roo.</w:t>
            </w:r>
          </w:p>
          <w:p w14:paraId="01441A1D" w14:textId="77777777" w:rsidR="00F72B3A" w:rsidRPr="00F30FD1" w:rsidRDefault="00F72B3A" w:rsidP="00F72B3A">
            <w:pPr>
              <w:spacing w:after="0" w:line="240" w:lineRule="auto"/>
              <w:rPr>
                <w:rFonts w:eastAsia="Times New Roman" w:cs="Futura"/>
                <w:color w:val="595959"/>
                <w:sz w:val="20"/>
                <w:szCs w:val="20"/>
              </w:rPr>
            </w:pPr>
          </w:p>
          <w:p w14:paraId="2CAA7193" w14:textId="77777777" w:rsidR="00F72B3A" w:rsidRPr="00F30FD1" w:rsidRDefault="00F72B3A" w:rsidP="00F72B3A">
            <w:pPr>
              <w:spacing w:after="0" w:line="240" w:lineRule="auto"/>
              <w:rPr>
                <w:rFonts w:eastAsia="Times New Roman" w:cs="Futura"/>
                <w:color w:val="595959"/>
                <w:sz w:val="20"/>
                <w:szCs w:val="20"/>
              </w:rPr>
            </w:pPr>
            <w:r w:rsidRPr="00F30FD1">
              <w:rPr>
                <w:rFonts w:eastAsia="Times New Roman" w:cs="Futura"/>
                <w:color w:val="595959"/>
                <w:sz w:val="20"/>
                <w:szCs w:val="20"/>
              </w:rPr>
              <w:t>2.- Formular y analizar anteproyectos de leyes o decretos competencia de la Secretaria para impulsar una mejor y adecuada recaudación de ingreso dentro del marco del derecho y apegada los principios de legalidad, certeza jurídica y respeto a ley, a los contribuyentes y a la dignidad propia de la institución.</w:t>
            </w:r>
          </w:p>
          <w:p w14:paraId="21D3E03C" w14:textId="77777777" w:rsidR="00F72B3A" w:rsidRPr="00F30FD1" w:rsidRDefault="00F72B3A" w:rsidP="00F72B3A">
            <w:pPr>
              <w:spacing w:after="0" w:line="240" w:lineRule="auto"/>
              <w:rPr>
                <w:rFonts w:eastAsia="Times New Roman" w:cs="Futura"/>
                <w:color w:val="595959"/>
                <w:sz w:val="20"/>
                <w:szCs w:val="20"/>
              </w:rPr>
            </w:pPr>
          </w:p>
          <w:p w14:paraId="1B6A20C7" w14:textId="584E15E1" w:rsidR="00F72B3A" w:rsidRPr="00F30FD1" w:rsidRDefault="00F72B3A" w:rsidP="00F72B3A">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3.- Mejorar en coordinación con las autoridades fiscales, las medidas para la adecuada elaboración de las multas, créditos fiscales </w:t>
            </w:r>
            <w:r w:rsidRPr="00F30FD1">
              <w:rPr>
                <w:rFonts w:eastAsia="Times New Roman" w:cs="Futura"/>
                <w:color w:val="595959"/>
                <w:sz w:val="20"/>
                <w:szCs w:val="20"/>
              </w:rPr>
              <w:lastRenderedPageBreak/>
              <w:t xml:space="preserve">infracciones y demás actos por incumplimiento de obligaciones fiscales </w:t>
            </w:r>
            <w:proofErr w:type="spellStart"/>
            <w:r w:rsidRPr="00F30FD1">
              <w:rPr>
                <w:rFonts w:eastAsia="Times New Roman" w:cs="Futura"/>
                <w:color w:val="595959"/>
                <w:sz w:val="20"/>
                <w:szCs w:val="20"/>
              </w:rPr>
              <w:t>asi</w:t>
            </w:r>
            <w:proofErr w:type="spellEnd"/>
            <w:r w:rsidRPr="00F30FD1">
              <w:rPr>
                <w:rFonts w:eastAsia="Times New Roman" w:cs="Futura"/>
                <w:color w:val="595959"/>
                <w:sz w:val="20"/>
                <w:szCs w:val="20"/>
              </w:rPr>
              <w:t xml:space="preserve"> como su debida notificación. (Diseño de formatos de notificación debidamente fundados y motivados; citatorios, ordenes de clausura, ordenes de visita.</w:t>
            </w:r>
          </w:p>
        </w:tc>
        <w:tc>
          <w:tcPr>
            <w:tcW w:w="1082" w:type="pct"/>
            <w:vMerge/>
            <w:shd w:val="clear" w:color="auto" w:fill="FFFFFF" w:themeFill="background1"/>
          </w:tcPr>
          <w:p w14:paraId="51783820" w14:textId="77777777" w:rsidR="00F72B3A" w:rsidRPr="00F30FD1" w:rsidRDefault="00F72B3A" w:rsidP="00F72B3A">
            <w:pPr>
              <w:spacing w:after="0" w:line="240" w:lineRule="auto"/>
              <w:rPr>
                <w:rFonts w:eastAsia="Times New Roman" w:cs="Futura"/>
                <w:color w:val="595959"/>
                <w:sz w:val="20"/>
                <w:szCs w:val="20"/>
              </w:rPr>
            </w:pPr>
          </w:p>
        </w:tc>
      </w:tr>
      <w:tr w:rsidR="00E27F34" w:rsidRPr="00F30FD1" w14:paraId="7CF03E3D"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2573AE54" w14:textId="77777777" w:rsidR="00E27F34" w:rsidRPr="00F30FD1" w:rsidRDefault="00E27F34" w:rsidP="00E27F34">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61F38FBA" w14:textId="3B0CAC19" w:rsidR="00E27F34" w:rsidRPr="00F30FD1" w:rsidRDefault="00E27F34" w:rsidP="00E27F34">
            <w:pPr>
              <w:spacing w:after="0" w:line="240" w:lineRule="auto"/>
              <w:rPr>
                <w:rFonts w:eastAsia="Times New Roman" w:cs="Futura"/>
                <w:color w:val="595959"/>
                <w:sz w:val="20"/>
                <w:szCs w:val="20"/>
              </w:rPr>
            </w:pPr>
            <w:r w:rsidRPr="00F30FD1">
              <w:rPr>
                <w:rFonts w:eastAsia="Times New Roman" w:cs="Futura"/>
                <w:color w:val="595959"/>
                <w:sz w:val="20"/>
                <w:szCs w:val="20"/>
              </w:rPr>
              <w:t>18.- Impulsar la recaudación de ingresos propios.</w:t>
            </w:r>
          </w:p>
        </w:tc>
        <w:tc>
          <w:tcPr>
            <w:tcW w:w="1317" w:type="pct"/>
            <w:shd w:val="clear" w:color="auto" w:fill="FFFFFF"/>
            <w:tcMar>
              <w:top w:w="72" w:type="dxa"/>
              <w:left w:w="144" w:type="dxa"/>
              <w:bottom w:w="72" w:type="dxa"/>
              <w:right w:w="144" w:type="dxa"/>
            </w:tcMar>
            <w:vAlign w:val="center"/>
          </w:tcPr>
          <w:p w14:paraId="12ED660D" w14:textId="7920CE2C" w:rsidR="00E27F34" w:rsidRPr="00F30FD1" w:rsidRDefault="00FF7A9A" w:rsidP="00E27F34">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1. </w:t>
            </w:r>
            <w:r w:rsidR="00E27F34" w:rsidRPr="00F30FD1">
              <w:rPr>
                <w:rFonts w:eastAsia="Times New Roman" w:cs="Futura"/>
                <w:color w:val="595959"/>
                <w:sz w:val="20"/>
                <w:szCs w:val="20"/>
              </w:rPr>
              <w:tab/>
              <w:t>Aumentar la base gravable para la obtención de recursos de contribuciones estatales mediante la aplicación de la legislación vigente</w:t>
            </w:r>
          </w:p>
          <w:p w14:paraId="0458937A" w14:textId="56933811" w:rsidR="00E27F34" w:rsidRPr="00F30FD1" w:rsidRDefault="00E27F34" w:rsidP="00E27F34">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2. </w:t>
            </w:r>
            <w:r w:rsidR="00014766" w:rsidRPr="00F30FD1">
              <w:rPr>
                <w:rFonts w:eastAsia="Times New Roman" w:cs="Futura"/>
                <w:color w:val="595959"/>
                <w:sz w:val="20"/>
                <w:szCs w:val="20"/>
              </w:rPr>
              <w:t>Generar  registro de   licencias y permisos  para la venta y consumo de bebidas alcohólicas</w:t>
            </w:r>
            <w:r w:rsidR="0087323C" w:rsidRPr="00F30FD1">
              <w:rPr>
                <w:rFonts w:eastAsia="Times New Roman" w:cs="Futura"/>
                <w:color w:val="595959"/>
                <w:sz w:val="20"/>
                <w:szCs w:val="20"/>
              </w:rPr>
              <w:t>.</w:t>
            </w:r>
          </w:p>
          <w:p w14:paraId="57DDB76C" w14:textId="63B7E141" w:rsidR="0087323C" w:rsidRPr="00F30FD1" w:rsidRDefault="0087323C" w:rsidP="00E27F34">
            <w:pPr>
              <w:spacing w:after="0" w:line="240" w:lineRule="auto"/>
              <w:rPr>
                <w:rFonts w:eastAsia="Times New Roman" w:cs="Futura"/>
                <w:color w:val="595959"/>
                <w:sz w:val="20"/>
                <w:szCs w:val="20"/>
              </w:rPr>
            </w:pPr>
          </w:p>
        </w:tc>
        <w:tc>
          <w:tcPr>
            <w:tcW w:w="1082" w:type="pct"/>
            <w:vMerge/>
            <w:shd w:val="clear" w:color="auto" w:fill="FFFFFF" w:themeFill="background1"/>
          </w:tcPr>
          <w:p w14:paraId="6FD296CE" w14:textId="77777777" w:rsidR="00E27F34" w:rsidRPr="00F30FD1" w:rsidRDefault="00E27F34" w:rsidP="00E27F34">
            <w:pPr>
              <w:spacing w:after="0" w:line="240" w:lineRule="auto"/>
              <w:rPr>
                <w:rFonts w:eastAsia="Times New Roman" w:cs="Futura"/>
                <w:color w:val="595959"/>
                <w:sz w:val="20"/>
                <w:szCs w:val="20"/>
              </w:rPr>
            </w:pPr>
          </w:p>
        </w:tc>
      </w:tr>
      <w:tr w:rsidR="00E27F34" w:rsidRPr="00F30FD1" w14:paraId="2776EF75"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1A2054FF" w14:textId="77777777" w:rsidR="00E27F34" w:rsidRPr="00F30FD1" w:rsidRDefault="00E27F34" w:rsidP="00E27F34">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656975FA" w14:textId="2F5FBDC9" w:rsidR="00E27F34" w:rsidRPr="00F30FD1" w:rsidRDefault="00E27F34" w:rsidP="00E27F34">
            <w:pPr>
              <w:spacing w:after="0" w:line="240" w:lineRule="auto"/>
              <w:rPr>
                <w:rFonts w:eastAsia="Times New Roman" w:cs="Futura"/>
                <w:color w:val="595959"/>
                <w:sz w:val="20"/>
                <w:szCs w:val="20"/>
              </w:rPr>
            </w:pPr>
            <w:r w:rsidRPr="00F30FD1">
              <w:rPr>
                <w:rFonts w:eastAsia="Times New Roman" w:cs="Futura"/>
                <w:color w:val="595959"/>
                <w:sz w:val="20"/>
                <w:szCs w:val="20"/>
              </w:rPr>
              <w:t>19.- Promover los estímulos estatales y subsidios necesarios para beneficio social.</w:t>
            </w:r>
          </w:p>
        </w:tc>
        <w:tc>
          <w:tcPr>
            <w:tcW w:w="1317" w:type="pct"/>
            <w:shd w:val="clear" w:color="auto" w:fill="FFFFFF"/>
            <w:tcMar>
              <w:top w:w="72" w:type="dxa"/>
              <w:left w:w="144" w:type="dxa"/>
              <w:bottom w:w="72" w:type="dxa"/>
              <w:right w:w="144" w:type="dxa"/>
            </w:tcMar>
            <w:vAlign w:val="center"/>
          </w:tcPr>
          <w:p w14:paraId="53C605F5" w14:textId="77777777" w:rsidR="00E27F34" w:rsidRPr="00F30FD1" w:rsidRDefault="00E27F34" w:rsidP="00E27F34">
            <w:pPr>
              <w:spacing w:after="0" w:line="240" w:lineRule="auto"/>
              <w:rPr>
                <w:rFonts w:eastAsia="Times New Roman" w:cs="Futura"/>
                <w:color w:val="595959"/>
                <w:sz w:val="20"/>
                <w:szCs w:val="20"/>
              </w:rPr>
            </w:pPr>
            <w:r w:rsidRPr="00F30FD1">
              <w:rPr>
                <w:rFonts w:eastAsia="Times New Roman" w:cs="Futura"/>
                <w:color w:val="595959"/>
                <w:sz w:val="20"/>
                <w:szCs w:val="20"/>
              </w:rPr>
              <w:t>1.- Dar puntual seguimiento a las publicaciones del Diario Oficial de la Federación en materia de convenios y estímulos</w:t>
            </w:r>
          </w:p>
          <w:p w14:paraId="19DFF2A1" w14:textId="6EDF7027" w:rsidR="00E27F34" w:rsidRPr="00F30FD1" w:rsidRDefault="00E27F34" w:rsidP="00E27F34">
            <w:pPr>
              <w:spacing w:after="0" w:line="240" w:lineRule="auto"/>
              <w:rPr>
                <w:rFonts w:eastAsia="Times New Roman" w:cs="Futura"/>
                <w:color w:val="595959"/>
                <w:sz w:val="20"/>
                <w:szCs w:val="20"/>
              </w:rPr>
            </w:pPr>
            <w:r w:rsidRPr="00F30FD1">
              <w:rPr>
                <w:rFonts w:eastAsia="Times New Roman" w:cs="Futura"/>
                <w:color w:val="595959"/>
                <w:sz w:val="20"/>
                <w:szCs w:val="20"/>
              </w:rPr>
              <w:t>2.- Establecer medidas que permitan facilitar los trámites y aminorar las cargas fiscales de los sectores vulnerables de la población.</w:t>
            </w:r>
          </w:p>
        </w:tc>
        <w:tc>
          <w:tcPr>
            <w:tcW w:w="1082" w:type="pct"/>
            <w:vMerge/>
            <w:shd w:val="clear" w:color="auto" w:fill="FFFFFF" w:themeFill="background1"/>
          </w:tcPr>
          <w:p w14:paraId="3F6BD92A" w14:textId="77777777" w:rsidR="00E27F34" w:rsidRPr="00F30FD1" w:rsidRDefault="00E27F34" w:rsidP="00E27F34">
            <w:pPr>
              <w:spacing w:after="0" w:line="240" w:lineRule="auto"/>
              <w:rPr>
                <w:rFonts w:eastAsia="Times New Roman" w:cs="Futura"/>
                <w:color w:val="595959"/>
                <w:sz w:val="20"/>
                <w:szCs w:val="20"/>
              </w:rPr>
            </w:pPr>
          </w:p>
        </w:tc>
      </w:tr>
      <w:tr w:rsidR="00E27F34" w:rsidRPr="00F30FD1" w14:paraId="07456EF0"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514BF1D4" w14:textId="77777777" w:rsidR="00E27F34" w:rsidRPr="00F30FD1" w:rsidRDefault="00E27F34" w:rsidP="00E27F34">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69893D9C" w14:textId="07008C22" w:rsidR="00E27F34" w:rsidRPr="00F30FD1" w:rsidRDefault="00E27F34" w:rsidP="00E27F34">
            <w:pPr>
              <w:spacing w:after="0" w:line="240" w:lineRule="auto"/>
              <w:rPr>
                <w:rFonts w:eastAsia="Times New Roman" w:cs="Futura"/>
                <w:color w:val="595959"/>
                <w:sz w:val="20"/>
                <w:szCs w:val="20"/>
              </w:rPr>
            </w:pPr>
            <w:r w:rsidRPr="00F30FD1">
              <w:rPr>
                <w:rFonts w:eastAsia="Times New Roman" w:cs="Futura"/>
                <w:color w:val="595959"/>
                <w:sz w:val="20"/>
                <w:szCs w:val="20"/>
              </w:rPr>
              <w:t>20.- Impulsar el incremento de los recursos federales.</w:t>
            </w:r>
          </w:p>
        </w:tc>
        <w:tc>
          <w:tcPr>
            <w:tcW w:w="1317" w:type="pct"/>
            <w:shd w:val="clear" w:color="auto" w:fill="FFFFFF"/>
            <w:tcMar>
              <w:top w:w="72" w:type="dxa"/>
              <w:left w:w="144" w:type="dxa"/>
              <w:bottom w:w="72" w:type="dxa"/>
              <w:right w:w="144" w:type="dxa"/>
            </w:tcMar>
            <w:vAlign w:val="center"/>
          </w:tcPr>
          <w:p w14:paraId="4C583169" w14:textId="77777777" w:rsidR="00E27F34" w:rsidRPr="00F30FD1" w:rsidRDefault="00E27F34" w:rsidP="00E27F34">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1.-Efectuar estimaciones presupuestales y de gasto con relación a las participaciones y aportaciones en conjunto con los gobiernos municipales y con sustento en el Sistema Nacional de Coordinación </w:t>
            </w:r>
            <w:r w:rsidRPr="00F30FD1">
              <w:rPr>
                <w:rFonts w:eastAsia="Times New Roman" w:cs="Futura"/>
                <w:color w:val="595959"/>
                <w:sz w:val="20"/>
                <w:szCs w:val="20"/>
              </w:rPr>
              <w:lastRenderedPageBreak/>
              <w:t>Fiscal.</w:t>
            </w:r>
          </w:p>
          <w:p w14:paraId="6E6C654E" w14:textId="77777777" w:rsidR="00E27F34" w:rsidRPr="00F30FD1" w:rsidRDefault="00E27F34" w:rsidP="00E27F34">
            <w:pPr>
              <w:spacing w:after="0" w:line="240" w:lineRule="auto"/>
              <w:rPr>
                <w:rFonts w:eastAsia="Times New Roman" w:cs="Futura"/>
                <w:color w:val="595959"/>
                <w:sz w:val="20"/>
                <w:szCs w:val="20"/>
              </w:rPr>
            </w:pPr>
            <w:r w:rsidRPr="00F30FD1">
              <w:rPr>
                <w:rFonts w:eastAsia="Times New Roman" w:cs="Futura"/>
                <w:color w:val="595959"/>
                <w:sz w:val="20"/>
                <w:szCs w:val="20"/>
              </w:rPr>
              <w:t>2.- Diseñar e implementar el Taller de la recaudación del impuesto predial</w:t>
            </w:r>
          </w:p>
          <w:p w14:paraId="510D8394" w14:textId="4F774B36" w:rsidR="00E27F34" w:rsidRPr="00F30FD1" w:rsidRDefault="00E27F34" w:rsidP="00E27F34">
            <w:pPr>
              <w:spacing w:after="0" w:line="240" w:lineRule="auto"/>
              <w:rPr>
                <w:rFonts w:eastAsia="Times New Roman" w:cs="Futura"/>
                <w:color w:val="595959"/>
                <w:sz w:val="20"/>
                <w:szCs w:val="20"/>
              </w:rPr>
            </w:pPr>
            <w:r w:rsidRPr="00F30FD1">
              <w:rPr>
                <w:rFonts w:eastAsia="Times New Roman" w:cs="Futura"/>
                <w:color w:val="595959"/>
                <w:sz w:val="20"/>
                <w:szCs w:val="20"/>
              </w:rPr>
              <w:t>Impulsar estrategias encaminadas a obtener mayores recursos vía incentivos por parte de la federación</w:t>
            </w:r>
          </w:p>
        </w:tc>
        <w:tc>
          <w:tcPr>
            <w:tcW w:w="1082" w:type="pct"/>
            <w:vMerge/>
            <w:shd w:val="clear" w:color="auto" w:fill="FFFFFF" w:themeFill="background1"/>
          </w:tcPr>
          <w:p w14:paraId="0E7DB2EA" w14:textId="77777777" w:rsidR="00E27F34" w:rsidRPr="00F30FD1" w:rsidRDefault="00E27F34" w:rsidP="00E27F34">
            <w:pPr>
              <w:spacing w:after="0" w:line="240" w:lineRule="auto"/>
              <w:rPr>
                <w:rFonts w:eastAsia="Times New Roman" w:cs="Futura"/>
                <w:color w:val="595959"/>
                <w:sz w:val="20"/>
                <w:szCs w:val="20"/>
              </w:rPr>
            </w:pPr>
          </w:p>
        </w:tc>
      </w:tr>
      <w:tr w:rsidR="006272BD" w:rsidRPr="00F30FD1" w14:paraId="4A9212E9"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57DEBAFA" w14:textId="77777777" w:rsidR="006272BD" w:rsidRPr="00F30FD1" w:rsidRDefault="006272BD"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16B7DD7E" w14:textId="47986950" w:rsidR="006272BD" w:rsidRPr="00F30FD1" w:rsidRDefault="006272BD" w:rsidP="00355785">
            <w:pPr>
              <w:spacing w:after="0" w:line="240" w:lineRule="auto"/>
              <w:rPr>
                <w:rFonts w:eastAsia="Times New Roman" w:cs="Futura"/>
                <w:color w:val="595959"/>
                <w:sz w:val="20"/>
                <w:szCs w:val="20"/>
              </w:rPr>
            </w:pPr>
            <w:r w:rsidRPr="00F30FD1">
              <w:rPr>
                <w:rFonts w:eastAsia="Times New Roman" w:cs="Futura"/>
                <w:color w:val="595959"/>
                <w:sz w:val="20"/>
                <w:szCs w:val="20"/>
              </w:rPr>
              <w:t>26.- Desarrollar e implementar acciones para fortalecer el Modelo de Prevención Quintana Roo.</w:t>
            </w:r>
          </w:p>
        </w:tc>
        <w:tc>
          <w:tcPr>
            <w:tcW w:w="1317" w:type="pct"/>
            <w:shd w:val="clear" w:color="auto" w:fill="FFFFFF"/>
            <w:tcMar>
              <w:top w:w="72" w:type="dxa"/>
              <w:left w:w="144" w:type="dxa"/>
              <w:bottom w:w="72" w:type="dxa"/>
              <w:right w:w="144" w:type="dxa"/>
            </w:tcMar>
            <w:vAlign w:val="center"/>
          </w:tcPr>
          <w:p w14:paraId="26B8E7FE" w14:textId="01E15BC0" w:rsidR="006272BD" w:rsidRPr="00F30FD1" w:rsidRDefault="00FF7A9A" w:rsidP="00355785">
            <w:pPr>
              <w:spacing w:after="0" w:line="240" w:lineRule="auto"/>
              <w:rPr>
                <w:rFonts w:eastAsia="Times New Roman" w:cs="Futura"/>
                <w:color w:val="595959"/>
                <w:sz w:val="20"/>
                <w:szCs w:val="20"/>
              </w:rPr>
            </w:pPr>
            <w:r w:rsidRPr="00F30FD1">
              <w:rPr>
                <w:rFonts w:eastAsia="Times New Roman" w:cs="Futura"/>
                <w:color w:val="595959"/>
                <w:sz w:val="20"/>
                <w:szCs w:val="20"/>
              </w:rPr>
              <w:t>1.- Implementar acciones para fortalecer el Modelo de Prevención en Quintana Roo.</w:t>
            </w:r>
          </w:p>
        </w:tc>
        <w:tc>
          <w:tcPr>
            <w:tcW w:w="1082" w:type="pct"/>
            <w:vMerge/>
            <w:shd w:val="clear" w:color="auto" w:fill="FFFFFF" w:themeFill="background1"/>
          </w:tcPr>
          <w:p w14:paraId="1EA8BE1D" w14:textId="77777777" w:rsidR="006272BD" w:rsidRPr="00F30FD1" w:rsidRDefault="006272BD" w:rsidP="005104A8">
            <w:pPr>
              <w:spacing w:after="0" w:line="240" w:lineRule="auto"/>
              <w:rPr>
                <w:rFonts w:eastAsia="Times New Roman" w:cs="Futura"/>
                <w:color w:val="595959"/>
                <w:sz w:val="20"/>
                <w:szCs w:val="20"/>
              </w:rPr>
            </w:pPr>
          </w:p>
        </w:tc>
      </w:tr>
      <w:tr w:rsidR="006272BD" w:rsidRPr="00F30FD1" w14:paraId="73D17DD8"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11A5F8AA" w14:textId="77777777" w:rsidR="006272BD" w:rsidRPr="00F30FD1" w:rsidRDefault="006272BD"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27413C65" w14:textId="3D0CFC81" w:rsidR="006272BD" w:rsidRPr="00F30FD1" w:rsidRDefault="006272BD" w:rsidP="00355785">
            <w:pPr>
              <w:spacing w:after="0" w:line="240" w:lineRule="auto"/>
              <w:rPr>
                <w:rFonts w:eastAsia="Times New Roman" w:cs="Futura"/>
                <w:color w:val="595959"/>
                <w:sz w:val="20"/>
                <w:szCs w:val="20"/>
              </w:rPr>
            </w:pPr>
            <w:r w:rsidRPr="00F30FD1">
              <w:rPr>
                <w:rFonts w:eastAsia="Times New Roman" w:cs="Futura"/>
                <w:color w:val="595959"/>
                <w:sz w:val="20"/>
                <w:szCs w:val="20"/>
              </w:rPr>
              <w:t>27.-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317" w:type="pct"/>
            <w:shd w:val="clear" w:color="auto" w:fill="FFFFFF"/>
            <w:tcMar>
              <w:top w:w="72" w:type="dxa"/>
              <w:left w:w="144" w:type="dxa"/>
              <w:bottom w:w="72" w:type="dxa"/>
              <w:right w:w="144" w:type="dxa"/>
            </w:tcMar>
            <w:vAlign w:val="center"/>
          </w:tcPr>
          <w:p w14:paraId="0CB6AFBC" w14:textId="431F9D2C" w:rsidR="006272BD" w:rsidRPr="00F30FD1" w:rsidRDefault="00C57D2F" w:rsidP="00FC46AC">
            <w:pPr>
              <w:spacing w:after="0" w:line="240" w:lineRule="auto"/>
              <w:rPr>
                <w:rFonts w:eastAsia="Times New Roman" w:cs="Futura"/>
                <w:color w:val="595959"/>
                <w:sz w:val="20"/>
                <w:szCs w:val="20"/>
              </w:rPr>
            </w:pPr>
            <w:r w:rsidRPr="00F30FD1">
              <w:rPr>
                <w:rFonts w:eastAsia="Times New Roman" w:cs="Futura"/>
                <w:color w:val="595959"/>
                <w:sz w:val="20"/>
                <w:szCs w:val="20"/>
              </w:rPr>
              <w:t>1</w:t>
            </w:r>
            <w:r w:rsidR="00FF7A9A" w:rsidRPr="00F30FD1">
              <w:rPr>
                <w:rFonts w:eastAsia="Times New Roman" w:cs="Futura"/>
                <w:color w:val="595959"/>
                <w:sz w:val="20"/>
                <w:szCs w:val="20"/>
              </w:rPr>
              <w:t>.-Implementar acciones</w:t>
            </w:r>
            <w:r w:rsidR="00FC46AC" w:rsidRPr="00F30FD1">
              <w:rPr>
                <w:rFonts w:eastAsia="Times New Roman" w:cs="Futura"/>
                <w:color w:val="595959"/>
                <w:sz w:val="20"/>
                <w:szCs w:val="20"/>
              </w:rPr>
              <w:t xml:space="preserve"> permanentes en materia de los Derechos Humanos dirigido a los servidores públicos de la SEFIPLAN.</w:t>
            </w:r>
          </w:p>
        </w:tc>
        <w:tc>
          <w:tcPr>
            <w:tcW w:w="1082" w:type="pct"/>
            <w:vMerge/>
            <w:shd w:val="clear" w:color="auto" w:fill="FFFFFF" w:themeFill="background1"/>
          </w:tcPr>
          <w:p w14:paraId="578065E2" w14:textId="77777777" w:rsidR="006272BD" w:rsidRPr="00F30FD1" w:rsidRDefault="006272BD" w:rsidP="005104A8">
            <w:pPr>
              <w:spacing w:after="0" w:line="240" w:lineRule="auto"/>
              <w:rPr>
                <w:rFonts w:eastAsia="Times New Roman" w:cs="Futura"/>
                <w:color w:val="595959"/>
                <w:sz w:val="20"/>
                <w:szCs w:val="20"/>
              </w:rPr>
            </w:pPr>
          </w:p>
        </w:tc>
      </w:tr>
      <w:tr w:rsidR="00247E87" w:rsidRPr="00F30FD1" w14:paraId="1720AA43" w14:textId="77777777" w:rsidTr="00F72B3A">
        <w:trPr>
          <w:trHeight w:val="170"/>
          <w:jc w:val="center"/>
        </w:trPr>
        <w:tc>
          <w:tcPr>
            <w:tcW w:w="864" w:type="pct"/>
            <w:vMerge w:val="restart"/>
            <w:shd w:val="clear" w:color="auto" w:fill="FFFFFF"/>
            <w:tcMar>
              <w:top w:w="72" w:type="dxa"/>
              <w:left w:w="144" w:type="dxa"/>
              <w:bottom w:w="72" w:type="dxa"/>
              <w:right w:w="144" w:type="dxa"/>
            </w:tcMar>
            <w:vAlign w:val="center"/>
          </w:tcPr>
          <w:p w14:paraId="0F230081" w14:textId="0AF99F5F" w:rsidR="00247E87" w:rsidRPr="00F30FD1" w:rsidRDefault="00247E87" w:rsidP="00247E87">
            <w:pPr>
              <w:spacing w:after="0" w:line="240" w:lineRule="auto"/>
              <w:rPr>
                <w:rFonts w:eastAsia="Times New Roman" w:cs="Futura"/>
                <w:color w:val="595959"/>
                <w:sz w:val="20"/>
                <w:szCs w:val="20"/>
              </w:rPr>
            </w:pPr>
            <w:r w:rsidRPr="00F30FD1">
              <w:rPr>
                <w:rFonts w:eastAsia="Times New Roman" w:cs="Futura"/>
                <w:color w:val="595959"/>
                <w:sz w:val="20"/>
                <w:szCs w:val="20"/>
              </w:rPr>
              <w:t>Programas 19: Planeación y Evaluación Estratégica.</w:t>
            </w:r>
          </w:p>
        </w:tc>
        <w:tc>
          <w:tcPr>
            <w:tcW w:w="1737" w:type="pct"/>
            <w:shd w:val="clear" w:color="auto" w:fill="FFFFFF"/>
            <w:tcMar>
              <w:top w:w="72" w:type="dxa"/>
              <w:left w:w="144" w:type="dxa"/>
              <w:bottom w:w="72" w:type="dxa"/>
              <w:right w:w="144" w:type="dxa"/>
            </w:tcMar>
          </w:tcPr>
          <w:p w14:paraId="4CD70737" w14:textId="3FF51085" w:rsidR="00247E87" w:rsidRPr="00F30FD1" w:rsidRDefault="00247E87" w:rsidP="0099099D">
            <w:pPr>
              <w:spacing w:after="0" w:line="240" w:lineRule="auto"/>
              <w:rPr>
                <w:rFonts w:eastAsia="Times New Roman" w:cs="Futura"/>
                <w:color w:val="595959"/>
                <w:sz w:val="20"/>
                <w:szCs w:val="20"/>
              </w:rPr>
            </w:pPr>
            <w:r w:rsidRPr="00F30FD1">
              <w:rPr>
                <w:rFonts w:eastAsia="Times New Roman" w:cs="Futura"/>
                <w:color w:val="595959"/>
                <w:sz w:val="20"/>
                <w:szCs w:val="20"/>
              </w:rPr>
              <w:t>1.- Integrar anualmente el Programa Estatal de Evaluación.</w:t>
            </w:r>
          </w:p>
        </w:tc>
        <w:tc>
          <w:tcPr>
            <w:tcW w:w="1317" w:type="pct"/>
            <w:shd w:val="clear" w:color="auto" w:fill="FFFFFF"/>
            <w:tcMar>
              <w:top w:w="72" w:type="dxa"/>
              <w:left w:w="144" w:type="dxa"/>
              <w:bottom w:w="72" w:type="dxa"/>
              <w:right w:w="144" w:type="dxa"/>
            </w:tcMar>
            <w:vAlign w:val="center"/>
          </w:tcPr>
          <w:p w14:paraId="703CA537" w14:textId="3787850D" w:rsidR="00247E87" w:rsidRPr="00F30FD1" w:rsidRDefault="00247E87" w:rsidP="0099099D">
            <w:pPr>
              <w:spacing w:after="0" w:line="240" w:lineRule="auto"/>
              <w:rPr>
                <w:rFonts w:eastAsia="Times New Roman" w:cs="Futura"/>
                <w:color w:val="595959"/>
                <w:sz w:val="20"/>
                <w:szCs w:val="20"/>
              </w:rPr>
            </w:pPr>
            <w:r w:rsidRPr="00F30FD1">
              <w:rPr>
                <w:rFonts w:eastAsia="Times New Roman" w:cs="Futura"/>
                <w:color w:val="595959"/>
                <w:sz w:val="20"/>
                <w:szCs w:val="20"/>
              </w:rPr>
              <w:t>1.- Integrar anualmente el Programa Estatal de Evaluación.</w:t>
            </w:r>
          </w:p>
        </w:tc>
        <w:tc>
          <w:tcPr>
            <w:tcW w:w="1082" w:type="pct"/>
            <w:vMerge w:val="restart"/>
            <w:shd w:val="clear" w:color="auto" w:fill="FFFFFF" w:themeFill="background1"/>
          </w:tcPr>
          <w:p w14:paraId="619B1FD2" w14:textId="3473223B" w:rsidR="00247E87" w:rsidRPr="00F30FD1" w:rsidRDefault="00247E87" w:rsidP="005104A8">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2.- </w:t>
            </w:r>
            <w:r w:rsidR="0099099D" w:rsidRPr="0099099D">
              <w:rPr>
                <w:rFonts w:eastAsia="Times New Roman" w:cs="Futura"/>
                <w:color w:val="595959"/>
                <w:sz w:val="20"/>
                <w:szCs w:val="20"/>
              </w:rPr>
              <w:t>Consolidar la Gestión para Resultados a través de su herramienta, el Presupuesto basado en Resultados, asegurando que el ciclo presupuestario se desarrolle de manera efectiva y que permita al gobierno mantener su estabilidad económica y sustentabilidad de las finanzas públicas.</w:t>
            </w:r>
          </w:p>
        </w:tc>
      </w:tr>
      <w:tr w:rsidR="00247E87" w:rsidRPr="00F30FD1" w14:paraId="6BDCFBDA"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321DF42C"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422D1406" w14:textId="4972E363"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2.- Conformar en coordinación con las dependencias, entidades y organismos, la red de enlaces para la evaluación del desempeño de los programas presupuestarios.</w:t>
            </w:r>
          </w:p>
        </w:tc>
        <w:tc>
          <w:tcPr>
            <w:tcW w:w="1317" w:type="pct"/>
            <w:shd w:val="clear" w:color="auto" w:fill="FFFFFF"/>
            <w:tcMar>
              <w:top w:w="72" w:type="dxa"/>
              <w:left w:w="144" w:type="dxa"/>
              <w:bottom w:w="72" w:type="dxa"/>
              <w:right w:w="144" w:type="dxa"/>
            </w:tcMar>
            <w:vAlign w:val="center"/>
          </w:tcPr>
          <w:p w14:paraId="5666146D" w14:textId="11824FD0"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1.- Conformar en coordinación con las dependencias, entidades y organismos, la red de enlaces para la evaluación del desempeño de los programas presupuestarios.</w:t>
            </w:r>
          </w:p>
        </w:tc>
        <w:tc>
          <w:tcPr>
            <w:tcW w:w="1082" w:type="pct"/>
            <w:vMerge/>
            <w:shd w:val="clear" w:color="auto" w:fill="FFFFFF" w:themeFill="background1"/>
          </w:tcPr>
          <w:p w14:paraId="252A892B" w14:textId="77777777" w:rsidR="00247E87" w:rsidRPr="00F30FD1" w:rsidRDefault="00247E87" w:rsidP="005104A8">
            <w:pPr>
              <w:spacing w:after="0" w:line="240" w:lineRule="auto"/>
              <w:rPr>
                <w:rFonts w:eastAsia="Times New Roman" w:cs="Futura"/>
                <w:color w:val="595959"/>
                <w:sz w:val="20"/>
                <w:szCs w:val="20"/>
              </w:rPr>
            </w:pPr>
          </w:p>
        </w:tc>
      </w:tr>
      <w:tr w:rsidR="00247E87" w:rsidRPr="00F30FD1" w14:paraId="05E2D735"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3897A94B"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2D4675DE" w14:textId="4AE93C09"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3.- Operar un Sistema de Evaluación del Desempeño con enfoque a resultados.</w:t>
            </w:r>
          </w:p>
        </w:tc>
        <w:tc>
          <w:tcPr>
            <w:tcW w:w="1317" w:type="pct"/>
            <w:shd w:val="clear" w:color="auto" w:fill="FFFFFF"/>
            <w:tcMar>
              <w:top w:w="72" w:type="dxa"/>
              <w:left w:w="144" w:type="dxa"/>
              <w:bottom w:w="72" w:type="dxa"/>
              <w:right w:w="144" w:type="dxa"/>
            </w:tcMar>
            <w:vAlign w:val="center"/>
          </w:tcPr>
          <w:p w14:paraId="03249467" w14:textId="044DE57C"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1.- Operar un Sistema de Evaluación del Desempeño con enfoque a resultados.</w:t>
            </w:r>
          </w:p>
        </w:tc>
        <w:tc>
          <w:tcPr>
            <w:tcW w:w="1082" w:type="pct"/>
            <w:vMerge/>
            <w:shd w:val="clear" w:color="auto" w:fill="FFFFFF" w:themeFill="background1"/>
          </w:tcPr>
          <w:p w14:paraId="2D5DE339" w14:textId="77777777" w:rsidR="00247E87" w:rsidRPr="00F30FD1" w:rsidRDefault="00247E87" w:rsidP="005104A8">
            <w:pPr>
              <w:spacing w:after="0" w:line="240" w:lineRule="auto"/>
              <w:rPr>
                <w:rFonts w:eastAsia="Times New Roman" w:cs="Futura"/>
                <w:color w:val="595959"/>
                <w:sz w:val="20"/>
                <w:szCs w:val="20"/>
              </w:rPr>
            </w:pPr>
          </w:p>
        </w:tc>
      </w:tr>
      <w:tr w:rsidR="00247E87" w:rsidRPr="00F30FD1" w14:paraId="76D577F2"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3A7B3A53"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24796489" w14:textId="00B3EB33"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4.- Evaluar anualmente  los programas presupuestarios de la administración </w:t>
            </w:r>
            <w:r w:rsidRPr="00F30FD1">
              <w:rPr>
                <w:rFonts w:eastAsia="Times New Roman" w:cs="Futura"/>
                <w:color w:val="595959"/>
                <w:sz w:val="20"/>
                <w:szCs w:val="20"/>
              </w:rPr>
              <w:lastRenderedPageBreak/>
              <w:t>estatal en el marco del Sistema Estatal de Evaluación del Desempeño.</w:t>
            </w:r>
          </w:p>
        </w:tc>
        <w:tc>
          <w:tcPr>
            <w:tcW w:w="1317" w:type="pct"/>
            <w:shd w:val="clear" w:color="auto" w:fill="FFFFFF"/>
            <w:tcMar>
              <w:top w:w="72" w:type="dxa"/>
              <w:left w:w="144" w:type="dxa"/>
              <w:bottom w:w="72" w:type="dxa"/>
              <w:right w:w="144" w:type="dxa"/>
            </w:tcMar>
            <w:vAlign w:val="center"/>
          </w:tcPr>
          <w:p w14:paraId="6012ADAA" w14:textId="628CD7F8"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lastRenderedPageBreak/>
              <w:t xml:space="preserve">1.- Evaluar anualmente  los programas presupuestarios </w:t>
            </w:r>
            <w:r w:rsidRPr="00F30FD1">
              <w:rPr>
                <w:rFonts w:eastAsia="Times New Roman" w:cs="Futura"/>
                <w:color w:val="595959"/>
                <w:sz w:val="20"/>
                <w:szCs w:val="20"/>
              </w:rPr>
              <w:lastRenderedPageBreak/>
              <w:t>de la administración estatal en el marco del Sistema Estatal de Evaluación del Desempeño.</w:t>
            </w:r>
          </w:p>
        </w:tc>
        <w:tc>
          <w:tcPr>
            <w:tcW w:w="1082" w:type="pct"/>
            <w:vMerge/>
            <w:shd w:val="clear" w:color="auto" w:fill="FFFFFF" w:themeFill="background1"/>
          </w:tcPr>
          <w:p w14:paraId="479D410D" w14:textId="77777777" w:rsidR="00247E87" w:rsidRPr="00F30FD1" w:rsidRDefault="00247E87" w:rsidP="005104A8">
            <w:pPr>
              <w:spacing w:after="0" w:line="240" w:lineRule="auto"/>
              <w:rPr>
                <w:rFonts w:eastAsia="Times New Roman" w:cs="Futura"/>
                <w:color w:val="595959"/>
                <w:sz w:val="20"/>
                <w:szCs w:val="20"/>
              </w:rPr>
            </w:pPr>
          </w:p>
        </w:tc>
      </w:tr>
      <w:tr w:rsidR="00247E87" w:rsidRPr="00F30FD1" w14:paraId="77867527"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05622F10"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22B41F07" w14:textId="6508092E" w:rsidR="00247E87" w:rsidRPr="004B2E3F" w:rsidRDefault="00247E87" w:rsidP="0099099D">
            <w:pPr>
              <w:spacing w:after="0" w:line="240" w:lineRule="auto"/>
              <w:rPr>
                <w:rFonts w:eastAsia="Times New Roman" w:cs="Futura"/>
                <w:color w:val="595959"/>
                <w:sz w:val="18"/>
                <w:szCs w:val="20"/>
              </w:rPr>
            </w:pPr>
            <w:r w:rsidRPr="004B2E3F">
              <w:rPr>
                <w:rFonts w:eastAsia="Times New Roman" w:cs="Futura"/>
                <w:color w:val="595959"/>
                <w:sz w:val="18"/>
                <w:szCs w:val="20"/>
              </w:rPr>
              <w:t xml:space="preserve">5.- Efectuar, en coordinación con la Unidad de Transparencia y Acceso a la Información, la publicación de información en materia del Sistema de Evaluación del Desempeño. </w:t>
            </w:r>
          </w:p>
        </w:tc>
        <w:tc>
          <w:tcPr>
            <w:tcW w:w="1317" w:type="pct"/>
            <w:shd w:val="clear" w:color="auto" w:fill="FFFFFF"/>
            <w:tcMar>
              <w:top w:w="72" w:type="dxa"/>
              <w:left w:w="144" w:type="dxa"/>
              <w:bottom w:w="72" w:type="dxa"/>
              <w:right w:w="144" w:type="dxa"/>
            </w:tcMar>
            <w:vAlign w:val="center"/>
          </w:tcPr>
          <w:p w14:paraId="73171B71" w14:textId="2F6EB1B5" w:rsidR="00247E87" w:rsidRPr="004B2E3F" w:rsidRDefault="00247E87" w:rsidP="00355785">
            <w:pPr>
              <w:spacing w:after="0" w:line="240" w:lineRule="auto"/>
              <w:rPr>
                <w:rFonts w:eastAsia="Times New Roman" w:cs="Futura"/>
                <w:color w:val="595959"/>
                <w:sz w:val="18"/>
                <w:szCs w:val="20"/>
              </w:rPr>
            </w:pPr>
            <w:r w:rsidRPr="004B2E3F">
              <w:rPr>
                <w:rFonts w:eastAsia="Times New Roman" w:cs="Futura"/>
                <w:color w:val="595959"/>
                <w:sz w:val="18"/>
                <w:szCs w:val="20"/>
              </w:rPr>
              <w:t>1.- Efectuar, en coordinación con la Unidad de Transparencia y Acceso a la Información, la publicación de información en materia del Sistema de Evaluación del Desempeño.</w:t>
            </w:r>
          </w:p>
        </w:tc>
        <w:tc>
          <w:tcPr>
            <w:tcW w:w="1082" w:type="pct"/>
            <w:vMerge/>
            <w:shd w:val="clear" w:color="auto" w:fill="FFFFFF" w:themeFill="background1"/>
          </w:tcPr>
          <w:p w14:paraId="5884BE54" w14:textId="77777777" w:rsidR="00247E87" w:rsidRPr="00F30FD1" w:rsidRDefault="00247E87" w:rsidP="005104A8">
            <w:pPr>
              <w:spacing w:after="0" w:line="240" w:lineRule="auto"/>
              <w:rPr>
                <w:rFonts w:eastAsia="Times New Roman" w:cs="Futura"/>
                <w:color w:val="595959"/>
                <w:sz w:val="20"/>
                <w:szCs w:val="20"/>
              </w:rPr>
            </w:pPr>
          </w:p>
        </w:tc>
      </w:tr>
      <w:tr w:rsidR="00247E87" w:rsidRPr="00F30FD1" w14:paraId="3B8FFF87"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387E96A4"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6B65D4DD" w14:textId="0055122A" w:rsidR="00247E87" w:rsidRPr="004B2E3F" w:rsidRDefault="00247E87" w:rsidP="0099099D">
            <w:pPr>
              <w:spacing w:after="0" w:line="240" w:lineRule="auto"/>
              <w:rPr>
                <w:rFonts w:eastAsia="Times New Roman" w:cs="Futura"/>
                <w:color w:val="595959"/>
                <w:sz w:val="18"/>
                <w:szCs w:val="20"/>
              </w:rPr>
            </w:pPr>
            <w:r w:rsidRPr="004B2E3F">
              <w:rPr>
                <w:rFonts w:eastAsia="Times New Roman" w:cs="Futura"/>
                <w:color w:val="595959"/>
                <w:sz w:val="18"/>
                <w:szCs w:val="20"/>
              </w:rPr>
              <w:t>6.- Instaurar Consejos Interinstitucionales de apoyo a la planeación del estado.</w:t>
            </w:r>
          </w:p>
        </w:tc>
        <w:tc>
          <w:tcPr>
            <w:tcW w:w="1317" w:type="pct"/>
            <w:shd w:val="clear" w:color="auto" w:fill="FFFFFF"/>
            <w:tcMar>
              <w:top w:w="72" w:type="dxa"/>
              <w:left w:w="144" w:type="dxa"/>
              <w:bottom w:w="72" w:type="dxa"/>
              <w:right w:w="144" w:type="dxa"/>
            </w:tcMar>
            <w:vAlign w:val="center"/>
          </w:tcPr>
          <w:p w14:paraId="3CA40078" w14:textId="5AA690AD" w:rsidR="00247E87" w:rsidRPr="004B2E3F" w:rsidRDefault="00247E87" w:rsidP="0099099D">
            <w:pPr>
              <w:spacing w:after="0" w:line="240" w:lineRule="auto"/>
              <w:rPr>
                <w:rFonts w:eastAsia="Times New Roman" w:cs="Futura"/>
                <w:color w:val="595959"/>
                <w:sz w:val="18"/>
                <w:szCs w:val="20"/>
              </w:rPr>
            </w:pPr>
            <w:r w:rsidRPr="004B2E3F">
              <w:rPr>
                <w:rFonts w:eastAsia="Times New Roman" w:cs="Futura"/>
                <w:color w:val="595959"/>
                <w:sz w:val="18"/>
                <w:szCs w:val="20"/>
              </w:rPr>
              <w:t>1.-  Instaurar Consejos Interinstitucionales de apoyo a la planeación del estado.</w:t>
            </w:r>
          </w:p>
        </w:tc>
        <w:tc>
          <w:tcPr>
            <w:tcW w:w="1082" w:type="pct"/>
            <w:vMerge/>
            <w:shd w:val="clear" w:color="auto" w:fill="FFFFFF" w:themeFill="background1"/>
          </w:tcPr>
          <w:p w14:paraId="7AB2E1DE" w14:textId="77777777" w:rsidR="00247E87" w:rsidRPr="00F30FD1" w:rsidRDefault="00247E87" w:rsidP="005104A8">
            <w:pPr>
              <w:spacing w:after="0" w:line="240" w:lineRule="auto"/>
              <w:rPr>
                <w:rFonts w:eastAsia="Times New Roman" w:cs="Futura"/>
                <w:color w:val="595959"/>
                <w:sz w:val="20"/>
                <w:szCs w:val="20"/>
              </w:rPr>
            </w:pPr>
          </w:p>
        </w:tc>
      </w:tr>
      <w:tr w:rsidR="00247E87" w:rsidRPr="00F30FD1" w14:paraId="721539A9"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1AD3A9BA"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452311D2" w14:textId="1C427066" w:rsidR="00247E87" w:rsidRPr="004B2E3F" w:rsidRDefault="00247E87" w:rsidP="00355785">
            <w:pPr>
              <w:spacing w:after="0" w:line="240" w:lineRule="auto"/>
              <w:rPr>
                <w:rFonts w:eastAsia="Times New Roman" w:cs="Futura"/>
                <w:color w:val="595959"/>
                <w:sz w:val="18"/>
                <w:szCs w:val="20"/>
              </w:rPr>
            </w:pPr>
            <w:r w:rsidRPr="004B2E3F">
              <w:rPr>
                <w:rFonts w:eastAsia="Times New Roman" w:cs="Futura"/>
                <w:color w:val="595959"/>
                <w:sz w:val="18"/>
                <w:szCs w:val="20"/>
              </w:rPr>
              <w:t>7.- Asesorar, en coordinación con la Secretaría de la Gestión Pública, a gobiernos municipales del estado para la integración de sus modelos de planeación en materia de administración, economía y urbanización.</w:t>
            </w:r>
          </w:p>
        </w:tc>
        <w:tc>
          <w:tcPr>
            <w:tcW w:w="1317" w:type="pct"/>
            <w:shd w:val="clear" w:color="auto" w:fill="FFFFFF"/>
            <w:tcMar>
              <w:top w:w="72" w:type="dxa"/>
              <w:left w:w="144" w:type="dxa"/>
              <w:bottom w:w="72" w:type="dxa"/>
              <w:right w:w="144" w:type="dxa"/>
            </w:tcMar>
            <w:vAlign w:val="center"/>
          </w:tcPr>
          <w:p w14:paraId="6D6F898A" w14:textId="52EFDE9B" w:rsidR="00247E87" w:rsidRPr="004B2E3F" w:rsidRDefault="004B2E3F" w:rsidP="00355785">
            <w:pPr>
              <w:spacing w:after="0" w:line="240" w:lineRule="auto"/>
              <w:rPr>
                <w:rFonts w:eastAsia="Times New Roman" w:cs="Futura"/>
                <w:color w:val="595959"/>
                <w:sz w:val="18"/>
                <w:szCs w:val="20"/>
              </w:rPr>
            </w:pPr>
            <w:r w:rsidRPr="004B2E3F">
              <w:rPr>
                <w:rFonts w:eastAsia="Times New Roman" w:cs="Futura"/>
                <w:color w:val="595959"/>
                <w:sz w:val="18"/>
                <w:szCs w:val="20"/>
              </w:rPr>
              <w:t>1.- Asesorar a gobiernos municipales del estado para la integración de sus modelos de planeación en materia de administración, economía y urbanización.</w:t>
            </w:r>
          </w:p>
        </w:tc>
        <w:tc>
          <w:tcPr>
            <w:tcW w:w="1082" w:type="pct"/>
            <w:vMerge/>
            <w:shd w:val="clear" w:color="auto" w:fill="FFFFFF" w:themeFill="background1"/>
          </w:tcPr>
          <w:p w14:paraId="6AFC74AE" w14:textId="77777777" w:rsidR="00247E87" w:rsidRPr="00F30FD1" w:rsidRDefault="00247E87" w:rsidP="005104A8">
            <w:pPr>
              <w:spacing w:after="0" w:line="240" w:lineRule="auto"/>
              <w:rPr>
                <w:rFonts w:eastAsia="Times New Roman" w:cs="Futura"/>
                <w:color w:val="595959"/>
                <w:sz w:val="20"/>
                <w:szCs w:val="20"/>
              </w:rPr>
            </w:pPr>
          </w:p>
        </w:tc>
      </w:tr>
      <w:tr w:rsidR="00247E87" w:rsidRPr="00F30FD1" w14:paraId="1D9DDC6C"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29A718E7"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0A733083" w14:textId="23AC18DC" w:rsidR="00247E87" w:rsidRPr="004B2E3F" w:rsidRDefault="00247E87" w:rsidP="00355785">
            <w:pPr>
              <w:spacing w:after="0" w:line="240" w:lineRule="auto"/>
              <w:rPr>
                <w:rFonts w:eastAsia="Times New Roman" w:cs="Futura"/>
                <w:color w:val="595959"/>
                <w:sz w:val="18"/>
                <w:szCs w:val="20"/>
              </w:rPr>
            </w:pPr>
            <w:r w:rsidRPr="004B2E3F">
              <w:rPr>
                <w:rFonts w:eastAsia="Times New Roman" w:cs="Futura"/>
                <w:color w:val="595959"/>
                <w:sz w:val="18"/>
                <w:szCs w:val="20"/>
              </w:rPr>
              <w:t>8.- Fortalecer el Marco Normativo del Sistema Estatal de Planeación.</w:t>
            </w:r>
          </w:p>
        </w:tc>
        <w:tc>
          <w:tcPr>
            <w:tcW w:w="1317" w:type="pct"/>
            <w:shd w:val="clear" w:color="auto" w:fill="FFFFFF"/>
            <w:tcMar>
              <w:top w:w="72" w:type="dxa"/>
              <w:left w:w="144" w:type="dxa"/>
              <w:bottom w:w="72" w:type="dxa"/>
              <w:right w:w="144" w:type="dxa"/>
            </w:tcMar>
            <w:vAlign w:val="center"/>
          </w:tcPr>
          <w:p w14:paraId="0018B5DC" w14:textId="70D82038" w:rsidR="00247E87" w:rsidRPr="004B2E3F" w:rsidRDefault="00247E87" w:rsidP="00355785">
            <w:pPr>
              <w:spacing w:after="0" w:line="240" w:lineRule="auto"/>
              <w:rPr>
                <w:rFonts w:eastAsia="Times New Roman" w:cs="Futura"/>
                <w:color w:val="595959"/>
                <w:sz w:val="18"/>
                <w:szCs w:val="20"/>
              </w:rPr>
            </w:pPr>
            <w:r w:rsidRPr="004B2E3F">
              <w:rPr>
                <w:rFonts w:eastAsia="Times New Roman" w:cs="Futura"/>
                <w:color w:val="595959"/>
                <w:sz w:val="18"/>
                <w:szCs w:val="20"/>
              </w:rPr>
              <w:t>1.- Emitir y Mantener Actualizado el Marco Normativo del Sistema Estatal de Planeación.</w:t>
            </w:r>
          </w:p>
        </w:tc>
        <w:tc>
          <w:tcPr>
            <w:tcW w:w="1082" w:type="pct"/>
            <w:vMerge/>
            <w:shd w:val="clear" w:color="auto" w:fill="FFFFFF" w:themeFill="background1"/>
          </w:tcPr>
          <w:p w14:paraId="4F05691A" w14:textId="77777777" w:rsidR="00247E87" w:rsidRPr="00F30FD1" w:rsidRDefault="00247E87" w:rsidP="005104A8">
            <w:pPr>
              <w:spacing w:after="0" w:line="240" w:lineRule="auto"/>
              <w:rPr>
                <w:rFonts w:eastAsia="Times New Roman" w:cs="Futura"/>
                <w:color w:val="595959"/>
                <w:sz w:val="20"/>
                <w:szCs w:val="20"/>
              </w:rPr>
            </w:pPr>
          </w:p>
        </w:tc>
      </w:tr>
      <w:tr w:rsidR="00247E87" w:rsidRPr="00F30FD1" w14:paraId="391C5FB4"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73339491"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1CD76435" w14:textId="0DB03D0A" w:rsidR="00247E87" w:rsidRPr="004B2E3F" w:rsidRDefault="00247E87" w:rsidP="00355785">
            <w:pPr>
              <w:spacing w:after="0" w:line="240" w:lineRule="auto"/>
              <w:rPr>
                <w:rFonts w:eastAsia="Times New Roman" w:cs="Futura"/>
                <w:color w:val="595959"/>
                <w:sz w:val="18"/>
                <w:szCs w:val="20"/>
              </w:rPr>
            </w:pPr>
            <w:r w:rsidRPr="004B2E3F">
              <w:rPr>
                <w:rFonts w:eastAsia="Times New Roman" w:cs="Futura"/>
                <w:color w:val="595959"/>
                <w:sz w:val="18"/>
                <w:szCs w:val="20"/>
              </w:rPr>
              <w:t>9.- Fortalecer el funcionamiento del Comité de Planeación para el Desarrollo del Estado de Quintana Roo (COPLADE).</w:t>
            </w:r>
          </w:p>
        </w:tc>
        <w:tc>
          <w:tcPr>
            <w:tcW w:w="1317" w:type="pct"/>
            <w:shd w:val="clear" w:color="auto" w:fill="FFFFFF"/>
            <w:tcMar>
              <w:top w:w="72" w:type="dxa"/>
              <w:left w:w="144" w:type="dxa"/>
              <w:bottom w:w="72" w:type="dxa"/>
              <w:right w:w="144" w:type="dxa"/>
            </w:tcMar>
            <w:vAlign w:val="center"/>
          </w:tcPr>
          <w:p w14:paraId="0E2BFD87" w14:textId="0BD7B570" w:rsidR="00247E87" w:rsidRPr="004B2E3F" w:rsidRDefault="00247E87" w:rsidP="00355785">
            <w:pPr>
              <w:spacing w:after="0" w:line="240" w:lineRule="auto"/>
              <w:rPr>
                <w:rFonts w:eastAsia="Times New Roman" w:cs="Futura"/>
                <w:color w:val="595959"/>
                <w:sz w:val="18"/>
                <w:szCs w:val="20"/>
              </w:rPr>
            </w:pPr>
            <w:r w:rsidRPr="004B2E3F">
              <w:rPr>
                <w:rFonts w:eastAsia="Times New Roman" w:cs="Futura"/>
                <w:color w:val="595959"/>
                <w:sz w:val="18"/>
                <w:szCs w:val="20"/>
              </w:rPr>
              <w:t>1.- Coordinar la Integración y dar seguimiento al Comité de Planeación  para el Desarrollo del Estado de Quintana Roo (COPLADE)</w:t>
            </w:r>
          </w:p>
        </w:tc>
        <w:tc>
          <w:tcPr>
            <w:tcW w:w="1082" w:type="pct"/>
            <w:vMerge/>
            <w:shd w:val="clear" w:color="auto" w:fill="FFFFFF" w:themeFill="background1"/>
          </w:tcPr>
          <w:p w14:paraId="48A9E754" w14:textId="77777777" w:rsidR="00247E87" w:rsidRPr="00F30FD1" w:rsidRDefault="00247E87" w:rsidP="005104A8">
            <w:pPr>
              <w:spacing w:after="0" w:line="240" w:lineRule="auto"/>
              <w:rPr>
                <w:rFonts w:eastAsia="Times New Roman" w:cs="Futura"/>
                <w:color w:val="595959"/>
                <w:sz w:val="20"/>
                <w:szCs w:val="20"/>
              </w:rPr>
            </w:pPr>
          </w:p>
        </w:tc>
      </w:tr>
      <w:tr w:rsidR="00247E87" w:rsidRPr="00F30FD1" w14:paraId="747E891F"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60500FAA"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7A75DFEB" w14:textId="6D29A9FD" w:rsidR="00247E87" w:rsidRPr="004B2E3F" w:rsidRDefault="00247E87" w:rsidP="00355785">
            <w:pPr>
              <w:spacing w:after="0" w:line="240" w:lineRule="auto"/>
              <w:rPr>
                <w:rFonts w:eastAsia="Times New Roman" w:cs="Futura"/>
                <w:color w:val="595959"/>
                <w:sz w:val="18"/>
                <w:szCs w:val="20"/>
              </w:rPr>
            </w:pPr>
            <w:r w:rsidRPr="004B2E3F">
              <w:rPr>
                <w:rFonts w:eastAsia="Times New Roman" w:cs="Futura"/>
                <w:color w:val="595959"/>
                <w:sz w:val="18"/>
                <w:szCs w:val="20"/>
              </w:rPr>
              <w:t>10.- Efectuar anualmente un análisis de atención a las líneas de acción del Plan Estatal de Desarrollo.</w:t>
            </w:r>
          </w:p>
        </w:tc>
        <w:tc>
          <w:tcPr>
            <w:tcW w:w="1317" w:type="pct"/>
            <w:shd w:val="clear" w:color="auto" w:fill="FFFFFF"/>
            <w:tcMar>
              <w:top w:w="72" w:type="dxa"/>
              <w:left w:w="144" w:type="dxa"/>
              <w:bottom w:w="72" w:type="dxa"/>
              <w:right w:w="144" w:type="dxa"/>
            </w:tcMar>
            <w:vAlign w:val="center"/>
          </w:tcPr>
          <w:p w14:paraId="171C418B" w14:textId="4F37A15D" w:rsidR="00247E87" w:rsidRPr="004B2E3F" w:rsidRDefault="00247E87" w:rsidP="00355785">
            <w:pPr>
              <w:spacing w:after="0" w:line="240" w:lineRule="auto"/>
              <w:rPr>
                <w:rFonts w:eastAsia="Times New Roman" w:cs="Futura"/>
                <w:color w:val="595959"/>
                <w:sz w:val="18"/>
                <w:szCs w:val="20"/>
              </w:rPr>
            </w:pPr>
            <w:r w:rsidRPr="004B2E3F">
              <w:rPr>
                <w:rFonts w:eastAsia="Times New Roman" w:cs="Futura"/>
                <w:color w:val="595959"/>
                <w:sz w:val="18"/>
                <w:szCs w:val="20"/>
              </w:rPr>
              <w:t>1.- Elaborar un Informe anual sobre el avance de atención  de las líneas de acción  del Plan Estatal de Desarrollo.</w:t>
            </w:r>
          </w:p>
        </w:tc>
        <w:tc>
          <w:tcPr>
            <w:tcW w:w="1082" w:type="pct"/>
            <w:vMerge/>
            <w:shd w:val="clear" w:color="auto" w:fill="FFFFFF" w:themeFill="background1"/>
          </w:tcPr>
          <w:p w14:paraId="320B3F0C" w14:textId="77777777" w:rsidR="00247E87" w:rsidRPr="00F30FD1" w:rsidRDefault="00247E87" w:rsidP="00355785">
            <w:pPr>
              <w:spacing w:after="0" w:line="240" w:lineRule="auto"/>
              <w:rPr>
                <w:rFonts w:eastAsia="Times New Roman" w:cs="Futura"/>
                <w:color w:val="595959"/>
                <w:sz w:val="20"/>
                <w:szCs w:val="20"/>
              </w:rPr>
            </w:pPr>
          </w:p>
        </w:tc>
      </w:tr>
      <w:tr w:rsidR="00247E87" w:rsidRPr="00F30FD1" w14:paraId="16295B9B"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0CDA7E0D"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35228201" w14:textId="14493780"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11.- Mejorar el proceso de integración y seguimiento del Programa Anual de Inversión Pública.</w:t>
            </w:r>
          </w:p>
        </w:tc>
        <w:tc>
          <w:tcPr>
            <w:tcW w:w="1317" w:type="pct"/>
            <w:shd w:val="clear" w:color="auto" w:fill="FFFFFF"/>
            <w:tcMar>
              <w:top w:w="72" w:type="dxa"/>
              <w:left w:w="144" w:type="dxa"/>
              <w:bottom w:w="72" w:type="dxa"/>
              <w:right w:w="144" w:type="dxa"/>
            </w:tcMar>
            <w:vAlign w:val="center"/>
          </w:tcPr>
          <w:p w14:paraId="07E22C92" w14:textId="3F0BD07C"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1.-  Mejorar el proceso de integración y seguimiento del Programa Anual de Inversión Pública.</w:t>
            </w:r>
          </w:p>
        </w:tc>
        <w:tc>
          <w:tcPr>
            <w:tcW w:w="1082" w:type="pct"/>
            <w:vMerge/>
            <w:shd w:val="clear" w:color="auto" w:fill="FFFFFF" w:themeFill="background1"/>
          </w:tcPr>
          <w:p w14:paraId="0AD4861A" w14:textId="77777777" w:rsidR="00247E87" w:rsidRPr="00F30FD1" w:rsidRDefault="00247E87" w:rsidP="00355785">
            <w:pPr>
              <w:spacing w:after="0" w:line="240" w:lineRule="auto"/>
              <w:rPr>
                <w:rFonts w:eastAsia="Times New Roman" w:cs="Futura"/>
                <w:color w:val="595959"/>
                <w:sz w:val="20"/>
                <w:szCs w:val="20"/>
              </w:rPr>
            </w:pPr>
          </w:p>
        </w:tc>
      </w:tr>
      <w:tr w:rsidR="00247E87" w:rsidRPr="00F30FD1" w14:paraId="3B2A4BAF"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29B884D3"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26CC6D18" w14:textId="36274A47"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12.- Sistematizar el proceso de </w:t>
            </w:r>
            <w:r w:rsidRPr="00F30FD1">
              <w:rPr>
                <w:rFonts w:eastAsia="Times New Roman" w:cs="Futura"/>
                <w:color w:val="595959"/>
                <w:sz w:val="20"/>
                <w:szCs w:val="20"/>
              </w:rPr>
              <w:lastRenderedPageBreak/>
              <w:t>planeación de inversiones para promover una adecuada y correcta integración, gestión y ejecución de los proyectos.</w:t>
            </w:r>
          </w:p>
        </w:tc>
        <w:tc>
          <w:tcPr>
            <w:tcW w:w="1317" w:type="pct"/>
            <w:shd w:val="clear" w:color="auto" w:fill="FFFFFF"/>
            <w:tcMar>
              <w:top w:w="72" w:type="dxa"/>
              <w:left w:w="144" w:type="dxa"/>
              <w:bottom w:w="72" w:type="dxa"/>
              <w:right w:w="144" w:type="dxa"/>
            </w:tcMar>
            <w:vAlign w:val="center"/>
          </w:tcPr>
          <w:p w14:paraId="0B81EE6A" w14:textId="0E7C14F5"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lastRenderedPageBreak/>
              <w:t xml:space="preserve">1.-  Sistematizar el proceso </w:t>
            </w:r>
            <w:r w:rsidRPr="00F30FD1">
              <w:rPr>
                <w:rFonts w:eastAsia="Times New Roman" w:cs="Futura"/>
                <w:color w:val="595959"/>
                <w:sz w:val="20"/>
                <w:szCs w:val="20"/>
              </w:rPr>
              <w:lastRenderedPageBreak/>
              <w:t>de planeación de inversiones para promover una adecuada y correcta integración, gestión y ejecución de los proyectos.</w:t>
            </w:r>
          </w:p>
        </w:tc>
        <w:tc>
          <w:tcPr>
            <w:tcW w:w="1082" w:type="pct"/>
            <w:vMerge/>
            <w:shd w:val="clear" w:color="auto" w:fill="FFFFFF" w:themeFill="background1"/>
          </w:tcPr>
          <w:p w14:paraId="12A410EF" w14:textId="77777777" w:rsidR="00247E87" w:rsidRPr="00F30FD1" w:rsidRDefault="00247E87" w:rsidP="00355785">
            <w:pPr>
              <w:spacing w:after="0" w:line="240" w:lineRule="auto"/>
              <w:rPr>
                <w:rFonts w:eastAsia="Times New Roman" w:cs="Futura"/>
                <w:color w:val="595959"/>
                <w:sz w:val="20"/>
                <w:szCs w:val="20"/>
              </w:rPr>
            </w:pPr>
          </w:p>
        </w:tc>
      </w:tr>
      <w:tr w:rsidR="00247E87" w:rsidRPr="00F30FD1" w14:paraId="6FB2C098"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6DB7DDCC" w14:textId="77777777" w:rsidR="00247E87" w:rsidRPr="00F30FD1" w:rsidRDefault="00247E87" w:rsidP="005104A8">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41C4BEB0" w14:textId="1C594C87"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13.- Establecer en el Sistema Estatal de Inversión Pública las bases para una planeación de necesidades de infraestructura ordenada, técnicamente sustentada y con visión de largo plazo.</w:t>
            </w:r>
          </w:p>
        </w:tc>
        <w:tc>
          <w:tcPr>
            <w:tcW w:w="1317" w:type="pct"/>
            <w:shd w:val="clear" w:color="auto" w:fill="FFFFFF"/>
            <w:tcMar>
              <w:top w:w="72" w:type="dxa"/>
              <w:left w:w="144" w:type="dxa"/>
              <w:bottom w:w="72" w:type="dxa"/>
              <w:right w:w="144" w:type="dxa"/>
            </w:tcMar>
            <w:vAlign w:val="center"/>
          </w:tcPr>
          <w:p w14:paraId="33D44F36" w14:textId="395704A1" w:rsidR="00247E87" w:rsidRPr="00F30FD1" w:rsidRDefault="00247E87" w:rsidP="00355785">
            <w:pPr>
              <w:spacing w:after="0" w:line="240" w:lineRule="auto"/>
              <w:rPr>
                <w:rFonts w:eastAsia="Times New Roman" w:cs="Futura"/>
                <w:color w:val="595959"/>
                <w:sz w:val="20"/>
                <w:szCs w:val="20"/>
              </w:rPr>
            </w:pPr>
            <w:r w:rsidRPr="00F30FD1">
              <w:rPr>
                <w:rFonts w:eastAsia="Times New Roman" w:cs="Futura"/>
                <w:color w:val="595959"/>
                <w:sz w:val="20"/>
                <w:szCs w:val="20"/>
              </w:rPr>
              <w:t>1.-  Establecer en el Sistema Estatal de Inversión Pública las bases para una planeación de necesidades de infraestructura ordenada, técnicamente sustentada y con visión de largo plazo.</w:t>
            </w:r>
          </w:p>
        </w:tc>
        <w:tc>
          <w:tcPr>
            <w:tcW w:w="1082" w:type="pct"/>
            <w:vMerge/>
            <w:shd w:val="clear" w:color="auto" w:fill="FFFFFF" w:themeFill="background1"/>
          </w:tcPr>
          <w:p w14:paraId="72EFAC52" w14:textId="77777777" w:rsidR="00247E87" w:rsidRPr="00F30FD1" w:rsidRDefault="00247E87" w:rsidP="00355785">
            <w:pPr>
              <w:spacing w:after="0" w:line="240" w:lineRule="auto"/>
              <w:rPr>
                <w:rFonts w:eastAsia="Times New Roman" w:cs="Futura"/>
                <w:color w:val="595959"/>
                <w:sz w:val="20"/>
                <w:szCs w:val="20"/>
              </w:rPr>
            </w:pPr>
          </w:p>
        </w:tc>
      </w:tr>
      <w:tr w:rsidR="00247E87" w:rsidRPr="00F30FD1" w14:paraId="39FCE232"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4D121F76" w14:textId="77777777" w:rsidR="00247E87" w:rsidRPr="00F30FD1" w:rsidRDefault="00247E87" w:rsidP="001873D1">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4B4DCD34" w14:textId="3F55C2F3" w:rsidR="00247E87" w:rsidRPr="00F30FD1" w:rsidRDefault="00247E87" w:rsidP="001873D1">
            <w:pPr>
              <w:spacing w:after="0" w:line="240" w:lineRule="auto"/>
              <w:rPr>
                <w:rFonts w:eastAsia="Times New Roman" w:cs="Futura"/>
                <w:color w:val="595959"/>
                <w:sz w:val="20"/>
                <w:szCs w:val="20"/>
              </w:rPr>
            </w:pPr>
            <w:r w:rsidRPr="00F30FD1">
              <w:rPr>
                <w:rFonts w:eastAsia="Times New Roman" w:cs="Futura"/>
                <w:color w:val="595959"/>
                <w:sz w:val="20"/>
                <w:szCs w:val="20"/>
              </w:rPr>
              <w:t>14.- Generar herramientas de programación, presupuestación, ejercicio y control que permitan la consolidación del Presupuesto basado en Resultados.</w:t>
            </w:r>
          </w:p>
        </w:tc>
        <w:tc>
          <w:tcPr>
            <w:tcW w:w="1317" w:type="pct"/>
            <w:shd w:val="clear" w:color="auto" w:fill="FFFFFF"/>
            <w:tcMar>
              <w:top w:w="72" w:type="dxa"/>
              <w:left w:w="144" w:type="dxa"/>
              <w:bottom w:w="72" w:type="dxa"/>
              <w:right w:w="144" w:type="dxa"/>
            </w:tcMar>
            <w:vAlign w:val="center"/>
          </w:tcPr>
          <w:p w14:paraId="02C62DD8" w14:textId="1A3EDCDF" w:rsidR="00247E87" w:rsidRPr="00F30FD1" w:rsidRDefault="00247E87" w:rsidP="001873D1">
            <w:pPr>
              <w:spacing w:after="0" w:line="240" w:lineRule="auto"/>
              <w:rPr>
                <w:rFonts w:eastAsia="Times New Roman" w:cs="Futura"/>
                <w:color w:val="595959"/>
                <w:sz w:val="20"/>
                <w:szCs w:val="20"/>
              </w:rPr>
            </w:pPr>
            <w:r w:rsidRPr="00F30FD1">
              <w:rPr>
                <w:rFonts w:eastAsia="Times New Roman" w:cs="Futura"/>
                <w:color w:val="595959"/>
                <w:sz w:val="20"/>
                <w:szCs w:val="20"/>
              </w:rPr>
              <w:t>1. Generar herramientas de programación, presupuestación, ejercicio y control que permitan la consolidación del Presupuesto basado en Resultados.</w:t>
            </w:r>
          </w:p>
        </w:tc>
        <w:tc>
          <w:tcPr>
            <w:tcW w:w="1082" w:type="pct"/>
            <w:vMerge/>
            <w:shd w:val="clear" w:color="auto" w:fill="FFFFFF" w:themeFill="background1"/>
          </w:tcPr>
          <w:p w14:paraId="07D964CE" w14:textId="77777777" w:rsidR="00247E87" w:rsidRPr="00F30FD1" w:rsidRDefault="00247E87" w:rsidP="001873D1">
            <w:pPr>
              <w:spacing w:after="0" w:line="240" w:lineRule="auto"/>
              <w:rPr>
                <w:rFonts w:eastAsia="Times New Roman" w:cs="Futura"/>
                <w:color w:val="595959"/>
                <w:sz w:val="20"/>
                <w:szCs w:val="20"/>
              </w:rPr>
            </w:pPr>
          </w:p>
        </w:tc>
      </w:tr>
      <w:tr w:rsidR="00247E87" w:rsidRPr="00F30FD1" w14:paraId="0CC771F5"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32D91A80" w14:textId="77777777" w:rsidR="00247E87" w:rsidRPr="00F30FD1" w:rsidRDefault="00247E87" w:rsidP="001873D1">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4DDA60B7" w14:textId="15CF08DD" w:rsidR="00247E87" w:rsidRPr="00F30FD1" w:rsidRDefault="00247E87" w:rsidP="001873D1">
            <w:pPr>
              <w:spacing w:after="0" w:line="240" w:lineRule="auto"/>
              <w:rPr>
                <w:rFonts w:eastAsia="Times New Roman" w:cs="Futura"/>
                <w:color w:val="595959"/>
                <w:sz w:val="20"/>
                <w:szCs w:val="20"/>
              </w:rPr>
            </w:pPr>
            <w:r w:rsidRPr="00F30FD1">
              <w:rPr>
                <w:rFonts w:eastAsia="Times New Roman" w:cs="Futura"/>
                <w:color w:val="595959"/>
                <w:sz w:val="20"/>
                <w:szCs w:val="20"/>
              </w:rPr>
              <w:t>15.- Sensibilizar mediante capacitación y asistencia técnica a los servidores públicos sobre la implementación y métodos del Presupuesto basado en Resultados.</w:t>
            </w:r>
          </w:p>
        </w:tc>
        <w:tc>
          <w:tcPr>
            <w:tcW w:w="1317" w:type="pct"/>
            <w:shd w:val="clear" w:color="auto" w:fill="FFFFFF"/>
            <w:tcMar>
              <w:top w:w="72" w:type="dxa"/>
              <w:left w:w="144" w:type="dxa"/>
              <w:bottom w:w="72" w:type="dxa"/>
              <w:right w:w="144" w:type="dxa"/>
            </w:tcMar>
            <w:vAlign w:val="center"/>
          </w:tcPr>
          <w:p w14:paraId="4DBD1982" w14:textId="1C8E7308" w:rsidR="00247E87" w:rsidRPr="00F30FD1" w:rsidRDefault="00247E87" w:rsidP="001873D1">
            <w:pPr>
              <w:spacing w:after="0" w:line="240" w:lineRule="auto"/>
              <w:rPr>
                <w:rFonts w:eastAsia="Times New Roman" w:cs="Futura"/>
                <w:color w:val="595959"/>
                <w:sz w:val="20"/>
                <w:szCs w:val="20"/>
              </w:rPr>
            </w:pPr>
            <w:r w:rsidRPr="00F30FD1">
              <w:rPr>
                <w:rFonts w:eastAsia="Times New Roman" w:cs="Futura"/>
                <w:color w:val="595959"/>
                <w:sz w:val="20"/>
                <w:szCs w:val="20"/>
              </w:rPr>
              <w:t>1. Sensibilizar mediante capacitación y asistencia técnica a los servidores públicos sobre la implementación y métodos del Presupuesto basado en Resultados.</w:t>
            </w:r>
          </w:p>
        </w:tc>
        <w:tc>
          <w:tcPr>
            <w:tcW w:w="1082" w:type="pct"/>
            <w:vMerge/>
            <w:shd w:val="clear" w:color="auto" w:fill="FFFFFF" w:themeFill="background1"/>
          </w:tcPr>
          <w:p w14:paraId="6A885F93" w14:textId="77777777" w:rsidR="00247E87" w:rsidRPr="00F30FD1" w:rsidRDefault="00247E87" w:rsidP="001873D1">
            <w:pPr>
              <w:spacing w:after="0" w:line="240" w:lineRule="auto"/>
              <w:rPr>
                <w:rFonts w:eastAsia="Times New Roman" w:cs="Futura"/>
                <w:color w:val="595959"/>
                <w:sz w:val="20"/>
                <w:szCs w:val="20"/>
              </w:rPr>
            </w:pPr>
          </w:p>
        </w:tc>
      </w:tr>
      <w:tr w:rsidR="00247E87" w:rsidRPr="00F30FD1" w14:paraId="3F949227"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40CF1E48" w14:textId="77777777" w:rsidR="00247E87" w:rsidRPr="00F30FD1" w:rsidRDefault="00247E87" w:rsidP="001873D1">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64C98EA4" w14:textId="4293D0D7" w:rsidR="00247E87" w:rsidRPr="00F30FD1" w:rsidRDefault="00247E87" w:rsidP="001873D1">
            <w:pPr>
              <w:spacing w:after="0" w:line="240" w:lineRule="auto"/>
              <w:rPr>
                <w:rFonts w:eastAsia="Times New Roman" w:cs="Futura"/>
                <w:color w:val="595959"/>
                <w:sz w:val="20"/>
                <w:szCs w:val="20"/>
              </w:rPr>
            </w:pPr>
            <w:r w:rsidRPr="00F30FD1">
              <w:rPr>
                <w:rFonts w:eastAsia="Times New Roman" w:cs="Futura"/>
                <w:color w:val="595959"/>
                <w:sz w:val="20"/>
                <w:szCs w:val="20"/>
              </w:rPr>
              <w:t>16.- Validar las Matrices de Indicadores para Resultados de las dependencias, entidades y organismos autónomos en el proceso de programación y presupuestación de cada ejercicio fiscal.</w:t>
            </w:r>
          </w:p>
        </w:tc>
        <w:tc>
          <w:tcPr>
            <w:tcW w:w="1317" w:type="pct"/>
            <w:shd w:val="clear" w:color="auto" w:fill="FFFFFF"/>
            <w:tcMar>
              <w:top w:w="72" w:type="dxa"/>
              <w:left w:w="144" w:type="dxa"/>
              <w:bottom w:w="72" w:type="dxa"/>
              <w:right w:w="144" w:type="dxa"/>
            </w:tcMar>
            <w:vAlign w:val="center"/>
          </w:tcPr>
          <w:p w14:paraId="2372054B" w14:textId="553364D6" w:rsidR="00247E87" w:rsidRPr="00F30FD1" w:rsidRDefault="00247E87" w:rsidP="001873D1">
            <w:pPr>
              <w:spacing w:after="0" w:line="240" w:lineRule="auto"/>
              <w:rPr>
                <w:rFonts w:eastAsia="Times New Roman" w:cs="Futura"/>
                <w:color w:val="595959"/>
                <w:sz w:val="20"/>
                <w:szCs w:val="20"/>
              </w:rPr>
            </w:pPr>
            <w:r w:rsidRPr="00F30FD1">
              <w:rPr>
                <w:rFonts w:eastAsia="Times New Roman" w:cs="Futura"/>
                <w:color w:val="595959"/>
                <w:sz w:val="20"/>
                <w:szCs w:val="20"/>
              </w:rPr>
              <w:t>1. Validar las Matrices de Indicadores para Resultados de las dependencias, entidades y organismos autónomos en el proceso de programación y presupuestación de cada ejercicio fiscal.</w:t>
            </w:r>
          </w:p>
        </w:tc>
        <w:tc>
          <w:tcPr>
            <w:tcW w:w="1082" w:type="pct"/>
            <w:vMerge/>
            <w:shd w:val="clear" w:color="auto" w:fill="FFFFFF" w:themeFill="background1"/>
          </w:tcPr>
          <w:p w14:paraId="6841CE4F" w14:textId="77777777" w:rsidR="00247E87" w:rsidRPr="00F30FD1" w:rsidRDefault="00247E87" w:rsidP="001873D1">
            <w:pPr>
              <w:spacing w:after="0" w:line="240" w:lineRule="auto"/>
              <w:rPr>
                <w:rFonts w:eastAsia="Times New Roman" w:cs="Futura"/>
                <w:color w:val="595959"/>
                <w:sz w:val="20"/>
                <w:szCs w:val="20"/>
              </w:rPr>
            </w:pPr>
          </w:p>
        </w:tc>
      </w:tr>
      <w:tr w:rsidR="00247E87" w:rsidRPr="00F30FD1" w14:paraId="090BA39F"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1E605D43" w14:textId="77777777" w:rsidR="00247E87" w:rsidRPr="00F30FD1" w:rsidRDefault="00247E87" w:rsidP="001873D1">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71E6A3A9" w14:textId="5D1CA1B7" w:rsidR="00247E87" w:rsidRPr="00F30FD1" w:rsidRDefault="00247E87" w:rsidP="001873D1">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17.- Integrar en coordinación  con las dependencias, entidades y organismos </w:t>
            </w:r>
            <w:r w:rsidRPr="00F30FD1">
              <w:rPr>
                <w:rFonts w:eastAsia="Times New Roman" w:cs="Futura"/>
                <w:color w:val="595959"/>
                <w:sz w:val="20"/>
                <w:szCs w:val="20"/>
              </w:rPr>
              <w:lastRenderedPageBreak/>
              <w:t>el  control, seguimiento y análisis de las etapas del autorizado, comprometido y devengado de la Inversión Pública.</w:t>
            </w:r>
          </w:p>
        </w:tc>
        <w:tc>
          <w:tcPr>
            <w:tcW w:w="1317" w:type="pct"/>
            <w:shd w:val="clear" w:color="auto" w:fill="FFFFFF"/>
            <w:tcMar>
              <w:top w:w="72" w:type="dxa"/>
              <w:left w:w="144" w:type="dxa"/>
              <w:bottom w:w="72" w:type="dxa"/>
              <w:right w:w="144" w:type="dxa"/>
            </w:tcMar>
            <w:vAlign w:val="center"/>
          </w:tcPr>
          <w:p w14:paraId="38217FCF" w14:textId="21DADC1D" w:rsidR="00247E87" w:rsidRPr="00F30FD1" w:rsidRDefault="00247E87" w:rsidP="001873D1">
            <w:pPr>
              <w:spacing w:after="0" w:line="240" w:lineRule="auto"/>
              <w:rPr>
                <w:rFonts w:eastAsia="Times New Roman" w:cs="Futura"/>
                <w:color w:val="595959"/>
                <w:sz w:val="20"/>
                <w:szCs w:val="20"/>
              </w:rPr>
            </w:pPr>
            <w:r w:rsidRPr="00F30FD1">
              <w:rPr>
                <w:rFonts w:eastAsia="Times New Roman" w:cs="Futura"/>
                <w:color w:val="595959"/>
                <w:sz w:val="20"/>
                <w:szCs w:val="20"/>
              </w:rPr>
              <w:lastRenderedPageBreak/>
              <w:t xml:space="preserve">1. Integrar en coordinación con las dependencias, </w:t>
            </w:r>
            <w:r w:rsidRPr="00F30FD1">
              <w:rPr>
                <w:rFonts w:eastAsia="Times New Roman" w:cs="Futura"/>
                <w:color w:val="595959"/>
                <w:sz w:val="20"/>
                <w:szCs w:val="20"/>
              </w:rPr>
              <w:lastRenderedPageBreak/>
              <w:t>entidades y organismos el control, seguimiento y análisis de las etapas del autorizado, comprometido y devengado de la Inversión Pública.</w:t>
            </w:r>
          </w:p>
        </w:tc>
        <w:tc>
          <w:tcPr>
            <w:tcW w:w="1082" w:type="pct"/>
            <w:vMerge/>
            <w:shd w:val="clear" w:color="auto" w:fill="FFFFFF" w:themeFill="background1"/>
          </w:tcPr>
          <w:p w14:paraId="7830F3F3" w14:textId="77777777" w:rsidR="00247E87" w:rsidRPr="00F30FD1" w:rsidRDefault="00247E87" w:rsidP="001873D1">
            <w:pPr>
              <w:spacing w:after="0" w:line="240" w:lineRule="auto"/>
              <w:rPr>
                <w:rFonts w:eastAsia="Times New Roman" w:cs="Futura"/>
                <w:color w:val="595959"/>
                <w:sz w:val="20"/>
                <w:szCs w:val="20"/>
              </w:rPr>
            </w:pPr>
          </w:p>
        </w:tc>
      </w:tr>
      <w:tr w:rsidR="00247E87" w:rsidRPr="00F30FD1" w14:paraId="3FE741C9"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5E393E2F" w14:textId="77777777" w:rsidR="00247E87" w:rsidRPr="00F30FD1" w:rsidRDefault="00247E87" w:rsidP="001873D1">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551370AF" w14:textId="460F898C" w:rsidR="00247E87" w:rsidRPr="00EE7D8C" w:rsidRDefault="00247E87" w:rsidP="001873D1">
            <w:pPr>
              <w:spacing w:after="0" w:line="240" w:lineRule="auto"/>
              <w:rPr>
                <w:rFonts w:eastAsia="Times New Roman" w:cs="Futura"/>
                <w:color w:val="595959"/>
                <w:sz w:val="18"/>
                <w:szCs w:val="20"/>
              </w:rPr>
            </w:pPr>
            <w:r w:rsidRPr="00EE7D8C">
              <w:rPr>
                <w:rFonts w:eastAsia="Times New Roman" w:cs="Futura"/>
                <w:color w:val="595959"/>
                <w:sz w:val="18"/>
                <w:szCs w:val="20"/>
              </w:rPr>
              <w:t>18.- Dar seguimiento a la ejecución de los recursos de los servicios personales de las entidades y  organismos con base al Decreto del Presupuesto autorizado por el Congreso del Estado de Quintana Roo, privilegiando así la eficacia y eficiencia de los recursos públicos.</w:t>
            </w:r>
          </w:p>
        </w:tc>
        <w:tc>
          <w:tcPr>
            <w:tcW w:w="1317" w:type="pct"/>
            <w:shd w:val="clear" w:color="auto" w:fill="FFFFFF"/>
            <w:tcMar>
              <w:top w:w="72" w:type="dxa"/>
              <w:left w:w="144" w:type="dxa"/>
              <w:bottom w:w="72" w:type="dxa"/>
              <w:right w:w="144" w:type="dxa"/>
            </w:tcMar>
            <w:vAlign w:val="center"/>
          </w:tcPr>
          <w:p w14:paraId="573BC516" w14:textId="77777777" w:rsidR="00247E87" w:rsidRPr="00EE7D8C" w:rsidRDefault="00247E87" w:rsidP="001873D1">
            <w:pPr>
              <w:spacing w:after="0" w:line="240" w:lineRule="auto"/>
              <w:rPr>
                <w:rFonts w:eastAsia="Times New Roman" w:cs="Futura"/>
                <w:color w:val="595959"/>
                <w:sz w:val="18"/>
                <w:szCs w:val="20"/>
              </w:rPr>
            </w:pPr>
            <w:r w:rsidRPr="00EE7D8C">
              <w:rPr>
                <w:rFonts w:eastAsia="Times New Roman" w:cs="Futura"/>
                <w:color w:val="595959"/>
                <w:sz w:val="18"/>
                <w:szCs w:val="20"/>
              </w:rPr>
              <w:t>1. Dar seguimiento a la ejecución de los recursos de los servicios personales de las entidades y organismos con base al Decreto del Presupuesto autorizado por el Congreso del Estado de Quintana Roo, privilegiando así la eficacia y eficiencia de los recursos públicos.</w:t>
            </w:r>
          </w:p>
          <w:p w14:paraId="65D6BAB8" w14:textId="22E9372B" w:rsidR="004B2E3F" w:rsidRPr="00EE7D8C" w:rsidRDefault="004B2E3F" w:rsidP="004B2E3F">
            <w:pPr>
              <w:spacing w:after="0" w:line="240" w:lineRule="auto"/>
              <w:rPr>
                <w:rFonts w:eastAsia="Times New Roman" w:cs="Futura"/>
                <w:color w:val="595959"/>
                <w:sz w:val="18"/>
                <w:szCs w:val="20"/>
              </w:rPr>
            </w:pPr>
            <w:r w:rsidRPr="00EE7D8C">
              <w:rPr>
                <w:rFonts w:eastAsia="Times New Roman" w:cs="Futura"/>
                <w:color w:val="595959"/>
                <w:sz w:val="18"/>
                <w:szCs w:val="20"/>
              </w:rPr>
              <w:t>2.- Dar seguimiento a la  ejecución, transparencia y rendición de cuentas, de los recursos públicos de las Entidades Paraestatales y Fideicomisos, mediante el análisis administrativo, financiero y presupuestal, en apego a la normatividad aplicable.</w:t>
            </w:r>
          </w:p>
        </w:tc>
        <w:tc>
          <w:tcPr>
            <w:tcW w:w="1082" w:type="pct"/>
            <w:vMerge/>
            <w:shd w:val="clear" w:color="auto" w:fill="FFFFFF" w:themeFill="background1"/>
          </w:tcPr>
          <w:p w14:paraId="79C61A2E" w14:textId="77777777" w:rsidR="00247E87" w:rsidRPr="00F30FD1" w:rsidRDefault="00247E87" w:rsidP="001873D1">
            <w:pPr>
              <w:spacing w:after="0" w:line="240" w:lineRule="auto"/>
              <w:rPr>
                <w:rFonts w:eastAsia="Times New Roman" w:cs="Futura"/>
                <w:color w:val="595959"/>
                <w:sz w:val="20"/>
                <w:szCs w:val="20"/>
              </w:rPr>
            </w:pPr>
          </w:p>
        </w:tc>
      </w:tr>
      <w:tr w:rsidR="00247E87" w:rsidRPr="00F30FD1" w14:paraId="6F71B14B"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2D11C5C2" w14:textId="77777777" w:rsidR="00247E87" w:rsidRPr="00F30FD1" w:rsidRDefault="00247E87" w:rsidP="001873D1">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1DDC759A" w14:textId="733E99CA" w:rsidR="00247E87" w:rsidRPr="00EE7D8C" w:rsidRDefault="00247E87" w:rsidP="001873D1">
            <w:pPr>
              <w:spacing w:after="0" w:line="240" w:lineRule="auto"/>
              <w:rPr>
                <w:rFonts w:eastAsia="Times New Roman" w:cs="Futura"/>
                <w:color w:val="595959"/>
                <w:sz w:val="18"/>
                <w:szCs w:val="20"/>
              </w:rPr>
            </w:pPr>
            <w:r w:rsidRPr="00EE7D8C">
              <w:rPr>
                <w:rFonts w:eastAsia="Times New Roman" w:cs="Futura"/>
                <w:color w:val="595959"/>
                <w:sz w:val="18"/>
                <w:szCs w:val="20"/>
              </w:rPr>
              <w:t>19.- Actualizar el marco normativo y de operación presupuestal-financiera de la administración pública estatal con base en los principios establecidos en la Ley de Disciplina Financiera de las Entidades y Municipios.</w:t>
            </w:r>
          </w:p>
        </w:tc>
        <w:tc>
          <w:tcPr>
            <w:tcW w:w="1317" w:type="pct"/>
            <w:shd w:val="clear" w:color="auto" w:fill="FFFFFF"/>
            <w:tcMar>
              <w:top w:w="72" w:type="dxa"/>
              <w:left w:w="144" w:type="dxa"/>
              <w:bottom w:w="72" w:type="dxa"/>
              <w:right w:w="144" w:type="dxa"/>
            </w:tcMar>
            <w:vAlign w:val="center"/>
          </w:tcPr>
          <w:p w14:paraId="2D984B6B" w14:textId="729F7DE0" w:rsidR="00247E87" w:rsidRPr="00EE7D8C" w:rsidRDefault="00247E87" w:rsidP="001873D1">
            <w:pPr>
              <w:spacing w:after="0" w:line="240" w:lineRule="auto"/>
              <w:rPr>
                <w:rFonts w:eastAsia="Times New Roman" w:cs="Futura"/>
                <w:color w:val="595959"/>
                <w:sz w:val="18"/>
                <w:szCs w:val="20"/>
              </w:rPr>
            </w:pPr>
            <w:r w:rsidRPr="00EE7D8C">
              <w:rPr>
                <w:rFonts w:eastAsia="Times New Roman" w:cs="Futura"/>
                <w:color w:val="595959"/>
                <w:sz w:val="18"/>
                <w:szCs w:val="20"/>
              </w:rPr>
              <w:t>1. Actualizar el marco normativo y de operación presupuestal-financiera de la administración pública estatal con base en los principios establecidos en la Ley de Disciplina Financiera de las Entidades y Municipios.</w:t>
            </w:r>
          </w:p>
        </w:tc>
        <w:tc>
          <w:tcPr>
            <w:tcW w:w="1082" w:type="pct"/>
            <w:vMerge/>
            <w:shd w:val="clear" w:color="auto" w:fill="FFFFFF" w:themeFill="background1"/>
          </w:tcPr>
          <w:p w14:paraId="469223BC" w14:textId="77777777" w:rsidR="00247E87" w:rsidRPr="00F30FD1" w:rsidRDefault="00247E87" w:rsidP="001873D1">
            <w:pPr>
              <w:spacing w:after="0" w:line="240" w:lineRule="auto"/>
              <w:rPr>
                <w:rFonts w:eastAsia="Times New Roman" w:cs="Futura"/>
                <w:color w:val="595959"/>
                <w:sz w:val="20"/>
                <w:szCs w:val="20"/>
              </w:rPr>
            </w:pPr>
          </w:p>
        </w:tc>
      </w:tr>
      <w:tr w:rsidR="00721CFE" w:rsidRPr="00F30FD1" w14:paraId="73F9B3B4"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770C3743" w14:textId="7895DBC6" w:rsidR="00721CFE" w:rsidRPr="00F30FD1" w:rsidRDefault="00721CFE" w:rsidP="00721CFE">
            <w:pPr>
              <w:spacing w:after="0" w:line="240" w:lineRule="auto"/>
              <w:rPr>
                <w:rFonts w:eastAsia="Times New Roman" w:cs="Futura"/>
                <w:color w:val="595959"/>
                <w:sz w:val="20"/>
                <w:szCs w:val="20"/>
              </w:rPr>
            </w:pPr>
            <w:r w:rsidRPr="00F30FD1">
              <w:rPr>
                <w:rFonts w:eastAsia="Times New Roman" w:cs="Futura"/>
                <w:color w:val="595959"/>
                <w:sz w:val="20"/>
                <w:szCs w:val="20"/>
              </w:rPr>
              <w:t>Programa 18: Finanzas Públicas Responsables.</w:t>
            </w:r>
          </w:p>
        </w:tc>
        <w:tc>
          <w:tcPr>
            <w:tcW w:w="1737" w:type="pct"/>
            <w:shd w:val="clear" w:color="auto" w:fill="FFFFFF"/>
            <w:tcMar>
              <w:top w:w="72" w:type="dxa"/>
              <w:left w:w="144" w:type="dxa"/>
              <w:bottom w:w="72" w:type="dxa"/>
              <w:right w:w="144" w:type="dxa"/>
            </w:tcMar>
            <w:vAlign w:val="center"/>
          </w:tcPr>
          <w:p w14:paraId="2AB105C5" w14:textId="2EFB4ED7" w:rsidR="00721CFE" w:rsidRPr="00F30FD1" w:rsidRDefault="00721CFE" w:rsidP="00721CFE">
            <w:pPr>
              <w:spacing w:after="0" w:line="240" w:lineRule="auto"/>
              <w:rPr>
                <w:rFonts w:eastAsia="Times New Roman" w:cs="Futura"/>
                <w:color w:val="595959"/>
                <w:sz w:val="20"/>
                <w:szCs w:val="20"/>
              </w:rPr>
            </w:pPr>
            <w:r w:rsidRPr="00F30FD1">
              <w:rPr>
                <w:rFonts w:eastAsia="Times New Roman" w:cs="Futura"/>
                <w:color w:val="595959"/>
                <w:sz w:val="20"/>
                <w:szCs w:val="20"/>
              </w:rPr>
              <w:t>4.- Monitorear el desempeño de los indicadores estratégicos y de gestión, con la finalidad de contribuir a la transparencia presupuestaria y toma de decisiones con información de calidad.</w:t>
            </w:r>
          </w:p>
        </w:tc>
        <w:tc>
          <w:tcPr>
            <w:tcW w:w="1317" w:type="pct"/>
            <w:shd w:val="clear" w:color="auto" w:fill="FFFFFF"/>
            <w:tcMar>
              <w:top w:w="72" w:type="dxa"/>
              <w:left w:w="144" w:type="dxa"/>
              <w:bottom w:w="72" w:type="dxa"/>
              <w:right w:w="144" w:type="dxa"/>
            </w:tcMar>
            <w:vAlign w:val="center"/>
          </w:tcPr>
          <w:p w14:paraId="641259C8" w14:textId="77777777" w:rsidR="00721CFE" w:rsidRDefault="00721CFE" w:rsidP="00721CFE">
            <w:pPr>
              <w:spacing w:after="0" w:line="240" w:lineRule="auto"/>
              <w:rPr>
                <w:rFonts w:eastAsia="Times New Roman" w:cs="Futura"/>
                <w:color w:val="595959"/>
                <w:sz w:val="20"/>
                <w:szCs w:val="20"/>
              </w:rPr>
            </w:pPr>
            <w:r w:rsidRPr="00F30FD1">
              <w:rPr>
                <w:rFonts w:eastAsia="Times New Roman" w:cs="Futura"/>
                <w:color w:val="595959"/>
                <w:sz w:val="20"/>
                <w:szCs w:val="20"/>
              </w:rPr>
              <w:t>1.- Monitorear el desempeño de los indicadores estratégicos y de gestión, con la finalidad de contribuir a la transparencia presupuestaria y toma de decisiones con información de calidad.</w:t>
            </w:r>
          </w:p>
          <w:p w14:paraId="643716EE" w14:textId="7A0C4D7E" w:rsidR="00EE7D8C" w:rsidRPr="00F30FD1" w:rsidRDefault="00EE7D8C" w:rsidP="00721CFE">
            <w:pPr>
              <w:spacing w:after="0" w:line="240" w:lineRule="auto"/>
              <w:rPr>
                <w:rFonts w:eastAsia="Times New Roman" w:cs="Futura"/>
                <w:color w:val="595959"/>
                <w:sz w:val="20"/>
                <w:szCs w:val="20"/>
              </w:rPr>
            </w:pPr>
          </w:p>
        </w:tc>
        <w:tc>
          <w:tcPr>
            <w:tcW w:w="1082" w:type="pct"/>
            <w:vMerge/>
            <w:shd w:val="clear" w:color="auto" w:fill="FFFFFF" w:themeFill="background1"/>
          </w:tcPr>
          <w:p w14:paraId="3077836D" w14:textId="77777777" w:rsidR="00721CFE" w:rsidRPr="00F30FD1" w:rsidRDefault="00721CFE" w:rsidP="00721CFE">
            <w:pPr>
              <w:spacing w:after="0" w:line="240" w:lineRule="auto"/>
              <w:rPr>
                <w:rFonts w:eastAsia="Times New Roman" w:cs="Futura"/>
                <w:color w:val="595959"/>
                <w:sz w:val="20"/>
                <w:szCs w:val="20"/>
              </w:rPr>
            </w:pPr>
          </w:p>
        </w:tc>
      </w:tr>
      <w:tr w:rsidR="00CD2D59" w:rsidRPr="00F30FD1" w14:paraId="714FC616"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7E99C800" w14:textId="77777777" w:rsidR="00CD2D59" w:rsidRPr="00F30FD1" w:rsidRDefault="00CD2D59" w:rsidP="00CD2D59">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6C9AA2E1" w14:textId="30E3FFBE" w:rsidR="00CD2D59" w:rsidRPr="00EE7D8C" w:rsidRDefault="00CD2D59" w:rsidP="00CD2D59">
            <w:pPr>
              <w:spacing w:after="0" w:line="240" w:lineRule="auto"/>
              <w:rPr>
                <w:rFonts w:eastAsia="Times New Roman" w:cs="Futura"/>
                <w:color w:val="595959"/>
                <w:sz w:val="20"/>
                <w:szCs w:val="20"/>
              </w:rPr>
            </w:pPr>
            <w:r w:rsidRPr="00EE7D8C">
              <w:rPr>
                <w:rFonts w:eastAsia="Times New Roman" w:cs="Futura"/>
                <w:color w:val="595959"/>
                <w:sz w:val="20"/>
                <w:szCs w:val="20"/>
              </w:rPr>
              <w:t>5.- Fomentar una cultura de monitoreo y evaluación a través de cursos, talleres y asesorías al sector gubernamental del orden estatal y municipal.</w:t>
            </w:r>
          </w:p>
        </w:tc>
        <w:tc>
          <w:tcPr>
            <w:tcW w:w="1317" w:type="pct"/>
            <w:shd w:val="clear" w:color="auto" w:fill="FFFFFF"/>
            <w:tcMar>
              <w:top w:w="72" w:type="dxa"/>
              <w:left w:w="144" w:type="dxa"/>
              <w:bottom w:w="72" w:type="dxa"/>
              <w:right w:w="144" w:type="dxa"/>
            </w:tcMar>
            <w:vAlign w:val="center"/>
          </w:tcPr>
          <w:p w14:paraId="03678DC0" w14:textId="35D6D9C4" w:rsidR="00CD2D59" w:rsidRPr="00EE7D8C" w:rsidRDefault="00CD2D59" w:rsidP="00CD2D59">
            <w:pPr>
              <w:spacing w:after="0" w:line="240" w:lineRule="auto"/>
              <w:rPr>
                <w:rFonts w:eastAsia="Times New Roman" w:cs="Futura"/>
                <w:color w:val="595959"/>
                <w:sz w:val="20"/>
                <w:szCs w:val="20"/>
              </w:rPr>
            </w:pPr>
            <w:r w:rsidRPr="00EE7D8C">
              <w:rPr>
                <w:rFonts w:eastAsia="Times New Roman" w:cs="Futura"/>
                <w:color w:val="595959"/>
                <w:sz w:val="20"/>
                <w:szCs w:val="20"/>
              </w:rPr>
              <w:t>1.-  Fomentar una cultura de monitoreo y evaluación a través de cursos, talleres y asesorías al sector gubernamental del orden estatal y municipal.</w:t>
            </w:r>
          </w:p>
        </w:tc>
        <w:tc>
          <w:tcPr>
            <w:tcW w:w="1082" w:type="pct"/>
            <w:vMerge/>
            <w:shd w:val="clear" w:color="auto" w:fill="FFFFFF" w:themeFill="background1"/>
          </w:tcPr>
          <w:p w14:paraId="36B5A38A" w14:textId="77777777" w:rsidR="00CD2D59" w:rsidRPr="00F30FD1" w:rsidRDefault="00CD2D59" w:rsidP="00CD2D59">
            <w:pPr>
              <w:spacing w:after="0" w:line="240" w:lineRule="auto"/>
              <w:rPr>
                <w:rFonts w:eastAsia="Times New Roman" w:cs="Futura"/>
                <w:color w:val="595959"/>
                <w:sz w:val="20"/>
                <w:szCs w:val="20"/>
              </w:rPr>
            </w:pPr>
          </w:p>
        </w:tc>
      </w:tr>
      <w:tr w:rsidR="00CD2D59" w:rsidRPr="00F30FD1" w14:paraId="4B67E04E"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211F6160" w14:textId="77777777" w:rsidR="00CD2D59" w:rsidRPr="00F30FD1" w:rsidRDefault="00CD2D59" w:rsidP="00CD2D59">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4BE7725F" w14:textId="265C4728" w:rsidR="00CD2D59" w:rsidRPr="00F30FD1" w:rsidRDefault="00CD2D59" w:rsidP="00CD2D59">
            <w:pPr>
              <w:spacing w:after="0" w:line="240" w:lineRule="auto"/>
              <w:rPr>
                <w:rFonts w:eastAsia="Times New Roman" w:cs="Futura"/>
                <w:color w:val="595959"/>
                <w:sz w:val="20"/>
                <w:szCs w:val="20"/>
              </w:rPr>
            </w:pPr>
            <w:r w:rsidRPr="00F30FD1">
              <w:rPr>
                <w:rFonts w:eastAsia="Times New Roman" w:cs="Futura"/>
                <w:color w:val="595959"/>
                <w:sz w:val="18"/>
                <w:szCs w:val="20"/>
              </w:rPr>
              <w:t>6.- Supervisar la aplicación del mecanismo para el seguimiento a los Aspectos Susceptibles de Mejora, ASM, para el perfeccionamiento de los programas presupuestarios del Estado.</w:t>
            </w:r>
          </w:p>
        </w:tc>
        <w:tc>
          <w:tcPr>
            <w:tcW w:w="1317" w:type="pct"/>
            <w:shd w:val="clear" w:color="auto" w:fill="FFFFFF"/>
            <w:tcMar>
              <w:top w:w="72" w:type="dxa"/>
              <w:left w:w="144" w:type="dxa"/>
              <w:bottom w:w="72" w:type="dxa"/>
              <w:right w:w="144" w:type="dxa"/>
            </w:tcMar>
            <w:vAlign w:val="center"/>
          </w:tcPr>
          <w:p w14:paraId="091B7FD4" w14:textId="3D229835" w:rsidR="00CD2D59" w:rsidRPr="00F30FD1" w:rsidRDefault="00CD2D59" w:rsidP="00CD2D59">
            <w:pPr>
              <w:spacing w:after="0" w:line="240" w:lineRule="auto"/>
              <w:rPr>
                <w:rFonts w:eastAsia="Times New Roman" w:cs="Futura"/>
                <w:color w:val="595959"/>
                <w:sz w:val="20"/>
                <w:szCs w:val="20"/>
              </w:rPr>
            </w:pPr>
            <w:r w:rsidRPr="00F30FD1">
              <w:rPr>
                <w:rFonts w:eastAsia="Times New Roman" w:cs="Futura"/>
                <w:color w:val="595959"/>
                <w:sz w:val="18"/>
                <w:szCs w:val="20"/>
              </w:rPr>
              <w:t>1.-  Supervisar la aplicación del mecanismo para el seguimiento a los Aspectos Susceptibles de Mejora, ASM, para el perfeccionamiento de los programas presupuestarios del Estado.</w:t>
            </w:r>
          </w:p>
        </w:tc>
        <w:tc>
          <w:tcPr>
            <w:tcW w:w="1082" w:type="pct"/>
            <w:vMerge/>
            <w:shd w:val="clear" w:color="auto" w:fill="FFFFFF" w:themeFill="background1"/>
          </w:tcPr>
          <w:p w14:paraId="7F03AF45" w14:textId="77777777" w:rsidR="00CD2D59" w:rsidRPr="00F30FD1" w:rsidRDefault="00CD2D59" w:rsidP="00CD2D59">
            <w:pPr>
              <w:spacing w:after="0" w:line="240" w:lineRule="auto"/>
              <w:rPr>
                <w:rFonts w:eastAsia="Times New Roman" w:cs="Futura"/>
                <w:color w:val="595959"/>
                <w:sz w:val="20"/>
                <w:szCs w:val="20"/>
              </w:rPr>
            </w:pPr>
          </w:p>
        </w:tc>
      </w:tr>
      <w:tr w:rsidR="00210684" w:rsidRPr="00F30FD1" w14:paraId="778E9034"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6BD4FFAB" w14:textId="77777777" w:rsidR="00210684" w:rsidRPr="00F30FD1" w:rsidRDefault="00210684" w:rsidP="00210684">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656122E1" w14:textId="46C1FF29" w:rsidR="00210684" w:rsidRPr="004B2E3F" w:rsidRDefault="00210684" w:rsidP="00210684">
            <w:pPr>
              <w:spacing w:after="0" w:line="240" w:lineRule="auto"/>
              <w:rPr>
                <w:rFonts w:eastAsia="Times New Roman" w:cs="Futura"/>
                <w:color w:val="595959"/>
                <w:sz w:val="18"/>
                <w:szCs w:val="20"/>
              </w:rPr>
            </w:pPr>
            <w:r w:rsidRPr="004B2E3F">
              <w:rPr>
                <w:rFonts w:eastAsia="Times New Roman" w:cs="Futura"/>
                <w:color w:val="595959"/>
                <w:sz w:val="18"/>
                <w:szCs w:val="20"/>
              </w:rPr>
              <w:t>7.- Efectuar, en coordinación con los gobiernos municipales y con sustento en el Sistema Nacional de Coordinación Fiscal, y de gasto con relación a las participaciones y aportaciones.</w:t>
            </w:r>
          </w:p>
        </w:tc>
        <w:tc>
          <w:tcPr>
            <w:tcW w:w="1317" w:type="pct"/>
            <w:shd w:val="clear" w:color="auto" w:fill="FFFFFF"/>
            <w:tcMar>
              <w:top w:w="72" w:type="dxa"/>
              <w:left w:w="144" w:type="dxa"/>
              <w:bottom w:w="72" w:type="dxa"/>
              <w:right w:w="144" w:type="dxa"/>
            </w:tcMar>
            <w:vAlign w:val="center"/>
          </w:tcPr>
          <w:p w14:paraId="5A83F0F9" w14:textId="1B66AE2D" w:rsidR="00210684" w:rsidRPr="004B2E3F" w:rsidRDefault="00210684" w:rsidP="00210684">
            <w:pPr>
              <w:spacing w:after="0" w:line="240" w:lineRule="auto"/>
              <w:rPr>
                <w:rFonts w:eastAsia="Times New Roman" w:cs="Futura"/>
                <w:color w:val="595959"/>
                <w:sz w:val="18"/>
                <w:szCs w:val="20"/>
              </w:rPr>
            </w:pPr>
            <w:r w:rsidRPr="004B2E3F">
              <w:rPr>
                <w:rFonts w:eastAsia="Times New Roman" w:cs="Futura"/>
                <w:color w:val="595959"/>
                <w:sz w:val="18"/>
                <w:szCs w:val="20"/>
              </w:rPr>
              <w:t>1.- Efectuar, en coordinación con los gobiernos municipales y con sustento en el Sistema Nacional de Coordinación Fiscal, y de gasto con relación a las participaciones y aportaciones.</w:t>
            </w:r>
          </w:p>
        </w:tc>
        <w:tc>
          <w:tcPr>
            <w:tcW w:w="1082" w:type="pct"/>
            <w:vMerge/>
            <w:shd w:val="clear" w:color="auto" w:fill="FFFFFF" w:themeFill="background1"/>
          </w:tcPr>
          <w:p w14:paraId="12C05521" w14:textId="77777777" w:rsidR="00210684" w:rsidRPr="00F30FD1" w:rsidRDefault="00210684" w:rsidP="00210684">
            <w:pPr>
              <w:spacing w:after="0" w:line="240" w:lineRule="auto"/>
              <w:rPr>
                <w:rFonts w:eastAsia="Times New Roman" w:cs="Futura"/>
                <w:color w:val="595959"/>
                <w:sz w:val="20"/>
                <w:szCs w:val="20"/>
              </w:rPr>
            </w:pPr>
          </w:p>
        </w:tc>
      </w:tr>
      <w:tr w:rsidR="00210684" w:rsidRPr="00F30FD1" w14:paraId="74066F50"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02D2FD03" w14:textId="77777777" w:rsidR="00210684" w:rsidRPr="00F30FD1" w:rsidRDefault="00210684" w:rsidP="00210684">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73411D80" w14:textId="43B6FD66" w:rsidR="00210684" w:rsidRPr="004B2E3F" w:rsidRDefault="00210684" w:rsidP="00210684">
            <w:pPr>
              <w:spacing w:after="0" w:line="240" w:lineRule="auto"/>
              <w:rPr>
                <w:rFonts w:eastAsia="Times New Roman" w:cs="Futura"/>
                <w:color w:val="595959"/>
                <w:sz w:val="18"/>
                <w:szCs w:val="20"/>
              </w:rPr>
            </w:pPr>
            <w:r w:rsidRPr="004B2E3F">
              <w:rPr>
                <w:rFonts w:eastAsia="Times New Roman" w:cs="Futura"/>
                <w:color w:val="595959"/>
                <w:sz w:val="18"/>
                <w:szCs w:val="20"/>
              </w:rPr>
              <w:t>8.- Administrar y optimizar la Cartera Estatal de Proyectos de Inversión Pública.</w:t>
            </w:r>
          </w:p>
        </w:tc>
        <w:tc>
          <w:tcPr>
            <w:tcW w:w="1317" w:type="pct"/>
            <w:shd w:val="clear" w:color="auto" w:fill="FFFFFF"/>
            <w:tcMar>
              <w:top w:w="72" w:type="dxa"/>
              <w:left w:w="144" w:type="dxa"/>
              <w:bottom w:w="72" w:type="dxa"/>
              <w:right w:w="144" w:type="dxa"/>
            </w:tcMar>
            <w:vAlign w:val="center"/>
          </w:tcPr>
          <w:p w14:paraId="2415A74C" w14:textId="5E240B4B" w:rsidR="00210684" w:rsidRPr="004B2E3F" w:rsidRDefault="00210684" w:rsidP="00210684">
            <w:pPr>
              <w:spacing w:after="0" w:line="240" w:lineRule="auto"/>
              <w:rPr>
                <w:rFonts w:eastAsia="Times New Roman" w:cs="Futura"/>
                <w:color w:val="595959"/>
                <w:sz w:val="18"/>
                <w:szCs w:val="20"/>
              </w:rPr>
            </w:pPr>
            <w:r w:rsidRPr="004B2E3F">
              <w:rPr>
                <w:rFonts w:eastAsia="Times New Roman" w:cs="Futura"/>
                <w:color w:val="595959"/>
                <w:sz w:val="18"/>
                <w:szCs w:val="20"/>
              </w:rPr>
              <w:t>1.- Administrar y optimizar la Cartera Estatal de Proyectos de Inversión Pública.</w:t>
            </w:r>
          </w:p>
        </w:tc>
        <w:tc>
          <w:tcPr>
            <w:tcW w:w="1082" w:type="pct"/>
            <w:vMerge/>
            <w:shd w:val="clear" w:color="auto" w:fill="FFFFFF" w:themeFill="background1"/>
          </w:tcPr>
          <w:p w14:paraId="6DBFD976" w14:textId="77777777" w:rsidR="00210684" w:rsidRPr="00F30FD1" w:rsidRDefault="00210684" w:rsidP="00210684">
            <w:pPr>
              <w:spacing w:after="0" w:line="240" w:lineRule="auto"/>
              <w:rPr>
                <w:rFonts w:eastAsia="Times New Roman" w:cs="Futura"/>
                <w:color w:val="595959"/>
                <w:sz w:val="20"/>
                <w:szCs w:val="20"/>
              </w:rPr>
            </w:pPr>
          </w:p>
        </w:tc>
      </w:tr>
      <w:tr w:rsidR="00210684" w:rsidRPr="00F30FD1" w14:paraId="5275F3C8"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3CB19284" w14:textId="77777777" w:rsidR="00210684" w:rsidRPr="00F30FD1" w:rsidRDefault="00210684" w:rsidP="00210684">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034E9F48" w14:textId="27D222E6" w:rsidR="00210684" w:rsidRPr="004B2E3F" w:rsidRDefault="00210684" w:rsidP="00210684">
            <w:pPr>
              <w:spacing w:after="0" w:line="240" w:lineRule="auto"/>
              <w:rPr>
                <w:rFonts w:eastAsia="Times New Roman" w:cs="Futura"/>
                <w:color w:val="595959"/>
                <w:sz w:val="18"/>
                <w:szCs w:val="20"/>
              </w:rPr>
            </w:pPr>
            <w:r w:rsidRPr="004B2E3F">
              <w:rPr>
                <w:rFonts w:eastAsia="Times New Roman" w:cs="Futura"/>
                <w:color w:val="595959"/>
                <w:sz w:val="18"/>
                <w:szCs w:val="20"/>
              </w:rPr>
              <w:t>9.- Crear la Unidad de Inversión Estatal.</w:t>
            </w:r>
          </w:p>
        </w:tc>
        <w:tc>
          <w:tcPr>
            <w:tcW w:w="1317" w:type="pct"/>
            <w:shd w:val="clear" w:color="auto" w:fill="FFFFFF"/>
            <w:tcMar>
              <w:top w:w="72" w:type="dxa"/>
              <w:left w:w="144" w:type="dxa"/>
              <w:bottom w:w="72" w:type="dxa"/>
              <w:right w:w="144" w:type="dxa"/>
            </w:tcMar>
            <w:vAlign w:val="center"/>
          </w:tcPr>
          <w:p w14:paraId="7A415203" w14:textId="4391A58D" w:rsidR="00210684" w:rsidRPr="004B2E3F" w:rsidRDefault="00210684" w:rsidP="00210684">
            <w:pPr>
              <w:spacing w:after="0" w:line="240" w:lineRule="auto"/>
              <w:rPr>
                <w:rFonts w:eastAsia="Times New Roman" w:cs="Futura"/>
                <w:color w:val="595959"/>
                <w:sz w:val="18"/>
                <w:szCs w:val="20"/>
              </w:rPr>
            </w:pPr>
            <w:r w:rsidRPr="004B2E3F">
              <w:rPr>
                <w:rFonts w:eastAsia="Times New Roman" w:cs="Futura"/>
                <w:color w:val="595959"/>
                <w:sz w:val="18"/>
                <w:szCs w:val="20"/>
              </w:rPr>
              <w:t>1.-  Crear la Unidad de Inversión Pública Estatal</w:t>
            </w:r>
          </w:p>
        </w:tc>
        <w:tc>
          <w:tcPr>
            <w:tcW w:w="1082" w:type="pct"/>
            <w:vMerge/>
            <w:shd w:val="clear" w:color="auto" w:fill="FFFFFF" w:themeFill="background1"/>
          </w:tcPr>
          <w:p w14:paraId="36F43A86" w14:textId="77777777" w:rsidR="00210684" w:rsidRPr="00F30FD1" w:rsidRDefault="00210684" w:rsidP="00210684">
            <w:pPr>
              <w:spacing w:after="0" w:line="240" w:lineRule="auto"/>
              <w:rPr>
                <w:rFonts w:eastAsia="Times New Roman" w:cs="Futura"/>
                <w:color w:val="595959"/>
                <w:sz w:val="20"/>
                <w:szCs w:val="20"/>
              </w:rPr>
            </w:pPr>
          </w:p>
        </w:tc>
      </w:tr>
      <w:tr w:rsidR="005F0326" w:rsidRPr="00F30FD1" w14:paraId="0ECD2D39"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20CACD57" w14:textId="77777777" w:rsidR="005F0326" w:rsidRPr="00F30FD1" w:rsidRDefault="005F0326" w:rsidP="005F0326">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1F344BF6" w14:textId="1897317D" w:rsidR="005F0326" w:rsidRPr="004B2E3F" w:rsidRDefault="005F0326" w:rsidP="005F0326">
            <w:pPr>
              <w:spacing w:after="0" w:line="240" w:lineRule="auto"/>
              <w:rPr>
                <w:rFonts w:eastAsia="Times New Roman" w:cs="Futura"/>
                <w:color w:val="595959"/>
                <w:sz w:val="18"/>
                <w:szCs w:val="20"/>
              </w:rPr>
            </w:pPr>
            <w:r w:rsidRPr="004B2E3F">
              <w:rPr>
                <w:rFonts w:eastAsia="Times New Roman" w:cs="Futura"/>
                <w:color w:val="595959"/>
                <w:sz w:val="18"/>
                <w:szCs w:val="20"/>
              </w:rPr>
              <w:t>21.- Determinar el comportamiento del ejercicio presupuestal de los recursos asignados a los entes públicos, en términos del manejo eficiente, transparente y de rendición de cuentas de las finanzas públicas, en atención a lo establecido en el Plan Estatal de Desarrollo.</w:t>
            </w:r>
          </w:p>
        </w:tc>
        <w:tc>
          <w:tcPr>
            <w:tcW w:w="1317" w:type="pct"/>
            <w:shd w:val="clear" w:color="auto" w:fill="FFFFFF"/>
            <w:tcMar>
              <w:top w:w="72" w:type="dxa"/>
              <w:left w:w="144" w:type="dxa"/>
              <w:bottom w:w="72" w:type="dxa"/>
              <w:right w:w="144" w:type="dxa"/>
            </w:tcMar>
            <w:vAlign w:val="center"/>
          </w:tcPr>
          <w:p w14:paraId="3452EF8A" w14:textId="7B524732" w:rsidR="005F0326" w:rsidRPr="004B2E3F" w:rsidRDefault="005F0326" w:rsidP="005F0326">
            <w:pPr>
              <w:spacing w:after="0" w:line="240" w:lineRule="auto"/>
              <w:rPr>
                <w:rFonts w:eastAsia="Times New Roman" w:cs="Futura"/>
                <w:color w:val="595959"/>
                <w:sz w:val="18"/>
                <w:szCs w:val="20"/>
              </w:rPr>
            </w:pPr>
            <w:r w:rsidRPr="004B2E3F">
              <w:rPr>
                <w:rFonts w:eastAsia="Times New Roman" w:cs="Futura"/>
                <w:color w:val="595959"/>
                <w:sz w:val="18"/>
                <w:szCs w:val="20"/>
              </w:rPr>
              <w:t>1. Determinar el comportamiento del ejercicio presupuestal de los recursos asignados a los entes públicos, en términos del manejo eficiente, transparente y de rendición de cuentas de las finanzas públicas, en atención a lo establecido en el Plan Estatal de Desarrollo.</w:t>
            </w:r>
          </w:p>
        </w:tc>
        <w:tc>
          <w:tcPr>
            <w:tcW w:w="1082" w:type="pct"/>
            <w:vMerge/>
            <w:shd w:val="clear" w:color="auto" w:fill="FFFFFF" w:themeFill="background1"/>
          </w:tcPr>
          <w:p w14:paraId="6CBC4C6F" w14:textId="77777777" w:rsidR="005F0326" w:rsidRPr="00F30FD1" w:rsidRDefault="005F0326" w:rsidP="005F0326">
            <w:pPr>
              <w:spacing w:after="0" w:line="240" w:lineRule="auto"/>
              <w:rPr>
                <w:rFonts w:eastAsia="Times New Roman" w:cs="Futura"/>
                <w:color w:val="595959"/>
                <w:sz w:val="20"/>
                <w:szCs w:val="20"/>
              </w:rPr>
            </w:pPr>
          </w:p>
        </w:tc>
      </w:tr>
      <w:tr w:rsidR="005F0326" w:rsidRPr="00F30FD1" w14:paraId="74668772"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767ACAD2" w14:textId="77777777" w:rsidR="005F0326" w:rsidRPr="00F30FD1" w:rsidRDefault="005F0326" w:rsidP="005F0326">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5FC3D399" w14:textId="1E82519C" w:rsidR="005F0326" w:rsidRPr="00F30FD1" w:rsidRDefault="005F0326" w:rsidP="005F0326">
            <w:pPr>
              <w:spacing w:after="0" w:line="240" w:lineRule="auto"/>
              <w:rPr>
                <w:rFonts w:eastAsia="Times New Roman" w:cs="Futura"/>
                <w:color w:val="595959"/>
                <w:sz w:val="20"/>
                <w:szCs w:val="20"/>
              </w:rPr>
            </w:pPr>
            <w:r w:rsidRPr="00F30FD1">
              <w:rPr>
                <w:rFonts w:eastAsia="Times New Roman" w:cs="Futura"/>
                <w:color w:val="595959"/>
                <w:sz w:val="20"/>
                <w:szCs w:val="20"/>
              </w:rPr>
              <w:t>22.- Impulsar mecanismos de participación ciudadana para el análisis de las finanzas públicas.</w:t>
            </w:r>
          </w:p>
        </w:tc>
        <w:tc>
          <w:tcPr>
            <w:tcW w:w="1317" w:type="pct"/>
            <w:shd w:val="clear" w:color="auto" w:fill="FFFFFF"/>
            <w:tcMar>
              <w:top w:w="72" w:type="dxa"/>
              <w:left w:w="144" w:type="dxa"/>
              <w:bottom w:w="72" w:type="dxa"/>
              <w:right w:w="144" w:type="dxa"/>
            </w:tcMar>
            <w:vAlign w:val="center"/>
          </w:tcPr>
          <w:p w14:paraId="7699716A" w14:textId="08819EAC" w:rsidR="005F0326" w:rsidRPr="00F30FD1" w:rsidRDefault="005F0326" w:rsidP="005F0326">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1.- </w:t>
            </w:r>
            <w:r w:rsidRPr="004B2E3F">
              <w:rPr>
                <w:rFonts w:eastAsia="Times New Roman" w:cs="Futura"/>
                <w:color w:val="595959"/>
                <w:sz w:val="20"/>
                <w:szCs w:val="20"/>
              </w:rPr>
              <w:t>Impulsar mecanismos de</w:t>
            </w:r>
            <w:r w:rsidRPr="004B2E3F">
              <w:rPr>
                <w:rFonts w:eastAsia="Times New Roman" w:cs="Futura"/>
                <w:color w:val="FF0000"/>
                <w:sz w:val="20"/>
                <w:szCs w:val="20"/>
              </w:rPr>
              <w:t xml:space="preserve"> </w:t>
            </w:r>
            <w:r w:rsidRPr="00F30FD1">
              <w:rPr>
                <w:rFonts w:eastAsia="Times New Roman" w:cs="Futura"/>
                <w:color w:val="595959"/>
                <w:sz w:val="20"/>
                <w:szCs w:val="20"/>
              </w:rPr>
              <w:t>participación ciudadana para el análisis de las finanzas públicas.</w:t>
            </w:r>
          </w:p>
        </w:tc>
        <w:tc>
          <w:tcPr>
            <w:tcW w:w="1082" w:type="pct"/>
            <w:vMerge/>
            <w:shd w:val="clear" w:color="auto" w:fill="FFFFFF" w:themeFill="background1"/>
          </w:tcPr>
          <w:p w14:paraId="77A0F1BB" w14:textId="77777777" w:rsidR="005F0326" w:rsidRPr="00F30FD1" w:rsidRDefault="005F0326" w:rsidP="005F0326">
            <w:pPr>
              <w:spacing w:after="0" w:line="240" w:lineRule="auto"/>
              <w:rPr>
                <w:rFonts w:eastAsia="Times New Roman" w:cs="Futura"/>
                <w:color w:val="595959"/>
                <w:sz w:val="20"/>
                <w:szCs w:val="20"/>
              </w:rPr>
            </w:pPr>
          </w:p>
        </w:tc>
      </w:tr>
      <w:tr w:rsidR="00F0410B" w:rsidRPr="00F30FD1" w14:paraId="6B76CD43"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7CB59BC2" w14:textId="77777777" w:rsidR="00F0410B" w:rsidRPr="00F30FD1" w:rsidRDefault="00F0410B" w:rsidP="00F0410B">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5E255B89" w14:textId="27E73FE1"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23.- Fomentar acciones tendientes a promover, asesorar, proteger y defender los intereses de los usuarios de servicios financieros.</w:t>
            </w:r>
          </w:p>
        </w:tc>
        <w:tc>
          <w:tcPr>
            <w:tcW w:w="1317" w:type="pct"/>
            <w:shd w:val="clear" w:color="auto" w:fill="FFFFFF"/>
            <w:tcMar>
              <w:top w:w="72" w:type="dxa"/>
              <w:left w:w="144" w:type="dxa"/>
              <w:bottom w:w="72" w:type="dxa"/>
              <w:right w:w="144" w:type="dxa"/>
            </w:tcMar>
            <w:vAlign w:val="center"/>
          </w:tcPr>
          <w:p w14:paraId="5A356C90" w14:textId="6D8A631E"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1.- Vincular a los usuarios del módulo de la CONDUSEF Chetumal que requieran realizar trámites, aclaraciones o dudas relacionadas con servicios financieros ante las instancias correspondientes.</w:t>
            </w:r>
          </w:p>
        </w:tc>
        <w:tc>
          <w:tcPr>
            <w:tcW w:w="1082" w:type="pct"/>
            <w:vMerge/>
            <w:shd w:val="clear" w:color="auto" w:fill="FFFFFF" w:themeFill="background1"/>
          </w:tcPr>
          <w:p w14:paraId="4E92A954" w14:textId="77777777" w:rsidR="00F0410B" w:rsidRPr="00F30FD1" w:rsidRDefault="00F0410B" w:rsidP="00F0410B">
            <w:pPr>
              <w:spacing w:after="0" w:line="240" w:lineRule="auto"/>
              <w:rPr>
                <w:rFonts w:eastAsia="Times New Roman" w:cs="Futura"/>
                <w:color w:val="595959"/>
                <w:sz w:val="20"/>
                <w:szCs w:val="20"/>
              </w:rPr>
            </w:pPr>
          </w:p>
        </w:tc>
      </w:tr>
      <w:tr w:rsidR="00F0410B" w:rsidRPr="00F30FD1" w14:paraId="2E445049" w14:textId="77777777" w:rsidTr="007A610C">
        <w:trPr>
          <w:trHeight w:val="170"/>
          <w:jc w:val="center"/>
        </w:trPr>
        <w:tc>
          <w:tcPr>
            <w:tcW w:w="864" w:type="pct"/>
            <w:shd w:val="clear" w:color="auto" w:fill="FFFFFF"/>
            <w:tcMar>
              <w:top w:w="72" w:type="dxa"/>
              <w:left w:w="144" w:type="dxa"/>
              <w:bottom w:w="72" w:type="dxa"/>
              <w:right w:w="144" w:type="dxa"/>
            </w:tcMar>
            <w:vAlign w:val="center"/>
          </w:tcPr>
          <w:p w14:paraId="054CF657" w14:textId="77777777" w:rsidR="00F0410B" w:rsidRPr="00F30FD1" w:rsidRDefault="00F0410B" w:rsidP="00F0410B">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74931D07" w14:textId="71096191"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24.- Implementar el Sistema Estatal de Información, Geografía y Estadística para lograr la integración de los subsistemas de información que sirvan para la elaboración, instrumentación y evaluación de los programas a cargo de la Administración Pública del Estado.</w:t>
            </w:r>
          </w:p>
        </w:tc>
        <w:tc>
          <w:tcPr>
            <w:tcW w:w="1317" w:type="pct"/>
            <w:shd w:val="clear" w:color="auto" w:fill="auto"/>
            <w:tcMar>
              <w:top w:w="72" w:type="dxa"/>
              <w:left w:w="144" w:type="dxa"/>
              <w:bottom w:w="72" w:type="dxa"/>
              <w:right w:w="144" w:type="dxa"/>
            </w:tcMar>
            <w:vAlign w:val="center"/>
          </w:tcPr>
          <w:p w14:paraId="4ACD82F0" w14:textId="4BD2635B" w:rsidR="00F0410B" w:rsidRPr="00F30FD1" w:rsidRDefault="00F0410B" w:rsidP="0099099D">
            <w:pPr>
              <w:spacing w:after="0" w:line="240" w:lineRule="auto"/>
              <w:rPr>
                <w:rFonts w:eastAsia="Times New Roman" w:cs="Futura"/>
                <w:color w:val="595959"/>
                <w:sz w:val="20"/>
                <w:szCs w:val="20"/>
              </w:rPr>
            </w:pPr>
            <w:r w:rsidRPr="00F30FD1">
              <w:rPr>
                <w:rFonts w:eastAsia="Times New Roman" w:cs="Futura"/>
                <w:color w:val="595959"/>
                <w:sz w:val="20"/>
                <w:szCs w:val="20"/>
              </w:rPr>
              <w:t>1.- Implementar el Sistema Estatal de Información, Geografía y Estadística para lograr la integración de los subsistemas de información que sirvan para la elaboración, instrumentación y evaluación de los programas a cargo de la Administración</w:t>
            </w:r>
            <w:r w:rsidR="004B2E3F">
              <w:rPr>
                <w:rFonts w:eastAsia="Times New Roman" w:cs="Futura"/>
                <w:color w:val="595959"/>
                <w:sz w:val="20"/>
                <w:szCs w:val="20"/>
              </w:rPr>
              <w:t xml:space="preserve"> Pública del Estado.</w:t>
            </w:r>
          </w:p>
        </w:tc>
        <w:tc>
          <w:tcPr>
            <w:tcW w:w="1082" w:type="pct"/>
            <w:vMerge/>
            <w:shd w:val="clear" w:color="auto" w:fill="FFFFFF" w:themeFill="background1"/>
          </w:tcPr>
          <w:p w14:paraId="49251285" w14:textId="77777777" w:rsidR="00F0410B" w:rsidRPr="00F30FD1" w:rsidRDefault="00F0410B" w:rsidP="00F0410B">
            <w:pPr>
              <w:spacing w:after="0" w:line="240" w:lineRule="auto"/>
              <w:rPr>
                <w:rFonts w:eastAsia="Times New Roman" w:cs="Futura"/>
                <w:color w:val="595959"/>
                <w:sz w:val="20"/>
                <w:szCs w:val="20"/>
              </w:rPr>
            </w:pPr>
          </w:p>
        </w:tc>
      </w:tr>
      <w:tr w:rsidR="00F0410B" w:rsidRPr="00F30FD1" w14:paraId="2B6F86A0"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1935234F" w14:textId="34C67860" w:rsidR="00F0410B" w:rsidRPr="00F30FD1" w:rsidRDefault="00F0410B" w:rsidP="00F0410B">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26983A35" w14:textId="4205E184"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25.- Aplicar de manera correcta la Ley General de Contabilidad Gubernamental, así como las disposiciones emitidas por el Consejo Nacional de Armonización Contable, CONAC.</w:t>
            </w:r>
          </w:p>
        </w:tc>
        <w:tc>
          <w:tcPr>
            <w:tcW w:w="1317" w:type="pct"/>
            <w:shd w:val="clear" w:color="auto" w:fill="FFFFFF"/>
            <w:tcMar>
              <w:top w:w="72" w:type="dxa"/>
              <w:left w:w="144" w:type="dxa"/>
              <w:bottom w:w="72" w:type="dxa"/>
              <w:right w:w="144" w:type="dxa"/>
            </w:tcMar>
            <w:vAlign w:val="center"/>
          </w:tcPr>
          <w:p w14:paraId="4413DEF7" w14:textId="77777777"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1.</w:t>
            </w:r>
            <w:r w:rsidRPr="00F30FD1">
              <w:rPr>
                <w:rFonts w:eastAsia="Times New Roman" w:cs="Futura"/>
                <w:color w:val="595959"/>
                <w:sz w:val="20"/>
                <w:szCs w:val="20"/>
              </w:rPr>
              <w:tab/>
              <w:t>Autorizar todas las erogaciones con cargo al presupuesto de Egresos turnados por la Dirección de Egresos en su reporte de propuesta de pagos de acuerdo con el análisis de antigüedad de saldos, fuente de financiamiento y grado de exigibilidad de las obligaciones a favor de los proveedores, contratistas y acreedores del Estado, los cuales estarán sujetos en todo momento a la disponibilidad financiera emitida de forma diaria por la dirección de Caja.</w:t>
            </w:r>
          </w:p>
          <w:p w14:paraId="24C3D2C0" w14:textId="77777777"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2.</w:t>
            </w:r>
            <w:r w:rsidRPr="00F30FD1">
              <w:rPr>
                <w:rFonts w:eastAsia="Times New Roman" w:cs="Futura"/>
                <w:color w:val="595959"/>
                <w:sz w:val="20"/>
                <w:szCs w:val="20"/>
              </w:rPr>
              <w:tab/>
              <w:t xml:space="preserve">Aplicar el gasto </w:t>
            </w:r>
            <w:r w:rsidRPr="00F30FD1">
              <w:rPr>
                <w:rFonts w:eastAsia="Times New Roman" w:cs="Futura"/>
                <w:color w:val="595959"/>
                <w:sz w:val="20"/>
                <w:szCs w:val="20"/>
              </w:rPr>
              <w:lastRenderedPageBreak/>
              <w:t>público de manera correcta en base a los requisitos y a la normatividad vigente, para la atención de las necesidades sociales, con la calidad y en orientación a resultados medibles.</w:t>
            </w:r>
          </w:p>
          <w:p w14:paraId="513B80FE" w14:textId="77777777"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3.</w:t>
            </w:r>
            <w:r w:rsidRPr="00F30FD1">
              <w:rPr>
                <w:rFonts w:eastAsia="Times New Roman" w:cs="Futura"/>
                <w:color w:val="595959"/>
                <w:sz w:val="20"/>
                <w:szCs w:val="20"/>
              </w:rPr>
              <w:tab/>
              <w:t>Efectuar el pago de los documentos autorizados, previa programación de la dirección de egresos y que los mismos cumplan con los lineamientos establecidos para la correcta integración de la cuenta pública.</w:t>
            </w:r>
          </w:p>
          <w:p w14:paraId="38FDD90C" w14:textId="4318CE76"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4.</w:t>
            </w:r>
            <w:r w:rsidRPr="00F30FD1">
              <w:rPr>
                <w:rFonts w:eastAsia="Times New Roman" w:cs="Futura"/>
                <w:color w:val="595959"/>
                <w:sz w:val="20"/>
                <w:szCs w:val="20"/>
              </w:rPr>
              <w:tab/>
              <w:t>Contabilidad gubernamental armonizada, de conformidad con las disposiciones establecidas por el Consejo Nacional de Armonización Contable (CONAC) y otras disposiciones relacionadas.</w:t>
            </w:r>
          </w:p>
        </w:tc>
        <w:tc>
          <w:tcPr>
            <w:tcW w:w="1082" w:type="pct"/>
            <w:vMerge/>
            <w:shd w:val="clear" w:color="auto" w:fill="FFFFFF" w:themeFill="background1"/>
          </w:tcPr>
          <w:p w14:paraId="7D7C7A5F" w14:textId="77777777" w:rsidR="00F0410B" w:rsidRPr="00F30FD1" w:rsidRDefault="00F0410B" w:rsidP="00F0410B">
            <w:pPr>
              <w:spacing w:after="0" w:line="240" w:lineRule="auto"/>
              <w:rPr>
                <w:rFonts w:eastAsia="Times New Roman" w:cs="Futura"/>
                <w:color w:val="595959"/>
                <w:sz w:val="20"/>
                <w:szCs w:val="20"/>
              </w:rPr>
            </w:pPr>
          </w:p>
        </w:tc>
      </w:tr>
      <w:tr w:rsidR="00F0410B" w:rsidRPr="00F30FD1" w14:paraId="55003780" w14:textId="77777777" w:rsidTr="00F72B3A">
        <w:trPr>
          <w:trHeight w:val="170"/>
          <w:jc w:val="center"/>
        </w:trPr>
        <w:tc>
          <w:tcPr>
            <w:tcW w:w="864" w:type="pct"/>
            <w:shd w:val="clear" w:color="auto" w:fill="FFFFFF"/>
            <w:tcMar>
              <w:top w:w="72" w:type="dxa"/>
              <w:left w:w="144" w:type="dxa"/>
              <w:bottom w:w="72" w:type="dxa"/>
              <w:right w:w="144" w:type="dxa"/>
            </w:tcMar>
            <w:vAlign w:val="center"/>
          </w:tcPr>
          <w:p w14:paraId="603C716C" w14:textId="3E197965"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lastRenderedPageBreak/>
              <w:t>Programa 18: Finanzas Públicas Responsables.</w:t>
            </w:r>
          </w:p>
        </w:tc>
        <w:tc>
          <w:tcPr>
            <w:tcW w:w="1737" w:type="pct"/>
            <w:shd w:val="clear" w:color="auto" w:fill="FFFFFF"/>
            <w:tcMar>
              <w:top w:w="72" w:type="dxa"/>
              <w:left w:w="144" w:type="dxa"/>
              <w:bottom w:w="72" w:type="dxa"/>
              <w:right w:w="144" w:type="dxa"/>
            </w:tcMar>
            <w:vAlign w:val="center"/>
          </w:tcPr>
          <w:p w14:paraId="09D829DC" w14:textId="5B98756C"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17.- Impulsar programas de calidad total en la atención a usuarios internos y externos de los servicios tributarios.</w:t>
            </w:r>
          </w:p>
        </w:tc>
        <w:tc>
          <w:tcPr>
            <w:tcW w:w="1317" w:type="pct"/>
            <w:shd w:val="clear" w:color="auto" w:fill="FFFFFF"/>
            <w:tcMar>
              <w:top w:w="72" w:type="dxa"/>
              <w:left w:w="144" w:type="dxa"/>
              <w:bottom w:w="72" w:type="dxa"/>
              <w:right w:w="144" w:type="dxa"/>
            </w:tcMar>
            <w:vAlign w:val="center"/>
          </w:tcPr>
          <w:p w14:paraId="600BB6FC" w14:textId="77777777"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1. Crear estrategias de promoción, comunicación y difusión que fomenten la atracción de capitales e inversión a la entidad.</w:t>
            </w:r>
          </w:p>
          <w:p w14:paraId="3C77B9BD" w14:textId="77777777"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2. Desarrollar agendas de negocio y mesas de trabajo para el establecimiento de inversiones en sectores estratégicos. Participación en ferias, reuniones y foros de discusión.</w:t>
            </w:r>
          </w:p>
          <w:p w14:paraId="581D597B" w14:textId="77777777"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3.- Generar acuerdos de colaboración y alianzas estratégicas con instituciones públicas y privadas. </w:t>
            </w:r>
            <w:r w:rsidRPr="00F30FD1">
              <w:rPr>
                <w:rFonts w:eastAsia="Times New Roman" w:cs="Futura"/>
                <w:color w:val="595959"/>
                <w:sz w:val="20"/>
                <w:szCs w:val="20"/>
              </w:rPr>
              <w:lastRenderedPageBreak/>
              <w:t>Involucramiento en programas y políticas públicas en favor del desarrollo de inversión en sectores productivos para la entidad.</w:t>
            </w:r>
          </w:p>
          <w:p w14:paraId="44CA866F" w14:textId="78FEAB02"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4. Gestionar  fuentes de financiamiento público y privado para proyectos de inversión en el Estado.</w:t>
            </w:r>
          </w:p>
        </w:tc>
        <w:tc>
          <w:tcPr>
            <w:tcW w:w="1082" w:type="pct"/>
            <w:vMerge w:val="restart"/>
            <w:shd w:val="clear" w:color="auto" w:fill="FFFFFF" w:themeFill="background1"/>
          </w:tcPr>
          <w:p w14:paraId="28941BEE" w14:textId="199FCCFE" w:rsidR="00F0410B" w:rsidRPr="00F30FD1" w:rsidRDefault="00472C23" w:rsidP="00F0410B">
            <w:pPr>
              <w:spacing w:after="0" w:line="240" w:lineRule="auto"/>
              <w:rPr>
                <w:rFonts w:eastAsia="Times New Roman" w:cs="Futura"/>
                <w:color w:val="595959"/>
                <w:sz w:val="20"/>
                <w:szCs w:val="20"/>
              </w:rPr>
            </w:pPr>
            <w:r>
              <w:rPr>
                <w:rFonts w:eastAsia="Times New Roman" w:cs="Futura"/>
                <w:color w:val="595959"/>
                <w:sz w:val="20"/>
                <w:szCs w:val="20"/>
              </w:rPr>
              <w:lastRenderedPageBreak/>
              <w:t xml:space="preserve">3.- Brindar </w:t>
            </w:r>
            <w:r w:rsidR="00F0410B" w:rsidRPr="00F30FD1">
              <w:rPr>
                <w:rFonts w:eastAsia="Times New Roman" w:cs="Futura"/>
                <w:color w:val="595959"/>
                <w:sz w:val="20"/>
                <w:szCs w:val="20"/>
              </w:rPr>
              <w:t>acompañamiento y atención a los inversionistas que detecten oportunidades de negocio en Quintana Roo; fungiendo como soporte para la vinculación con entes públicos y privados que abonen a la concreción de proyectos de inversión en la entidad</w:t>
            </w:r>
          </w:p>
        </w:tc>
      </w:tr>
      <w:tr w:rsidR="00F0410B" w:rsidRPr="00F30FD1" w14:paraId="2585A6B6" w14:textId="77777777" w:rsidTr="00F72B3A">
        <w:trPr>
          <w:trHeight w:val="170"/>
          <w:jc w:val="center"/>
        </w:trPr>
        <w:tc>
          <w:tcPr>
            <w:tcW w:w="864" w:type="pct"/>
            <w:vMerge w:val="restart"/>
            <w:shd w:val="clear" w:color="auto" w:fill="FFFFFF"/>
            <w:tcMar>
              <w:top w:w="72" w:type="dxa"/>
              <w:left w:w="144" w:type="dxa"/>
              <w:bottom w:w="72" w:type="dxa"/>
              <w:right w:w="144" w:type="dxa"/>
            </w:tcMar>
            <w:vAlign w:val="center"/>
          </w:tcPr>
          <w:p w14:paraId="609EC10B" w14:textId="7E4D3CB9"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lastRenderedPageBreak/>
              <w:t>Programa 19: Planeación y Evaluación Estratégica.</w:t>
            </w:r>
          </w:p>
        </w:tc>
        <w:tc>
          <w:tcPr>
            <w:tcW w:w="1737" w:type="pct"/>
            <w:shd w:val="clear" w:color="auto" w:fill="FFFFFF"/>
            <w:tcMar>
              <w:top w:w="72" w:type="dxa"/>
              <w:left w:w="144" w:type="dxa"/>
              <w:bottom w:w="72" w:type="dxa"/>
              <w:right w:w="144" w:type="dxa"/>
            </w:tcMar>
            <w:vAlign w:val="center"/>
          </w:tcPr>
          <w:p w14:paraId="45609AF6" w14:textId="7E5DE764"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20.- Desarrollar e implementar acciones para fortalecer el Modelo de Prevención Quintana Roo.</w:t>
            </w:r>
          </w:p>
        </w:tc>
        <w:tc>
          <w:tcPr>
            <w:tcW w:w="1317" w:type="pct"/>
            <w:shd w:val="clear" w:color="auto" w:fill="FFFFFF"/>
            <w:tcMar>
              <w:top w:w="72" w:type="dxa"/>
              <w:left w:w="144" w:type="dxa"/>
              <w:bottom w:w="72" w:type="dxa"/>
              <w:right w:w="144" w:type="dxa"/>
            </w:tcMar>
            <w:vAlign w:val="center"/>
          </w:tcPr>
          <w:p w14:paraId="2625B2A6" w14:textId="0A04E59C"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1- Establecer acciones conjuntas con </w:t>
            </w:r>
            <w:r w:rsidR="00472C23" w:rsidRPr="00F30FD1">
              <w:rPr>
                <w:rFonts w:eastAsia="Times New Roman" w:cs="Futura"/>
                <w:color w:val="595959"/>
                <w:sz w:val="20"/>
                <w:szCs w:val="20"/>
              </w:rPr>
              <w:t>las dependencias</w:t>
            </w:r>
            <w:r w:rsidRPr="00F30FD1">
              <w:rPr>
                <w:rFonts w:eastAsia="Times New Roman" w:cs="Futura"/>
                <w:color w:val="595959"/>
                <w:sz w:val="20"/>
                <w:szCs w:val="20"/>
              </w:rPr>
              <w:t xml:space="preserve"> del gobierno estatal que permitan el agilizar y concretar los proyectos de inversión en los sectores que ofrezca el estado. </w:t>
            </w:r>
          </w:p>
        </w:tc>
        <w:tc>
          <w:tcPr>
            <w:tcW w:w="1082" w:type="pct"/>
            <w:vMerge/>
            <w:shd w:val="clear" w:color="auto" w:fill="FFFFFF" w:themeFill="background1"/>
          </w:tcPr>
          <w:p w14:paraId="0F4357A2" w14:textId="77777777" w:rsidR="00F0410B" w:rsidRPr="00F30FD1" w:rsidRDefault="00F0410B" w:rsidP="00F0410B">
            <w:pPr>
              <w:spacing w:after="0" w:line="240" w:lineRule="auto"/>
              <w:rPr>
                <w:rFonts w:eastAsia="Times New Roman" w:cs="Futura"/>
                <w:color w:val="595959"/>
                <w:sz w:val="20"/>
                <w:szCs w:val="20"/>
              </w:rPr>
            </w:pPr>
          </w:p>
        </w:tc>
      </w:tr>
      <w:tr w:rsidR="00F0410B" w:rsidRPr="00F30FD1" w14:paraId="7575997C" w14:textId="77777777" w:rsidTr="00F72B3A">
        <w:trPr>
          <w:trHeight w:val="170"/>
          <w:jc w:val="center"/>
        </w:trPr>
        <w:tc>
          <w:tcPr>
            <w:tcW w:w="864" w:type="pct"/>
            <w:vMerge/>
            <w:shd w:val="clear" w:color="auto" w:fill="FFFFFF"/>
            <w:tcMar>
              <w:top w:w="72" w:type="dxa"/>
              <w:left w:w="144" w:type="dxa"/>
              <w:bottom w:w="72" w:type="dxa"/>
              <w:right w:w="144" w:type="dxa"/>
            </w:tcMar>
            <w:vAlign w:val="center"/>
          </w:tcPr>
          <w:p w14:paraId="69FF089D" w14:textId="77777777" w:rsidR="00F0410B" w:rsidRPr="00F30FD1" w:rsidRDefault="00F0410B" w:rsidP="00F0410B">
            <w:pPr>
              <w:spacing w:after="0" w:line="240" w:lineRule="auto"/>
              <w:rPr>
                <w:rFonts w:eastAsia="Times New Roman" w:cs="Futura"/>
                <w:color w:val="595959"/>
                <w:sz w:val="20"/>
                <w:szCs w:val="20"/>
              </w:rPr>
            </w:pPr>
          </w:p>
        </w:tc>
        <w:tc>
          <w:tcPr>
            <w:tcW w:w="1737" w:type="pct"/>
            <w:shd w:val="clear" w:color="auto" w:fill="FFFFFF"/>
            <w:tcMar>
              <w:top w:w="72" w:type="dxa"/>
              <w:left w:w="144" w:type="dxa"/>
              <w:bottom w:w="72" w:type="dxa"/>
              <w:right w:w="144" w:type="dxa"/>
            </w:tcMar>
            <w:vAlign w:val="center"/>
          </w:tcPr>
          <w:p w14:paraId="77FA66FE" w14:textId="425B98AA"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21.-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c>
          <w:tcPr>
            <w:tcW w:w="1317" w:type="pct"/>
            <w:shd w:val="clear" w:color="auto" w:fill="FFFFFF"/>
            <w:tcMar>
              <w:top w:w="72" w:type="dxa"/>
              <w:left w:w="144" w:type="dxa"/>
              <w:bottom w:w="72" w:type="dxa"/>
              <w:right w:w="144" w:type="dxa"/>
            </w:tcMar>
            <w:vAlign w:val="center"/>
          </w:tcPr>
          <w:p w14:paraId="5C4E170E" w14:textId="37E630D3" w:rsidR="00F0410B" w:rsidRPr="00F30FD1" w:rsidRDefault="00F0410B" w:rsidP="00F0410B">
            <w:pPr>
              <w:spacing w:after="0" w:line="240" w:lineRule="auto"/>
              <w:rPr>
                <w:rFonts w:eastAsia="Times New Roman" w:cs="Futura"/>
                <w:color w:val="595959"/>
                <w:sz w:val="20"/>
                <w:szCs w:val="20"/>
              </w:rPr>
            </w:pPr>
            <w:r w:rsidRPr="00F30FD1">
              <w:rPr>
                <w:rFonts w:eastAsia="Times New Roman" w:cs="Futura"/>
                <w:color w:val="595959"/>
                <w:sz w:val="20"/>
                <w:szCs w:val="20"/>
              </w:rPr>
              <w:t xml:space="preserve">1- Establecer esquemas de capacitación del personal del IDEFIN en sus 2 sedes (Chetumal y </w:t>
            </w:r>
            <w:r w:rsidR="00472C23" w:rsidRPr="00F30FD1">
              <w:rPr>
                <w:rFonts w:eastAsia="Times New Roman" w:cs="Futura"/>
                <w:color w:val="595959"/>
                <w:sz w:val="20"/>
                <w:szCs w:val="20"/>
              </w:rPr>
              <w:t>Cancún</w:t>
            </w:r>
            <w:r w:rsidRPr="00F30FD1">
              <w:rPr>
                <w:rFonts w:eastAsia="Times New Roman" w:cs="Futura"/>
                <w:color w:val="595959"/>
                <w:sz w:val="20"/>
                <w:szCs w:val="20"/>
              </w:rPr>
              <w:t>)</w:t>
            </w:r>
            <w:r w:rsidR="00472C23" w:rsidRPr="00F30FD1">
              <w:rPr>
                <w:rFonts w:eastAsia="Times New Roman" w:cs="Futura"/>
                <w:color w:val="595959"/>
                <w:sz w:val="20"/>
                <w:szCs w:val="20"/>
              </w:rPr>
              <w:t>, bajo</w:t>
            </w:r>
            <w:r w:rsidRPr="00F30FD1">
              <w:rPr>
                <w:rFonts w:eastAsia="Times New Roman" w:cs="Futura"/>
                <w:color w:val="595959"/>
                <w:sz w:val="20"/>
                <w:szCs w:val="20"/>
              </w:rPr>
              <w:t xml:space="preserve"> la supervisión de la Secretaria de Gobernación.</w:t>
            </w:r>
          </w:p>
        </w:tc>
        <w:tc>
          <w:tcPr>
            <w:tcW w:w="1082" w:type="pct"/>
            <w:vMerge/>
            <w:shd w:val="clear" w:color="auto" w:fill="FFFFFF" w:themeFill="background1"/>
          </w:tcPr>
          <w:p w14:paraId="3AD76CCC" w14:textId="77777777" w:rsidR="00F0410B" w:rsidRPr="00F30FD1" w:rsidRDefault="00F0410B" w:rsidP="00F0410B">
            <w:pPr>
              <w:spacing w:after="0" w:line="240" w:lineRule="auto"/>
              <w:rPr>
                <w:rFonts w:eastAsia="Times New Roman" w:cs="Futura"/>
                <w:color w:val="595959"/>
                <w:sz w:val="20"/>
                <w:szCs w:val="20"/>
              </w:rPr>
            </w:pPr>
          </w:p>
        </w:tc>
      </w:tr>
    </w:tbl>
    <w:p w14:paraId="384E34ED" w14:textId="77777777" w:rsidR="0002431E" w:rsidRPr="00F30FD1" w:rsidRDefault="0002431E" w:rsidP="0002431E">
      <w:pPr>
        <w:spacing w:after="0" w:line="240" w:lineRule="auto"/>
        <w:ind w:left="360"/>
        <w:jc w:val="left"/>
        <w:rPr>
          <w:rFonts w:eastAsia="Times New Roman" w:cs="Arial"/>
          <w:b/>
          <w:sz w:val="20"/>
          <w:szCs w:val="22"/>
          <w:lang w:val="es-MX"/>
        </w:rPr>
      </w:pPr>
    </w:p>
    <w:p w14:paraId="13F7CFD9" w14:textId="77777777" w:rsidR="00B059DE" w:rsidRPr="00F30FD1" w:rsidRDefault="00B059DE" w:rsidP="0002431E">
      <w:pPr>
        <w:spacing w:after="0" w:line="240" w:lineRule="auto"/>
        <w:ind w:left="360"/>
        <w:jc w:val="left"/>
        <w:rPr>
          <w:rFonts w:eastAsia="Times New Roman" w:cs="Arial"/>
          <w:b/>
          <w:sz w:val="20"/>
          <w:szCs w:val="22"/>
          <w:lang w:val="es-MX"/>
        </w:rPr>
      </w:pPr>
    </w:p>
    <w:p w14:paraId="06D7FFD5" w14:textId="77777777" w:rsidR="008B6800" w:rsidRPr="00F30FD1" w:rsidRDefault="008B6800" w:rsidP="0002431E">
      <w:pPr>
        <w:spacing w:after="0" w:line="240" w:lineRule="auto"/>
        <w:ind w:left="360"/>
        <w:jc w:val="left"/>
        <w:rPr>
          <w:rFonts w:eastAsia="Times New Roman" w:cs="Arial"/>
          <w:b/>
          <w:sz w:val="20"/>
          <w:szCs w:val="22"/>
          <w:lang w:val="es-MX"/>
        </w:rPr>
      </w:pPr>
    </w:p>
    <w:p w14:paraId="1960071E" w14:textId="77777777" w:rsidR="003A6CEA" w:rsidRPr="00F30FD1" w:rsidRDefault="003A6CEA" w:rsidP="0002431E">
      <w:pPr>
        <w:spacing w:after="0" w:line="240" w:lineRule="auto"/>
        <w:ind w:left="360"/>
        <w:jc w:val="left"/>
        <w:rPr>
          <w:rFonts w:eastAsia="Times New Roman" w:cs="Arial"/>
          <w:b/>
          <w:sz w:val="20"/>
          <w:szCs w:val="22"/>
          <w:lang w:val="es-MX"/>
        </w:rPr>
      </w:pPr>
    </w:p>
    <w:p w14:paraId="387CA45F" w14:textId="77777777" w:rsidR="00472C23" w:rsidRDefault="00472C23">
      <w:pPr>
        <w:spacing w:after="0" w:line="240" w:lineRule="auto"/>
        <w:jc w:val="left"/>
        <w:rPr>
          <w:rFonts w:eastAsia="Arial" w:cs="Times New Roman"/>
          <w:b/>
          <w:bCs/>
          <w:color w:val="4BACC6" w:themeColor="accent5"/>
          <w:lang w:val="es-MX" w:eastAsia="en-US"/>
        </w:rPr>
      </w:pPr>
      <w:r>
        <w:rPr>
          <w:rFonts w:eastAsia="Arial" w:cs="Times New Roman"/>
          <w:b/>
          <w:bCs/>
          <w:color w:val="4BACC6" w:themeColor="accent5"/>
          <w:lang w:val="es-MX" w:eastAsia="en-US"/>
        </w:rPr>
        <w:br w:type="page"/>
      </w:r>
    </w:p>
    <w:p w14:paraId="5DD3536D" w14:textId="14EBE353" w:rsidR="003A6E67" w:rsidRPr="00100B8B" w:rsidRDefault="00100B8B" w:rsidP="00830BBC">
      <w:pPr>
        <w:spacing w:after="0" w:line="240" w:lineRule="auto"/>
        <w:ind w:left="360"/>
        <w:jc w:val="center"/>
        <w:rPr>
          <w:rFonts w:eastAsia="Arial" w:cs="Times New Roman"/>
          <w:b/>
          <w:bCs/>
          <w:color w:val="4BACC6" w:themeColor="accent5"/>
          <w:lang w:val="es-MX" w:eastAsia="en-US"/>
        </w:rPr>
      </w:pPr>
      <w:r w:rsidRPr="00100B8B">
        <w:rPr>
          <w:rFonts w:eastAsia="Arial" w:cs="Times New Roman"/>
          <w:b/>
          <w:bCs/>
          <w:color w:val="4BACC6" w:themeColor="accent5"/>
          <w:lang w:val="es-MX" w:eastAsia="en-US"/>
        </w:rPr>
        <w:lastRenderedPageBreak/>
        <w:t>Tabla T.23</w:t>
      </w:r>
      <w:r w:rsidR="003A6E67" w:rsidRPr="00100B8B">
        <w:rPr>
          <w:rFonts w:eastAsia="Arial" w:cs="Times New Roman"/>
          <w:b/>
          <w:bCs/>
          <w:color w:val="4BACC6" w:themeColor="accent5"/>
          <w:lang w:val="es-MX" w:eastAsia="en-US"/>
        </w:rPr>
        <w:t>.- Indicadores y Metas del Programa Establecidos en el PED 2016-2022</w:t>
      </w:r>
    </w:p>
    <w:bookmarkEnd w:id="27"/>
    <w:p w14:paraId="63E00CA8" w14:textId="77777777" w:rsidR="00952E57" w:rsidRPr="00F30FD1" w:rsidRDefault="00952E57" w:rsidP="00952E57">
      <w:pPr>
        <w:spacing w:after="0" w:line="240" w:lineRule="auto"/>
        <w:ind w:left="851"/>
        <w:contextualSpacing/>
        <w:rPr>
          <w:rFonts w:eastAsia="Times New Roman" w:cs="Arial"/>
          <w:sz w:val="20"/>
          <w:szCs w:val="22"/>
          <w:lang w:val="es-MX"/>
        </w:rPr>
      </w:pPr>
    </w:p>
    <w:tbl>
      <w:tblPr>
        <w:tblW w:w="9070" w:type="dxa"/>
        <w:jc w:val="center"/>
        <w:shd w:val="clear" w:color="auto" w:fill="FFFFFF"/>
        <w:tblCellMar>
          <w:left w:w="0" w:type="dxa"/>
          <w:right w:w="0" w:type="dxa"/>
        </w:tblCellMar>
        <w:tblLook w:val="0420" w:firstRow="1" w:lastRow="0" w:firstColumn="0" w:lastColumn="0" w:noHBand="0" w:noVBand="1"/>
      </w:tblPr>
      <w:tblGrid>
        <w:gridCol w:w="1285"/>
        <w:gridCol w:w="676"/>
        <w:gridCol w:w="1260"/>
        <w:gridCol w:w="942"/>
        <w:gridCol w:w="725"/>
        <w:gridCol w:w="697"/>
        <w:gridCol w:w="697"/>
        <w:gridCol w:w="697"/>
        <w:gridCol w:w="697"/>
        <w:gridCol w:w="697"/>
        <w:gridCol w:w="697"/>
      </w:tblGrid>
      <w:tr w:rsidR="00E27F34" w:rsidRPr="00F30FD1" w14:paraId="1E509D2C" w14:textId="77777777" w:rsidTr="00E27F34">
        <w:trPr>
          <w:trHeight w:val="170"/>
          <w:tblHeader/>
          <w:jc w:val="center"/>
        </w:trPr>
        <w:tc>
          <w:tcPr>
            <w:tcW w:w="1352"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552826B" w14:textId="76B5785F"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Indicador PED</w:t>
            </w:r>
          </w:p>
        </w:tc>
        <w:tc>
          <w:tcPr>
            <w:tcW w:w="687" w:type="dxa"/>
            <w:tcBorders>
              <w:top w:val="single" w:sz="4" w:space="0" w:color="auto"/>
              <w:left w:val="single" w:sz="4" w:space="0" w:color="auto"/>
              <w:bottom w:val="single" w:sz="4" w:space="0" w:color="auto"/>
              <w:right w:val="single" w:sz="4" w:space="0" w:color="auto"/>
            </w:tcBorders>
            <w:shd w:val="clear" w:color="auto" w:fill="A6A6A6"/>
          </w:tcPr>
          <w:p w14:paraId="3555DED0" w14:textId="77777777" w:rsidR="00E27F34" w:rsidRPr="00F30FD1" w:rsidRDefault="00E27F34" w:rsidP="00E27F34">
            <w:pPr>
              <w:spacing w:after="0" w:line="240" w:lineRule="auto"/>
              <w:jc w:val="center"/>
              <w:rPr>
                <w:rFonts w:eastAsia="Times New Roman" w:cs="Arial"/>
                <w:sz w:val="18"/>
                <w:szCs w:val="22"/>
                <w:lang w:val="es-MX"/>
              </w:rPr>
            </w:pPr>
          </w:p>
          <w:p w14:paraId="6FAFF4EE" w14:textId="3A519659"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Fuente</w:t>
            </w:r>
          </w:p>
        </w:tc>
        <w:tc>
          <w:tcPr>
            <w:tcW w:w="1279"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4C544752" w14:textId="450DF078"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Periodicidad</w:t>
            </w:r>
          </w:p>
        </w:tc>
        <w:tc>
          <w:tcPr>
            <w:tcW w:w="879"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5840EE2D" w14:textId="1ACB481A"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Unidad de Medida</w:t>
            </w:r>
          </w:p>
        </w:tc>
        <w:tc>
          <w:tcPr>
            <w:tcW w:w="739"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4DFE28F0" w14:textId="3FCC89E7"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Línea Base</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A754AF1" w14:textId="55DD3B03"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70C8CB87" w14:textId="2CA0AA5C"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6234DAEC" w14:textId="61D7B877"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0BF8AB2" w14:textId="60DF49C7"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6F3884E9" w14:textId="310D1778"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689"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664FCBF7" w14:textId="5DEEF27B" w:rsidR="00E27F34" w:rsidRPr="00F30FD1" w:rsidRDefault="00E27F34" w:rsidP="00E27F34">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E27F34" w:rsidRPr="00F30FD1" w14:paraId="7C973C6D" w14:textId="77777777" w:rsidTr="00E27F34">
        <w:trPr>
          <w:trHeight w:val="20"/>
          <w:jc w:val="center"/>
        </w:trPr>
        <w:tc>
          <w:tcPr>
            <w:tcW w:w="135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5AA5DAE" w14:textId="5190CF0F"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Índice de autonomía financiera</w:t>
            </w:r>
          </w:p>
        </w:tc>
        <w:tc>
          <w:tcPr>
            <w:tcW w:w="687" w:type="dxa"/>
            <w:tcBorders>
              <w:top w:val="single" w:sz="4" w:space="0" w:color="auto"/>
              <w:left w:val="single" w:sz="4" w:space="0" w:color="auto"/>
              <w:bottom w:val="single" w:sz="4" w:space="0" w:color="auto"/>
              <w:right w:val="single" w:sz="4" w:space="0" w:color="auto"/>
            </w:tcBorders>
            <w:shd w:val="clear" w:color="auto" w:fill="FFFFFF"/>
          </w:tcPr>
          <w:p w14:paraId="43D894A2" w14:textId="728358E0"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Aregional</w:t>
            </w:r>
          </w:p>
        </w:tc>
        <w:tc>
          <w:tcPr>
            <w:tcW w:w="127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6CADC12" w14:textId="33F56DA1"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Anual</w:t>
            </w:r>
          </w:p>
        </w:tc>
        <w:tc>
          <w:tcPr>
            <w:tcW w:w="87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F699AD9" w14:textId="45094C9A"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Porcentaje</w:t>
            </w:r>
          </w:p>
        </w:tc>
        <w:tc>
          <w:tcPr>
            <w:tcW w:w="73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166376B" w14:textId="10E3004D"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2017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968F3BE" w14:textId="6F8F35A7"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36.5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A5B7AC5" w14:textId="640A43E6"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41.2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2819AA0" w14:textId="78DBAEAF"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46.4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115DBC5" w14:textId="1EC97181"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51.2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E9CE0C4" w14:textId="31141424"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55.8</w:t>
            </w:r>
          </w:p>
        </w:tc>
        <w:tc>
          <w:tcPr>
            <w:tcW w:w="68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367B4FE" w14:textId="6A557E58"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60.3</w:t>
            </w:r>
          </w:p>
        </w:tc>
      </w:tr>
      <w:tr w:rsidR="00E27F34" w:rsidRPr="00F30FD1" w14:paraId="31BF3E81" w14:textId="77777777" w:rsidTr="00E27F34">
        <w:trPr>
          <w:trHeight w:val="20"/>
          <w:jc w:val="center"/>
        </w:trPr>
        <w:tc>
          <w:tcPr>
            <w:tcW w:w="4197" w:type="dxa"/>
            <w:gridSpan w:val="4"/>
            <w:tcBorders>
              <w:top w:val="single" w:sz="4" w:space="0" w:color="auto"/>
              <w:left w:val="single" w:sz="4" w:space="0" w:color="auto"/>
              <w:bottom w:val="single" w:sz="4" w:space="0" w:color="auto"/>
              <w:right w:val="single" w:sz="4" w:space="0" w:color="auto"/>
            </w:tcBorders>
            <w:shd w:val="clear" w:color="auto" w:fill="FFFFFF"/>
          </w:tcPr>
          <w:p w14:paraId="50F61EBA" w14:textId="722D9B0D"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Posición (Proyectada)</w:t>
            </w:r>
          </w:p>
        </w:tc>
        <w:tc>
          <w:tcPr>
            <w:tcW w:w="73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D05AC73" w14:textId="77777777" w:rsidR="00E27F34" w:rsidRPr="00F30FD1" w:rsidRDefault="00E27F34" w:rsidP="00E27F34">
            <w:pPr>
              <w:spacing w:after="0" w:line="240" w:lineRule="auto"/>
              <w:rPr>
                <w:rFonts w:eastAsia="Times New Roman" w:cs="Arial"/>
                <w:sz w:val="16"/>
                <w:szCs w:val="16"/>
                <w:lang w:val="es-MX"/>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DB57A51" w14:textId="5AA245D2"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16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622344B" w14:textId="1E5D6C1F"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93CE3F0" w14:textId="0109AB25"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10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00114A1" w14:textId="6AF761A9"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4811EEF" w14:textId="2F6A8B94"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6</w:t>
            </w:r>
          </w:p>
        </w:tc>
        <w:tc>
          <w:tcPr>
            <w:tcW w:w="68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88C8461" w14:textId="25798376" w:rsidR="00E27F34" w:rsidRPr="00F30FD1" w:rsidRDefault="00E27F34" w:rsidP="00E27F34">
            <w:pPr>
              <w:spacing w:after="0" w:line="240" w:lineRule="auto"/>
              <w:rPr>
                <w:rFonts w:eastAsia="Times New Roman" w:cs="Arial"/>
                <w:sz w:val="16"/>
                <w:szCs w:val="16"/>
                <w:lang w:val="es-MX"/>
              </w:rPr>
            </w:pPr>
            <w:r w:rsidRPr="00F30FD1">
              <w:rPr>
                <w:rFonts w:eastAsia="Times New Roman" w:cs="Arial"/>
                <w:sz w:val="16"/>
                <w:szCs w:val="16"/>
                <w:lang w:val="es-MX"/>
              </w:rPr>
              <w:t>3</w:t>
            </w:r>
          </w:p>
        </w:tc>
      </w:tr>
    </w:tbl>
    <w:p w14:paraId="10CD965C" w14:textId="46DF97DD" w:rsidR="00952E57" w:rsidRPr="00F30FD1" w:rsidRDefault="00952E57" w:rsidP="00952E57">
      <w:pPr>
        <w:spacing w:after="0" w:line="240" w:lineRule="auto"/>
        <w:ind w:left="1418"/>
        <w:contextualSpacing/>
        <w:rPr>
          <w:rFonts w:eastAsia="Times New Roman" w:cs="Arial"/>
          <w:sz w:val="20"/>
          <w:szCs w:val="22"/>
          <w:lang w:val="es-MX"/>
        </w:rPr>
      </w:pPr>
    </w:p>
    <w:tbl>
      <w:tblPr>
        <w:tblW w:w="9324" w:type="dxa"/>
        <w:jc w:val="center"/>
        <w:shd w:val="clear" w:color="auto" w:fill="FFFFFF"/>
        <w:tblCellMar>
          <w:left w:w="0" w:type="dxa"/>
          <w:right w:w="0" w:type="dxa"/>
        </w:tblCellMar>
        <w:tblLook w:val="0420" w:firstRow="1" w:lastRow="0" w:firstColumn="0" w:lastColumn="0" w:noHBand="0" w:noVBand="1"/>
      </w:tblPr>
      <w:tblGrid>
        <w:gridCol w:w="1424"/>
        <w:gridCol w:w="605"/>
        <w:gridCol w:w="1390"/>
        <w:gridCol w:w="971"/>
        <w:gridCol w:w="752"/>
        <w:gridCol w:w="697"/>
        <w:gridCol w:w="697"/>
        <w:gridCol w:w="697"/>
        <w:gridCol w:w="697"/>
        <w:gridCol w:w="697"/>
        <w:gridCol w:w="697"/>
      </w:tblGrid>
      <w:tr w:rsidR="00635E90" w:rsidRPr="00F30FD1" w14:paraId="19909921" w14:textId="77777777" w:rsidTr="00830BBC">
        <w:trPr>
          <w:trHeight w:val="170"/>
          <w:tblHeader/>
          <w:jc w:val="center"/>
        </w:trPr>
        <w:tc>
          <w:tcPr>
            <w:tcW w:w="1449"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18283954"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Indicador PED</w:t>
            </w:r>
          </w:p>
        </w:tc>
        <w:tc>
          <w:tcPr>
            <w:tcW w:w="612" w:type="dxa"/>
            <w:tcBorders>
              <w:top w:val="single" w:sz="4" w:space="0" w:color="auto"/>
              <w:left w:val="single" w:sz="4" w:space="0" w:color="auto"/>
              <w:bottom w:val="single" w:sz="4" w:space="0" w:color="auto"/>
              <w:right w:val="single" w:sz="4" w:space="0" w:color="auto"/>
            </w:tcBorders>
            <w:shd w:val="clear" w:color="auto" w:fill="A6A6A6"/>
          </w:tcPr>
          <w:p w14:paraId="5A2BFD91" w14:textId="77777777" w:rsidR="00635E90" w:rsidRPr="00F30FD1" w:rsidRDefault="00635E90" w:rsidP="00AF56F3">
            <w:pPr>
              <w:spacing w:after="0" w:line="240" w:lineRule="auto"/>
              <w:jc w:val="center"/>
              <w:rPr>
                <w:rFonts w:eastAsia="Times New Roman" w:cs="Arial"/>
                <w:sz w:val="18"/>
                <w:szCs w:val="22"/>
                <w:lang w:val="es-MX"/>
              </w:rPr>
            </w:pPr>
          </w:p>
          <w:p w14:paraId="64AB8A67"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Fuente</w:t>
            </w:r>
          </w:p>
        </w:tc>
        <w:tc>
          <w:tcPr>
            <w:tcW w:w="1401"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3E96C62"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Periodicidad</w:t>
            </w:r>
          </w:p>
        </w:tc>
        <w:tc>
          <w:tcPr>
            <w:tcW w:w="977"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4CEFB2B5"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Unidad de Medida</w:t>
            </w:r>
          </w:p>
        </w:tc>
        <w:tc>
          <w:tcPr>
            <w:tcW w:w="757"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2A7B20E"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Línea Base</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166696EF"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78B90C1D"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6E12A4B3"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5C456415"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6D1D599C"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688"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1A03A9AA"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635E90" w:rsidRPr="00F30FD1" w14:paraId="310F6B74" w14:textId="77777777" w:rsidTr="00830BBC">
        <w:trPr>
          <w:trHeight w:val="20"/>
          <w:jc w:val="center"/>
        </w:trPr>
        <w:tc>
          <w:tcPr>
            <w:tcW w:w="144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B4F4D92" w14:textId="28FDB677" w:rsidR="00635E90" w:rsidRPr="00F30FD1" w:rsidRDefault="00635E90" w:rsidP="00AF56F3">
            <w:pPr>
              <w:spacing w:after="0" w:line="240" w:lineRule="auto"/>
              <w:rPr>
                <w:rFonts w:eastAsia="Times New Roman" w:cs="Arial"/>
                <w:sz w:val="16"/>
                <w:szCs w:val="16"/>
                <w:lang w:val="es-MX"/>
              </w:rPr>
            </w:pPr>
            <w:r w:rsidRPr="00F30FD1">
              <w:rPr>
                <w:rFonts w:eastAsia="Times New Roman" w:cs="Arial"/>
                <w:sz w:val="16"/>
                <w:szCs w:val="16"/>
                <w:lang w:val="es-MX"/>
              </w:rPr>
              <w:t xml:space="preserve">Índice de deuda total de entidades federativas </w:t>
            </w:r>
          </w:p>
        </w:tc>
        <w:tc>
          <w:tcPr>
            <w:tcW w:w="612" w:type="dxa"/>
            <w:tcBorders>
              <w:top w:val="single" w:sz="4" w:space="0" w:color="auto"/>
              <w:left w:val="single" w:sz="4" w:space="0" w:color="auto"/>
              <w:bottom w:val="single" w:sz="4" w:space="0" w:color="auto"/>
              <w:right w:val="single" w:sz="4" w:space="0" w:color="auto"/>
            </w:tcBorders>
            <w:shd w:val="clear" w:color="auto" w:fill="FFFFFF"/>
          </w:tcPr>
          <w:p w14:paraId="0C5FB7ED" w14:textId="7139478E" w:rsidR="00635E90" w:rsidRPr="00F30FD1" w:rsidRDefault="00635E90" w:rsidP="00AF56F3">
            <w:pPr>
              <w:spacing w:after="0" w:line="240" w:lineRule="auto"/>
              <w:rPr>
                <w:rFonts w:eastAsia="Times New Roman" w:cs="Arial"/>
                <w:sz w:val="16"/>
                <w:szCs w:val="16"/>
                <w:lang w:val="es-MX"/>
              </w:rPr>
            </w:pPr>
            <w:r w:rsidRPr="00F30FD1">
              <w:rPr>
                <w:rFonts w:eastAsia="Times New Roman" w:cs="Arial"/>
                <w:sz w:val="16"/>
                <w:szCs w:val="16"/>
                <w:lang w:val="es-MX"/>
              </w:rPr>
              <w:t>SHCP</w:t>
            </w:r>
          </w:p>
        </w:tc>
        <w:tc>
          <w:tcPr>
            <w:tcW w:w="140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F1FC96D" w14:textId="131035C2"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Anual</w:t>
            </w:r>
          </w:p>
        </w:tc>
        <w:tc>
          <w:tcPr>
            <w:tcW w:w="97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17F3BA2" w14:textId="1E8B7863" w:rsidR="00635E90" w:rsidRPr="00F30FD1" w:rsidRDefault="00911EC0" w:rsidP="00AF56F3">
            <w:pPr>
              <w:spacing w:after="0" w:line="240" w:lineRule="auto"/>
              <w:rPr>
                <w:rFonts w:eastAsia="Times New Roman" w:cs="Arial"/>
                <w:sz w:val="16"/>
                <w:szCs w:val="16"/>
                <w:lang w:val="es-MX"/>
              </w:rPr>
            </w:pPr>
            <w:r w:rsidRPr="00F30FD1">
              <w:rPr>
                <w:rFonts w:eastAsia="Times New Roman" w:cs="Arial"/>
                <w:sz w:val="16"/>
                <w:szCs w:val="16"/>
                <w:lang w:val="es-MX"/>
              </w:rPr>
              <w:t>Lugar a nivel nacional</w:t>
            </w:r>
          </w:p>
        </w:tc>
        <w:tc>
          <w:tcPr>
            <w:tcW w:w="75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91F71F1" w14:textId="1E50703E"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2016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6631E51" w14:textId="64E6C6F0"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38ED541" w14:textId="36D9C09F"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997F18F" w14:textId="6759E0A9"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51AD7B6" w14:textId="560291FF"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9</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1D23602" w14:textId="6B9727C4"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8</w:t>
            </w:r>
          </w:p>
        </w:tc>
        <w:tc>
          <w:tcPr>
            <w:tcW w:w="68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86EE336" w14:textId="36768687"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8</w:t>
            </w:r>
          </w:p>
        </w:tc>
      </w:tr>
    </w:tbl>
    <w:p w14:paraId="0AD1CA96" w14:textId="28BA1CF4" w:rsidR="00CB758C" w:rsidRPr="00F30FD1" w:rsidRDefault="00CB758C" w:rsidP="00952E57">
      <w:pPr>
        <w:spacing w:after="0" w:line="240" w:lineRule="auto"/>
        <w:ind w:left="1418"/>
        <w:contextualSpacing/>
        <w:rPr>
          <w:rFonts w:eastAsia="Times New Roman" w:cs="Arial"/>
          <w:sz w:val="20"/>
          <w:szCs w:val="22"/>
          <w:lang w:val="es-MX"/>
        </w:rPr>
      </w:pPr>
    </w:p>
    <w:tbl>
      <w:tblPr>
        <w:tblW w:w="9684" w:type="dxa"/>
        <w:jc w:val="center"/>
        <w:shd w:val="clear" w:color="auto" w:fill="FFFFFF"/>
        <w:tblCellMar>
          <w:left w:w="0" w:type="dxa"/>
          <w:right w:w="0" w:type="dxa"/>
        </w:tblCellMar>
        <w:tblLook w:val="0420" w:firstRow="1" w:lastRow="0" w:firstColumn="0" w:lastColumn="0" w:noHBand="0" w:noVBand="1"/>
      </w:tblPr>
      <w:tblGrid>
        <w:gridCol w:w="1257"/>
        <w:gridCol w:w="863"/>
        <w:gridCol w:w="994"/>
        <w:gridCol w:w="1111"/>
        <w:gridCol w:w="777"/>
        <w:gridCol w:w="776"/>
        <w:gridCol w:w="776"/>
        <w:gridCol w:w="797"/>
        <w:gridCol w:w="778"/>
        <w:gridCol w:w="778"/>
        <w:gridCol w:w="777"/>
      </w:tblGrid>
      <w:tr w:rsidR="00911EC0" w:rsidRPr="00F30FD1" w14:paraId="75D3DD94" w14:textId="77777777" w:rsidTr="00830BBC">
        <w:trPr>
          <w:trHeight w:val="170"/>
          <w:tblHeader/>
          <w:jc w:val="center"/>
        </w:trPr>
        <w:tc>
          <w:tcPr>
            <w:tcW w:w="1258"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D005CFA"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Indicador PED</w:t>
            </w:r>
          </w:p>
        </w:tc>
        <w:tc>
          <w:tcPr>
            <w:tcW w:w="863" w:type="dxa"/>
            <w:tcBorders>
              <w:top w:val="single" w:sz="4" w:space="0" w:color="auto"/>
              <w:left w:val="single" w:sz="4" w:space="0" w:color="auto"/>
              <w:bottom w:val="single" w:sz="4" w:space="0" w:color="auto"/>
              <w:right w:val="single" w:sz="4" w:space="0" w:color="auto"/>
            </w:tcBorders>
            <w:shd w:val="clear" w:color="auto" w:fill="A6A6A6"/>
          </w:tcPr>
          <w:p w14:paraId="01FBC01C" w14:textId="77777777" w:rsidR="00635E90" w:rsidRPr="00F30FD1" w:rsidRDefault="00635E90" w:rsidP="00AF56F3">
            <w:pPr>
              <w:spacing w:after="0" w:line="240" w:lineRule="auto"/>
              <w:jc w:val="center"/>
              <w:rPr>
                <w:rFonts w:eastAsia="Times New Roman" w:cs="Arial"/>
                <w:sz w:val="18"/>
                <w:szCs w:val="22"/>
                <w:lang w:val="es-MX"/>
              </w:rPr>
            </w:pPr>
          </w:p>
          <w:p w14:paraId="3205AB1E"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Fuente</w:t>
            </w:r>
          </w:p>
        </w:tc>
        <w:tc>
          <w:tcPr>
            <w:tcW w:w="994"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26AA1C8" w14:textId="041C5646" w:rsidR="00911EC0" w:rsidRPr="00F30FD1" w:rsidRDefault="00635E90" w:rsidP="00AF56F3">
            <w:pPr>
              <w:spacing w:after="0" w:line="240" w:lineRule="auto"/>
              <w:jc w:val="center"/>
              <w:rPr>
                <w:rFonts w:eastAsia="Times New Roman" w:cs="Arial"/>
                <w:sz w:val="18"/>
                <w:szCs w:val="22"/>
                <w:lang w:val="es-MX"/>
              </w:rPr>
            </w:pPr>
            <w:proofErr w:type="spellStart"/>
            <w:r w:rsidRPr="00F30FD1">
              <w:rPr>
                <w:rFonts w:eastAsia="Times New Roman" w:cs="Arial"/>
                <w:sz w:val="18"/>
                <w:szCs w:val="22"/>
                <w:lang w:val="es-MX"/>
              </w:rPr>
              <w:t>Periodici</w:t>
            </w:r>
            <w:proofErr w:type="spellEnd"/>
            <w:r w:rsidR="00911EC0" w:rsidRPr="00F30FD1">
              <w:rPr>
                <w:rFonts w:eastAsia="Times New Roman" w:cs="Arial"/>
                <w:sz w:val="18"/>
                <w:szCs w:val="22"/>
                <w:lang w:val="es-MX"/>
              </w:rPr>
              <w:t>-</w:t>
            </w:r>
          </w:p>
          <w:p w14:paraId="1E82798A" w14:textId="4FFEF0D9"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dad</w:t>
            </w:r>
          </w:p>
        </w:tc>
        <w:tc>
          <w:tcPr>
            <w:tcW w:w="1111"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E7D733C"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Unidad de Medida</w:t>
            </w:r>
          </w:p>
        </w:tc>
        <w:tc>
          <w:tcPr>
            <w:tcW w:w="777"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7DBA7EF0"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Línea Base</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76A4BB97"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8BD7A2E"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80506F6"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43E8D373"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5604B293"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777"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D439C67"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11EC0" w:rsidRPr="00F30FD1" w14:paraId="7E22BE7E" w14:textId="77777777" w:rsidTr="00830BBC">
        <w:trPr>
          <w:trHeight w:val="20"/>
          <w:jc w:val="center"/>
        </w:trPr>
        <w:tc>
          <w:tcPr>
            <w:tcW w:w="125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BE85F84" w14:textId="6EEB2E0C" w:rsidR="00635E90" w:rsidRPr="00F30FD1" w:rsidRDefault="00635E90" w:rsidP="00AF56F3">
            <w:pPr>
              <w:spacing w:after="0" w:line="240" w:lineRule="auto"/>
              <w:rPr>
                <w:rFonts w:eastAsia="Times New Roman" w:cs="Arial"/>
                <w:sz w:val="16"/>
                <w:szCs w:val="16"/>
                <w:lang w:val="es-MX"/>
              </w:rPr>
            </w:pPr>
            <w:r w:rsidRPr="00F30FD1">
              <w:rPr>
                <w:rFonts w:eastAsia="Times New Roman" w:cs="Arial"/>
                <w:sz w:val="16"/>
                <w:szCs w:val="16"/>
                <w:lang w:val="es-MX"/>
              </w:rPr>
              <w:t>Calificación Crediticia</w:t>
            </w:r>
          </w:p>
        </w:tc>
        <w:tc>
          <w:tcPr>
            <w:tcW w:w="863" w:type="dxa"/>
            <w:tcBorders>
              <w:top w:val="single" w:sz="4" w:space="0" w:color="auto"/>
              <w:left w:val="single" w:sz="4" w:space="0" w:color="auto"/>
              <w:bottom w:val="single" w:sz="4" w:space="0" w:color="auto"/>
              <w:right w:val="single" w:sz="4" w:space="0" w:color="auto"/>
            </w:tcBorders>
            <w:shd w:val="clear" w:color="auto" w:fill="FFFFFF"/>
          </w:tcPr>
          <w:p w14:paraId="7CA52264" w14:textId="38BD21A2"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Agencia Calificadora de Valores</w:t>
            </w:r>
          </w:p>
        </w:tc>
        <w:tc>
          <w:tcPr>
            <w:tcW w:w="994"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625558E" w14:textId="15AEF1CD"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Anual</w:t>
            </w:r>
          </w:p>
        </w:tc>
        <w:tc>
          <w:tcPr>
            <w:tcW w:w="111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15012E9" w14:textId="7238B35C" w:rsidR="00635E90" w:rsidRPr="00F30FD1" w:rsidRDefault="00880B52" w:rsidP="00911EC0">
            <w:pPr>
              <w:spacing w:after="0" w:line="240" w:lineRule="auto"/>
              <w:rPr>
                <w:rFonts w:eastAsia="Times New Roman" w:cs="Arial"/>
                <w:sz w:val="16"/>
                <w:szCs w:val="16"/>
                <w:lang w:val="es-MX"/>
              </w:rPr>
            </w:pPr>
            <w:r w:rsidRPr="00F30FD1">
              <w:rPr>
                <w:rFonts w:eastAsia="Times New Roman" w:cs="Arial"/>
                <w:sz w:val="16"/>
                <w:szCs w:val="16"/>
                <w:lang w:val="es-MX"/>
              </w:rPr>
              <w:t>Calificació</w:t>
            </w:r>
            <w:r w:rsidR="00911EC0" w:rsidRPr="00F30FD1">
              <w:rPr>
                <w:rFonts w:eastAsia="Times New Roman" w:cs="Arial"/>
                <w:sz w:val="16"/>
                <w:szCs w:val="16"/>
                <w:lang w:val="es-MX"/>
              </w:rPr>
              <w:t>n</w:t>
            </w:r>
            <w:r w:rsidRPr="00F30FD1">
              <w:rPr>
                <w:rFonts w:eastAsia="Times New Roman" w:cs="Arial"/>
                <w:sz w:val="16"/>
                <w:szCs w:val="16"/>
                <w:lang w:val="es-MX"/>
              </w:rPr>
              <w:t xml:space="preserve"> Asignada</w:t>
            </w:r>
          </w:p>
        </w:tc>
        <w:tc>
          <w:tcPr>
            <w:tcW w:w="77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7F244D2" w14:textId="785537B7"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BB (</w:t>
            </w:r>
            <w:proofErr w:type="spellStart"/>
            <w:r w:rsidRPr="00F30FD1">
              <w:rPr>
                <w:rFonts w:eastAsia="Times New Roman" w:cs="Arial"/>
                <w:sz w:val="16"/>
                <w:szCs w:val="16"/>
                <w:lang w:val="es-MX"/>
              </w:rPr>
              <w:t>mex</w:t>
            </w:r>
            <w:proofErr w:type="spellEnd"/>
            <w:r w:rsidRPr="00F30FD1">
              <w:rPr>
                <w:rFonts w:eastAsia="Times New Roman" w:cs="Arial"/>
                <w:sz w:val="16"/>
                <w:szCs w:val="16"/>
                <w:lang w:val="es-MX"/>
              </w:rPr>
              <w:t>) Estable 2016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446ED66" w14:textId="5FD724B3" w:rsidR="00635E90" w:rsidRPr="00F30FD1" w:rsidRDefault="00880B52" w:rsidP="00AF56F3">
            <w:pPr>
              <w:spacing w:after="0" w:line="240" w:lineRule="auto"/>
              <w:rPr>
                <w:rFonts w:eastAsia="Times New Roman" w:cs="Arial"/>
                <w:sz w:val="16"/>
                <w:szCs w:val="16"/>
                <w:lang w:val="es-MX"/>
              </w:rPr>
            </w:pPr>
            <w:r w:rsidRPr="00F30FD1">
              <w:rPr>
                <w:rFonts w:eastAsia="Times New Roman" w:cs="Arial"/>
                <w:sz w:val="16"/>
                <w:szCs w:val="16"/>
                <w:lang w:val="es-MX"/>
              </w:rPr>
              <w:t>BBB-Estable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00E5C57" w14:textId="5BD68471" w:rsidR="00635E90" w:rsidRPr="00F30FD1" w:rsidRDefault="00911EC0" w:rsidP="00AF56F3">
            <w:pPr>
              <w:spacing w:after="0" w:line="240" w:lineRule="auto"/>
              <w:rPr>
                <w:rFonts w:eastAsia="Times New Roman" w:cs="Arial"/>
                <w:sz w:val="16"/>
                <w:szCs w:val="16"/>
                <w:lang w:val="es-MX"/>
              </w:rPr>
            </w:pPr>
            <w:r w:rsidRPr="00F30FD1">
              <w:rPr>
                <w:rFonts w:eastAsia="Times New Roman" w:cs="Arial"/>
                <w:sz w:val="16"/>
                <w:szCs w:val="16"/>
                <w:lang w:val="es-MX"/>
              </w:rPr>
              <w:t>BBB-Estable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1F939DE" w14:textId="36997B1E" w:rsidR="00635E90" w:rsidRPr="00F30FD1" w:rsidRDefault="00911EC0" w:rsidP="00AF56F3">
            <w:pPr>
              <w:spacing w:after="0" w:line="240" w:lineRule="auto"/>
              <w:rPr>
                <w:rFonts w:eastAsia="Times New Roman" w:cs="Arial"/>
                <w:sz w:val="16"/>
                <w:szCs w:val="16"/>
                <w:lang w:val="es-MX"/>
              </w:rPr>
            </w:pPr>
            <w:r w:rsidRPr="00F30FD1">
              <w:rPr>
                <w:rFonts w:eastAsia="Times New Roman" w:cs="Arial"/>
                <w:sz w:val="16"/>
                <w:szCs w:val="16"/>
                <w:lang w:val="es-MX"/>
              </w:rPr>
              <w:t>BBB Positiva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12DBF55" w14:textId="079BCB75" w:rsidR="00635E90" w:rsidRPr="00F30FD1" w:rsidRDefault="00911EC0" w:rsidP="00AF56F3">
            <w:pPr>
              <w:spacing w:after="0" w:line="240" w:lineRule="auto"/>
              <w:rPr>
                <w:rFonts w:eastAsia="Times New Roman" w:cs="Arial"/>
                <w:sz w:val="16"/>
                <w:szCs w:val="16"/>
                <w:lang w:val="es-MX"/>
              </w:rPr>
            </w:pPr>
            <w:r w:rsidRPr="00F30FD1">
              <w:rPr>
                <w:rFonts w:eastAsia="Times New Roman" w:cs="Arial"/>
                <w:sz w:val="16"/>
                <w:szCs w:val="16"/>
                <w:lang w:val="es-MX"/>
              </w:rPr>
              <w:t>BBB Estable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311F6DE" w14:textId="53C59998" w:rsidR="00635E90" w:rsidRPr="00F30FD1" w:rsidRDefault="00911EC0" w:rsidP="00AF56F3">
            <w:pPr>
              <w:spacing w:after="0" w:line="240" w:lineRule="auto"/>
              <w:rPr>
                <w:rFonts w:eastAsia="Times New Roman" w:cs="Arial"/>
                <w:sz w:val="16"/>
                <w:szCs w:val="16"/>
                <w:lang w:val="es-MX"/>
              </w:rPr>
            </w:pPr>
            <w:r w:rsidRPr="00F30FD1">
              <w:rPr>
                <w:rFonts w:eastAsia="Times New Roman" w:cs="Arial"/>
                <w:sz w:val="16"/>
                <w:szCs w:val="16"/>
                <w:lang w:val="es-MX"/>
              </w:rPr>
              <w:t>BBB Estable</w:t>
            </w:r>
          </w:p>
        </w:tc>
        <w:tc>
          <w:tcPr>
            <w:tcW w:w="77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3389E6F" w14:textId="4E4DFD24" w:rsidR="00635E90" w:rsidRPr="00F30FD1" w:rsidRDefault="00911EC0" w:rsidP="00AF56F3">
            <w:pPr>
              <w:spacing w:after="0" w:line="240" w:lineRule="auto"/>
              <w:rPr>
                <w:rFonts w:eastAsia="Times New Roman" w:cs="Arial"/>
                <w:sz w:val="16"/>
                <w:szCs w:val="16"/>
                <w:lang w:val="es-MX"/>
              </w:rPr>
            </w:pPr>
            <w:r w:rsidRPr="00F30FD1">
              <w:rPr>
                <w:rFonts w:eastAsia="Times New Roman" w:cs="Arial"/>
                <w:sz w:val="16"/>
                <w:szCs w:val="16"/>
                <w:lang w:val="es-MX"/>
              </w:rPr>
              <w:t>BBB  Estable</w:t>
            </w:r>
          </w:p>
        </w:tc>
      </w:tr>
    </w:tbl>
    <w:p w14:paraId="5B3DFE21" w14:textId="77777777" w:rsidR="00635E90" w:rsidRPr="00F30FD1" w:rsidRDefault="00635E90" w:rsidP="00952E57">
      <w:pPr>
        <w:spacing w:after="0" w:line="240" w:lineRule="auto"/>
        <w:ind w:left="1418"/>
        <w:contextualSpacing/>
        <w:rPr>
          <w:rFonts w:eastAsia="Times New Roman" w:cs="Arial"/>
          <w:sz w:val="20"/>
          <w:szCs w:val="22"/>
          <w:lang w:val="es-MX"/>
        </w:rPr>
      </w:pPr>
    </w:p>
    <w:tbl>
      <w:tblPr>
        <w:tblW w:w="9684" w:type="dxa"/>
        <w:jc w:val="center"/>
        <w:shd w:val="clear" w:color="auto" w:fill="FFFFFF"/>
        <w:tblCellMar>
          <w:left w:w="0" w:type="dxa"/>
          <w:right w:w="0" w:type="dxa"/>
        </w:tblCellMar>
        <w:tblLook w:val="0420" w:firstRow="1" w:lastRow="0" w:firstColumn="0" w:lastColumn="0" w:noHBand="0" w:noVBand="1"/>
      </w:tblPr>
      <w:tblGrid>
        <w:gridCol w:w="1288"/>
        <w:gridCol w:w="1112"/>
        <w:gridCol w:w="1371"/>
        <w:gridCol w:w="972"/>
        <w:gridCol w:w="759"/>
        <w:gridCol w:w="697"/>
        <w:gridCol w:w="697"/>
        <w:gridCol w:w="697"/>
        <w:gridCol w:w="697"/>
        <w:gridCol w:w="697"/>
        <w:gridCol w:w="697"/>
      </w:tblGrid>
      <w:tr w:rsidR="00635E90" w:rsidRPr="00F30FD1" w14:paraId="492A0D94" w14:textId="77777777" w:rsidTr="00472C23">
        <w:trPr>
          <w:trHeight w:val="170"/>
          <w:tblHeader/>
          <w:jc w:val="center"/>
        </w:trPr>
        <w:tc>
          <w:tcPr>
            <w:tcW w:w="1288"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504FF5B9"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Indicador PED</w:t>
            </w:r>
          </w:p>
        </w:tc>
        <w:tc>
          <w:tcPr>
            <w:tcW w:w="1112" w:type="dxa"/>
            <w:tcBorders>
              <w:top w:val="single" w:sz="4" w:space="0" w:color="auto"/>
              <w:left w:val="single" w:sz="4" w:space="0" w:color="auto"/>
              <w:bottom w:val="single" w:sz="4" w:space="0" w:color="auto"/>
              <w:right w:val="single" w:sz="4" w:space="0" w:color="auto"/>
            </w:tcBorders>
            <w:shd w:val="clear" w:color="auto" w:fill="A6A6A6"/>
          </w:tcPr>
          <w:p w14:paraId="269297B8" w14:textId="77777777" w:rsidR="00635E90" w:rsidRPr="00F30FD1" w:rsidRDefault="00635E90" w:rsidP="00AF56F3">
            <w:pPr>
              <w:spacing w:after="0" w:line="240" w:lineRule="auto"/>
              <w:jc w:val="center"/>
              <w:rPr>
                <w:rFonts w:eastAsia="Times New Roman" w:cs="Arial"/>
                <w:sz w:val="18"/>
                <w:szCs w:val="22"/>
                <w:lang w:val="es-MX"/>
              </w:rPr>
            </w:pPr>
          </w:p>
          <w:p w14:paraId="60D33BB1"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Fuente</w:t>
            </w:r>
          </w:p>
        </w:tc>
        <w:tc>
          <w:tcPr>
            <w:tcW w:w="1371"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22A5EAF1"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Periodicidad</w:t>
            </w:r>
          </w:p>
        </w:tc>
        <w:tc>
          <w:tcPr>
            <w:tcW w:w="972"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5232D9C5"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Unidad de Medida</w:t>
            </w:r>
          </w:p>
        </w:tc>
        <w:tc>
          <w:tcPr>
            <w:tcW w:w="759"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3D93994"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Línea Base</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3F82A288"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11A204FD"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0FA61FA0"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7317FC10"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0" w:type="auto"/>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7A2DE1D4"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697" w:type="dxa"/>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vAlign w:val="center"/>
            <w:hideMark/>
          </w:tcPr>
          <w:p w14:paraId="4D3D7122" w14:textId="77777777" w:rsidR="00635E90" w:rsidRPr="00F30FD1" w:rsidRDefault="00635E9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472C23" w:rsidRPr="00F30FD1" w14:paraId="6457D328" w14:textId="77777777" w:rsidTr="00472C23">
        <w:trPr>
          <w:trHeight w:val="20"/>
          <w:jc w:val="center"/>
        </w:trPr>
        <w:tc>
          <w:tcPr>
            <w:tcW w:w="128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D57B3A4" w14:textId="74FB6AA9" w:rsidR="00472C23" w:rsidRPr="00F30FD1" w:rsidRDefault="00472C23" w:rsidP="001873D1">
            <w:pPr>
              <w:spacing w:after="0" w:line="240" w:lineRule="auto"/>
              <w:rPr>
                <w:rFonts w:eastAsia="Times New Roman" w:cs="Arial"/>
                <w:sz w:val="16"/>
                <w:szCs w:val="16"/>
                <w:lang w:val="es-MX"/>
              </w:rPr>
            </w:pPr>
            <w:r w:rsidRPr="00472C23">
              <w:rPr>
                <w:rFonts w:eastAsia="Times New Roman" w:cs="Arial"/>
                <w:sz w:val="16"/>
                <w:szCs w:val="16"/>
                <w:lang w:val="es-MX"/>
              </w:rPr>
              <w:t>Diagnóstico PbR-SED Sección Presupuestación</w:t>
            </w:r>
          </w:p>
        </w:tc>
        <w:tc>
          <w:tcPr>
            <w:tcW w:w="1112" w:type="dxa"/>
            <w:tcBorders>
              <w:top w:val="single" w:sz="4" w:space="0" w:color="auto"/>
              <w:left w:val="single" w:sz="4" w:space="0" w:color="auto"/>
              <w:bottom w:val="single" w:sz="4" w:space="0" w:color="auto"/>
              <w:right w:val="single" w:sz="4" w:space="0" w:color="auto"/>
            </w:tcBorders>
            <w:shd w:val="clear" w:color="auto" w:fill="FFFFFF"/>
          </w:tcPr>
          <w:p w14:paraId="5893825A" w14:textId="5C2A4745" w:rsidR="00472C23" w:rsidRPr="00F30FD1" w:rsidRDefault="00472C23" w:rsidP="001873D1">
            <w:pPr>
              <w:spacing w:after="0" w:line="240" w:lineRule="auto"/>
              <w:rPr>
                <w:rFonts w:eastAsia="Times New Roman" w:cs="Arial"/>
                <w:sz w:val="16"/>
                <w:szCs w:val="16"/>
                <w:lang w:val="es-MX"/>
              </w:rPr>
            </w:pPr>
            <w:r w:rsidRPr="00F30FD1">
              <w:rPr>
                <w:rFonts w:eastAsia="Times New Roman" w:cs="Arial"/>
                <w:sz w:val="16"/>
                <w:szCs w:val="16"/>
                <w:lang w:val="es-MX"/>
              </w:rPr>
              <w:t>Transparencia Presupuestaria (SHCP)</w:t>
            </w:r>
          </w:p>
        </w:tc>
        <w:tc>
          <w:tcPr>
            <w:tcW w:w="1371"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DFCA691" w14:textId="5CFD1215" w:rsidR="00472C23" w:rsidRPr="00F30FD1" w:rsidRDefault="00472C23" w:rsidP="001873D1">
            <w:pPr>
              <w:spacing w:after="0" w:line="240" w:lineRule="auto"/>
              <w:rPr>
                <w:rFonts w:eastAsia="Times New Roman" w:cs="Arial"/>
                <w:sz w:val="16"/>
                <w:szCs w:val="16"/>
                <w:lang w:val="es-MX"/>
              </w:rPr>
            </w:pPr>
            <w:r w:rsidRPr="00F30FD1">
              <w:rPr>
                <w:rFonts w:eastAsia="Times New Roman" w:cs="Arial"/>
                <w:sz w:val="16"/>
                <w:szCs w:val="16"/>
                <w:lang w:val="es-MX"/>
              </w:rPr>
              <w:t>Anual</w:t>
            </w:r>
          </w:p>
        </w:tc>
        <w:tc>
          <w:tcPr>
            <w:tcW w:w="972"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08EC36B" w14:textId="217A88FC" w:rsidR="00472C23" w:rsidRPr="00F30FD1" w:rsidRDefault="00472C23" w:rsidP="001873D1">
            <w:pPr>
              <w:spacing w:after="0" w:line="240" w:lineRule="auto"/>
              <w:rPr>
                <w:rFonts w:eastAsia="Times New Roman" w:cs="Arial"/>
                <w:sz w:val="16"/>
                <w:szCs w:val="16"/>
                <w:lang w:val="es-MX"/>
              </w:rPr>
            </w:pPr>
            <w:r>
              <w:rPr>
                <w:rFonts w:eastAsia="Times New Roman" w:cs="Arial"/>
                <w:sz w:val="16"/>
                <w:szCs w:val="16"/>
                <w:lang w:val="es-MX"/>
              </w:rPr>
              <w:t>Porcentaje</w:t>
            </w:r>
          </w:p>
        </w:tc>
        <w:tc>
          <w:tcPr>
            <w:tcW w:w="75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15C1E58" w14:textId="77777777" w:rsidR="00472C23" w:rsidRDefault="00472C23" w:rsidP="001873D1">
            <w:pPr>
              <w:spacing w:after="0" w:line="240" w:lineRule="auto"/>
              <w:rPr>
                <w:rFonts w:eastAsia="Times New Roman" w:cs="Arial"/>
                <w:sz w:val="16"/>
                <w:szCs w:val="16"/>
                <w:lang w:val="es-MX"/>
              </w:rPr>
            </w:pPr>
            <w:r>
              <w:rPr>
                <w:rFonts w:eastAsia="Times New Roman" w:cs="Arial"/>
                <w:sz w:val="16"/>
                <w:szCs w:val="16"/>
                <w:lang w:val="es-MX"/>
              </w:rPr>
              <w:t>73.4</w:t>
            </w:r>
          </w:p>
          <w:p w14:paraId="0FEBC94C" w14:textId="628B175D" w:rsidR="00472C23" w:rsidRPr="00F30FD1" w:rsidRDefault="00472C23" w:rsidP="001873D1">
            <w:pPr>
              <w:spacing w:after="0" w:line="240" w:lineRule="auto"/>
              <w:rPr>
                <w:rFonts w:eastAsia="Times New Roman" w:cs="Arial"/>
                <w:sz w:val="16"/>
                <w:szCs w:val="16"/>
                <w:lang w:val="es-MX"/>
              </w:rPr>
            </w:pPr>
            <w:r>
              <w:rPr>
                <w:rFonts w:eastAsia="Times New Roman" w:cs="Arial"/>
                <w:sz w:val="16"/>
                <w:szCs w:val="16"/>
                <w:lang w:val="es-MX"/>
              </w:rPr>
              <w:t>(2016)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39631E3" w14:textId="4D7B7502" w:rsidR="00472C23" w:rsidRPr="00F30FD1" w:rsidRDefault="00472C23" w:rsidP="00472C23">
            <w:pPr>
              <w:spacing w:after="0" w:line="240" w:lineRule="auto"/>
              <w:rPr>
                <w:rFonts w:eastAsia="Times New Roman" w:cs="Arial"/>
                <w:sz w:val="16"/>
                <w:szCs w:val="16"/>
                <w:lang w:val="es-MX"/>
              </w:rPr>
            </w:pPr>
            <w:r>
              <w:rPr>
                <w:sz w:val="16"/>
                <w:szCs w:val="16"/>
              </w:rPr>
              <w:t>79.97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404C409" w14:textId="1444A53F" w:rsidR="00472C23" w:rsidRPr="00F30FD1" w:rsidRDefault="00472C23" w:rsidP="00472C23">
            <w:pPr>
              <w:spacing w:after="0" w:line="240" w:lineRule="auto"/>
              <w:rPr>
                <w:rFonts w:eastAsia="Times New Roman" w:cs="Arial"/>
                <w:sz w:val="16"/>
                <w:szCs w:val="16"/>
                <w:lang w:val="es-MX"/>
              </w:rPr>
            </w:pPr>
            <w:r>
              <w:rPr>
                <w:sz w:val="16"/>
                <w:szCs w:val="16"/>
              </w:rPr>
              <w:t>88.4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5E13655" w14:textId="28841B5C" w:rsidR="00472C23" w:rsidRPr="00F30FD1" w:rsidRDefault="00472C23" w:rsidP="00472C23">
            <w:pPr>
              <w:spacing w:after="0" w:line="240" w:lineRule="auto"/>
              <w:rPr>
                <w:rFonts w:eastAsia="Times New Roman" w:cs="Arial"/>
                <w:sz w:val="16"/>
                <w:szCs w:val="16"/>
                <w:lang w:val="es-MX"/>
              </w:rPr>
            </w:pPr>
            <w:r>
              <w:rPr>
                <w:sz w:val="16"/>
                <w:szCs w:val="16"/>
              </w:rPr>
              <w:t>88.4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BEE2308" w14:textId="6F1A581C" w:rsidR="00472C23" w:rsidRPr="00F30FD1" w:rsidRDefault="00472C23" w:rsidP="00472C23">
            <w:pPr>
              <w:spacing w:after="0" w:line="240" w:lineRule="auto"/>
              <w:rPr>
                <w:rFonts w:eastAsia="Times New Roman" w:cs="Arial"/>
                <w:sz w:val="16"/>
                <w:szCs w:val="16"/>
                <w:lang w:val="es-MX"/>
              </w:rPr>
            </w:pPr>
            <w:r>
              <w:rPr>
                <w:sz w:val="16"/>
                <w:szCs w:val="16"/>
              </w:rPr>
              <w:t>95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9C2E709" w14:textId="60B31325" w:rsidR="00472C23" w:rsidRPr="00F30FD1" w:rsidRDefault="00472C23" w:rsidP="00472C23">
            <w:pPr>
              <w:spacing w:after="0" w:line="240" w:lineRule="auto"/>
              <w:rPr>
                <w:rFonts w:eastAsia="Times New Roman" w:cs="Arial"/>
                <w:sz w:val="16"/>
                <w:szCs w:val="16"/>
                <w:lang w:val="es-MX"/>
              </w:rPr>
            </w:pPr>
            <w:r>
              <w:rPr>
                <w:sz w:val="16"/>
                <w:szCs w:val="16"/>
              </w:rPr>
              <w:t>95</w:t>
            </w:r>
          </w:p>
        </w:tc>
        <w:tc>
          <w:tcPr>
            <w:tcW w:w="697"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5262B4C" w14:textId="50F25EB6" w:rsidR="00472C23" w:rsidRPr="00F30FD1" w:rsidRDefault="00472C23" w:rsidP="00472C23">
            <w:pPr>
              <w:spacing w:after="0" w:line="240" w:lineRule="auto"/>
              <w:rPr>
                <w:rFonts w:eastAsia="Times New Roman" w:cs="Arial"/>
                <w:sz w:val="16"/>
                <w:szCs w:val="16"/>
                <w:lang w:val="es-MX"/>
              </w:rPr>
            </w:pPr>
            <w:r>
              <w:rPr>
                <w:sz w:val="16"/>
                <w:szCs w:val="16"/>
              </w:rPr>
              <w:t>95</w:t>
            </w:r>
          </w:p>
        </w:tc>
      </w:tr>
    </w:tbl>
    <w:p w14:paraId="6961DF99" w14:textId="3604EB9D" w:rsidR="00635E90" w:rsidRPr="00F30FD1" w:rsidRDefault="00635E90" w:rsidP="00952E57">
      <w:pPr>
        <w:spacing w:after="0" w:line="240" w:lineRule="auto"/>
        <w:ind w:left="1418"/>
        <w:contextualSpacing/>
        <w:rPr>
          <w:rFonts w:eastAsia="Times New Roman" w:cs="Arial"/>
          <w:sz w:val="20"/>
          <w:szCs w:val="22"/>
          <w:lang w:val="es-MX"/>
        </w:rPr>
      </w:pPr>
    </w:p>
    <w:p w14:paraId="2A2F3FBB" w14:textId="71ACBA14" w:rsidR="00635E90" w:rsidRPr="00F30FD1" w:rsidRDefault="00635E90" w:rsidP="00952E57">
      <w:pPr>
        <w:spacing w:after="0" w:line="240" w:lineRule="auto"/>
        <w:ind w:left="1418"/>
        <w:contextualSpacing/>
        <w:rPr>
          <w:rFonts w:eastAsia="Times New Roman" w:cs="Arial"/>
          <w:sz w:val="20"/>
          <w:szCs w:val="22"/>
          <w:lang w:val="es-MX"/>
        </w:rPr>
      </w:pPr>
    </w:p>
    <w:p w14:paraId="0A6B869B" w14:textId="5A17AD2B" w:rsidR="00635E90" w:rsidRPr="00F30FD1" w:rsidRDefault="00635E90" w:rsidP="00952E57">
      <w:pPr>
        <w:spacing w:after="0" w:line="240" w:lineRule="auto"/>
        <w:ind w:left="1418"/>
        <w:contextualSpacing/>
        <w:rPr>
          <w:rFonts w:eastAsia="Times New Roman" w:cs="Arial"/>
          <w:sz w:val="20"/>
          <w:szCs w:val="22"/>
          <w:lang w:val="es-MX"/>
        </w:rPr>
      </w:pPr>
    </w:p>
    <w:p w14:paraId="595B21B0" w14:textId="77777777" w:rsidR="00635E90" w:rsidRPr="00F30FD1" w:rsidRDefault="00635E90" w:rsidP="00952E57">
      <w:pPr>
        <w:spacing w:after="0" w:line="240" w:lineRule="auto"/>
        <w:ind w:left="1418"/>
        <w:contextualSpacing/>
        <w:rPr>
          <w:rFonts w:eastAsia="Times New Roman" w:cs="Arial"/>
          <w:sz w:val="20"/>
          <w:szCs w:val="22"/>
          <w:lang w:val="es-MX"/>
        </w:rPr>
      </w:pPr>
    </w:p>
    <w:p w14:paraId="158674D8" w14:textId="1ABCA076" w:rsidR="00830BBC" w:rsidRPr="00100B8B" w:rsidRDefault="00830BBC" w:rsidP="00830BBC">
      <w:pPr>
        <w:spacing w:after="0" w:line="240" w:lineRule="auto"/>
        <w:ind w:left="360"/>
        <w:jc w:val="center"/>
        <w:rPr>
          <w:rFonts w:eastAsia="Arial" w:cs="Times New Roman"/>
          <w:b/>
          <w:bCs/>
          <w:color w:val="4BACC6" w:themeColor="accent5"/>
          <w:lang w:val="es-MX" w:eastAsia="en-US"/>
        </w:rPr>
      </w:pPr>
      <w:r w:rsidRPr="00100B8B">
        <w:rPr>
          <w:rFonts w:eastAsia="Arial" w:cs="Times New Roman"/>
          <w:b/>
          <w:bCs/>
          <w:color w:val="4BACC6" w:themeColor="accent5"/>
          <w:lang w:val="es-MX" w:eastAsia="en-US"/>
        </w:rPr>
        <w:t>Tabla T.</w:t>
      </w:r>
      <w:r w:rsidR="00100B8B">
        <w:rPr>
          <w:rFonts w:eastAsia="Arial" w:cs="Times New Roman"/>
          <w:b/>
          <w:bCs/>
          <w:color w:val="4BACC6" w:themeColor="accent5"/>
          <w:lang w:val="es-MX" w:eastAsia="en-US"/>
        </w:rPr>
        <w:t>2</w:t>
      </w:r>
      <w:r w:rsidRPr="00100B8B">
        <w:rPr>
          <w:rFonts w:eastAsia="Arial" w:cs="Times New Roman"/>
          <w:b/>
          <w:bCs/>
          <w:color w:val="4BACC6" w:themeColor="accent5"/>
          <w:lang w:val="es-MX" w:eastAsia="en-US"/>
        </w:rPr>
        <w:t>4.- Entregables y Metas de las Líneas de Acción del PED</w:t>
      </w:r>
    </w:p>
    <w:p w14:paraId="623D51F7" w14:textId="77777777" w:rsidR="00830BBC" w:rsidRPr="00100B8B" w:rsidRDefault="00830BBC" w:rsidP="00100B8B">
      <w:pPr>
        <w:spacing w:after="0" w:line="240" w:lineRule="auto"/>
        <w:ind w:left="360"/>
        <w:jc w:val="center"/>
        <w:rPr>
          <w:rFonts w:eastAsia="Arial" w:cs="Times New Roman"/>
          <w:b/>
          <w:bCs/>
          <w:color w:val="4BACC6" w:themeColor="accent5"/>
          <w:lang w:val="es-MX" w:eastAsia="en-US"/>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12E4487E"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C393036" w14:textId="652453EF" w:rsidR="00E66F7B" w:rsidRPr="00F30FD1" w:rsidRDefault="00952E57" w:rsidP="00E66F7B">
            <w:pPr>
              <w:spacing w:after="0" w:line="240" w:lineRule="auto"/>
              <w:rPr>
                <w:rFonts w:eastAsia="Times New Roman" w:cs="Arial"/>
                <w:sz w:val="18"/>
                <w:szCs w:val="22"/>
                <w:lang w:val="es-MX"/>
              </w:rPr>
            </w:pPr>
            <w:r w:rsidRPr="00F30FD1">
              <w:rPr>
                <w:rFonts w:eastAsia="Times New Roman" w:cs="Arial"/>
                <w:sz w:val="20"/>
                <w:szCs w:val="22"/>
                <w:lang w:val="es-MX"/>
              </w:rPr>
              <w:br w:type="page"/>
            </w:r>
            <w:r w:rsidR="00E66F7B"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8FB7C8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33B4A66D"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5ABDC54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D45A416" w14:textId="12FF3EE0" w:rsidR="00E66F7B" w:rsidRPr="00F30FD1" w:rsidRDefault="00474D9A" w:rsidP="00474D9A">
            <w:pPr>
              <w:rPr>
                <w:rFonts w:eastAsia="Times New Roman" w:cs="Arial"/>
                <w:sz w:val="18"/>
                <w:szCs w:val="22"/>
                <w:lang w:val="es-MX"/>
              </w:rPr>
            </w:pPr>
            <w:r w:rsidRPr="00F30FD1">
              <w:rPr>
                <w:rFonts w:eastAsia="Times New Roman" w:cs="Arial"/>
                <w:sz w:val="18"/>
                <w:szCs w:val="22"/>
                <w:lang w:val="es-MX"/>
              </w:rPr>
              <w:t xml:space="preserve">1. Actualizar y modernizar la cartografía estatal, así como promover la actualización de los registros catastrales, mediante el fortalecimiento y la colaboración de los tres órdenes de gobierno a través de convenios con los municipios y la federación a efecto de mantener actualizadas tanto la Plataforma de </w:t>
            </w:r>
            <w:r w:rsidRPr="00F30FD1">
              <w:rPr>
                <w:rFonts w:eastAsia="Times New Roman" w:cs="Arial"/>
                <w:sz w:val="18"/>
                <w:szCs w:val="22"/>
                <w:lang w:val="es-MX"/>
              </w:rPr>
              <w:lastRenderedPageBreak/>
              <w:t>Información Catastral y Registral del Estado de Quintana Roo como la Plataforma Nacional de Información Registral y Catastral, sustentado en la actualización y fortalecimiento del Marco Jurídico Catastral.</w:t>
            </w:r>
          </w:p>
        </w:tc>
      </w:tr>
      <w:tr w:rsidR="00E66F7B" w:rsidRPr="00F30FD1" w14:paraId="5A3D203E"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461738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lastRenderedPageBreak/>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199A946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C04B7D" w:rsidRPr="00F30FD1" w14:paraId="1DD647A3"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60AD405" w14:textId="77777777"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874BA6E" w14:textId="24E6B146"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Porcentaje de localidades beneficiadas con la actualización de sus registros catastrales.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120D61E" w14:textId="3EFCA2C3"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3C313AA" w14:textId="0B983D57"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Porcentaje de Localidades.</w:t>
            </w:r>
          </w:p>
        </w:tc>
      </w:tr>
      <w:tr w:rsidR="00E66F7B" w:rsidRPr="00F30FD1" w14:paraId="6D63D5C2"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086FAD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5515CDA" w14:textId="0EDB9251" w:rsidR="00E66F7B" w:rsidRPr="00F30FD1" w:rsidRDefault="007B5FC0" w:rsidP="00E66F7B">
            <w:pPr>
              <w:spacing w:after="0" w:line="240" w:lineRule="auto"/>
              <w:rPr>
                <w:rFonts w:eastAsia="Times New Roman" w:cs="Arial"/>
                <w:sz w:val="18"/>
                <w:szCs w:val="22"/>
                <w:lang w:val="es-MX"/>
              </w:rPr>
            </w:pPr>
            <w:r w:rsidRPr="00F30FD1">
              <w:rPr>
                <w:rFonts w:eastAsia="Times New Roman" w:cs="Arial"/>
                <w:sz w:val="18"/>
                <w:szCs w:val="22"/>
                <w:lang w:val="es-MX"/>
              </w:rPr>
              <w:t xml:space="preserve">Se trata de actualizar y dar consistencia a 102,010 Predios de 9 localidades estratégicas  con lo cual se optimizaran las recaudaciones de ambos </w:t>
            </w:r>
            <w:r w:rsidR="00426C5C" w:rsidRPr="00F30FD1">
              <w:rPr>
                <w:rFonts w:eastAsia="Times New Roman" w:cs="Arial"/>
                <w:sz w:val="18"/>
                <w:szCs w:val="22"/>
                <w:lang w:val="es-MX"/>
              </w:rPr>
              <w:t>órdenes</w:t>
            </w:r>
            <w:r w:rsidRPr="00F30FD1">
              <w:rPr>
                <w:rFonts w:eastAsia="Times New Roman" w:cs="Arial"/>
                <w:sz w:val="18"/>
                <w:szCs w:val="22"/>
                <w:lang w:val="es-MX"/>
              </w:rPr>
              <w:t xml:space="preserve"> de gobierno</w:t>
            </w:r>
          </w:p>
        </w:tc>
      </w:tr>
      <w:tr w:rsidR="00E66F7B" w:rsidRPr="00F30FD1" w14:paraId="7358EEF7"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A0C670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6FD1305" w14:textId="77777777" w:rsidR="007B5FC0" w:rsidRPr="00F30FD1" w:rsidRDefault="007B5FC0" w:rsidP="007B5FC0">
            <w:pPr>
              <w:spacing w:after="0" w:line="240" w:lineRule="auto"/>
              <w:rPr>
                <w:rFonts w:eastAsia="Times New Roman" w:cs="Arial"/>
                <w:sz w:val="18"/>
                <w:szCs w:val="22"/>
                <w:lang w:val="es-MX"/>
              </w:rPr>
            </w:pPr>
            <w:r w:rsidRPr="00F30FD1">
              <w:rPr>
                <w:rFonts w:eastAsia="Times New Roman" w:cs="Arial"/>
                <w:sz w:val="18"/>
                <w:szCs w:val="22"/>
                <w:lang w:val="es-MX"/>
              </w:rPr>
              <w:t>1.-Cartografía catastral.</w:t>
            </w:r>
          </w:p>
          <w:p w14:paraId="65CFAB83" w14:textId="77777777" w:rsidR="007B5FC0" w:rsidRPr="00F30FD1" w:rsidRDefault="007B5FC0" w:rsidP="007B5FC0">
            <w:pPr>
              <w:spacing w:after="0" w:line="240" w:lineRule="auto"/>
              <w:rPr>
                <w:rFonts w:eastAsia="Times New Roman" w:cs="Arial"/>
                <w:sz w:val="18"/>
                <w:szCs w:val="22"/>
                <w:lang w:val="es-MX"/>
              </w:rPr>
            </w:pPr>
            <w:r w:rsidRPr="00F30FD1">
              <w:rPr>
                <w:rFonts w:eastAsia="Times New Roman" w:cs="Arial"/>
                <w:sz w:val="18"/>
                <w:szCs w:val="22"/>
                <w:lang w:val="es-MX"/>
              </w:rPr>
              <w:t>2.-Base de datos catastrales.</w:t>
            </w:r>
          </w:p>
          <w:p w14:paraId="38D8E1BD" w14:textId="6AF3B4CD" w:rsidR="00E66F7B" w:rsidRPr="00F30FD1" w:rsidRDefault="007B5FC0" w:rsidP="007B5FC0">
            <w:pPr>
              <w:spacing w:after="0" w:line="240" w:lineRule="auto"/>
              <w:rPr>
                <w:rFonts w:eastAsia="Times New Roman" w:cs="Arial"/>
                <w:sz w:val="18"/>
                <w:szCs w:val="22"/>
                <w:lang w:val="es-MX"/>
              </w:rPr>
            </w:pPr>
            <w:r w:rsidRPr="00F30FD1">
              <w:rPr>
                <w:rFonts w:eastAsia="Times New Roman" w:cs="Arial"/>
                <w:sz w:val="18"/>
                <w:szCs w:val="22"/>
                <w:lang w:val="es-MX"/>
              </w:rPr>
              <w:t>https://qroo.gob.mx/sefiplan/igece</w:t>
            </w:r>
          </w:p>
        </w:tc>
      </w:tr>
      <w:tr w:rsidR="00E66F7B" w:rsidRPr="00F30FD1" w14:paraId="4F9B84F4"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5D47BB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39B9478" w14:textId="3333109C" w:rsidR="00E66F7B" w:rsidRPr="00F30FD1" w:rsidRDefault="00C812E9" w:rsidP="00E66F7B">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29B89C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4014406" w14:textId="4910F156" w:rsidR="00E66F7B" w:rsidRPr="00F30FD1" w:rsidRDefault="00C812E9" w:rsidP="00E66F7B">
            <w:pPr>
              <w:spacing w:after="0" w:line="240" w:lineRule="auto"/>
              <w:rPr>
                <w:rFonts w:eastAsia="Times New Roman" w:cs="Arial"/>
                <w:sz w:val="18"/>
                <w:szCs w:val="22"/>
                <w:lang w:val="es-MX"/>
              </w:rPr>
            </w:pPr>
            <w:r w:rsidRPr="00F30FD1">
              <w:rPr>
                <w:rFonts w:eastAsia="Times New Roman" w:cs="Arial"/>
                <w:sz w:val="18"/>
                <w:szCs w:val="22"/>
                <w:lang w:val="es-MX"/>
              </w:rPr>
              <w:t>2016</w:t>
            </w:r>
          </w:p>
        </w:tc>
      </w:tr>
      <w:tr w:rsidR="00E66F7B" w:rsidRPr="00F30FD1" w14:paraId="1C583587"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C48584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6ED118" w14:textId="34A33EEE" w:rsidR="00E66F7B" w:rsidRPr="00F30FD1" w:rsidRDefault="007B5FC0" w:rsidP="00E66F7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E66F7B" w:rsidRPr="00F30FD1" w14:paraId="2B300FA5"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F0A2B2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4271A7D" w14:textId="2D97EAA8" w:rsidR="00E66F7B" w:rsidRPr="00F30FD1" w:rsidRDefault="007B5FC0" w:rsidP="00E66F7B">
            <w:pPr>
              <w:spacing w:after="0" w:line="240" w:lineRule="auto"/>
              <w:rPr>
                <w:rFonts w:eastAsia="Times New Roman" w:cs="Arial"/>
                <w:sz w:val="18"/>
                <w:szCs w:val="22"/>
                <w:lang w:val="es-MX"/>
              </w:rPr>
            </w:pPr>
            <w:r w:rsidRPr="00F30FD1">
              <w:rPr>
                <w:rFonts w:eastAsia="Times New Roman" w:cs="Arial"/>
                <w:sz w:val="18"/>
                <w:szCs w:val="22"/>
                <w:lang w:val="es-MX"/>
              </w:rPr>
              <w:t xml:space="preserve">17.14 Mejorar la coherencia de las políticas para el desarrollo sostenible, mediante la consolidación de una plataforma tecnológica con datos territoriales actualizados (Cartografía catastral y Base de datos catastrales) al servicio de ambos </w:t>
            </w:r>
            <w:r w:rsidR="00426C5C" w:rsidRPr="00F30FD1">
              <w:rPr>
                <w:rFonts w:eastAsia="Times New Roman" w:cs="Arial"/>
                <w:sz w:val="18"/>
                <w:szCs w:val="22"/>
                <w:lang w:val="es-MX"/>
              </w:rPr>
              <w:t>órdenes</w:t>
            </w:r>
            <w:r w:rsidRPr="00F30FD1">
              <w:rPr>
                <w:rFonts w:eastAsia="Times New Roman" w:cs="Arial"/>
                <w:sz w:val="18"/>
                <w:szCs w:val="22"/>
                <w:lang w:val="es-MX"/>
              </w:rPr>
              <w:t xml:space="preserve"> de gobierno, inversionistas y sociedad en lo general.</w:t>
            </w:r>
          </w:p>
        </w:tc>
      </w:tr>
      <w:tr w:rsidR="007B5FC0" w:rsidRPr="00F30FD1" w14:paraId="1EEA76A3"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DD4E56F" w14:textId="77777777" w:rsidR="007B5FC0" w:rsidRPr="00F30FD1" w:rsidRDefault="007B5FC0"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B72D1E1" w14:textId="27EA11C8" w:rsidR="007B5FC0" w:rsidRPr="00F30FD1" w:rsidRDefault="007B5FC0" w:rsidP="00E66F7B">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7B5FC0" w:rsidRPr="00F30FD1" w14:paraId="0A081F00"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D61326" w14:textId="77777777" w:rsidR="007B5FC0" w:rsidRPr="00F30FD1" w:rsidRDefault="007B5FC0"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6A95AAA" w14:textId="59B8F694" w:rsidR="007B5FC0" w:rsidRPr="00F30FD1" w:rsidRDefault="007B5FC0" w:rsidP="00E66F7B">
            <w:pPr>
              <w:spacing w:after="0" w:line="240" w:lineRule="auto"/>
              <w:rPr>
                <w:rFonts w:eastAsia="Times New Roman" w:cs="Arial"/>
                <w:sz w:val="18"/>
                <w:szCs w:val="22"/>
                <w:lang w:val="es-MX"/>
              </w:rPr>
            </w:pPr>
            <w:r w:rsidRPr="00F30FD1">
              <w:rPr>
                <w:rFonts w:eastAsia="Times New Roman" w:cs="Arial"/>
                <w:sz w:val="18"/>
                <w:szCs w:val="22"/>
                <w:lang w:val="es-MX"/>
              </w:rPr>
              <w:t>1.2.3. Fiscalización.</w:t>
            </w:r>
          </w:p>
        </w:tc>
      </w:tr>
      <w:tr w:rsidR="00E66F7B" w:rsidRPr="00F30FD1" w14:paraId="53A81FF0"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49A0469"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54C18D6B"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3DE145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9BEA1B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14E18F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C1F588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994D6E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E04AF3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C812E9" w:rsidRPr="00F30FD1" w14:paraId="671BF70B"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9C53A3B" w14:textId="4C51FF4C" w:rsidR="00C812E9" w:rsidRPr="00F30FD1" w:rsidRDefault="00C812E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E57DC12" w14:textId="00BBD357" w:rsidR="00C812E9" w:rsidRPr="00F30FD1" w:rsidRDefault="00C812E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35%</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A29B4C" w14:textId="40A76415" w:rsidR="00C812E9" w:rsidRPr="00F30FD1" w:rsidRDefault="00C812E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60%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82C76B7" w14:textId="70B74B4D" w:rsidR="00C812E9" w:rsidRPr="00F30FD1" w:rsidRDefault="00C812E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90%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CD34EF4" w14:textId="42D0ADD4" w:rsidR="00C812E9" w:rsidRPr="00F30FD1" w:rsidRDefault="00C812E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188C5E0" w14:textId="5AA96439" w:rsidR="00C812E9" w:rsidRPr="00F30FD1" w:rsidRDefault="00C812E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r>
    </w:tbl>
    <w:p w14:paraId="55B980F9" w14:textId="311938F8" w:rsidR="00C920BF" w:rsidRPr="00F30FD1" w:rsidRDefault="00C920BF" w:rsidP="00952E57">
      <w:pPr>
        <w:spacing w:after="0" w:line="240" w:lineRule="auto"/>
        <w:contextualSpacing/>
        <w:rPr>
          <w:rFonts w:eastAsia="Times New Roman" w:cs="Arial"/>
          <w:sz w:val="20"/>
          <w:szCs w:val="22"/>
          <w:lang w:val="es-MX"/>
        </w:rPr>
      </w:pPr>
    </w:p>
    <w:p w14:paraId="2FAB6094" w14:textId="77777777" w:rsidR="00C920BF" w:rsidRPr="00F30FD1" w:rsidRDefault="00C920BF">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13FB7737" w14:textId="77777777" w:rsidR="00952E57" w:rsidRPr="00F30FD1" w:rsidRDefault="00952E57"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7B5FC0" w:rsidRPr="00F30FD1" w14:paraId="55634FA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C53EAC6"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A62A511"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7B5FC0" w:rsidRPr="00F30FD1" w14:paraId="422E5ACF"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5DF452CC"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11949BC" w14:textId="77777777" w:rsidR="007B5FC0" w:rsidRPr="00F30FD1" w:rsidRDefault="007B5FC0" w:rsidP="00BC7B87">
            <w:pPr>
              <w:rPr>
                <w:rFonts w:eastAsia="Times New Roman" w:cs="Arial"/>
                <w:sz w:val="18"/>
                <w:szCs w:val="22"/>
                <w:lang w:val="es-MX"/>
              </w:rPr>
            </w:pPr>
            <w:r w:rsidRPr="00F30FD1">
              <w:rPr>
                <w:rFonts w:eastAsia="Times New Roman" w:cs="Arial"/>
                <w:sz w:val="18"/>
                <w:szCs w:val="22"/>
                <w:lang w:val="es-MX"/>
              </w:rPr>
              <w:t>1. Actualizar y modernizar la cartografía estatal, así como promover la actualización de los registros catastrales, mediante el fortalecimiento y la colaboración de los tres órdenes de gobierno a través de convenios con los municipios y la federación a efecto de mantener actualizadas tanto la Plataforma de Información Catastral y Registral del Estado de Quintana Roo como la Plataforma Nacional de Información Registral y Catastral, sustentado en la actualización y fortalecimiento del Marco Jurídico Catastral.</w:t>
            </w:r>
          </w:p>
        </w:tc>
      </w:tr>
      <w:tr w:rsidR="007B5FC0" w:rsidRPr="00F30FD1" w14:paraId="021404B7"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75E82CF"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4FCCE257"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7B5FC0" w:rsidRPr="00F30FD1" w14:paraId="5AA9A5FA"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05A38A"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45FD4C7" w14:textId="4B0CB046"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Número de municipios beneficiados con la actualización del marco jurídico catastral</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B72B97F"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B4329DB" w14:textId="551F495B" w:rsidR="007B5FC0"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Municipios beneficiados.</w:t>
            </w:r>
          </w:p>
        </w:tc>
      </w:tr>
      <w:tr w:rsidR="007B5FC0" w:rsidRPr="00F30FD1" w14:paraId="047F61E2"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951458E"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DE63B57" w14:textId="7C73F28A"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Se trata de actualizar el marco jurídico catastral para la operatividad de los 11 municipios de la entidad</w:t>
            </w:r>
          </w:p>
        </w:tc>
      </w:tr>
      <w:tr w:rsidR="007B5FC0" w:rsidRPr="00F30FD1" w14:paraId="4C2DAEA4"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5DAD686"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2C9638C" w14:textId="77777777" w:rsidR="007B5FC0" w:rsidRPr="00F30FD1" w:rsidRDefault="007B5FC0" w:rsidP="007B5FC0">
            <w:pPr>
              <w:spacing w:after="0" w:line="240" w:lineRule="auto"/>
              <w:rPr>
                <w:rFonts w:eastAsia="Times New Roman" w:cs="Arial"/>
                <w:sz w:val="18"/>
                <w:szCs w:val="22"/>
                <w:lang w:val="es-MX"/>
              </w:rPr>
            </w:pPr>
            <w:r w:rsidRPr="00F30FD1">
              <w:rPr>
                <w:rFonts w:eastAsia="Times New Roman" w:cs="Arial"/>
                <w:sz w:val="18"/>
                <w:szCs w:val="22"/>
                <w:lang w:val="es-MX"/>
              </w:rPr>
              <w:t xml:space="preserve">1.-documentos decretados (ley y reglamento catastral) </w:t>
            </w:r>
          </w:p>
          <w:p w14:paraId="166C19FD" w14:textId="42FCCC4C" w:rsidR="007B5FC0" w:rsidRPr="00F30FD1" w:rsidRDefault="007B5FC0" w:rsidP="007B5FC0">
            <w:pPr>
              <w:spacing w:after="0" w:line="240" w:lineRule="auto"/>
              <w:rPr>
                <w:rFonts w:eastAsia="Times New Roman" w:cs="Arial"/>
                <w:sz w:val="18"/>
                <w:szCs w:val="22"/>
                <w:lang w:val="es-MX"/>
              </w:rPr>
            </w:pPr>
            <w:r w:rsidRPr="00F30FD1">
              <w:rPr>
                <w:rFonts w:eastAsia="Times New Roman" w:cs="Arial"/>
                <w:sz w:val="18"/>
                <w:szCs w:val="22"/>
                <w:lang w:val="es-MX"/>
              </w:rPr>
              <w:t>https://www.qroo.gob.mx/segob/periodico-oficial</w:t>
            </w:r>
          </w:p>
        </w:tc>
      </w:tr>
      <w:tr w:rsidR="007B5FC0" w:rsidRPr="00F30FD1" w14:paraId="30FBBD56"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F91981B"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F850512"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D206566"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EDEB613" w14:textId="2FBEDD69" w:rsidR="007B5FC0" w:rsidRPr="00F30FD1" w:rsidRDefault="001B6C33" w:rsidP="00BC7B87">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7B5FC0" w:rsidRPr="00F30FD1" w14:paraId="24919AC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49B5C31"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72C9660"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7B5FC0" w:rsidRPr="00F30FD1" w14:paraId="62BC62C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0EC4740"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3760C24"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 xml:space="preserve">17.14 Mejorar la coherencia de las políticas para el desarrollo sostenible, mediante la consolidación de una plataforma tecnológica con datos territoriales actualizados (Cartografía catastral y Base de datos catastrales) al servicio de ambos </w:t>
            </w:r>
            <w:proofErr w:type="spellStart"/>
            <w:r w:rsidRPr="00F30FD1">
              <w:rPr>
                <w:rFonts w:eastAsia="Times New Roman" w:cs="Arial"/>
                <w:sz w:val="18"/>
                <w:szCs w:val="22"/>
                <w:lang w:val="es-MX"/>
              </w:rPr>
              <w:t>ordenes</w:t>
            </w:r>
            <w:proofErr w:type="spellEnd"/>
            <w:r w:rsidRPr="00F30FD1">
              <w:rPr>
                <w:rFonts w:eastAsia="Times New Roman" w:cs="Arial"/>
                <w:sz w:val="18"/>
                <w:szCs w:val="22"/>
                <w:lang w:val="es-MX"/>
              </w:rPr>
              <w:t xml:space="preserve"> de gobierno, inversionistas y sociedad en lo general.</w:t>
            </w:r>
          </w:p>
        </w:tc>
      </w:tr>
      <w:tr w:rsidR="007B5FC0" w:rsidRPr="00F30FD1" w14:paraId="49882078"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0270768"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4541A78"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7B5FC0" w:rsidRPr="00F30FD1" w14:paraId="1F1F6F55"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6528240"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65B7EE2" w14:textId="77777777" w:rsidR="007B5FC0" w:rsidRPr="00F30FD1" w:rsidRDefault="007B5FC0" w:rsidP="00BC7B87">
            <w:pPr>
              <w:spacing w:after="0" w:line="240" w:lineRule="auto"/>
              <w:rPr>
                <w:rFonts w:eastAsia="Times New Roman" w:cs="Arial"/>
                <w:sz w:val="18"/>
                <w:szCs w:val="22"/>
                <w:lang w:val="es-MX"/>
              </w:rPr>
            </w:pPr>
            <w:r w:rsidRPr="00F30FD1">
              <w:rPr>
                <w:rFonts w:eastAsia="Times New Roman" w:cs="Arial"/>
                <w:sz w:val="18"/>
                <w:szCs w:val="22"/>
                <w:lang w:val="es-MX"/>
              </w:rPr>
              <w:t>1.2.3. Fiscalización.</w:t>
            </w:r>
          </w:p>
        </w:tc>
      </w:tr>
      <w:tr w:rsidR="007B5FC0" w:rsidRPr="00F30FD1" w14:paraId="31B5B36B"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3FED172" w14:textId="77777777"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7B5FC0" w:rsidRPr="00F30FD1" w14:paraId="3B86E4BE"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2B0E1C5" w14:textId="77777777"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6D20A7F" w14:textId="77777777"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2E9925C" w14:textId="77777777"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5A0C6BE" w14:textId="77777777"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3F5091F" w14:textId="77777777"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A6B902C" w14:textId="77777777"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7B5FC0" w:rsidRPr="00F30FD1" w14:paraId="172040A5"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102110F" w14:textId="513D708C"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7554398" w14:textId="3D137C62"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D0EDB35" w14:textId="2F97870E"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DFC7AE9" w14:textId="63367A7B"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A0423D3" w14:textId="3E9591E3"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BDF0DC6" w14:textId="2C5B9A5B" w:rsidR="007B5FC0" w:rsidRPr="00F30FD1" w:rsidRDefault="007B5FC0" w:rsidP="00BC7B87">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r>
    </w:tbl>
    <w:p w14:paraId="5F9B1A7C" w14:textId="6AD12BD6" w:rsidR="00C920BF" w:rsidRPr="00F30FD1" w:rsidRDefault="00C920BF" w:rsidP="00952E57">
      <w:pPr>
        <w:spacing w:after="0" w:line="240" w:lineRule="auto"/>
        <w:contextualSpacing/>
        <w:rPr>
          <w:rFonts w:eastAsia="Times New Roman" w:cs="Arial"/>
          <w:sz w:val="20"/>
          <w:szCs w:val="22"/>
          <w:lang w:val="es-MX"/>
        </w:rPr>
      </w:pPr>
    </w:p>
    <w:p w14:paraId="758BAEB2" w14:textId="77777777" w:rsidR="00C920BF" w:rsidRPr="00F30FD1" w:rsidRDefault="00C920BF">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5"/>
        <w:gridCol w:w="763"/>
        <w:gridCol w:w="75"/>
        <w:gridCol w:w="391"/>
        <w:gridCol w:w="1200"/>
        <w:gridCol w:w="435"/>
        <w:gridCol w:w="842"/>
        <w:gridCol w:w="626"/>
        <w:gridCol w:w="1664"/>
        <w:gridCol w:w="360"/>
        <w:gridCol w:w="2054"/>
      </w:tblGrid>
      <w:tr w:rsidR="00E66F7B" w:rsidRPr="00F30FD1" w14:paraId="240F4D5E" w14:textId="77777777" w:rsidTr="00575DE8">
        <w:trPr>
          <w:trHeight w:val="20"/>
          <w:jc w:val="right"/>
        </w:trPr>
        <w:tc>
          <w:tcPr>
            <w:tcW w:w="1113"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05B189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887"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1CA2C3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64FB4A80" w14:textId="77777777" w:rsidTr="00575DE8">
        <w:trPr>
          <w:trHeight w:val="20"/>
          <w:jc w:val="right"/>
        </w:trPr>
        <w:tc>
          <w:tcPr>
            <w:tcW w:w="1113"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7A17CDA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87"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E38D2C8" w14:textId="1BB39215" w:rsidR="00E66F7B" w:rsidRPr="00F30FD1" w:rsidRDefault="00474D9A" w:rsidP="00E66F7B">
            <w:pPr>
              <w:spacing w:after="0" w:line="240" w:lineRule="auto"/>
              <w:rPr>
                <w:rFonts w:eastAsia="Times New Roman" w:cs="Arial"/>
                <w:sz w:val="18"/>
                <w:szCs w:val="22"/>
                <w:lang w:val="es-MX"/>
              </w:rPr>
            </w:pPr>
            <w:r w:rsidRPr="00F30FD1">
              <w:rPr>
                <w:rFonts w:eastAsia="Times New Roman" w:cs="Arial"/>
                <w:sz w:val="18"/>
                <w:szCs w:val="22"/>
                <w:lang w:val="es-MX"/>
              </w:rPr>
              <w:t>2. Elaborar y publicar informes con periodicidad trimestral, que permita dar a conocer la evolución de la deuda Pública directa y contingente del Estado</w:t>
            </w:r>
          </w:p>
        </w:tc>
      </w:tr>
      <w:tr w:rsidR="00E66F7B" w:rsidRPr="00F30FD1" w14:paraId="4553C878" w14:textId="77777777" w:rsidTr="00575DE8">
        <w:trPr>
          <w:trHeight w:val="20"/>
          <w:jc w:val="right"/>
        </w:trPr>
        <w:tc>
          <w:tcPr>
            <w:tcW w:w="1960"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765F67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3DAD885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5308AD16" w14:textId="77777777" w:rsidTr="00575DE8">
        <w:trPr>
          <w:trHeight w:val="20"/>
          <w:jc w:val="right"/>
        </w:trPr>
        <w:tc>
          <w:tcPr>
            <w:tcW w:w="111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3E882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96"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BF9EA82" w14:textId="57D067B9" w:rsidR="00E66F7B" w:rsidRPr="00F30FD1" w:rsidRDefault="00474D9A" w:rsidP="00E66F7B">
            <w:pPr>
              <w:spacing w:after="0" w:line="240" w:lineRule="auto"/>
              <w:rPr>
                <w:rFonts w:eastAsia="Times New Roman" w:cs="Arial"/>
                <w:sz w:val="18"/>
                <w:szCs w:val="22"/>
                <w:lang w:val="es-MX"/>
              </w:rPr>
            </w:pPr>
            <w:r w:rsidRPr="00F30FD1">
              <w:rPr>
                <w:rFonts w:eastAsia="Times New Roman" w:cs="Arial"/>
                <w:sz w:val="18"/>
                <w:szCs w:val="22"/>
                <w:lang w:val="es-MX"/>
              </w:rPr>
              <w:t>Informes Trimestrales Publicados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DA6226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98233C4" w14:textId="779E93D0" w:rsidR="00E66F7B" w:rsidRPr="00F30FD1" w:rsidRDefault="00474D9A" w:rsidP="00E66F7B">
            <w:pPr>
              <w:spacing w:after="0" w:line="240" w:lineRule="auto"/>
              <w:rPr>
                <w:rFonts w:eastAsia="Times New Roman" w:cs="Arial"/>
                <w:sz w:val="18"/>
                <w:szCs w:val="22"/>
                <w:lang w:val="es-MX"/>
              </w:rPr>
            </w:pPr>
            <w:r w:rsidRPr="00F30FD1">
              <w:rPr>
                <w:rFonts w:eastAsia="Times New Roman" w:cs="Arial"/>
                <w:sz w:val="18"/>
                <w:szCs w:val="22"/>
                <w:lang w:val="es-MX"/>
              </w:rPr>
              <w:t>Informes</w:t>
            </w:r>
            <w:r w:rsidR="00C04B7D" w:rsidRPr="00F30FD1">
              <w:rPr>
                <w:rFonts w:eastAsia="Times New Roman" w:cs="Arial"/>
                <w:sz w:val="18"/>
                <w:szCs w:val="22"/>
                <w:lang w:val="es-MX"/>
              </w:rPr>
              <w:t xml:space="preserve"> publicados</w:t>
            </w:r>
          </w:p>
        </w:tc>
      </w:tr>
      <w:tr w:rsidR="00E66F7B" w:rsidRPr="00F30FD1" w14:paraId="56075084" w14:textId="77777777" w:rsidTr="00575DE8">
        <w:trPr>
          <w:trHeight w:val="20"/>
          <w:jc w:val="right"/>
        </w:trPr>
        <w:tc>
          <w:tcPr>
            <w:tcW w:w="111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EE4F86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87"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19CE2D" w14:textId="4F5794B2" w:rsidR="00E66F7B" w:rsidRPr="00F30FD1" w:rsidRDefault="00474D9A" w:rsidP="00E66F7B">
            <w:pPr>
              <w:spacing w:after="0" w:line="240" w:lineRule="auto"/>
              <w:rPr>
                <w:rFonts w:eastAsia="Times New Roman" w:cs="Arial"/>
                <w:sz w:val="18"/>
                <w:szCs w:val="22"/>
                <w:lang w:val="es-MX"/>
              </w:rPr>
            </w:pPr>
            <w:r w:rsidRPr="00F30FD1">
              <w:rPr>
                <w:rFonts w:eastAsia="Times New Roman" w:cs="Arial"/>
                <w:sz w:val="18"/>
                <w:szCs w:val="22"/>
                <w:lang w:val="es-MX"/>
              </w:rPr>
              <w:t>Generar los informes de la evolución del servicio de la deuda pública directa y contingente</w:t>
            </w:r>
          </w:p>
        </w:tc>
      </w:tr>
      <w:tr w:rsidR="00E66F7B" w:rsidRPr="00F30FD1" w14:paraId="4BA39E74" w14:textId="77777777" w:rsidTr="00575DE8">
        <w:trPr>
          <w:trHeight w:val="20"/>
          <w:jc w:val="right"/>
        </w:trPr>
        <w:tc>
          <w:tcPr>
            <w:tcW w:w="115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1A8AC5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A0E2739" w14:textId="77777777" w:rsidR="00474D9A" w:rsidRPr="00F30FD1" w:rsidRDefault="00474D9A" w:rsidP="00474D9A">
            <w:pPr>
              <w:spacing w:after="0" w:line="240" w:lineRule="auto"/>
              <w:rPr>
                <w:rFonts w:eastAsia="Times New Roman" w:cs="Arial"/>
                <w:sz w:val="18"/>
                <w:szCs w:val="22"/>
                <w:lang w:val="es-MX"/>
              </w:rPr>
            </w:pPr>
            <w:r w:rsidRPr="00F30FD1">
              <w:rPr>
                <w:rFonts w:eastAsia="Times New Roman" w:cs="Arial"/>
                <w:sz w:val="18"/>
                <w:szCs w:val="22"/>
                <w:lang w:val="es-MX"/>
              </w:rPr>
              <w:t xml:space="preserve">Por medio de un reporte publicado en la siguiente página: </w:t>
            </w:r>
          </w:p>
          <w:p w14:paraId="6EE7BF52" w14:textId="4C037732" w:rsidR="00E66F7B" w:rsidRPr="00F30FD1" w:rsidRDefault="00474D9A" w:rsidP="00474D9A">
            <w:pPr>
              <w:spacing w:after="0" w:line="240" w:lineRule="auto"/>
              <w:rPr>
                <w:rFonts w:eastAsia="Times New Roman" w:cs="Arial"/>
                <w:sz w:val="18"/>
                <w:szCs w:val="22"/>
                <w:lang w:val="es-MX"/>
              </w:rPr>
            </w:pPr>
            <w:r w:rsidRPr="00F30FD1">
              <w:rPr>
                <w:rFonts w:eastAsia="Times New Roman" w:cs="Arial"/>
                <w:sz w:val="18"/>
                <w:szCs w:val="22"/>
                <w:lang w:val="es-MX"/>
              </w:rPr>
              <w:t>http://www.sefiplan.qroo.gob.mx/dpublica/informe_deuda.php</w:t>
            </w:r>
          </w:p>
        </w:tc>
      </w:tr>
      <w:tr w:rsidR="00E66F7B" w:rsidRPr="00F30FD1" w14:paraId="52B3C7AC" w14:textId="77777777" w:rsidTr="00575DE8">
        <w:trPr>
          <w:trHeight w:val="20"/>
          <w:jc w:val="right"/>
        </w:trPr>
        <w:tc>
          <w:tcPr>
            <w:tcW w:w="115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F02B71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7"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6378764" w14:textId="0EF9F7A8" w:rsidR="00E66F7B" w:rsidRPr="00F30FD1" w:rsidRDefault="00990385" w:rsidP="00E66F7B">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B51AF1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7B7D6AF" w14:textId="5AA53548" w:rsidR="00E66F7B" w:rsidRPr="00F30FD1" w:rsidRDefault="00BC456D"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E66F7B" w:rsidRPr="00F30FD1" w14:paraId="54E8684F" w14:textId="77777777" w:rsidTr="00575DE8">
        <w:trPr>
          <w:trHeight w:val="20"/>
          <w:jc w:val="right"/>
        </w:trPr>
        <w:tc>
          <w:tcPr>
            <w:tcW w:w="115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5FFF1F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6F37550" w14:textId="3BAC19EF" w:rsidR="00E66F7B" w:rsidRPr="00F30FD1" w:rsidRDefault="00474D9A" w:rsidP="00474D9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E66F7B" w:rsidRPr="00F30FD1" w14:paraId="1D110785" w14:textId="77777777" w:rsidTr="00575DE8">
        <w:trPr>
          <w:trHeight w:val="20"/>
          <w:jc w:val="right"/>
        </w:trPr>
        <w:tc>
          <w:tcPr>
            <w:tcW w:w="115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2F68E4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33AD22" w14:textId="77777777" w:rsidR="004C299F" w:rsidRPr="00F30FD1" w:rsidRDefault="004C299F" w:rsidP="004C299F">
            <w:pPr>
              <w:rPr>
                <w:rFonts w:cs="Arial"/>
                <w:sz w:val="18"/>
                <w:szCs w:val="22"/>
                <w:lang w:val="es-MX"/>
              </w:rPr>
            </w:pPr>
            <w:r w:rsidRPr="00F30FD1">
              <w:rPr>
                <w:rFonts w:cs="Arial"/>
                <w:sz w:val="18"/>
                <w:szCs w:val="22"/>
                <w:lang w:val="es-MX"/>
              </w:rPr>
              <w:t>17.14 Mejorar la coherencia de las políticas para el desarrollo sostenible;</w:t>
            </w:r>
          </w:p>
          <w:p w14:paraId="77BCB24C" w14:textId="0AE0ADE5" w:rsidR="00E66F7B" w:rsidRPr="00F30FD1" w:rsidRDefault="00E66F7B" w:rsidP="00474D9A">
            <w:pPr>
              <w:spacing w:after="0" w:line="240" w:lineRule="auto"/>
              <w:rPr>
                <w:rFonts w:eastAsia="Times New Roman" w:cs="Arial"/>
                <w:sz w:val="18"/>
                <w:szCs w:val="22"/>
                <w:lang w:val="es-MX"/>
              </w:rPr>
            </w:pPr>
          </w:p>
        </w:tc>
      </w:tr>
      <w:tr w:rsidR="00E66F7B" w:rsidRPr="00F30FD1" w14:paraId="35F91986" w14:textId="77777777" w:rsidTr="00575DE8">
        <w:trPr>
          <w:trHeight w:val="20"/>
          <w:jc w:val="right"/>
        </w:trPr>
        <w:tc>
          <w:tcPr>
            <w:tcW w:w="115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15A412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E83163D" w14:textId="669C95F7" w:rsidR="00E66F7B" w:rsidRPr="00F30FD1" w:rsidRDefault="00474D9A" w:rsidP="00E66F7B">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E66F7B" w:rsidRPr="00F30FD1" w14:paraId="1EA40162" w14:textId="77777777" w:rsidTr="00575DE8">
        <w:trPr>
          <w:trHeight w:val="20"/>
          <w:jc w:val="right"/>
        </w:trPr>
        <w:tc>
          <w:tcPr>
            <w:tcW w:w="115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054EAC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4C041AA" w14:textId="7DC50BE4" w:rsidR="00E66F7B" w:rsidRPr="00F30FD1" w:rsidRDefault="00713277" w:rsidP="00E66F7B">
            <w:pPr>
              <w:spacing w:after="0" w:line="240" w:lineRule="auto"/>
              <w:rPr>
                <w:rFonts w:eastAsia="Times New Roman" w:cs="Arial"/>
                <w:sz w:val="18"/>
                <w:szCs w:val="22"/>
                <w:lang w:val="es-MX"/>
              </w:rPr>
            </w:pPr>
            <w:r w:rsidRPr="00F30FD1">
              <w:rPr>
                <w:rFonts w:eastAsia="Times New Roman" w:cs="Arial"/>
                <w:sz w:val="18"/>
                <w:szCs w:val="22"/>
                <w:lang w:val="es-MX"/>
              </w:rPr>
              <w:t>1.2.- Mejora de la Eficiencia Recaudatoria</w:t>
            </w:r>
          </w:p>
        </w:tc>
      </w:tr>
      <w:tr w:rsidR="00E66F7B" w:rsidRPr="00F30FD1" w14:paraId="69F11182"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4D5D24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35AB91F3" w14:textId="77777777" w:rsidTr="00575DE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039A40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E55BD4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A4A99B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AF6F9C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FD96FB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3A03F5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474D9A" w:rsidRPr="00F30FD1" w14:paraId="03E294B9" w14:textId="77777777" w:rsidTr="00575DE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8922EA" w14:textId="38789F3F" w:rsidR="00474D9A" w:rsidRPr="00F30FD1" w:rsidRDefault="00474D9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47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F0D2A9F" w14:textId="0682118D" w:rsidR="00474D9A" w:rsidRPr="00F30FD1" w:rsidRDefault="00474D9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61</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728F7C5" w14:textId="46E803A5" w:rsidR="00474D9A" w:rsidRPr="00F30FD1" w:rsidRDefault="00474D9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60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9B60A86" w14:textId="4DE0BE56" w:rsidR="00474D9A" w:rsidRPr="00F30FD1" w:rsidRDefault="00474D9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60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7BE74DE" w14:textId="41F2CA93" w:rsidR="00474D9A" w:rsidRPr="00F30FD1" w:rsidRDefault="00474D9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60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0965FB5" w14:textId="1A52415F" w:rsidR="00474D9A" w:rsidRPr="00F30FD1" w:rsidRDefault="00474D9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60</w:t>
            </w:r>
          </w:p>
        </w:tc>
      </w:tr>
    </w:tbl>
    <w:p w14:paraId="0B0462E1" w14:textId="77777777" w:rsidR="00E66F7B" w:rsidRPr="00F30FD1" w:rsidRDefault="00E66F7B" w:rsidP="00952E57">
      <w:pPr>
        <w:spacing w:after="0" w:line="240" w:lineRule="auto"/>
        <w:contextualSpacing/>
        <w:rPr>
          <w:rFonts w:eastAsia="Times New Roman" w:cs="Arial"/>
          <w:sz w:val="20"/>
          <w:szCs w:val="22"/>
          <w:lang w:val="es-MX"/>
        </w:rPr>
      </w:pPr>
    </w:p>
    <w:p w14:paraId="78317ACB" w14:textId="0AB9C98B" w:rsidR="00C920BF" w:rsidRPr="00F30FD1" w:rsidRDefault="00C920BF">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14759C1C" w14:textId="77777777" w:rsidR="00474D9A" w:rsidRPr="00F30FD1" w:rsidRDefault="00474D9A"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106"/>
        <w:gridCol w:w="382"/>
        <w:gridCol w:w="1204"/>
        <w:gridCol w:w="431"/>
        <w:gridCol w:w="848"/>
        <w:gridCol w:w="620"/>
        <w:gridCol w:w="1664"/>
        <w:gridCol w:w="366"/>
        <w:gridCol w:w="2048"/>
      </w:tblGrid>
      <w:tr w:rsidR="00E66F7B" w:rsidRPr="00F30FD1" w14:paraId="3325128B"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20AF5D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985F56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6C1DACE2"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0451DF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69B3A6F" w14:textId="50621219" w:rsidR="00E66F7B" w:rsidRPr="00F30FD1" w:rsidRDefault="00474D9A" w:rsidP="00E66F7B">
            <w:pPr>
              <w:spacing w:after="0" w:line="240" w:lineRule="auto"/>
              <w:rPr>
                <w:rFonts w:eastAsia="Times New Roman" w:cs="Arial"/>
                <w:sz w:val="18"/>
                <w:szCs w:val="22"/>
                <w:lang w:val="es-MX"/>
              </w:rPr>
            </w:pPr>
            <w:r w:rsidRPr="00F30FD1">
              <w:rPr>
                <w:rFonts w:eastAsia="Times New Roman" w:cs="Arial"/>
                <w:sz w:val="18"/>
                <w:szCs w:val="22"/>
                <w:lang w:val="es-MX"/>
              </w:rPr>
              <w:t>3. Publicar la información con periodicidad trimestral de los Estados de Cuenta de los Fideicomisos que administren recursos del Fondo General de Participaciones, así como la documentación soporte de las operaciones que se realizan al amparo de los Fideicomisos.</w:t>
            </w:r>
          </w:p>
        </w:tc>
      </w:tr>
      <w:tr w:rsidR="00E66F7B" w:rsidRPr="00F30FD1" w14:paraId="76A8458D" w14:textId="77777777" w:rsidTr="001D269B">
        <w:trPr>
          <w:trHeight w:val="20"/>
          <w:jc w:val="right"/>
        </w:trPr>
        <w:tc>
          <w:tcPr>
            <w:tcW w:w="1962"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97E3DE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0B19C50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6742F626"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081324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772919A" w14:textId="5C297601" w:rsidR="00E66F7B" w:rsidRPr="00F30FD1" w:rsidRDefault="00FA0627" w:rsidP="00E66F7B">
            <w:pPr>
              <w:spacing w:after="0" w:line="240" w:lineRule="auto"/>
              <w:rPr>
                <w:rFonts w:eastAsia="Times New Roman" w:cs="Arial"/>
                <w:sz w:val="18"/>
                <w:szCs w:val="22"/>
                <w:lang w:val="es-MX"/>
              </w:rPr>
            </w:pPr>
            <w:r w:rsidRPr="00F30FD1">
              <w:rPr>
                <w:rFonts w:eastAsia="Times New Roman" w:cs="Arial"/>
                <w:sz w:val="18"/>
                <w:szCs w:val="22"/>
                <w:lang w:val="es-MX"/>
              </w:rPr>
              <w:t>Estados de Cuenta e Instrucciones de Pago Publicados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148A98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B9D2937" w14:textId="32FC6266" w:rsidR="00E66F7B" w:rsidRPr="00F30FD1" w:rsidRDefault="00FA0627" w:rsidP="00E66F7B">
            <w:pPr>
              <w:spacing w:after="0" w:line="240" w:lineRule="auto"/>
              <w:rPr>
                <w:rFonts w:eastAsia="Times New Roman" w:cs="Arial"/>
                <w:sz w:val="18"/>
                <w:szCs w:val="22"/>
                <w:lang w:val="es-MX"/>
              </w:rPr>
            </w:pPr>
            <w:r w:rsidRPr="00F30FD1">
              <w:rPr>
                <w:rFonts w:eastAsia="Times New Roman" w:cs="Arial"/>
                <w:sz w:val="18"/>
                <w:szCs w:val="22"/>
                <w:lang w:val="es-MX"/>
              </w:rPr>
              <w:t>Estados de Cuenta e Instrucciones de Pago</w:t>
            </w:r>
            <w:r w:rsidR="00C04B7D" w:rsidRPr="00F30FD1">
              <w:rPr>
                <w:rFonts w:eastAsia="Times New Roman" w:cs="Arial"/>
                <w:sz w:val="18"/>
                <w:szCs w:val="22"/>
                <w:lang w:val="es-MX"/>
              </w:rPr>
              <w:t xml:space="preserve"> publicados</w:t>
            </w:r>
          </w:p>
        </w:tc>
      </w:tr>
      <w:tr w:rsidR="00E66F7B" w:rsidRPr="00F30FD1" w14:paraId="438E59A8"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EEA017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247477D" w14:textId="70691DD2" w:rsidR="00E66F7B" w:rsidRPr="00F30FD1" w:rsidRDefault="00FA0627" w:rsidP="00E66F7B">
            <w:pPr>
              <w:spacing w:after="0" w:line="240" w:lineRule="auto"/>
              <w:rPr>
                <w:rFonts w:eastAsia="Times New Roman" w:cs="Arial"/>
                <w:sz w:val="18"/>
                <w:szCs w:val="22"/>
                <w:lang w:val="es-MX"/>
              </w:rPr>
            </w:pPr>
            <w:r w:rsidRPr="00F30FD1">
              <w:rPr>
                <w:rFonts w:eastAsia="Times New Roman" w:cs="Arial"/>
                <w:sz w:val="18"/>
                <w:szCs w:val="22"/>
                <w:lang w:val="es-MX"/>
              </w:rPr>
              <w:t>Publicar mensualmente en la página de la Secretaria de Finanzas y Planeación los Estados de Cuenta e Instrucciones de Pago</w:t>
            </w:r>
          </w:p>
        </w:tc>
      </w:tr>
      <w:tr w:rsidR="00E66F7B" w:rsidRPr="00F30FD1" w14:paraId="15AB8B02"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712544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538F8BF" w14:textId="1E89FB7D" w:rsidR="00E66F7B" w:rsidRPr="00F30FD1" w:rsidRDefault="00FA0627" w:rsidP="00E66F7B">
            <w:pPr>
              <w:spacing w:after="0" w:line="240" w:lineRule="auto"/>
              <w:rPr>
                <w:rFonts w:eastAsia="Times New Roman" w:cs="Arial"/>
                <w:sz w:val="18"/>
                <w:szCs w:val="22"/>
                <w:lang w:val="es-MX"/>
              </w:rPr>
            </w:pPr>
            <w:r w:rsidRPr="00F30FD1">
              <w:rPr>
                <w:rFonts w:eastAsia="Times New Roman" w:cs="Arial"/>
                <w:sz w:val="18"/>
                <w:szCs w:val="22"/>
                <w:lang w:val="es-MX"/>
              </w:rPr>
              <w:t>http://www.sefiplan.qroo.gob.mx/dpublica/nfideicomisos.php</w:t>
            </w:r>
          </w:p>
        </w:tc>
      </w:tr>
      <w:tr w:rsidR="00E66F7B" w:rsidRPr="00F30FD1" w14:paraId="621C4E77"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1009A7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F33107D" w14:textId="52425E51" w:rsidR="00E66F7B" w:rsidRPr="00F30FD1" w:rsidRDefault="00B135DF" w:rsidP="00E66F7B">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50C60E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6EE616C" w14:textId="5CEC0467" w:rsidR="00E66F7B" w:rsidRPr="00F30FD1" w:rsidRDefault="00B135DF" w:rsidP="00E66F7B">
            <w:pPr>
              <w:spacing w:after="0" w:line="240" w:lineRule="auto"/>
              <w:rPr>
                <w:rFonts w:eastAsia="Times New Roman" w:cs="Arial"/>
                <w:sz w:val="18"/>
                <w:szCs w:val="22"/>
                <w:lang w:val="es-MX"/>
              </w:rPr>
            </w:pPr>
            <w:r w:rsidRPr="00F30FD1">
              <w:rPr>
                <w:rFonts w:eastAsia="Times New Roman" w:cs="Arial"/>
                <w:sz w:val="18"/>
                <w:szCs w:val="22"/>
                <w:lang w:val="es-MX"/>
              </w:rPr>
              <w:t>2018</w:t>
            </w:r>
          </w:p>
        </w:tc>
      </w:tr>
      <w:tr w:rsidR="00FA0627" w:rsidRPr="00F30FD1" w14:paraId="6E8588C1"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2FB0A16" w14:textId="77777777" w:rsidR="00FA0627" w:rsidRPr="00F30FD1" w:rsidRDefault="00FA0627"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BEEC8C" w14:textId="49300A1E" w:rsidR="00FA0627" w:rsidRPr="00F30FD1" w:rsidRDefault="00FA0627" w:rsidP="00E66F7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C04B7D" w:rsidRPr="00F30FD1" w14:paraId="21C4B19B"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3DC4269" w14:textId="77777777"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3EC7803" w14:textId="773A2832"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17. 4.- Ayudar a los países en desarrollo a lograr la sostenibilidad de la deuda a largo plazo con políticas coordinadas orientadas a fomentar la financiación, el alivio y la reestructuración de la deuda, según proceda, y hacer frente a la deuda externa de los países pobres muy endeudados a fin de reducir el endeudamiento excesivo</w:t>
            </w:r>
          </w:p>
        </w:tc>
      </w:tr>
      <w:tr w:rsidR="00FA0627" w:rsidRPr="00F30FD1" w14:paraId="56D7095A"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1DE48B9" w14:textId="77777777" w:rsidR="00FA0627" w:rsidRPr="00F30FD1" w:rsidRDefault="00FA0627"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798AAA4" w14:textId="082A4F59" w:rsidR="00FA0627" w:rsidRPr="00F30FD1" w:rsidRDefault="00FA0627" w:rsidP="00FA0627">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E66F7B" w:rsidRPr="00F30FD1" w14:paraId="332E99B0"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28EAF3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6E5A66F" w14:textId="1F515A55" w:rsidR="00E66F7B" w:rsidRPr="00F30FD1" w:rsidRDefault="00713277" w:rsidP="00E66F7B">
            <w:pPr>
              <w:spacing w:after="0" w:line="240" w:lineRule="auto"/>
              <w:rPr>
                <w:rFonts w:eastAsia="Times New Roman" w:cs="Arial"/>
                <w:sz w:val="18"/>
                <w:szCs w:val="22"/>
                <w:lang w:val="es-MX"/>
              </w:rPr>
            </w:pPr>
            <w:r w:rsidRPr="00F30FD1">
              <w:rPr>
                <w:rFonts w:eastAsia="Times New Roman" w:cs="Arial"/>
                <w:sz w:val="18"/>
                <w:szCs w:val="22"/>
                <w:lang w:val="es-MX"/>
              </w:rPr>
              <w:t>1.2.- Mejora de la Eficiencia Recaudatoria</w:t>
            </w:r>
          </w:p>
        </w:tc>
      </w:tr>
      <w:tr w:rsidR="00E66F7B" w:rsidRPr="00F30FD1" w14:paraId="0432AA98"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DCAB29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7CCC3397"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6C74B3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69DF13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43CDD6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E07426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78BAF9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4DC91A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FA0627" w:rsidRPr="00F30FD1" w14:paraId="3A08F041"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13616F9" w14:textId="72B36B12" w:rsidR="00FA0627"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1C2DFE" w14:textId="681F8EF8" w:rsidR="00FA0627"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1D3375" w14:textId="70B84BE2" w:rsidR="00FA0627" w:rsidRPr="00F30FD1" w:rsidRDefault="00FA062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132</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4BBC3C" w14:textId="6944088C" w:rsidR="00FA0627" w:rsidRPr="00F30FD1" w:rsidRDefault="00FA062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132</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81347F" w14:textId="7208CED4" w:rsidR="00FA0627" w:rsidRPr="00F30FD1" w:rsidRDefault="00FA062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132</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5C7B8C9" w14:textId="56F39167" w:rsidR="00FA0627" w:rsidRPr="00F30FD1" w:rsidRDefault="00FA062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132</w:t>
            </w:r>
          </w:p>
        </w:tc>
      </w:tr>
    </w:tbl>
    <w:p w14:paraId="42520464" w14:textId="0A0DCD80" w:rsidR="00C920BF" w:rsidRPr="00F30FD1" w:rsidRDefault="00C920BF" w:rsidP="00952E57">
      <w:pPr>
        <w:spacing w:after="0" w:line="240" w:lineRule="auto"/>
        <w:contextualSpacing/>
        <w:rPr>
          <w:rFonts w:eastAsia="Times New Roman" w:cs="Arial"/>
          <w:sz w:val="20"/>
          <w:szCs w:val="22"/>
          <w:lang w:val="es-MX"/>
        </w:rPr>
      </w:pPr>
    </w:p>
    <w:p w14:paraId="4E916564" w14:textId="77777777" w:rsidR="00C920BF" w:rsidRPr="00F30FD1" w:rsidRDefault="00C920BF">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3D8A9F4B"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834"/>
        <w:gridCol w:w="395"/>
        <w:gridCol w:w="1204"/>
        <w:gridCol w:w="431"/>
        <w:gridCol w:w="848"/>
        <w:gridCol w:w="620"/>
        <w:gridCol w:w="1664"/>
        <w:gridCol w:w="366"/>
        <w:gridCol w:w="2048"/>
      </w:tblGrid>
      <w:tr w:rsidR="00E66F7B" w:rsidRPr="00F30FD1" w14:paraId="59279BD1"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0E4211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51"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AD6452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3A0BC098"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5F91990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51"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FA8CEA0" w14:textId="0C9D8323" w:rsidR="00E66F7B" w:rsidRPr="00F30FD1" w:rsidRDefault="00E96D3B" w:rsidP="00E96D3B">
            <w:pPr>
              <w:rPr>
                <w:rFonts w:eastAsia="Times New Roman" w:cs="Arial"/>
                <w:sz w:val="18"/>
                <w:szCs w:val="22"/>
                <w:lang w:val="es-MX"/>
              </w:rPr>
            </w:pPr>
            <w:r w:rsidRPr="00F30FD1">
              <w:rPr>
                <w:rFonts w:eastAsia="Times New Roman" w:cs="Arial"/>
                <w:sz w:val="18"/>
                <w:szCs w:val="22"/>
                <w:lang w:val="es-MX"/>
              </w:rPr>
              <w:t>4. Monitorear el desempeño de los indicadores estratégicos y de gestión, con la finalidad de contribuir a la transparencia presupuestaria y toma de decisiones con información de calidad.</w:t>
            </w:r>
          </w:p>
        </w:tc>
      </w:tr>
      <w:tr w:rsidR="00E66F7B" w:rsidRPr="00F30FD1" w14:paraId="12128C8E"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FE8536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3ED525A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C04B7D" w:rsidRPr="00F30FD1" w14:paraId="3D953E86"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CA6D3FD" w14:textId="0807057B"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63"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71F77C9" w14:textId="22A449EB" w:rsidR="00C04B7D" w:rsidRPr="00F30FD1" w:rsidRDefault="00C04B7D" w:rsidP="00C04B7D">
            <w:pPr>
              <w:spacing w:after="0" w:line="240" w:lineRule="auto"/>
              <w:rPr>
                <w:rFonts w:eastAsia="Times New Roman" w:cs="Arial"/>
                <w:sz w:val="18"/>
                <w:szCs w:val="22"/>
                <w:lang w:val="es-MX"/>
              </w:rPr>
            </w:pPr>
            <w:r w:rsidRPr="00F30FD1">
              <w:rPr>
                <w:rFonts w:cs="Arial"/>
                <w:sz w:val="18"/>
                <w:szCs w:val="22"/>
                <w:lang w:val="es-MX"/>
              </w:rPr>
              <w:t>Informes definitivos de avance en las metas de los indicadores estatales y  de recursos federales transferidos publicados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D4342FE" w14:textId="0FF97E0E"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1658E83" w14:textId="77777777" w:rsidR="00C04B7D" w:rsidRPr="00F30FD1" w:rsidRDefault="00C04B7D" w:rsidP="00C04B7D">
            <w:pPr>
              <w:rPr>
                <w:rFonts w:cs="Arial"/>
                <w:sz w:val="18"/>
                <w:szCs w:val="22"/>
                <w:lang w:val="es-MX"/>
              </w:rPr>
            </w:pPr>
            <w:r w:rsidRPr="00F30FD1">
              <w:rPr>
                <w:rFonts w:cs="Arial"/>
                <w:sz w:val="18"/>
                <w:szCs w:val="22"/>
                <w:lang w:val="es-MX"/>
              </w:rPr>
              <w:t>Informes publicados</w:t>
            </w:r>
          </w:p>
          <w:p w14:paraId="486DF678" w14:textId="77777777" w:rsidR="00C04B7D" w:rsidRPr="00F30FD1" w:rsidRDefault="00C04B7D" w:rsidP="00C04B7D">
            <w:pPr>
              <w:spacing w:after="0" w:line="240" w:lineRule="auto"/>
              <w:rPr>
                <w:rFonts w:eastAsia="Times New Roman" w:cs="Arial"/>
                <w:sz w:val="18"/>
                <w:szCs w:val="22"/>
                <w:lang w:val="es-MX"/>
              </w:rPr>
            </w:pPr>
          </w:p>
        </w:tc>
      </w:tr>
      <w:tr w:rsidR="00C04B7D" w:rsidRPr="00F30FD1" w14:paraId="1AE152C8"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18C67DC" w14:textId="425E99D7"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5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27919D9" w14:textId="4240AD77" w:rsidR="00C04B7D" w:rsidRPr="00F30FD1" w:rsidRDefault="00C04B7D" w:rsidP="00C04B7D">
            <w:pPr>
              <w:spacing w:after="0" w:line="240" w:lineRule="auto"/>
              <w:rPr>
                <w:rFonts w:eastAsia="Times New Roman" w:cs="Arial"/>
                <w:sz w:val="18"/>
                <w:szCs w:val="22"/>
                <w:lang w:val="es-MX"/>
              </w:rPr>
            </w:pPr>
            <w:r w:rsidRPr="00F30FD1">
              <w:rPr>
                <w:rFonts w:cs="Arial"/>
                <w:sz w:val="18"/>
                <w:szCs w:val="22"/>
                <w:lang w:val="es-MX"/>
              </w:rPr>
              <w:t>Se refiere al monitoreo de los programas presupuestarios de la administración pública del estado y de los indicadores establecidos para los fondos del ramo general 33 mediante cédulas de avance de cumplimiento de metas establecidas,  con la finalidad de obtener información de calidad para la evaluación, dando seguimiento a través de los indicadores de los programas presupuestarios, observando y analizando su ejecución para medir el avance en términos del logro de sus objetivos, reforzando las bases en materia de transparencia presupuestaria y rendición de cuentas.</w:t>
            </w:r>
          </w:p>
        </w:tc>
      </w:tr>
      <w:tr w:rsidR="00C04B7D" w:rsidRPr="00F30FD1" w14:paraId="3DD954F2"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13177EE" w14:textId="5854475E"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5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442CFF8" w14:textId="77777777" w:rsidR="00C04B7D" w:rsidRPr="00F30FD1" w:rsidRDefault="00C04B7D" w:rsidP="00C04B7D">
            <w:pPr>
              <w:rPr>
                <w:rFonts w:cs="Arial"/>
                <w:sz w:val="18"/>
                <w:szCs w:val="22"/>
                <w:lang w:val="es-MX"/>
              </w:rPr>
            </w:pPr>
            <w:r w:rsidRPr="00F30FD1">
              <w:rPr>
                <w:rFonts w:cs="Arial"/>
                <w:sz w:val="18"/>
                <w:szCs w:val="22"/>
                <w:lang w:val="es-MX"/>
              </w:rPr>
              <w:t xml:space="preserve">Liga de los informes definitivos de avances de metas publicados en el portal institucional del Centro de Evaluación del Desempeño, trimestralmente: </w:t>
            </w:r>
          </w:p>
          <w:p w14:paraId="71D2C4EB" w14:textId="6F0AE3DB" w:rsidR="00C04B7D" w:rsidRPr="00F30FD1" w:rsidRDefault="00EE7D8C" w:rsidP="00990385">
            <w:pPr>
              <w:rPr>
                <w:rFonts w:eastAsia="Times New Roman" w:cs="Arial"/>
                <w:sz w:val="18"/>
                <w:szCs w:val="22"/>
                <w:lang w:val="es-MX"/>
              </w:rPr>
            </w:pPr>
            <w:hyperlink r:id="rId34" w:history="1">
              <w:r w:rsidR="00C04B7D" w:rsidRPr="00F30FD1">
                <w:rPr>
                  <w:rStyle w:val="Hipervnculo"/>
                  <w:rFonts w:cs="Arial"/>
                  <w:sz w:val="18"/>
                  <w:szCs w:val="22"/>
                  <w:lang w:val="es-MX"/>
                </w:rPr>
                <w:t>http://www.sefiplan.qroo.gob.mx/CEDQROO/indicadores.php</w:t>
              </w:r>
            </w:hyperlink>
            <w:r w:rsidR="00C04B7D" w:rsidRPr="00F30FD1">
              <w:rPr>
                <w:rFonts w:cs="Arial"/>
                <w:sz w:val="18"/>
                <w:szCs w:val="22"/>
                <w:lang w:val="es-MX"/>
              </w:rPr>
              <w:t xml:space="preserve"> </w:t>
            </w:r>
          </w:p>
        </w:tc>
      </w:tr>
      <w:tr w:rsidR="00C04B7D" w:rsidRPr="00F30FD1" w14:paraId="598F49AA"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9C9F34" w14:textId="138F4352"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63"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4947F2E" w14:textId="0EA94CC9" w:rsidR="00C04B7D" w:rsidRPr="00F30FD1" w:rsidRDefault="00BC456D" w:rsidP="00C04B7D">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FDFFA1F" w14:textId="1CD902B6"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E8B858D" w14:textId="435CEF12" w:rsidR="00C04B7D" w:rsidRPr="00F30FD1" w:rsidRDefault="00BC456D" w:rsidP="00C04B7D">
            <w:pPr>
              <w:spacing w:after="0" w:line="240" w:lineRule="auto"/>
              <w:rPr>
                <w:rFonts w:eastAsia="Times New Roman" w:cs="Arial"/>
                <w:sz w:val="18"/>
                <w:szCs w:val="22"/>
                <w:lang w:val="es-MX"/>
              </w:rPr>
            </w:pPr>
            <w:r>
              <w:rPr>
                <w:rFonts w:eastAsia="Times New Roman" w:cs="Arial"/>
                <w:sz w:val="18"/>
                <w:szCs w:val="22"/>
                <w:lang w:val="es-MX"/>
              </w:rPr>
              <w:t>2016</w:t>
            </w:r>
          </w:p>
        </w:tc>
      </w:tr>
      <w:tr w:rsidR="00C04B7D" w:rsidRPr="00F30FD1" w14:paraId="110C316D"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909D79F" w14:textId="7BAF0BCD"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5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564C41E" w14:textId="77777777" w:rsidR="00C04B7D" w:rsidRPr="00F30FD1" w:rsidRDefault="00C04B7D" w:rsidP="00C04B7D">
            <w:pPr>
              <w:rPr>
                <w:rFonts w:cs="Arial"/>
                <w:sz w:val="18"/>
                <w:szCs w:val="22"/>
                <w:lang w:val="es-MX"/>
              </w:rPr>
            </w:pPr>
            <w:r w:rsidRPr="00F30FD1">
              <w:rPr>
                <w:rFonts w:cs="Arial"/>
                <w:sz w:val="18"/>
                <w:szCs w:val="22"/>
                <w:lang w:val="es-MX"/>
              </w:rPr>
              <w:t>17 Alianza para lograr los objetivos</w:t>
            </w:r>
          </w:p>
          <w:p w14:paraId="39A1D8F0" w14:textId="77777777" w:rsidR="00C04B7D" w:rsidRPr="00F30FD1" w:rsidRDefault="00C04B7D" w:rsidP="00C04B7D">
            <w:pPr>
              <w:spacing w:after="0" w:line="240" w:lineRule="auto"/>
              <w:rPr>
                <w:rFonts w:eastAsia="Times New Roman" w:cs="Arial"/>
                <w:sz w:val="18"/>
                <w:szCs w:val="22"/>
                <w:lang w:val="es-MX"/>
              </w:rPr>
            </w:pPr>
          </w:p>
        </w:tc>
      </w:tr>
      <w:tr w:rsidR="00C04B7D" w:rsidRPr="00F30FD1" w14:paraId="3A5670DE"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BD0EBF4" w14:textId="5A42066D"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5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DFE4679" w14:textId="77777777" w:rsidR="00575DE8" w:rsidRPr="00F30FD1" w:rsidRDefault="00C04B7D" w:rsidP="00575DE8">
            <w:pPr>
              <w:spacing w:line="240" w:lineRule="auto"/>
              <w:rPr>
                <w:rFonts w:cs="Arial"/>
                <w:sz w:val="18"/>
                <w:szCs w:val="22"/>
                <w:lang w:val="es-MX"/>
              </w:rPr>
            </w:pPr>
            <w:r w:rsidRPr="00F30FD1">
              <w:rPr>
                <w:rFonts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p w14:paraId="68A164AF" w14:textId="5EE262E7" w:rsidR="00C04B7D" w:rsidRPr="00F30FD1" w:rsidRDefault="00C04B7D" w:rsidP="00575DE8">
            <w:pPr>
              <w:spacing w:line="240" w:lineRule="auto"/>
              <w:rPr>
                <w:rFonts w:cs="Arial"/>
                <w:sz w:val="18"/>
                <w:szCs w:val="22"/>
                <w:lang w:val="es-MX"/>
              </w:rPr>
            </w:pPr>
            <w:r w:rsidRPr="00F30FD1">
              <w:rPr>
                <w:rFonts w:cs="Arial"/>
                <w:sz w:val="18"/>
                <w:szCs w:val="22"/>
                <w:lang w:val="es-MX"/>
              </w:rPr>
              <w:t>17.14 Mejorar la coherencia de las políticas para el desarrollo sostenible;</w:t>
            </w:r>
          </w:p>
          <w:p w14:paraId="12A082FD" w14:textId="77777777" w:rsidR="00C04B7D" w:rsidRPr="00F30FD1" w:rsidRDefault="00C04B7D" w:rsidP="00575DE8">
            <w:pPr>
              <w:spacing w:line="240" w:lineRule="auto"/>
              <w:rPr>
                <w:rFonts w:cs="Arial"/>
                <w:sz w:val="18"/>
                <w:szCs w:val="22"/>
                <w:lang w:val="es-MX"/>
              </w:rPr>
            </w:pPr>
            <w:r w:rsidRPr="00F30FD1">
              <w:rPr>
                <w:rFonts w:cs="Arial"/>
                <w:sz w:val="18"/>
                <w:szCs w:val="22"/>
                <w:lang w:val="es-MX"/>
              </w:rPr>
              <w:t>17.15 Respetar el margen normativo y el liderazgo de cada país para establecer y aplicar políticas de erradicación de la pobreza y desarrollo sostenible;</w:t>
            </w:r>
          </w:p>
          <w:p w14:paraId="38F8C2D0" w14:textId="34CE99B3" w:rsidR="00C04B7D" w:rsidRPr="00F30FD1" w:rsidRDefault="00C04B7D" w:rsidP="00575DE8">
            <w:pPr>
              <w:spacing w:line="240" w:lineRule="auto"/>
              <w:rPr>
                <w:rFonts w:cs="Arial"/>
                <w:sz w:val="18"/>
                <w:szCs w:val="22"/>
                <w:lang w:val="es-MX"/>
              </w:rPr>
            </w:pPr>
            <w:r w:rsidRPr="00F30FD1">
              <w:rPr>
                <w:rFonts w:cs="Arial"/>
                <w:sz w:val="18"/>
                <w:szCs w:val="22"/>
                <w:lang w:val="es-MX"/>
              </w:rPr>
              <w:t>17.16 Mejorar la Alianza Mundial para el Desarrollo Sostenible, complementada por alianzas entre múltiples interesados que movilicen e intercambien conocimientos, especialización, tecnología y recursos financieros, a fin de apoyar el logro de los Objetivos de Desarrollo Sostenible en todos los países, particularmente los países en desarrollo; y</w:t>
            </w:r>
          </w:p>
        </w:tc>
      </w:tr>
      <w:tr w:rsidR="00C04B7D" w:rsidRPr="00F30FD1" w14:paraId="63766946"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134BD2E" w14:textId="7859FA06"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5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F4A60F4" w14:textId="3838FF7F" w:rsidR="00C04B7D" w:rsidRPr="00F30FD1" w:rsidRDefault="00670C9B" w:rsidP="00C04B7D">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C04B7D" w:rsidRPr="00F30FD1" w14:paraId="24928B57" w14:textId="77777777" w:rsidTr="001D269B">
        <w:trPr>
          <w:trHeight w:val="20"/>
          <w:jc w:val="right"/>
        </w:trPr>
        <w:tc>
          <w:tcPr>
            <w:tcW w:w="11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0B18D34" w14:textId="716C5A61" w:rsidR="00C04B7D" w:rsidRPr="00F30FD1" w:rsidRDefault="00C04B7D" w:rsidP="00C04B7D">
            <w:pPr>
              <w:spacing w:after="0" w:line="240" w:lineRule="auto"/>
              <w:rPr>
                <w:rFonts w:eastAsia="Times New Roman" w:cs="Arial"/>
                <w:sz w:val="18"/>
                <w:szCs w:val="22"/>
                <w:lang w:val="es-MX"/>
              </w:rPr>
            </w:pPr>
            <w:r w:rsidRPr="00F30FD1">
              <w:rPr>
                <w:rFonts w:eastAsia="Times New Roman" w:cs="Arial"/>
                <w:sz w:val="18"/>
                <w:szCs w:val="22"/>
                <w:lang w:val="es-MX"/>
              </w:rPr>
              <w:lastRenderedPageBreak/>
              <w:t>Subtema Prioritario de Quintana Roo</w:t>
            </w:r>
          </w:p>
        </w:tc>
        <w:tc>
          <w:tcPr>
            <w:tcW w:w="385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82D783" w14:textId="60040C50" w:rsidR="00C04B7D" w:rsidRPr="00F30FD1" w:rsidRDefault="00670C9B" w:rsidP="00C04B7D">
            <w:pPr>
              <w:spacing w:after="0" w:line="240" w:lineRule="auto"/>
              <w:rPr>
                <w:rFonts w:eastAsia="Times New Roman" w:cs="Arial"/>
                <w:sz w:val="18"/>
                <w:szCs w:val="22"/>
                <w:lang w:val="es-MX"/>
              </w:rPr>
            </w:pPr>
            <w:r w:rsidRPr="00F30FD1">
              <w:rPr>
                <w:rFonts w:eastAsia="Times New Roman" w:cs="Arial"/>
                <w:sz w:val="18"/>
                <w:szCs w:val="22"/>
                <w:lang w:val="es-MX"/>
              </w:rPr>
              <w:t>1.2.- Mejora de la Eficiencia Recaudatoria</w:t>
            </w:r>
          </w:p>
        </w:tc>
      </w:tr>
      <w:tr w:rsidR="00E66F7B" w:rsidRPr="00F30FD1" w14:paraId="6758A76C"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4F85EC6"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1F2AE207"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F1BBDB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64ADDE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12F52B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F84022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6527DD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5B1558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E96D3B" w:rsidRPr="00F30FD1" w14:paraId="76BE8603"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4A38B6E" w14:textId="73464992"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128B256" w14:textId="6A815DEC"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14E49A3" w14:textId="7FFD188C"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36BB520" w14:textId="2BA3AFB1"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6106E55" w14:textId="4197E474"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F6592D2" w14:textId="7B241718"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r>
    </w:tbl>
    <w:p w14:paraId="5F7F4213"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106"/>
        <w:gridCol w:w="382"/>
        <w:gridCol w:w="1204"/>
        <w:gridCol w:w="431"/>
        <w:gridCol w:w="848"/>
        <w:gridCol w:w="620"/>
        <w:gridCol w:w="1664"/>
        <w:gridCol w:w="366"/>
        <w:gridCol w:w="2048"/>
      </w:tblGrid>
      <w:tr w:rsidR="00E66F7B" w:rsidRPr="00F30FD1" w14:paraId="59639348"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B2DF30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CD1D84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0CBBC263"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5C16096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4744D06" w14:textId="333743DA" w:rsidR="00E66F7B" w:rsidRPr="00F30FD1" w:rsidRDefault="00E96D3B" w:rsidP="00E66F7B">
            <w:pPr>
              <w:spacing w:after="0" w:line="240" w:lineRule="auto"/>
              <w:rPr>
                <w:rFonts w:eastAsia="Times New Roman" w:cs="Arial"/>
                <w:sz w:val="18"/>
                <w:szCs w:val="22"/>
                <w:lang w:val="es-MX"/>
              </w:rPr>
            </w:pPr>
            <w:r w:rsidRPr="00F30FD1">
              <w:rPr>
                <w:rFonts w:eastAsia="Times New Roman" w:cs="Arial"/>
                <w:sz w:val="18"/>
                <w:szCs w:val="22"/>
                <w:lang w:val="es-MX"/>
              </w:rPr>
              <w:t>5. Fomentar una cultura de monitoreo y evaluación a través de cursos, talleres y asesorías al sector gubernamental del orden estatal y municipal.</w:t>
            </w:r>
          </w:p>
        </w:tc>
      </w:tr>
      <w:tr w:rsidR="00E66F7B" w:rsidRPr="00F30FD1" w14:paraId="15C5EA0C" w14:textId="77777777" w:rsidTr="001D269B">
        <w:trPr>
          <w:trHeight w:val="20"/>
          <w:jc w:val="right"/>
        </w:trPr>
        <w:tc>
          <w:tcPr>
            <w:tcW w:w="1962"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A1D165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68EE372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006654" w:rsidRPr="00F30FD1" w14:paraId="274F8D4D"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4B087E7" w14:textId="6C107E1F"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35A95F0" w14:textId="180C97E6" w:rsidR="00006654" w:rsidRPr="00F30FD1" w:rsidRDefault="00006654" w:rsidP="00006654">
            <w:pPr>
              <w:spacing w:after="0" w:line="240" w:lineRule="auto"/>
              <w:rPr>
                <w:rFonts w:eastAsia="Times New Roman" w:cs="Arial"/>
                <w:sz w:val="18"/>
                <w:szCs w:val="22"/>
                <w:lang w:val="es-MX"/>
              </w:rPr>
            </w:pPr>
            <w:r w:rsidRPr="00F30FD1">
              <w:rPr>
                <w:rFonts w:cs="Arial"/>
                <w:sz w:val="18"/>
                <w:szCs w:val="22"/>
                <w:lang w:val="es-MX"/>
              </w:rPr>
              <w:t>Número de participaciones en espacios que brindan capacitaciones estatales y nacionales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536FD0B" w14:textId="536BA182"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9965534" w14:textId="631FCAB9" w:rsidR="00006654" w:rsidRPr="00F30FD1" w:rsidRDefault="00006654" w:rsidP="00006654">
            <w:pPr>
              <w:spacing w:after="0" w:line="240" w:lineRule="auto"/>
              <w:rPr>
                <w:rFonts w:eastAsia="Times New Roman" w:cs="Arial"/>
                <w:sz w:val="18"/>
                <w:szCs w:val="22"/>
                <w:lang w:val="es-MX"/>
              </w:rPr>
            </w:pPr>
            <w:r w:rsidRPr="00F30FD1">
              <w:rPr>
                <w:rFonts w:cs="Arial"/>
                <w:sz w:val="18"/>
                <w:szCs w:val="22"/>
                <w:lang w:val="es-MX"/>
              </w:rPr>
              <w:t>Número de participaciones</w:t>
            </w:r>
          </w:p>
        </w:tc>
      </w:tr>
      <w:tr w:rsidR="00006654" w:rsidRPr="00F30FD1" w14:paraId="057194B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1EC7B8B" w14:textId="00A17FF1"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84C62A7" w14:textId="4EB5EA0F" w:rsidR="00006654" w:rsidRPr="00F30FD1" w:rsidRDefault="00006654" w:rsidP="00006654">
            <w:pPr>
              <w:spacing w:after="0" w:line="240" w:lineRule="auto"/>
              <w:rPr>
                <w:rFonts w:eastAsia="Times New Roman" w:cs="Arial"/>
                <w:sz w:val="18"/>
                <w:szCs w:val="22"/>
                <w:lang w:val="es-MX"/>
              </w:rPr>
            </w:pPr>
            <w:r w:rsidRPr="00F30FD1">
              <w:rPr>
                <w:rFonts w:cs="Arial"/>
                <w:sz w:val="18"/>
                <w:szCs w:val="22"/>
                <w:lang w:val="es-MX"/>
              </w:rPr>
              <w:t>Se refiere a la participación constante de los servidores públicos que integran el SED en espacios de asesoría y capacitación; con la finalidad de contar con servidores públicos dotados de conocimientos y herramientas en el marco normativo, metodológico y administrativo del PbR-SED en el estado.</w:t>
            </w:r>
          </w:p>
        </w:tc>
      </w:tr>
      <w:tr w:rsidR="00006654" w:rsidRPr="00F30FD1" w14:paraId="2C95D72F"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163B1A2" w14:textId="617E5960"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73798FB" w14:textId="77777777" w:rsidR="00006654" w:rsidRPr="00F30FD1" w:rsidRDefault="00006654" w:rsidP="00006654">
            <w:pPr>
              <w:rPr>
                <w:rFonts w:cs="Arial"/>
                <w:sz w:val="18"/>
                <w:szCs w:val="22"/>
                <w:lang w:val="es-MX"/>
              </w:rPr>
            </w:pPr>
            <w:r w:rsidRPr="00F30FD1">
              <w:rPr>
                <w:rFonts w:cs="Arial"/>
                <w:sz w:val="18"/>
                <w:szCs w:val="22"/>
                <w:lang w:val="es-MX"/>
              </w:rPr>
              <w:t>Liga dentro del portal institucional del Centro de Evaluación del Desempeño, de la evidencia documental en temas de capacitación:</w:t>
            </w:r>
          </w:p>
          <w:p w14:paraId="18A27CAE" w14:textId="3AF4BE9C" w:rsidR="00006654" w:rsidRPr="00F30FD1" w:rsidRDefault="00006654" w:rsidP="00006654">
            <w:pPr>
              <w:spacing w:after="0" w:line="240" w:lineRule="auto"/>
              <w:rPr>
                <w:rFonts w:eastAsia="Times New Roman" w:cs="Arial"/>
                <w:sz w:val="18"/>
                <w:szCs w:val="22"/>
                <w:lang w:val="es-MX"/>
              </w:rPr>
            </w:pPr>
            <w:r w:rsidRPr="00F30FD1">
              <w:rPr>
                <w:rFonts w:cs="Arial"/>
                <w:sz w:val="18"/>
                <w:szCs w:val="22"/>
                <w:lang w:val="es-MX"/>
              </w:rPr>
              <w:t>http://www.sefiplan.qroo.gob.mx/CEDQROO/capacitacion.php</w:t>
            </w:r>
          </w:p>
        </w:tc>
      </w:tr>
      <w:tr w:rsidR="00006654" w:rsidRPr="00F30FD1" w14:paraId="0660F068"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B6CF3DA" w14:textId="11D96FD9"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DD3BA80" w14:textId="09B6C3E0" w:rsidR="00006654" w:rsidRPr="00F30FD1" w:rsidRDefault="00527530" w:rsidP="00006654">
            <w:pPr>
              <w:spacing w:after="0" w:line="240" w:lineRule="auto"/>
              <w:rPr>
                <w:rFonts w:eastAsia="Times New Roman" w:cs="Arial"/>
                <w:sz w:val="18"/>
                <w:szCs w:val="22"/>
                <w:lang w:val="es-MX"/>
              </w:rPr>
            </w:pPr>
            <w:r w:rsidRPr="00F30FD1">
              <w:rPr>
                <w:rFonts w:eastAsia="Times New Roman" w:cs="Arial"/>
                <w:sz w:val="18"/>
                <w:szCs w:val="22"/>
                <w:lang w:val="es-MX"/>
              </w:rPr>
              <w:t>5</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EA6A533" w14:textId="7194C219"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A1C9A87" w14:textId="3E7FF081" w:rsidR="00006654" w:rsidRPr="00F30FD1" w:rsidRDefault="00527530" w:rsidP="00006654">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006654" w:rsidRPr="00F30FD1" w14:paraId="2A4AF130"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FF38492" w14:textId="128C40EB"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9A33E08" w14:textId="77777777" w:rsidR="00006654" w:rsidRPr="00F30FD1" w:rsidRDefault="00006654" w:rsidP="00006654">
            <w:pPr>
              <w:rPr>
                <w:rFonts w:cs="Arial"/>
                <w:sz w:val="18"/>
                <w:szCs w:val="22"/>
                <w:lang w:val="es-MX"/>
              </w:rPr>
            </w:pPr>
            <w:r w:rsidRPr="00F30FD1">
              <w:rPr>
                <w:rFonts w:cs="Arial"/>
                <w:sz w:val="18"/>
                <w:szCs w:val="22"/>
                <w:lang w:val="es-MX"/>
              </w:rPr>
              <w:t>17 Alianza para lograr los objetivos</w:t>
            </w:r>
          </w:p>
          <w:p w14:paraId="4C31B71F" w14:textId="77777777" w:rsidR="00006654" w:rsidRPr="00F30FD1" w:rsidRDefault="00006654" w:rsidP="00006654">
            <w:pPr>
              <w:spacing w:after="0" w:line="240" w:lineRule="auto"/>
              <w:rPr>
                <w:rFonts w:eastAsia="Times New Roman" w:cs="Arial"/>
                <w:sz w:val="18"/>
                <w:szCs w:val="22"/>
                <w:lang w:val="es-MX"/>
              </w:rPr>
            </w:pPr>
          </w:p>
        </w:tc>
      </w:tr>
      <w:tr w:rsidR="00006654" w:rsidRPr="00F30FD1" w14:paraId="0FFD25FB"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8137882" w14:textId="78E44A42"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901CDD2" w14:textId="77777777" w:rsidR="00006654" w:rsidRPr="00F30FD1" w:rsidRDefault="00006654" w:rsidP="00006654">
            <w:pPr>
              <w:rPr>
                <w:rFonts w:cs="Arial"/>
                <w:sz w:val="18"/>
                <w:szCs w:val="22"/>
                <w:lang w:val="es-MX"/>
              </w:rPr>
            </w:pPr>
            <w:r w:rsidRPr="00F30FD1">
              <w:rPr>
                <w:rFonts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p w14:paraId="49EC2DB6" w14:textId="77777777" w:rsidR="00006654" w:rsidRPr="00F30FD1" w:rsidRDefault="00006654" w:rsidP="00006654">
            <w:pPr>
              <w:rPr>
                <w:rFonts w:cs="Arial"/>
                <w:sz w:val="18"/>
                <w:szCs w:val="22"/>
                <w:lang w:val="es-MX"/>
              </w:rPr>
            </w:pPr>
            <w:r w:rsidRPr="00F30FD1">
              <w:rPr>
                <w:rFonts w:cs="Arial"/>
                <w:sz w:val="18"/>
                <w:szCs w:val="22"/>
                <w:lang w:val="es-MX"/>
              </w:rPr>
              <w:t>17.14 Mejorar la coherencia de las políticas para el desarrollo sostenible;</w:t>
            </w:r>
          </w:p>
          <w:p w14:paraId="65A5BC17" w14:textId="77777777" w:rsidR="00006654" w:rsidRPr="00F30FD1" w:rsidRDefault="00006654" w:rsidP="00006654">
            <w:pPr>
              <w:rPr>
                <w:rFonts w:cs="Arial"/>
                <w:sz w:val="18"/>
                <w:szCs w:val="22"/>
                <w:lang w:val="es-MX"/>
              </w:rPr>
            </w:pPr>
            <w:r w:rsidRPr="00F30FD1">
              <w:rPr>
                <w:rFonts w:cs="Arial"/>
                <w:sz w:val="18"/>
                <w:szCs w:val="22"/>
                <w:lang w:val="es-MX"/>
              </w:rPr>
              <w:t>17.15 Respetar el margen normativo y el liderazgo de cada país para establecer y aplicar políticas de erradicación de la pobreza y desarrollo sostenible;</w:t>
            </w:r>
          </w:p>
          <w:p w14:paraId="3E02E44D" w14:textId="7989213C" w:rsidR="00006654" w:rsidRPr="00F30FD1" w:rsidRDefault="00006654" w:rsidP="00006654">
            <w:pPr>
              <w:rPr>
                <w:rFonts w:eastAsia="Times New Roman" w:cs="Arial"/>
                <w:sz w:val="18"/>
                <w:szCs w:val="22"/>
                <w:lang w:val="es-MX"/>
              </w:rPr>
            </w:pPr>
            <w:r w:rsidRPr="00F30FD1">
              <w:rPr>
                <w:rFonts w:cs="Arial"/>
                <w:sz w:val="18"/>
                <w:szCs w:val="22"/>
                <w:lang w:val="es-MX"/>
              </w:rPr>
              <w:t>17.16 Mejorar la Alianza Mundial para el Desarrollo Sostenible, complementada por alianzas entre múltiples interesados que movilicen e intercambien conocimientos, especialización, tecnología y recursos financieros, a fin de apoyar el logro de los Objetivos de Desarrollo Sostenible en todos los países, particularmente los países en desarrollo; y</w:t>
            </w:r>
          </w:p>
        </w:tc>
      </w:tr>
      <w:tr w:rsidR="00E66F7B" w:rsidRPr="00F30FD1" w14:paraId="2937427B"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DA6D70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lastRenderedPageBreak/>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4937D36" w14:textId="4C472726" w:rsidR="00E66F7B" w:rsidRPr="00F30FD1" w:rsidRDefault="00670C9B"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4DF82700"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7FE358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E5996B9" w14:textId="7CF28A7F" w:rsidR="00E66F7B" w:rsidRPr="00F30FD1" w:rsidRDefault="00670C9B"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5CBAFD42"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3FD052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48BF1F08"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C92BC4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44C8C9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7BB20B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0E25FC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78011B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735099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E96D3B" w:rsidRPr="00F30FD1" w14:paraId="1B4E1F4D"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8928498" w14:textId="1639ECD0" w:rsidR="00E96D3B"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7F5BA5F" w14:textId="1CCCF169"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8FBB1B8" w14:textId="7D56114C"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5</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ADDA634" w14:textId="69E28DBD"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43DE1DE" w14:textId="336472B0"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50EFEB4" w14:textId="2F909A69" w:rsidR="00E96D3B" w:rsidRPr="00F30FD1" w:rsidRDefault="0000665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r>
    </w:tbl>
    <w:p w14:paraId="3016B343"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106"/>
        <w:gridCol w:w="382"/>
        <w:gridCol w:w="1204"/>
        <w:gridCol w:w="431"/>
        <w:gridCol w:w="848"/>
        <w:gridCol w:w="620"/>
        <w:gridCol w:w="1664"/>
        <w:gridCol w:w="366"/>
        <w:gridCol w:w="2048"/>
      </w:tblGrid>
      <w:tr w:rsidR="00E66F7B" w:rsidRPr="00F30FD1" w14:paraId="402410D9"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71662E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0DE02F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48A8F4E1"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42A7363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3D8A119" w14:textId="5FAD7948" w:rsidR="00E66F7B" w:rsidRPr="00F30FD1" w:rsidRDefault="00E96D3B" w:rsidP="00E96D3B">
            <w:pPr>
              <w:rPr>
                <w:rFonts w:eastAsia="Times New Roman" w:cs="Arial"/>
                <w:sz w:val="18"/>
                <w:szCs w:val="22"/>
                <w:lang w:val="es-MX"/>
              </w:rPr>
            </w:pPr>
            <w:r w:rsidRPr="00F30FD1">
              <w:rPr>
                <w:rFonts w:eastAsia="Times New Roman" w:cs="Arial"/>
                <w:sz w:val="18"/>
                <w:szCs w:val="22"/>
                <w:lang w:val="es-MX"/>
              </w:rPr>
              <w:t>6. Supervisar la aplicación del mecanismo para el seguimiento a los Aspectos Susceptibles de Mejora, ASM, para el perfeccionamiento de los programas presupuestarios del Estado.</w:t>
            </w:r>
          </w:p>
        </w:tc>
      </w:tr>
      <w:tr w:rsidR="00E66F7B" w:rsidRPr="00F30FD1" w14:paraId="4DA8DFCA" w14:textId="77777777" w:rsidTr="001D269B">
        <w:trPr>
          <w:trHeight w:val="20"/>
          <w:jc w:val="right"/>
        </w:trPr>
        <w:tc>
          <w:tcPr>
            <w:tcW w:w="1962"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4C7297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378D956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006654" w:rsidRPr="00F30FD1" w14:paraId="05E4D102"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29E26A4" w14:textId="7E3B1860"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83D4EBF" w14:textId="21C9EF7A" w:rsidR="00006654" w:rsidRPr="00F30FD1" w:rsidRDefault="00006654" w:rsidP="00006654">
            <w:pPr>
              <w:spacing w:after="0" w:line="240" w:lineRule="auto"/>
              <w:rPr>
                <w:rFonts w:eastAsia="Times New Roman" w:cs="Arial"/>
                <w:sz w:val="18"/>
                <w:szCs w:val="22"/>
                <w:lang w:val="es-MX"/>
              </w:rPr>
            </w:pPr>
            <w:r w:rsidRPr="00F30FD1">
              <w:rPr>
                <w:rFonts w:cs="Arial"/>
                <w:sz w:val="18"/>
                <w:szCs w:val="22"/>
                <w:lang w:val="es-MX"/>
              </w:rPr>
              <w:t>Informes de avances de los ASM anual</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302E82E" w14:textId="7C6EFC9F"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8DE6D73" w14:textId="77777777" w:rsidR="00006654" w:rsidRPr="00F30FD1" w:rsidRDefault="00006654" w:rsidP="00006654">
            <w:pPr>
              <w:rPr>
                <w:rFonts w:cs="Arial"/>
                <w:sz w:val="18"/>
                <w:szCs w:val="22"/>
                <w:lang w:val="es-MX"/>
              </w:rPr>
            </w:pPr>
            <w:r w:rsidRPr="00F30FD1">
              <w:rPr>
                <w:rFonts w:cs="Arial"/>
                <w:sz w:val="18"/>
                <w:szCs w:val="22"/>
                <w:lang w:val="es-MX"/>
              </w:rPr>
              <w:t>Informes publicados</w:t>
            </w:r>
          </w:p>
          <w:p w14:paraId="7191EAAD" w14:textId="77777777" w:rsidR="00006654" w:rsidRPr="00F30FD1" w:rsidRDefault="00006654" w:rsidP="00006654">
            <w:pPr>
              <w:spacing w:after="0" w:line="240" w:lineRule="auto"/>
              <w:rPr>
                <w:rFonts w:eastAsia="Times New Roman" w:cs="Arial"/>
                <w:sz w:val="18"/>
                <w:szCs w:val="22"/>
                <w:lang w:val="es-MX"/>
              </w:rPr>
            </w:pPr>
          </w:p>
        </w:tc>
      </w:tr>
      <w:tr w:rsidR="00006654" w:rsidRPr="00F30FD1" w14:paraId="47956D8B"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632EB41" w14:textId="2F159500"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A77F8EC" w14:textId="6A01E1D0" w:rsidR="00006654" w:rsidRPr="00F30FD1" w:rsidRDefault="00006654" w:rsidP="00006654">
            <w:pPr>
              <w:spacing w:after="0" w:line="240" w:lineRule="auto"/>
              <w:rPr>
                <w:rFonts w:eastAsia="Times New Roman" w:cs="Arial"/>
                <w:sz w:val="18"/>
                <w:szCs w:val="22"/>
                <w:lang w:val="es-MX"/>
              </w:rPr>
            </w:pPr>
            <w:r w:rsidRPr="00F30FD1">
              <w:rPr>
                <w:rFonts w:cs="Arial"/>
                <w:sz w:val="18"/>
                <w:szCs w:val="22"/>
                <w:lang w:val="es-MX"/>
              </w:rPr>
              <w:t>Se refiere a la elaboración de un informe de avances en la atención de los Aspectos Susceptibles de Mejora (ASM), ya que una de las principales finalidades de los resultados de las evaluaciones es el uso pertinente de estos para generar agendas de mejora para la obtención de mejores resultados.</w:t>
            </w:r>
          </w:p>
        </w:tc>
      </w:tr>
      <w:tr w:rsidR="00006654" w:rsidRPr="00F30FD1" w14:paraId="03A8F295"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A985858" w14:textId="011E1335"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9D37612" w14:textId="77777777" w:rsidR="00006654" w:rsidRPr="00F30FD1" w:rsidRDefault="00006654" w:rsidP="00006654">
            <w:pPr>
              <w:rPr>
                <w:rFonts w:cs="Arial"/>
                <w:sz w:val="18"/>
                <w:szCs w:val="22"/>
                <w:lang w:val="es-MX"/>
              </w:rPr>
            </w:pPr>
            <w:r w:rsidRPr="00F30FD1">
              <w:rPr>
                <w:rFonts w:cs="Arial"/>
                <w:sz w:val="18"/>
                <w:szCs w:val="22"/>
                <w:lang w:val="es-MX"/>
              </w:rPr>
              <w:t xml:space="preserve">Liga en el portal institucional del Centro de Evaluación del Desempeño en el que se publica avances de los ASM, anual: </w:t>
            </w:r>
          </w:p>
          <w:p w14:paraId="5182028E" w14:textId="40659BFB" w:rsidR="00006654" w:rsidRPr="00F30FD1" w:rsidRDefault="00EE7D8C" w:rsidP="00006654">
            <w:pPr>
              <w:spacing w:after="0" w:line="240" w:lineRule="auto"/>
              <w:rPr>
                <w:rFonts w:eastAsia="Times New Roman" w:cs="Arial"/>
                <w:sz w:val="18"/>
                <w:szCs w:val="22"/>
                <w:lang w:val="es-MX"/>
              </w:rPr>
            </w:pPr>
            <w:hyperlink r:id="rId35" w:history="1">
              <w:r w:rsidR="00006654" w:rsidRPr="00F30FD1">
                <w:rPr>
                  <w:rStyle w:val="Hipervnculo"/>
                  <w:rFonts w:cs="Arial"/>
                  <w:sz w:val="18"/>
                  <w:szCs w:val="22"/>
                  <w:lang w:val="es-MX"/>
                </w:rPr>
                <w:t>http://www.sefiplan.qroo.gob.mx/CEDQROO/aspectos.php</w:t>
              </w:r>
            </w:hyperlink>
          </w:p>
        </w:tc>
      </w:tr>
      <w:tr w:rsidR="00006654" w:rsidRPr="00F30FD1" w14:paraId="7657E701"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36EEE50" w14:textId="34310F9C"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1B91EAC" w14:textId="0FD43522" w:rsidR="00006654" w:rsidRPr="00F30FD1" w:rsidRDefault="00990385" w:rsidP="00006654">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5DA7B62" w14:textId="38AEAC98"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9BC42B4" w14:textId="20201711"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006654" w:rsidRPr="00F30FD1" w14:paraId="18671B82"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545F59F" w14:textId="47AF5966"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D0574AC" w14:textId="77777777" w:rsidR="00006654" w:rsidRPr="00F30FD1" w:rsidRDefault="00006654" w:rsidP="00006654">
            <w:pPr>
              <w:rPr>
                <w:rFonts w:cs="Arial"/>
                <w:sz w:val="18"/>
                <w:szCs w:val="22"/>
                <w:lang w:val="es-MX"/>
              </w:rPr>
            </w:pPr>
            <w:r w:rsidRPr="00F30FD1">
              <w:rPr>
                <w:rFonts w:cs="Arial"/>
                <w:sz w:val="18"/>
                <w:szCs w:val="22"/>
                <w:lang w:val="es-MX"/>
              </w:rPr>
              <w:t>17 Alianza para lograr los objetivos</w:t>
            </w:r>
          </w:p>
          <w:p w14:paraId="07EC8997" w14:textId="77777777" w:rsidR="00006654" w:rsidRPr="00F30FD1" w:rsidRDefault="00006654" w:rsidP="00006654">
            <w:pPr>
              <w:spacing w:after="0" w:line="240" w:lineRule="auto"/>
              <w:rPr>
                <w:rFonts w:eastAsia="Times New Roman" w:cs="Arial"/>
                <w:sz w:val="18"/>
                <w:szCs w:val="22"/>
                <w:lang w:val="es-MX"/>
              </w:rPr>
            </w:pPr>
          </w:p>
        </w:tc>
      </w:tr>
      <w:tr w:rsidR="00006654" w:rsidRPr="00F30FD1" w14:paraId="18AF3825"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96FFCD" w14:textId="77777777"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74181F" w14:textId="77777777" w:rsidR="00006654" w:rsidRPr="00F30FD1" w:rsidRDefault="00006654" w:rsidP="00006654">
            <w:pPr>
              <w:rPr>
                <w:rFonts w:cs="Arial"/>
                <w:sz w:val="18"/>
                <w:szCs w:val="22"/>
                <w:lang w:val="es-MX"/>
              </w:rPr>
            </w:pPr>
            <w:r w:rsidRPr="00F30FD1">
              <w:rPr>
                <w:rFonts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p w14:paraId="20D203E9" w14:textId="77777777" w:rsidR="00006654" w:rsidRPr="00F30FD1" w:rsidRDefault="00006654" w:rsidP="00006654">
            <w:pPr>
              <w:rPr>
                <w:rFonts w:cs="Arial"/>
                <w:sz w:val="18"/>
                <w:szCs w:val="22"/>
                <w:lang w:val="es-MX"/>
              </w:rPr>
            </w:pPr>
            <w:r w:rsidRPr="00F30FD1">
              <w:rPr>
                <w:rFonts w:cs="Arial"/>
                <w:sz w:val="18"/>
                <w:szCs w:val="22"/>
                <w:lang w:val="es-MX"/>
              </w:rPr>
              <w:t>17.14 Mejorar la coherencia de las políticas para el desarrollo sostenible;</w:t>
            </w:r>
          </w:p>
          <w:p w14:paraId="1CECE0EB" w14:textId="77777777" w:rsidR="00006654" w:rsidRPr="00F30FD1" w:rsidRDefault="00006654" w:rsidP="00006654">
            <w:pPr>
              <w:rPr>
                <w:rFonts w:cs="Arial"/>
                <w:sz w:val="18"/>
                <w:szCs w:val="22"/>
                <w:lang w:val="es-MX"/>
              </w:rPr>
            </w:pPr>
            <w:r w:rsidRPr="00F30FD1">
              <w:rPr>
                <w:rFonts w:cs="Arial"/>
                <w:sz w:val="18"/>
                <w:szCs w:val="22"/>
                <w:lang w:val="es-MX"/>
              </w:rPr>
              <w:t>17.15 Respetar el margen normativo y el liderazgo de cada país para establecer y aplicar políticas de erradicación de la pobreza y desarrollo sostenible;</w:t>
            </w:r>
          </w:p>
          <w:p w14:paraId="29E03071" w14:textId="78A965AF" w:rsidR="00006654" w:rsidRPr="00F30FD1" w:rsidRDefault="00006654" w:rsidP="00006654">
            <w:pPr>
              <w:rPr>
                <w:rFonts w:eastAsia="Times New Roman" w:cs="Arial"/>
                <w:sz w:val="18"/>
                <w:szCs w:val="22"/>
                <w:lang w:val="es-MX"/>
              </w:rPr>
            </w:pPr>
            <w:r w:rsidRPr="00F30FD1">
              <w:rPr>
                <w:rFonts w:cs="Arial"/>
                <w:sz w:val="18"/>
                <w:szCs w:val="22"/>
                <w:lang w:val="es-MX"/>
              </w:rPr>
              <w:t xml:space="preserve">17.16 Mejorar la Alianza Mundial para el Desarrollo Sostenible, complementada por alianzas entre múltiples interesados que movilicen e intercambien conocimientos, especialización, tecnología y </w:t>
            </w:r>
            <w:r w:rsidRPr="00F30FD1">
              <w:rPr>
                <w:rFonts w:cs="Arial"/>
                <w:sz w:val="18"/>
                <w:szCs w:val="22"/>
                <w:lang w:val="es-MX"/>
              </w:rPr>
              <w:lastRenderedPageBreak/>
              <w:t>recursos financieros, a fin de apoyar el logro de los Objetivos de Desarrollo Sostenible en todos los países, particularmente los países en desarrollo; y</w:t>
            </w:r>
          </w:p>
        </w:tc>
      </w:tr>
      <w:tr w:rsidR="00006654" w:rsidRPr="00F30FD1" w14:paraId="28FC5607"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50995CC" w14:textId="77777777"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lastRenderedPageBreak/>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BC468FC" w14:textId="0ADC075D" w:rsidR="00006654" w:rsidRPr="00F30FD1" w:rsidRDefault="00670C9B" w:rsidP="00006654">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006654" w:rsidRPr="00F30FD1" w14:paraId="62CD54F7"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37D1325" w14:textId="77777777"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0547305" w14:textId="0720CCA7" w:rsidR="00006654" w:rsidRPr="00F30FD1" w:rsidRDefault="00670C9B" w:rsidP="00006654">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006654" w:rsidRPr="00F30FD1" w14:paraId="3BE0F1D6"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A4172E0"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006654" w:rsidRPr="00F30FD1" w14:paraId="0C266CB3"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FAA7F53"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AE3722A"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29F7505"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A5930C2"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AB06A8D"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CF48887"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006654" w:rsidRPr="00F30FD1" w14:paraId="7FD314C2"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E4F05F8" w14:textId="473E9C29" w:rsidR="00006654" w:rsidRPr="00F30FD1" w:rsidRDefault="009964FA" w:rsidP="00006654">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8A4CE31" w14:textId="47F9BE5D" w:rsidR="00006654" w:rsidRPr="00F30FD1" w:rsidRDefault="009964FA" w:rsidP="00006654">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586F222" w14:textId="5308DE16" w:rsidR="00006654" w:rsidRPr="00F30FD1" w:rsidRDefault="009964FA" w:rsidP="00006654">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503F55E" w14:textId="15AEEC0E"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3E8EA04" w14:textId="72A283C3"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966979C" w14:textId="5FA5D642"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r>
    </w:tbl>
    <w:p w14:paraId="71E7DB71" w14:textId="77777777" w:rsidR="00E66F7B" w:rsidRPr="00F30FD1" w:rsidRDefault="00E66F7B" w:rsidP="00952E57">
      <w:pPr>
        <w:spacing w:after="0" w:line="240" w:lineRule="auto"/>
        <w:contextualSpacing/>
        <w:rPr>
          <w:rFonts w:eastAsia="Times New Roman" w:cs="Arial"/>
          <w:sz w:val="20"/>
          <w:szCs w:val="22"/>
          <w:lang w:val="es-MX"/>
        </w:rPr>
      </w:pPr>
    </w:p>
    <w:p w14:paraId="2DF914AE" w14:textId="479B2C1B"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26F7D9EF" w14:textId="77777777" w:rsidR="00575DE8" w:rsidRPr="00F30FD1" w:rsidRDefault="00575DE8"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62609037"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924D7B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5741BE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40F4B8F4"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D89798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E071672" w14:textId="277353F8" w:rsidR="00E66F7B" w:rsidRPr="00F30FD1" w:rsidRDefault="00E96D3B" w:rsidP="00E96D3B">
            <w:pPr>
              <w:spacing w:after="0" w:line="240" w:lineRule="auto"/>
              <w:rPr>
                <w:rFonts w:eastAsia="Times New Roman" w:cs="Arial"/>
                <w:sz w:val="18"/>
                <w:szCs w:val="22"/>
                <w:lang w:val="es-MX"/>
              </w:rPr>
            </w:pPr>
            <w:r w:rsidRPr="00F30FD1">
              <w:rPr>
                <w:rFonts w:eastAsia="Times New Roman" w:cs="Arial"/>
                <w:sz w:val="18"/>
                <w:szCs w:val="22"/>
                <w:lang w:val="es-MX"/>
              </w:rPr>
              <w:t>7. Efectuar, en coordinación con los gobiernos municipales y con sustento en el Sistema Nacional de Coordinación Fiscal, y de gasto con relación a las participaciones y aportaciones.</w:t>
            </w:r>
          </w:p>
        </w:tc>
      </w:tr>
      <w:tr w:rsidR="00E66F7B" w:rsidRPr="00F30FD1" w14:paraId="0ED0F858"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768428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45CE1A3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6103BBCA"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1D3F03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B2E97C" w14:textId="0FAA8128"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Número de Publicaciones de los acuerdos determinados y distribuidos de las participaciones federales a los municipios.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CB417C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4014D6B" w14:textId="17EEA3A1"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Número de Publicaciones</w:t>
            </w:r>
          </w:p>
        </w:tc>
      </w:tr>
      <w:tr w:rsidR="00E66F7B" w:rsidRPr="00F30FD1" w14:paraId="60EB3FC6"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7481DE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4AF3759" w14:textId="7B3FBB60"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Determinación y distribución de las participaciones federales a los municipios.</w:t>
            </w:r>
          </w:p>
        </w:tc>
      </w:tr>
      <w:tr w:rsidR="00E66F7B" w:rsidRPr="00F30FD1" w14:paraId="24BD9B39"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BFA851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4D0AE5B" w14:textId="262282B1"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Publicación en el Periódico Oficial del Estado de Quintana Roo</w:t>
            </w:r>
          </w:p>
        </w:tc>
      </w:tr>
      <w:tr w:rsidR="00E66F7B" w:rsidRPr="00F30FD1" w14:paraId="5074E593"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8F89C1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4891C03" w14:textId="16D9D6F5" w:rsidR="00E66F7B" w:rsidRPr="00F30FD1" w:rsidRDefault="00BC456D"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B046A0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3640DDF" w14:textId="626D7474" w:rsidR="00E66F7B" w:rsidRPr="00F30FD1" w:rsidRDefault="00BC456D"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E66F7B" w:rsidRPr="00F30FD1" w14:paraId="14E0FF2A"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F980FC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7A1CA76" w14:textId="6EBCEC85"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006654" w:rsidRPr="00F30FD1" w14:paraId="697FC07D"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6A9B01F" w14:textId="77777777"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32A9E65" w14:textId="77777777" w:rsidR="00006654" w:rsidRPr="00F30FD1" w:rsidRDefault="00006654" w:rsidP="00006654">
            <w:pPr>
              <w:rPr>
                <w:rFonts w:cs="Arial"/>
                <w:sz w:val="18"/>
                <w:szCs w:val="22"/>
                <w:lang w:val="es-MX"/>
              </w:rPr>
            </w:pPr>
            <w:r w:rsidRPr="00F30FD1">
              <w:rPr>
                <w:rFonts w:cs="Arial"/>
                <w:sz w:val="18"/>
                <w:szCs w:val="22"/>
                <w:lang w:val="es-MX"/>
              </w:rPr>
              <w:t>17.14 Mejorar la coherencia de las políticas para el desarrollo sostenible;</w:t>
            </w:r>
          </w:p>
          <w:p w14:paraId="06D66224" w14:textId="087B0990" w:rsidR="00006654" w:rsidRPr="00F30FD1" w:rsidRDefault="00006654" w:rsidP="00006654">
            <w:pPr>
              <w:spacing w:after="0" w:line="240" w:lineRule="auto"/>
              <w:rPr>
                <w:rFonts w:eastAsia="Times New Roman" w:cs="Arial"/>
                <w:sz w:val="18"/>
                <w:szCs w:val="22"/>
                <w:lang w:val="es-MX"/>
              </w:rPr>
            </w:pPr>
          </w:p>
        </w:tc>
      </w:tr>
      <w:tr w:rsidR="00E66F7B" w:rsidRPr="00F30FD1" w14:paraId="61A6EE16"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5086B3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F058408" w14:textId="1B077F0C" w:rsidR="00E66F7B" w:rsidRPr="00F30FD1" w:rsidRDefault="00212A29" w:rsidP="00212A29">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E66F7B" w:rsidRPr="00F30FD1" w14:paraId="133874D8"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C08B14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4852710" w14:textId="1DA6275F"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1.1.6 Aportaciones</w:t>
            </w:r>
          </w:p>
        </w:tc>
      </w:tr>
      <w:tr w:rsidR="00E66F7B" w:rsidRPr="00F30FD1" w14:paraId="7EDED61F"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7E748C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21AA33F0"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5C9648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A21DC2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0082AA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458F1A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33B7B3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BF2EE3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E96D3B" w:rsidRPr="00F30FD1" w14:paraId="7C7EAF43"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D488383" w14:textId="0A412256" w:rsidR="00E96D3B"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5</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1EA1B46" w14:textId="7FCEE0E8" w:rsidR="00E96D3B"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5</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D250860" w14:textId="3E970FCE" w:rsidR="00E96D3B"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0BF0A58" w14:textId="44461E7D" w:rsidR="00E96D3B"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BFC7FAD" w14:textId="510C7448" w:rsidR="00E96D3B"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0BAE20B" w14:textId="65D5C3F2" w:rsidR="00E96D3B"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w:t>
            </w:r>
          </w:p>
        </w:tc>
      </w:tr>
    </w:tbl>
    <w:p w14:paraId="66DA708A" w14:textId="77777777" w:rsidR="00E66F7B" w:rsidRPr="00F30FD1" w:rsidRDefault="00E66F7B" w:rsidP="00952E57">
      <w:pPr>
        <w:spacing w:after="0" w:line="240" w:lineRule="auto"/>
        <w:contextualSpacing/>
        <w:rPr>
          <w:rFonts w:eastAsia="Times New Roman" w:cs="Arial"/>
          <w:sz w:val="20"/>
          <w:szCs w:val="22"/>
          <w:lang w:val="es-MX"/>
        </w:rPr>
      </w:pPr>
    </w:p>
    <w:p w14:paraId="0D705C4D" w14:textId="2A91AB79"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316C0EF5" w14:textId="77777777" w:rsidR="00575DE8" w:rsidRPr="00F30FD1" w:rsidRDefault="00575DE8"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4141A23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997444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B21F85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256A9830"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0DF9B63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FCFE400" w14:textId="595E57D9" w:rsidR="00E66F7B" w:rsidRPr="00F30FD1" w:rsidRDefault="00E96D3B" w:rsidP="00E96D3B">
            <w:pPr>
              <w:spacing w:after="0" w:line="240" w:lineRule="auto"/>
              <w:rPr>
                <w:rFonts w:eastAsia="Times New Roman" w:cs="Arial"/>
                <w:sz w:val="18"/>
                <w:szCs w:val="22"/>
                <w:lang w:val="es-MX"/>
              </w:rPr>
            </w:pPr>
            <w:r w:rsidRPr="00F30FD1">
              <w:rPr>
                <w:rFonts w:eastAsia="Times New Roman" w:cs="Arial"/>
                <w:sz w:val="18"/>
                <w:szCs w:val="22"/>
                <w:lang w:val="es-MX"/>
              </w:rPr>
              <w:t>8. Administrar y optimizar la Cartera Estatal de Proyectos de Inversión Pública.</w:t>
            </w:r>
          </w:p>
        </w:tc>
      </w:tr>
      <w:tr w:rsidR="00E66F7B" w:rsidRPr="00F30FD1" w14:paraId="0C210E34"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55D282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61DA3B4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5EF57EF5"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B2A9A9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C794116" w14:textId="3CA81C64"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 de proyectos con factibilidad dictaminada</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2C2C5A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5267222" w14:textId="4FC40412"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E66F7B" w:rsidRPr="00F30FD1" w14:paraId="11F91889"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B14598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6BBE97D" w14:textId="5A9A2714"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Integración y administración de la cartera de proyectos de inversión pública dictaminados como factibles de financiar, y que se espera no presenten problemas relacionados con los trámites, permisos y documentación en materia técnica, ambiental y legal</w:t>
            </w:r>
          </w:p>
        </w:tc>
      </w:tr>
      <w:tr w:rsidR="00E66F7B" w:rsidRPr="00F30FD1" w14:paraId="1C28639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C2EF51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07E6653" w14:textId="50B42F28"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Cartera de proyectos de inversión publicados trimestralmente por la Dirección de Estudios y Proyectos de Inversión en el Sistema Estatal de Planeación</w:t>
            </w:r>
          </w:p>
        </w:tc>
      </w:tr>
      <w:tr w:rsidR="00E66F7B" w:rsidRPr="00F30FD1" w14:paraId="31E275A7"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48208E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B9C465C" w14:textId="3CE73B10" w:rsidR="00E66F7B" w:rsidRPr="00F30FD1" w:rsidRDefault="00BC456D"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43F2F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ACDBD43" w14:textId="2E38A45E" w:rsidR="00E66F7B" w:rsidRPr="00F30FD1" w:rsidRDefault="00BC456D"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006654" w:rsidRPr="00F30FD1" w14:paraId="47358DD4"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7C857FD" w14:textId="77777777"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BE47A53" w14:textId="032D721D"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006654" w:rsidRPr="00F30FD1" w14:paraId="271A813D"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8EE963" w14:textId="77777777"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19C5FF8" w14:textId="7775D4A6"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17.17.- Fomentar y Promover la constitución de alianzas eficaces en las esferas públicas, Público-Privado y de la Sociedad Civil.</w:t>
            </w:r>
          </w:p>
        </w:tc>
      </w:tr>
      <w:tr w:rsidR="00006654" w:rsidRPr="00F30FD1" w14:paraId="4371C6D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EDCDA53" w14:textId="77777777"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9B081D6" w14:textId="2DFF92CC" w:rsidR="00006654" w:rsidRPr="00F30FD1" w:rsidRDefault="00670C9B" w:rsidP="00006654">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006654" w:rsidRPr="00F30FD1" w14:paraId="0F0E59DA"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EE6B0C6" w14:textId="77777777" w:rsidR="00006654" w:rsidRPr="00F30FD1" w:rsidRDefault="00006654" w:rsidP="00006654">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3188760" w14:textId="2C4D3913" w:rsidR="00006654" w:rsidRPr="00F30FD1" w:rsidRDefault="00670C9B" w:rsidP="00006654">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006654" w:rsidRPr="00F30FD1" w14:paraId="0618EFF9"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499A9EE"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006654" w:rsidRPr="00F30FD1" w14:paraId="0F82CBD9"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5BAD523"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B8F6399"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6ECD426"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693A179"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8A69FE9"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B517859" w14:textId="777777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006654" w:rsidRPr="00F30FD1" w14:paraId="64CCC709"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60E06D0" w14:textId="3112E077"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10%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3282A1C" w14:textId="3C39F7C4"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10%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6E45820" w14:textId="16E2FF6F"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29%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115A94E" w14:textId="1D6E0803"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30%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70CDB77" w14:textId="213627E5"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35%</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34C6508" w14:textId="35A536A3" w:rsidR="00006654" w:rsidRPr="00F30FD1" w:rsidRDefault="00006654" w:rsidP="00006654">
            <w:pPr>
              <w:spacing w:after="0" w:line="240" w:lineRule="auto"/>
              <w:jc w:val="center"/>
              <w:rPr>
                <w:rFonts w:eastAsia="Times New Roman" w:cs="Arial"/>
                <w:sz w:val="18"/>
                <w:szCs w:val="22"/>
                <w:lang w:val="es-MX"/>
              </w:rPr>
            </w:pPr>
            <w:r w:rsidRPr="00F30FD1">
              <w:rPr>
                <w:rFonts w:eastAsia="Times New Roman" w:cs="Arial"/>
                <w:sz w:val="18"/>
                <w:szCs w:val="22"/>
                <w:lang w:val="es-MX"/>
              </w:rPr>
              <w:t>40%</w:t>
            </w:r>
          </w:p>
        </w:tc>
      </w:tr>
    </w:tbl>
    <w:p w14:paraId="651C4CF3" w14:textId="77777777" w:rsidR="00E66F7B" w:rsidRPr="00F30FD1" w:rsidRDefault="00E66F7B" w:rsidP="00952E57">
      <w:pPr>
        <w:spacing w:after="0" w:line="240" w:lineRule="auto"/>
        <w:contextualSpacing/>
        <w:rPr>
          <w:rFonts w:eastAsia="Times New Roman" w:cs="Arial"/>
          <w:sz w:val="20"/>
          <w:szCs w:val="22"/>
          <w:lang w:val="es-MX"/>
        </w:rPr>
      </w:pPr>
    </w:p>
    <w:p w14:paraId="1986AA38" w14:textId="77777777" w:rsidR="00575DE8" w:rsidRPr="00F30FD1" w:rsidRDefault="00575DE8" w:rsidP="00952E57">
      <w:pPr>
        <w:spacing w:after="0" w:line="240" w:lineRule="auto"/>
        <w:contextualSpacing/>
        <w:rPr>
          <w:rFonts w:eastAsia="Times New Roman" w:cs="Arial"/>
          <w:sz w:val="20"/>
          <w:szCs w:val="22"/>
          <w:lang w:val="es-MX"/>
        </w:rPr>
      </w:pPr>
    </w:p>
    <w:p w14:paraId="409956F2" w14:textId="77777777" w:rsidR="00575DE8" w:rsidRPr="00F30FD1" w:rsidRDefault="00575DE8">
      <w:r w:rsidRPr="00F30FD1">
        <w:br w:type="page"/>
      </w:r>
    </w:p>
    <w:tbl>
      <w:tblPr>
        <w:tblW w:w="5000" w:type="pct"/>
        <w:jc w:val="right"/>
        <w:tblCellMar>
          <w:left w:w="0" w:type="dxa"/>
          <w:right w:w="0" w:type="dxa"/>
        </w:tblCellMar>
        <w:tblLook w:val="0420" w:firstRow="1" w:lastRow="0" w:firstColumn="0" w:lastColumn="0" w:noHBand="0" w:noVBand="1"/>
      </w:tblPr>
      <w:tblGrid>
        <w:gridCol w:w="1425"/>
        <w:gridCol w:w="737"/>
        <w:gridCol w:w="492"/>
        <w:gridCol w:w="1200"/>
        <w:gridCol w:w="435"/>
        <w:gridCol w:w="846"/>
        <w:gridCol w:w="622"/>
        <w:gridCol w:w="1664"/>
        <w:gridCol w:w="364"/>
        <w:gridCol w:w="2050"/>
      </w:tblGrid>
      <w:tr w:rsidR="00E66F7B" w:rsidRPr="00F30FD1" w14:paraId="7DFCDE64"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7D2EB52" w14:textId="5F43A18C"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19A781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10111C1D"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68ECA7B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9EA6427" w14:textId="6F6EE096" w:rsidR="00E66F7B" w:rsidRPr="00F30FD1" w:rsidRDefault="00E96D3B" w:rsidP="00E96D3B">
            <w:pPr>
              <w:spacing w:after="0" w:line="240" w:lineRule="auto"/>
              <w:rPr>
                <w:rFonts w:eastAsia="Times New Roman" w:cs="Arial"/>
                <w:sz w:val="18"/>
                <w:szCs w:val="22"/>
                <w:lang w:val="es-MX"/>
              </w:rPr>
            </w:pPr>
            <w:r w:rsidRPr="00F30FD1">
              <w:rPr>
                <w:rFonts w:eastAsia="Times New Roman" w:cs="Arial"/>
                <w:sz w:val="18"/>
                <w:szCs w:val="22"/>
                <w:lang w:val="es-MX"/>
              </w:rPr>
              <w:t>9. Crear la Unidad de Inversión Estatal.</w:t>
            </w:r>
          </w:p>
        </w:tc>
      </w:tr>
      <w:tr w:rsidR="00E66F7B" w:rsidRPr="00F30FD1" w14:paraId="4BCA5574" w14:textId="77777777" w:rsidTr="00575DE8">
        <w:trPr>
          <w:trHeight w:val="20"/>
          <w:jc w:val="right"/>
        </w:trPr>
        <w:tc>
          <w:tcPr>
            <w:tcW w:w="1960"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B70463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1D43C43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4D900A0B"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C3D323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2BB1642" w14:textId="334D8293"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inversión estatal creada y operando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E51AC0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E408DE3" w14:textId="53B3DACB"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Unidad existente</w:t>
            </w:r>
          </w:p>
        </w:tc>
      </w:tr>
      <w:tr w:rsidR="00E66F7B" w:rsidRPr="00F30FD1" w14:paraId="01B92C3D"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9DE13E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7AE3878" w14:textId="33C8BA99"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Creación de una Unidad de Inversión Estatal, encargada del registro y el seguimiento de la inversión pública, de analizar su impacto en el avance en el cumplimiento de los objetivos estratégicos establecidos por la Administración Pública Estatal, y de proponer modificaciones de políticas en materia de inversión</w:t>
            </w:r>
          </w:p>
        </w:tc>
      </w:tr>
      <w:tr w:rsidR="00E66F7B" w:rsidRPr="00F30FD1" w14:paraId="7C01EA86"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7E2CF1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32E8DC8" w14:textId="7C6D4842"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Informe trimestral de avances en el registro y seguimiento de la inversión pública</w:t>
            </w:r>
          </w:p>
        </w:tc>
      </w:tr>
      <w:tr w:rsidR="00E66F7B" w:rsidRPr="00F30FD1" w14:paraId="398748A3"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08F11B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BA756B3" w14:textId="7E97535A" w:rsidR="00E66F7B" w:rsidRPr="00F30FD1" w:rsidRDefault="00BC456D"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DB5D3F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3907FE4" w14:textId="1E9570D4" w:rsidR="00E66F7B" w:rsidRPr="00F30FD1" w:rsidRDefault="00BC456D"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D20056" w:rsidRPr="00F30FD1" w14:paraId="6DE97328"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5FA63E4" w14:textId="77777777" w:rsidR="00D20056" w:rsidRPr="00F30FD1" w:rsidRDefault="00D20056" w:rsidP="00D20056">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1D6F107" w14:textId="66E41EC7" w:rsidR="00D20056" w:rsidRPr="00F30FD1" w:rsidRDefault="00D20056" w:rsidP="00D20056">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D20056" w:rsidRPr="00F30FD1" w14:paraId="05C4FBC8"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FF3A8AA" w14:textId="77777777" w:rsidR="00D20056" w:rsidRPr="00F30FD1" w:rsidRDefault="00D20056" w:rsidP="00D20056">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19A4139" w14:textId="2637D942" w:rsidR="00D20056" w:rsidRPr="00F30FD1" w:rsidRDefault="00D20056" w:rsidP="00D20056">
            <w:pPr>
              <w:spacing w:after="0" w:line="240" w:lineRule="auto"/>
              <w:rPr>
                <w:rFonts w:eastAsia="Times New Roman" w:cs="Arial"/>
                <w:sz w:val="18"/>
                <w:szCs w:val="22"/>
                <w:lang w:val="es-MX"/>
              </w:rPr>
            </w:pPr>
            <w:r w:rsidRPr="00F30FD1">
              <w:rPr>
                <w:rFonts w:eastAsia="Times New Roman" w:cs="Arial"/>
                <w:sz w:val="18"/>
                <w:szCs w:val="22"/>
                <w:lang w:val="es-MX"/>
              </w:rPr>
              <w:t>17.17.- Fomentar y Promover la constitución de alianzas eficaces en las esferas públicas, Público-Privado y de la Sociedad Civil.</w:t>
            </w:r>
          </w:p>
        </w:tc>
      </w:tr>
      <w:tr w:rsidR="00D20056" w:rsidRPr="00F30FD1" w14:paraId="34AB83B9"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0FBD37D" w14:textId="77777777" w:rsidR="00D20056" w:rsidRPr="00F30FD1" w:rsidRDefault="00D20056" w:rsidP="00D20056">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7ED4638" w14:textId="1491C77E" w:rsidR="00D20056" w:rsidRPr="00F30FD1" w:rsidRDefault="00670C9B" w:rsidP="00D20056">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D20056" w:rsidRPr="00F30FD1" w14:paraId="25D02307" w14:textId="77777777" w:rsidTr="00575DE8">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2E91E95" w14:textId="77777777" w:rsidR="00D20056" w:rsidRPr="00F30FD1" w:rsidRDefault="00D20056" w:rsidP="00D20056">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44713D2" w14:textId="3E7E1435" w:rsidR="00D20056" w:rsidRPr="00F30FD1" w:rsidRDefault="00670C9B" w:rsidP="00D20056">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D20056" w:rsidRPr="00F30FD1" w14:paraId="71F9BF09"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CDC7ED0" w14:textId="77777777"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D20056" w:rsidRPr="00F30FD1" w14:paraId="62FE7473"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522B56E" w14:textId="77777777"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F970BDC" w14:textId="77777777"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0AEDB07" w14:textId="77777777"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F1568CC" w14:textId="77777777"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3621801" w14:textId="77777777"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53F9330" w14:textId="77777777"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D20056" w:rsidRPr="00F30FD1" w14:paraId="6A90F5BD"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0E8285C" w14:textId="563042C7"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5613380" w14:textId="147EB472"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D01ACCA" w14:textId="5BDD3F52"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44E7B74" w14:textId="51D318AF"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1E2E237" w14:textId="2A66E0FF"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80D1FFD" w14:textId="47D24DEF" w:rsidR="00D20056" w:rsidRPr="00F30FD1" w:rsidRDefault="00D20056" w:rsidP="00D20056">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r>
    </w:tbl>
    <w:p w14:paraId="09C0F8EC" w14:textId="6C94DEAA" w:rsidR="00C920BF" w:rsidRPr="00F30FD1" w:rsidRDefault="00C920BF" w:rsidP="00952E57">
      <w:pPr>
        <w:spacing w:after="0" w:line="240" w:lineRule="auto"/>
        <w:contextualSpacing/>
        <w:rPr>
          <w:rFonts w:eastAsia="Times New Roman" w:cs="Arial"/>
          <w:sz w:val="20"/>
          <w:szCs w:val="22"/>
          <w:lang w:val="es-MX"/>
        </w:rPr>
      </w:pPr>
    </w:p>
    <w:p w14:paraId="262F1B2B" w14:textId="77777777" w:rsidR="00C920BF" w:rsidRPr="00F30FD1" w:rsidRDefault="00C920BF">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5"/>
        <w:gridCol w:w="845"/>
        <w:gridCol w:w="384"/>
        <w:gridCol w:w="1202"/>
        <w:gridCol w:w="433"/>
        <w:gridCol w:w="846"/>
        <w:gridCol w:w="622"/>
        <w:gridCol w:w="1664"/>
        <w:gridCol w:w="364"/>
        <w:gridCol w:w="2050"/>
      </w:tblGrid>
      <w:tr w:rsidR="00B43376" w:rsidRPr="00F30FD1" w14:paraId="7DC1A064"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70DF40A"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845"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D57D636"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B43376" w:rsidRPr="00F30FD1" w14:paraId="1E8FF801"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0833272D"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45"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D728CCA"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10. Impulsar programas de calidad total en la atención a usuarios internos y externos de los servicios tributarios.</w:t>
            </w:r>
          </w:p>
        </w:tc>
      </w:tr>
      <w:tr w:rsidR="00B43376" w:rsidRPr="00F30FD1" w14:paraId="196B32FF" w14:textId="77777777" w:rsidTr="00575DE8">
        <w:trPr>
          <w:trHeight w:val="20"/>
          <w:jc w:val="right"/>
        </w:trPr>
        <w:tc>
          <w:tcPr>
            <w:tcW w:w="196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429F0F1"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9" w:type="pct"/>
            <w:gridSpan w:val="6"/>
            <w:tcBorders>
              <w:top w:val="single" w:sz="4" w:space="0" w:color="auto"/>
              <w:left w:val="single" w:sz="4" w:space="0" w:color="auto"/>
              <w:bottom w:val="single" w:sz="4" w:space="0" w:color="auto"/>
              <w:right w:val="single" w:sz="4" w:space="0" w:color="auto"/>
            </w:tcBorders>
            <w:shd w:val="clear" w:color="auto" w:fill="A6A6A6"/>
          </w:tcPr>
          <w:p w14:paraId="280D1855"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B43376" w:rsidRPr="00F30FD1" w14:paraId="48CC01B5"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0902A5E"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5B627CB"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 xml:space="preserve">Asesorías a usuarios </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8219A2B"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245489"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Asesorías otorgadas</w:t>
            </w:r>
          </w:p>
        </w:tc>
      </w:tr>
      <w:tr w:rsidR="00B43376" w:rsidRPr="00F30FD1" w14:paraId="75E0A2E8"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6A52FF"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45"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AFEDD19"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Dar asesorías a los usuarios de los servicios de agua potable y alcantarillado respecto de  créditos fiscales emitidos por la Dirección de Recuperación de Adeudos y Ejecución Fiscal, así</w:t>
            </w:r>
          </w:p>
          <w:p w14:paraId="4E74E777"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 xml:space="preserve"> Como de las demandas en contra de actos emitidos por la Dirección General de Licencias de  Bebidas Alcohólicas derivadas de solicitudes no atendidas por dicha Dirección.</w:t>
            </w:r>
          </w:p>
        </w:tc>
      </w:tr>
      <w:tr w:rsidR="00B43376" w:rsidRPr="00F30FD1" w14:paraId="44129AEF"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5D6A6F3"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5"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6CF9E1B" w14:textId="77777777" w:rsidR="00B43376" w:rsidRPr="00F30FD1" w:rsidRDefault="00B43376" w:rsidP="00B43376">
            <w:pPr>
              <w:spacing w:after="0" w:line="240" w:lineRule="auto"/>
              <w:rPr>
                <w:rFonts w:eastAsia="Times New Roman" w:cs="Arial"/>
                <w:sz w:val="18"/>
                <w:szCs w:val="22"/>
                <w:lang w:val="es-MX"/>
              </w:rPr>
            </w:pPr>
            <w:proofErr w:type="spellStart"/>
            <w:r w:rsidRPr="00F30FD1">
              <w:rPr>
                <w:rFonts w:eastAsia="Times New Roman" w:cs="Arial"/>
                <w:sz w:val="18"/>
                <w:szCs w:val="22"/>
                <w:lang w:val="es-MX"/>
              </w:rPr>
              <w:t>Micrositio</w:t>
            </w:r>
            <w:proofErr w:type="spellEnd"/>
            <w:r w:rsidRPr="00F30FD1">
              <w:rPr>
                <w:rFonts w:eastAsia="Times New Roman" w:cs="Arial"/>
                <w:sz w:val="18"/>
                <w:szCs w:val="22"/>
                <w:lang w:val="es-MX"/>
              </w:rPr>
              <w:t xml:space="preserve"> de la </w:t>
            </w:r>
            <w:proofErr w:type="spellStart"/>
            <w:r w:rsidRPr="00F30FD1">
              <w:rPr>
                <w:rFonts w:eastAsia="Times New Roman" w:cs="Arial"/>
                <w:sz w:val="18"/>
                <w:szCs w:val="22"/>
                <w:lang w:val="es-MX"/>
              </w:rPr>
              <w:t>Procuraduria</w:t>
            </w:r>
            <w:proofErr w:type="spellEnd"/>
            <w:r w:rsidRPr="00F30FD1">
              <w:rPr>
                <w:rFonts w:eastAsia="Times New Roman" w:cs="Arial"/>
                <w:sz w:val="18"/>
                <w:szCs w:val="22"/>
                <w:lang w:val="es-MX"/>
              </w:rPr>
              <w:t xml:space="preserve"> Fiscal</w:t>
            </w:r>
          </w:p>
          <w:p w14:paraId="75F145E0"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http://sefiplan.qroo.gob.mx/pf/</w:t>
            </w:r>
          </w:p>
        </w:tc>
      </w:tr>
      <w:tr w:rsidR="00B43376" w:rsidRPr="00F30FD1" w14:paraId="547B56EE"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8CEA6B5"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ADE261A" w14:textId="6AD566F8" w:rsidR="00B43376" w:rsidRPr="00F30FD1" w:rsidRDefault="00527530" w:rsidP="00B43376">
            <w:pPr>
              <w:spacing w:after="0" w:line="240" w:lineRule="auto"/>
              <w:rPr>
                <w:rFonts w:eastAsia="Times New Roman" w:cs="Arial"/>
                <w:sz w:val="18"/>
                <w:szCs w:val="22"/>
                <w:lang w:val="es-MX"/>
              </w:rPr>
            </w:pPr>
            <w:r w:rsidRPr="00F30FD1">
              <w:rPr>
                <w:rFonts w:eastAsia="Times New Roman" w:cs="Arial"/>
                <w:sz w:val="18"/>
                <w:szCs w:val="22"/>
                <w:lang w:val="es-MX"/>
              </w:rPr>
              <w:t>20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7687DB3"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EAB1618" w14:textId="37D719EF" w:rsidR="00B43376" w:rsidRPr="00F30FD1" w:rsidRDefault="00527530" w:rsidP="00B43376">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B43376" w:rsidRPr="00F30FD1" w14:paraId="7E70010B"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AC2DBDA"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5"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079098B" w14:textId="37860236" w:rsidR="00B43376" w:rsidRPr="00F30FD1" w:rsidRDefault="00987559" w:rsidP="00B43376">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B43376" w:rsidRPr="00F30FD1" w14:paraId="37EA6142"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9E50440"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5"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1E0CB76" w14:textId="2CB8F43A" w:rsidR="00B43376" w:rsidRPr="00F30FD1" w:rsidRDefault="00987559" w:rsidP="00B43376">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tc>
      </w:tr>
      <w:tr w:rsidR="00B43376" w:rsidRPr="00F30FD1" w14:paraId="709BDF47"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5A1F054"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5"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08D87B5" w14:textId="22064B5B" w:rsidR="00B43376" w:rsidRPr="00F30FD1" w:rsidRDefault="00987559" w:rsidP="00B43376">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B43376" w:rsidRPr="00F30FD1" w14:paraId="6BA40D97" w14:textId="77777777" w:rsidTr="00575DE8">
        <w:trPr>
          <w:trHeight w:val="20"/>
          <w:jc w:val="right"/>
        </w:trPr>
        <w:tc>
          <w:tcPr>
            <w:tcW w:w="115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6D18D4C" w14:textId="77777777" w:rsidR="00B43376" w:rsidRPr="00F30FD1" w:rsidRDefault="00B43376" w:rsidP="00B43376">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5"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02662AB" w14:textId="23986CE9" w:rsidR="00B43376" w:rsidRPr="00F30FD1" w:rsidRDefault="00987559" w:rsidP="00B43376">
            <w:pPr>
              <w:spacing w:after="0" w:line="240" w:lineRule="auto"/>
              <w:rPr>
                <w:rFonts w:eastAsia="Times New Roman" w:cs="Arial"/>
                <w:sz w:val="18"/>
                <w:szCs w:val="22"/>
                <w:lang w:val="es-MX"/>
              </w:rPr>
            </w:pPr>
            <w:r w:rsidRPr="00F30FD1">
              <w:rPr>
                <w:rFonts w:eastAsia="Times New Roman" w:cs="Arial"/>
                <w:sz w:val="18"/>
                <w:szCs w:val="22"/>
                <w:lang w:val="es-MX"/>
              </w:rPr>
              <w:t xml:space="preserve">1.2.- Mejora de la Eficiencia </w:t>
            </w:r>
            <w:proofErr w:type="spellStart"/>
            <w:r w:rsidRPr="00F30FD1">
              <w:rPr>
                <w:rFonts w:eastAsia="Times New Roman" w:cs="Arial"/>
                <w:sz w:val="18"/>
                <w:szCs w:val="22"/>
                <w:lang w:val="es-MX"/>
              </w:rPr>
              <w:t>Recaudatoría</w:t>
            </w:r>
            <w:proofErr w:type="spellEnd"/>
          </w:p>
        </w:tc>
      </w:tr>
      <w:tr w:rsidR="00B43376" w:rsidRPr="00F30FD1" w14:paraId="118DAE65"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FAA4109"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B43376" w:rsidRPr="00F30FD1" w14:paraId="263CEC4F"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3680E0B"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9EF7C0F"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37730E8"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E9BE583"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DC09308"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FD5557A"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43376" w:rsidRPr="00F30FD1" w14:paraId="08BE113A"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A425504" w14:textId="74F6C0DB" w:rsidR="00B43376" w:rsidRPr="00F30FD1" w:rsidRDefault="009964FA" w:rsidP="00B43376">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DC4246A" w14:textId="39518E8A" w:rsidR="00B43376" w:rsidRPr="00F30FD1" w:rsidRDefault="009964FA" w:rsidP="00B43376">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8B5C58E"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068CAA0"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F32477F"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6EDB824" w14:textId="77777777" w:rsidR="00B43376" w:rsidRPr="00F30FD1" w:rsidRDefault="00B43376" w:rsidP="00B43376">
            <w:pPr>
              <w:spacing w:after="0" w:line="240" w:lineRule="auto"/>
              <w:jc w:val="center"/>
              <w:rPr>
                <w:rFonts w:eastAsia="Times New Roman" w:cs="Arial"/>
                <w:sz w:val="18"/>
                <w:szCs w:val="22"/>
                <w:lang w:val="es-MX"/>
              </w:rPr>
            </w:pPr>
            <w:r w:rsidRPr="00F30FD1">
              <w:rPr>
                <w:rFonts w:eastAsia="Times New Roman" w:cs="Arial"/>
                <w:sz w:val="18"/>
                <w:szCs w:val="22"/>
                <w:lang w:val="es-MX"/>
              </w:rPr>
              <w:t>20</w:t>
            </w:r>
          </w:p>
        </w:tc>
      </w:tr>
    </w:tbl>
    <w:p w14:paraId="4B1A25C3" w14:textId="77777777" w:rsidR="00E66F7B" w:rsidRPr="00F30FD1" w:rsidRDefault="00E66F7B" w:rsidP="00952E57">
      <w:pPr>
        <w:spacing w:after="0" w:line="240" w:lineRule="auto"/>
        <w:contextualSpacing/>
        <w:rPr>
          <w:rFonts w:eastAsia="Times New Roman" w:cs="Arial"/>
          <w:sz w:val="20"/>
          <w:szCs w:val="22"/>
          <w:lang w:val="es-MX"/>
        </w:rPr>
      </w:pPr>
    </w:p>
    <w:p w14:paraId="55AB464B" w14:textId="7831FA63" w:rsidR="00C920BF" w:rsidRPr="00F30FD1" w:rsidRDefault="00C920BF">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314"/>
        <w:gridCol w:w="633"/>
        <w:gridCol w:w="53"/>
        <w:gridCol w:w="260"/>
        <w:gridCol w:w="1330"/>
        <w:gridCol w:w="478"/>
        <w:gridCol w:w="1044"/>
        <w:gridCol w:w="761"/>
        <w:gridCol w:w="1806"/>
        <w:gridCol w:w="242"/>
        <w:gridCol w:w="1914"/>
      </w:tblGrid>
      <w:tr w:rsidR="00E66F7B" w:rsidRPr="00F30FD1" w14:paraId="5DCB970D" w14:textId="77777777" w:rsidTr="001D269B">
        <w:trPr>
          <w:trHeight w:val="20"/>
          <w:jc w:val="right"/>
        </w:trPr>
        <w:tc>
          <w:tcPr>
            <w:tcW w:w="99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CE1787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4010"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0D7B1C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179B8FD9" w14:textId="77777777" w:rsidTr="001D269B">
        <w:trPr>
          <w:trHeight w:val="20"/>
          <w:jc w:val="right"/>
        </w:trPr>
        <w:tc>
          <w:tcPr>
            <w:tcW w:w="99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666EA84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4010"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E3BCFB1" w14:textId="39AA9271" w:rsidR="00E66F7B" w:rsidRPr="00F30FD1" w:rsidRDefault="00E96D3B" w:rsidP="00E96D3B">
            <w:pPr>
              <w:spacing w:after="0" w:line="240" w:lineRule="auto"/>
              <w:rPr>
                <w:rFonts w:eastAsia="Times New Roman" w:cs="Arial"/>
                <w:sz w:val="18"/>
                <w:szCs w:val="22"/>
                <w:lang w:val="es-MX"/>
              </w:rPr>
            </w:pPr>
            <w:r w:rsidRPr="00F30FD1">
              <w:rPr>
                <w:rFonts w:eastAsia="Times New Roman" w:cs="Arial"/>
                <w:sz w:val="18"/>
                <w:szCs w:val="22"/>
                <w:lang w:val="es-MX"/>
              </w:rPr>
              <w:t>11. Desarrollar en coordinación con las dependencias, entidades y organismos, estrategias encaminadas a elevar los ingresos propios.</w:t>
            </w:r>
          </w:p>
        </w:tc>
      </w:tr>
      <w:tr w:rsidR="00E66F7B" w:rsidRPr="00F30FD1" w14:paraId="3CB97262" w14:textId="77777777" w:rsidTr="001D269B">
        <w:trPr>
          <w:trHeight w:val="20"/>
          <w:jc w:val="right"/>
        </w:trPr>
        <w:tc>
          <w:tcPr>
            <w:tcW w:w="1825"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5EA237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175" w:type="pct"/>
            <w:gridSpan w:val="6"/>
            <w:tcBorders>
              <w:top w:val="single" w:sz="4" w:space="0" w:color="auto"/>
              <w:left w:val="single" w:sz="4" w:space="0" w:color="auto"/>
              <w:bottom w:val="single" w:sz="4" w:space="0" w:color="auto"/>
              <w:right w:val="single" w:sz="4" w:space="0" w:color="auto"/>
            </w:tcBorders>
            <w:shd w:val="clear" w:color="auto" w:fill="A6A6A6"/>
          </w:tcPr>
          <w:p w14:paraId="425E74F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F72B3A" w:rsidRPr="00F30FD1" w14:paraId="5E952EF5" w14:textId="77777777" w:rsidTr="00575DE8">
        <w:trPr>
          <w:trHeight w:val="20"/>
          <w:jc w:val="right"/>
        </w:trPr>
        <w:tc>
          <w:tcPr>
            <w:tcW w:w="99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165E6DB" w14:textId="690B3D40"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608"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D561D73" w14:textId="51537BC2"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Tasa de variación de la recaudación de ingresos propios</w:t>
            </w:r>
          </w:p>
        </w:tc>
        <w:tc>
          <w:tcPr>
            <w:tcW w:w="1428"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BB49FF7" w14:textId="73C4A373"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97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B69A2BE" w14:textId="59BF5DEC"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Tasa</w:t>
            </w:r>
          </w:p>
        </w:tc>
      </w:tr>
      <w:tr w:rsidR="00F72B3A" w:rsidRPr="00F30FD1" w14:paraId="6CA38997" w14:textId="77777777" w:rsidTr="001D269B">
        <w:trPr>
          <w:trHeight w:val="20"/>
          <w:jc w:val="right"/>
        </w:trPr>
        <w:tc>
          <w:tcPr>
            <w:tcW w:w="99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C376857" w14:textId="4A09A76A"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4010"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4AA8456" w14:textId="6F685D4E"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Establecer Formularios y Hojas de Ayuda en línea para el entero de los ingresos propios</w:t>
            </w:r>
          </w:p>
        </w:tc>
      </w:tr>
      <w:tr w:rsidR="00F72B3A" w:rsidRPr="00F30FD1" w14:paraId="7DF0DE05" w14:textId="77777777" w:rsidTr="001D269B">
        <w:trPr>
          <w:trHeight w:val="20"/>
          <w:jc w:val="right"/>
        </w:trPr>
        <w:tc>
          <w:tcPr>
            <w:tcW w:w="101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8E26874" w14:textId="02A5F968"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8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0CE1B10" w14:textId="345DCD2B"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Sistema de Recaudación Hacendaria</w:t>
            </w:r>
          </w:p>
        </w:tc>
      </w:tr>
      <w:tr w:rsidR="00990385" w:rsidRPr="00F30FD1" w14:paraId="46277A5A" w14:textId="77777777" w:rsidTr="00575DE8">
        <w:trPr>
          <w:trHeight w:val="20"/>
          <w:jc w:val="right"/>
        </w:trPr>
        <w:tc>
          <w:tcPr>
            <w:tcW w:w="101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C826247" w14:textId="1EE00FF1" w:rsidR="00990385" w:rsidRPr="00F30FD1" w:rsidRDefault="00990385" w:rsidP="00F72B3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82"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100F16B" w14:textId="7A509568" w:rsidR="00990385" w:rsidRPr="00F30FD1" w:rsidRDefault="00990385" w:rsidP="00F72B3A">
            <w:pPr>
              <w:spacing w:after="0" w:line="240" w:lineRule="auto"/>
              <w:rPr>
                <w:rFonts w:eastAsia="Times New Roman" w:cs="Arial"/>
                <w:sz w:val="18"/>
                <w:szCs w:val="22"/>
                <w:lang w:val="es-MX"/>
              </w:rPr>
            </w:pPr>
            <w:r w:rsidRPr="00F30FD1">
              <w:rPr>
                <w:rFonts w:eastAsia="Calibri" w:cs="Calibri"/>
                <w:color w:val="595959"/>
                <w:sz w:val="20"/>
                <w:szCs w:val="20"/>
              </w:rPr>
              <w:t>185,479,318</w:t>
            </w:r>
          </w:p>
        </w:tc>
        <w:tc>
          <w:tcPr>
            <w:tcW w:w="1428"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C3A757B" w14:textId="7EBBC0BC" w:rsidR="00990385" w:rsidRPr="00F30FD1" w:rsidRDefault="00990385" w:rsidP="00F72B3A">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97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9B9C0D4" w14:textId="62B6ED36" w:rsidR="00990385" w:rsidRPr="00F30FD1" w:rsidRDefault="00990385" w:rsidP="00F72B3A">
            <w:pPr>
              <w:spacing w:after="0" w:line="240" w:lineRule="auto"/>
              <w:rPr>
                <w:rFonts w:eastAsia="Times New Roman" w:cs="Arial"/>
                <w:sz w:val="18"/>
                <w:szCs w:val="22"/>
                <w:lang w:val="es-MX"/>
              </w:rPr>
            </w:pPr>
            <w:r w:rsidRPr="00F30FD1">
              <w:rPr>
                <w:rFonts w:eastAsia="Calibri" w:cs="Calibri"/>
                <w:color w:val="595959"/>
                <w:sz w:val="20"/>
                <w:szCs w:val="20"/>
              </w:rPr>
              <w:t>2019</w:t>
            </w:r>
          </w:p>
        </w:tc>
      </w:tr>
      <w:tr w:rsidR="00990385" w:rsidRPr="00F30FD1" w14:paraId="23F5284B" w14:textId="77777777" w:rsidTr="001D269B">
        <w:trPr>
          <w:trHeight w:val="20"/>
          <w:jc w:val="right"/>
        </w:trPr>
        <w:tc>
          <w:tcPr>
            <w:tcW w:w="101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38DB9C4" w14:textId="22950CFE" w:rsidR="00990385" w:rsidRPr="00F30FD1" w:rsidRDefault="00990385" w:rsidP="00D20056">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8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F1C83B3" w14:textId="225724CB" w:rsidR="00990385" w:rsidRPr="00F30FD1" w:rsidRDefault="00990385" w:rsidP="00D20056">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990385" w:rsidRPr="00F30FD1" w14:paraId="4143B451" w14:textId="77777777" w:rsidTr="001D269B">
        <w:trPr>
          <w:trHeight w:val="20"/>
          <w:jc w:val="right"/>
        </w:trPr>
        <w:tc>
          <w:tcPr>
            <w:tcW w:w="101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F179CEA" w14:textId="5425F020" w:rsidR="00990385" w:rsidRPr="00F30FD1" w:rsidRDefault="00990385" w:rsidP="00F72B3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8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7EB846B" w14:textId="4E79EDD1" w:rsidR="00990385" w:rsidRPr="00F30FD1" w:rsidRDefault="00990385" w:rsidP="00F72B3A">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tc>
      </w:tr>
      <w:tr w:rsidR="00990385" w:rsidRPr="00F30FD1" w14:paraId="326CD016" w14:textId="77777777" w:rsidTr="001D269B">
        <w:trPr>
          <w:trHeight w:val="20"/>
          <w:jc w:val="right"/>
        </w:trPr>
        <w:tc>
          <w:tcPr>
            <w:tcW w:w="101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D697126" w14:textId="7C4370C5" w:rsidR="00990385" w:rsidRPr="00F30FD1" w:rsidRDefault="00990385" w:rsidP="00F72B3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8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126A3F6" w14:textId="424A30D3" w:rsidR="00990385" w:rsidRPr="00F30FD1" w:rsidRDefault="00990385" w:rsidP="00F72B3A">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990385" w:rsidRPr="00F30FD1" w14:paraId="10405920" w14:textId="77777777" w:rsidTr="001D269B">
        <w:trPr>
          <w:trHeight w:val="20"/>
          <w:jc w:val="right"/>
        </w:trPr>
        <w:tc>
          <w:tcPr>
            <w:tcW w:w="101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377ACEB" w14:textId="34A1C8A3" w:rsidR="00990385" w:rsidRPr="00F30FD1" w:rsidRDefault="00990385" w:rsidP="00F72B3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8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D9AECF5" w14:textId="77777777" w:rsidR="00990385" w:rsidRPr="00F30FD1" w:rsidRDefault="00990385" w:rsidP="00F72B3A">
            <w:pPr>
              <w:pStyle w:val="Prrafodelista"/>
              <w:numPr>
                <w:ilvl w:val="1"/>
                <w:numId w:val="14"/>
              </w:numPr>
              <w:spacing w:after="0" w:line="240" w:lineRule="auto"/>
              <w:rPr>
                <w:rFonts w:eastAsia="Times New Roman" w:cs="Arial"/>
                <w:sz w:val="18"/>
                <w:szCs w:val="22"/>
                <w:lang w:val="es-MX"/>
              </w:rPr>
            </w:pPr>
            <w:r w:rsidRPr="00F30FD1">
              <w:rPr>
                <w:rFonts w:eastAsia="Times New Roman" w:cs="Arial"/>
                <w:sz w:val="18"/>
                <w:szCs w:val="22"/>
                <w:lang w:val="es-MX"/>
              </w:rPr>
              <w:t>Derechos</w:t>
            </w:r>
          </w:p>
          <w:p w14:paraId="7B814160" w14:textId="77777777" w:rsidR="00990385" w:rsidRPr="00F30FD1" w:rsidRDefault="00990385" w:rsidP="00F72B3A">
            <w:pPr>
              <w:pStyle w:val="Prrafodelista"/>
              <w:numPr>
                <w:ilvl w:val="1"/>
                <w:numId w:val="14"/>
              </w:numPr>
              <w:spacing w:after="0" w:line="240" w:lineRule="auto"/>
              <w:rPr>
                <w:rFonts w:eastAsia="Times New Roman" w:cs="Arial"/>
                <w:sz w:val="18"/>
                <w:szCs w:val="22"/>
                <w:lang w:val="es-MX"/>
              </w:rPr>
            </w:pPr>
            <w:r w:rsidRPr="00F30FD1">
              <w:rPr>
                <w:rFonts w:eastAsia="Times New Roman" w:cs="Arial"/>
                <w:sz w:val="18"/>
                <w:szCs w:val="22"/>
                <w:lang w:val="es-MX"/>
              </w:rPr>
              <w:t>Productos</w:t>
            </w:r>
          </w:p>
          <w:p w14:paraId="28B5FFEE" w14:textId="77777777" w:rsidR="00990385" w:rsidRPr="00F30FD1" w:rsidRDefault="00990385" w:rsidP="00F72B3A">
            <w:pPr>
              <w:pStyle w:val="Prrafodelista"/>
              <w:numPr>
                <w:ilvl w:val="1"/>
                <w:numId w:val="14"/>
              </w:numPr>
              <w:spacing w:after="0" w:line="240" w:lineRule="auto"/>
              <w:rPr>
                <w:rFonts w:eastAsia="Times New Roman" w:cs="Arial"/>
                <w:sz w:val="18"/>
                <w:szCs w:val="22"/>
                <w:lang w:val="es-MX"/>
              </w:rPr>
            </w:pPr>
            <w:r w:rsidRPr="00F30FD1">
              <w:rPr>
                <w:rFonts w:eastAsia="Times New Roman" w:cs="Arial"/>
                <w:sz w:val="18"/>
                <w:szCs w:val="22"/>
                <w:lang w:val="es-MX"/>
              </w:rPr>
              <w:t xml:space="preserve">Impuestos </w:t>
            </w:r>
          </w:p>
          <w:p w14:paraId="71316D70" w14:textId="69281145" w:rsidR="00990385" w:rsidRPr="00F30FD1" w:rsidRDefault="00990385" w:rsidP="00F72B3A">
            <w:pPr>
              <w:spacing w:after="0" w:line="240" w:lineRule="auto"/>
              <w:rPr>
                <w:rFonts w:eastAsia="Times New Roman" w:cs="Arial"/>
                <w:sz w:val="18"/>
                <w:szCs w:val="22"/>
                <w:lang w:val="es-MX"/>
              </w:rPr>
            </w:pPr>
            <w:r w:rsidRPr="00F30FD1">
              <w:rPr>
                <w:rFonts w:eastAsia="Times New Roman" w:cs="Arial"/>
                <w:sz w:val="18"/>
                <w:szCs w:val="22"/>
                <w:lang w:val="es-MX"/>
              </w:rPr>
              <w:t>Aprovechamientos</w:t>
            </w:r>
          </w:p>
        </w:tc>
      </w:tr>
      <w:tr w:rsidR="00990385" w:rsidRPr="00F30FD1" w14:paraId="379457AF"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FA7E8A2" w14:textId="39F4A57A" w:rsidR="00990385" w:rsidRPr="00F30FD1" w:rsidRDefault="00990385"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990385" w:rsidRPr="00F30FD1" w14:paraId="58050D61" w14:textId="77777777" w:rsidTr="001D269B">
        <w:trPr>
          <w:trHeight w:val="20"/>
          <w:jc w:val="right"/>
        </w:trPr>
        <w:tc>
          <w:tcPr>
            <w:tcW w:w="668"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0F49D54" w14:textId="4D550913" w:rsidR="00990385" w:rsidRPr="00F30FD1" w:rsidRDefault="00990385"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48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34487AA" w14:textId="7DDCA139" w:rsidR="00990385" w:rsidRPr="00F30FD1" w:rsidRDefault="00990385"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91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7157108" w14:textId="76D5DB90" w:rsidR="00990385" w:rsidRPr="00F30FD1" w:rsidRDefault="00990385"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91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C9E0570" w14:textId="2DD5F590" w:rsidR="00990385" w:rsidRPr="00F30FD1" w:rsidRDefault="00990385"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543891B" w14:textId="23D616B1" w:rsidR="00990385" w:rsidRPr="00F30FD1" w:rsidRDefault="00BA6964" w:rsidP="00F72B3A">
            <w:pPr>
              <w:spacing w:after="0" w:line="240" w:lineRule="auto"/>
              <w:jc w:val="center"/>
              <w:rPr>
                <w:rFonts w:eastAsia="Times New Roman" w:cs="Arial"/>
                <w:sz w:val="18"/>
                <w:szCs w:val="22"/>
                <w:lang w:val="es-MX"/>
              </w:rPr>
            </w:pPr>
            <w:r>
              <w:rPr>
                <w:rFonts w:eastAsia="Times New Roman" w:cs="Arial"/>
                <w:sz w:val="18"/>
                <w:szCs w:val="22"/>
                <w:lang w:val="es-MX"/>
              </w:rPr>
              <w:t>2021</w:t>
            </w:r>
          </w:p>
        </w:tc>
        <w:tc>
          <w:tcPr>
            <w:tcW w:w="109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AEFAE77" w14:textId="6869059D" w:rsidR="00990385" w:rsidRPr="00F30FD1" w:rsidRDefault="00BA6964" w:rsidP="00F72B3A">
            <w:pPr>
              <w:spacing w:after="0" w:line="240" w:lineRule="auto"/>
              <w:jc w:val="center"/>
              <w:rPr>
                <w:rFonts w:eastAsia="Times New Roman" w:cs="Arial"/>
                <w:sz w:val="18"/>
                <w:szCs w:val="22"/>
                <w:lang w:val="es-MX"/>
              </w:rPr>
            </w:pPr>
            <w:r>
              <w:rPr>
                <w:rFonts w:eastAsia="Times New Roman" w:cs="Arial"/>
                <w:sz w:val="18"/>
                <w:szCs w:val="22"/>
                <w:lang w:val="es-MX"/>
              </w:rPr>
              <w:t>2022</w:t>
            </w:r>
          </w:p>
        </w:tc>
      </w:tr>
      <w:tr w:rsidR="00990385" w:rsidRPr="00F30FD1" w14:paraId="4E10B429" w14:textId="77777777" w:rsidTr="001D269B">
        <w:trPr>
          <w:trHeight w:val="20"/>
          <w:jc w:val="right"/>
        </w:trPr>
        <w:tc>
          <w:tcPr>
            <w:tcW w:w="668"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0FA7F9A" w14:textId="08D61D14" w:rsidR="00990385" w:rsidRPr="00F30FD1" w:rsidRDefault="009964FA" w:rsidP="00D20056">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48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4FDDFEE" w14:textId="19262CAF" w:rsidR="00990385" w:rsidRPr="00F30FD1" w:rsidRDefault="009964FA" w:rsidP="00D20056">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91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A849503" w14:textId="32048737" w:rsidR="00990385" w:rsidRPr="00F30FD1" w:rsidRDefault="00990385" w:rsidP="00D20056">
            <w:pPr>
              <w:spacing w:after="0" w:line="240" w:lineRule="auto"/>
              <w:jc w:val="center"/>
              <w:rPr>
                <w:rFonts w:eastAsia="Times New Roman" w:cs="Arial"/>
                <w:sz w:val="18"/>
                <w:szCs w:val="22"/>
                <w:lang w:val="es-MX"/>
              </w:rPr>
            </w:pPr>
            <w:r w:rsidRPr="00F30FD1">
              <w:rPr>
                <w:rFonts w:eastAsia="Calibri" w:cs="Calibri"/>
                <w:color w:val="595959"/>
                <w:sz w:val="20"/>
                <w:szCs w:val="20"/>
              </w:rPr>
              <w:t>185,479,318</w:t>
            </w:r>
          </w:p>
        </w:tc>
        <w:tc>
          <w:tcPr>
            <w:tcW w:w="91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B556EFA" w14:textId="6739BDD3" w:rsidR="00990385" w:rsidRPr="00F30FD1" w:rsidRDefault="00990385" w:rsidP="00D20056">
            <w:pPr>
              <w:spacing w:after="0" w:line="240" w:lineRule="auto"/>
              <w:jc w:val="center"/>
              <w:rPr>
                <w:rFonts w:eastAsia="Times New Roman" w:cs="Arial"/>
                <w:sz w:val="18"/>
                <w:szCs w:val="22"/>
                <w:lang w:val="es-MX"/>
              </w:rPr>
            </w:pPr>
            <w:r w:rsidRPr="00F30FD1">
              <w:rPr>
                <w:rFonts w:eastAsia="Calibri" w:cs="Calibri"/>
                <w:color w:val="595959"/>
                <w:sz w:val="20"/>
                <w:szCs w:val="20"/>
              </w:rPr>
              <w:t>196,608,076</w:t>
            </w:r>
          </w:p>
        </w:tc>
        <w:tc>
          <w:tcPr>
            <w:tcW w:w="918"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78F5352" w14:textId="2D3433C6" w:rsidR="00990385" w:rsidRPr="00F30FD1" w:rsidRDefault="00990385" w:rsidP="00D20056">
            <w:pPr>
              <w:spacing w:after="0" w:line="240" w:lineRule="auto"/>
              <w:jc w:val="center"/>
              <w:rPr>
                <w:rFonts w:eastAsia="Times New Roman" w:cs="Arial"/>
                <w:sz w:val="18"/>
                <w:szCs w:val="22"/>
                <w:lang w:val="es-MX"/>
              </w:rPr>
            </w:pPr>
            <w:r w:rsidRPr="00F30FD1">
              <w:rPr>
                <w:rFonts w:eastAsia="Calibri" w:cs="Calibri"/>
                <w:color w:val="595959"/>
                <w:sz w:val="20"/>
                <w:szCs w:val="20"/>
              </w:rPr>
              <w:t>208,404,561</w:t>
            </w:r>
          </w:p>
        </w:tc>
        <w:tc>
          <w:tcPr>
            <w:tcW w:w="109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07C5D36" w14:textId="46B310E4" w:rsidR="00990385" w:rsidRPr="00F30FD1" w:rsidRDefault="00990385" w:rsidP="00D20056">
            <w:pPr>
              <w:spacing w:after="0" w:line="240" w:lineRule="auto"/>
              <w:jc w:val="center"/>
              <w:rPr>
                <w:rFonts w:eastAsia="Times New Roman" w:cs="Arial"/>
                <w:sz w:val="18"/>
                <w:szCs w:val="22"/>
                <w:lang w:val="es-MX"/>
              </w:rPr>
            </w:pPr>
            <w:r w:rsidRPr="00F30FD1">
              <w:rPr>
                <w:rFonts w:eastAsia="Calibri" w:cs="Calibri"/>
                <w:color w:val="595959"/>
                <w:sz w:val="20"/>
                <w:szCs w:val="20"/>
              </w:rPr>
              <w:t>220,908,836</w:t>
            </w:r>
          </w:p>
        </w:tc>
      </w:tr>
    </w:tbl>
    <w:p w14:paraId="4527943D" w14:textId="6EB9511A" w:rsidR="00C920BF" w:rsidRPr="00F30FD1" w:rsidRDefault="00C920BF" w:rsidP="00952E57">
      <w:pPr>
        <w:spacing w:after="0" w:line="240" w:lineRule="auto"/>
        <w:contextualSpacing/>
        <w:rPr>
          <w:rFonts w:eastAsia="Times New Roman" w:cs="Arial"/>
          <w:sz w:val="20"/>
          <w:szCs w:val="22"/>
          <w:lang w:val="es-MX"/>
        </w:rPr>
      </w:pPr>
    </w:p>
    <w:p w14:paraId="5669404A" w14:textId="77777777" w:rsidR="00C920BF" w:rsidRPr="00F30FD1" w:rsidRDefault="00C920BF">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277FD91F"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106"/>
        <w:gridCol w:w="382"/>
        <w:gridCol w:w="1204"/>
        <w:gridCol w:w="431"/>
        <w:gridCol w:w="848"/>
        <w:gridCol w:w="620"/>
        <w:gridCol w:w="1664"/>
        <w:gridCol w:w="366"/>
        <w:gridCol w:w="2048"/>
      </w:tblGrid>
      <w:tr w:rsidR="00F72B3A" w:rsidRPr="00F30FD1" w14:paraId="63B8BBEE"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4DF2FB5" w14:textId="467042CA"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1361B0F" w14:textId="4BD8C128"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F72B3A" w:rsidRPr="00F30FD1" w14:paraId="0AC81D03"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410E7D1E" w14:textId="503A08FA"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3E2B1B3" w14:textId="40CE4830"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12. Integrar un registro documental de información, con requisitos básicos para el cumplimiento del pago de impuestos por parte de los ciudadanos.</w:t>
            </w:r>
          </w:p>
        </w:tc>
      </w:tr>
      <w:tr w:rsidR="00F72B3A" w:rsidRPr="00F30FD1" w14:paraId="2C137C09" w14:textId="77777777" w:rsidTr="001D269B">
        <w:trPr>
          <w:trHeight w:val="20"/>
          <w:jc w:val="right"/>
        </w:trPr>
        <w:tc>
          <w:tcPr>
            <w:tcW w:w="1962"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A0DAEAB" w14:textId="516D6D76"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39F2A0E6" w14:textId="0BDB0B83"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F72B3A" w:rsidRPr="00F30FD1" w14:paraId="56735482"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28A2F01" w14:textId="7D6FE2E1"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A39E2A7" w14:textId="01F9C048"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 xml:space="preserve">Porcentaje de Actualización en el </w:t>
            </w:r>
            <w:proofErr w:type="spellStart"/>
            <w:r w:rsidRPr="00F30FD1">
              <w:rPr>
                <w:rFonts w:eastAsia="Calibri" w:cs="Calibri"/>
                <w:color w:val="595959"/>
                <w:sz w:val="20"/>
                <w:szCs w:val="20"/>
              </w:rPr>
              <w:t>RETyS</w:t>
            </w:r>
            <w:proofErr w:type="spellEnd"/>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9B8D75E" w14:textId="5B936EE7" w:rsidR="00F72B3A" w:rsidRPr="00F30FD1" w:rsidRDefault="00BE4D29" w:rsidP="00F72B3A">
            <w:pPr>
              <w:spacing w:after="0" w:line="240" w:lineRule="auto"/>
              <w:rPr>
                <w:rFonts w:eastAsia="Times New Roman" w:cs="Arial"/>
                <w:sz w:val="18"/>
                <w:szCs w:val="22"/>
                <w:lang w:val="es-MX"/>
              </w:rPr>
            </w:pPr>
            <w:r w:rsidRPr="00F30FD1">
              <w:rPr>
                <w:rFonts w:eastAsia="Times New Roman" w:cs="Arial"/>
                <w:sz w:val="18"/>
                <w:szCs w:val="22"/>
                <w:lang w:val="es-MX"/>
              </w:rPr>
              <w:t>Unidad de Medida</w:t>
            </w:r>
            <w:r w:rsidR="00F72B3A" w:rsidRPr="00F30FD1">
              <w:rPr>
                <w:rFonts w:eastAsia="Times New Roman" w:cs="Arial"/>
                <w:sz w:val="18"/>
                <w:szCs w:val="22"/>
                <w:lang w:val="es-MX"/>
              </w:rPr>
              <w:t>:</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32B128B" w14:textId="4721CF36" w:rsidR="00F72B3A" w:rsidRPr="00F30FD1" w:rsidRDefault="00DB29FF" w:rsidP="00DB29FF">
            <w:pPr>
              <w:spacing w:after="0" w:line="240" w:lineRule="auto"/>
              <w:rPr>
                <w:rFonts w:eastAsia="Times New Roman" w:cs="Arial"/>
                <w:sz w:val="18"/>
                <w:szCs w:val="22"/>
                <w:lang w:val="es-MX"/>
              </w:rPr>
            </w:pPr>
            <w:r w:rsidRPr="00F30FD1">
              <w:rPr>
                <w:rFonts w:eastAsia="Calibri" w:cs="Calibri"/>
                <w:color w:val="595959"/>
                <w:sz w:val="20"/>
                <w:szCs w:val="20"/>
              </w:rPr>
              <w:t>Porcentaje</w:t>
            </w:r>
          </w:p>
        </w:tc>
      </w:tr>
      <w:tr w:rsidR="00F72B3A" w:rsidRPr="00F30FD1" w14:paraId="47AEBB69"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17DDC5D" w14:textId="1E330B9E"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47BAD28" w14:textId="27515E9A"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Stock de Registro Estatal de Trámites y Servicios (</w:t>
            </w:r>
            <w:proofErr w:type="spellStart"/>
            <w:r w:rsidRPr="00F30FD1">
              <w:rPr>
                <w:rFonts w:eastAsia="Calibri" w:cs="Calibri"/>
                <w:color w:val="595959"/>
                <w:sz w:val="20"/>
                <w:szCs w:val="20"/>
              </w:rPr>
              <w:t>RETyS</w:t>
            </w:r>
            <w:proofErr w:type="spellEnd"/>
            <w:r w:rsidRPr="00F30FD1">
              <w:rPr>
                <w:rFonts w:eastAsia="Calibri" w:cs="Calibri"/>
                <w:color w:val="595959"/>
                <w:sz w:val="20"/>
                <w:szCs w:val="20"/>
              </w:rPr>
              <w:t>)</w:t>
            </w:r>
          </w:p>
        </w:tc>
      </w:tr>
      <w:tr w:rsidR="00F72B3A" w:rsidRPr="00F30FD1" w14:paraId="04AE4F85"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55889EF" w14:textId="5DF42B9B"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0B040B0" w14:textId="7B39C786"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Portal electrónico</w:t>
            </w:r>
          </w:p>
        </w:tc>
      </w:tr>
      <w:tr w:rsidR="00F72B3A" w:rsidRPr="00F30FD1" w14:paraId="59898620"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E2D61E8" w14:textId="418FC61F"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E11D64A" w14:textId="1EB720B7"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100</w:t>
            </w:r>
            <w:r w:rsidR="00990385" w:rsidRPr="00F30FD1">
              <w:rPr>
                <w:rFonts w:eastAsia="Calibri" w:cs="Calibri"/>
                <w:color w:val="595959"/>
                <w:sz w:val="20"/>
                <w:szCs w:val="20"/>
              </w:rPr>
              <w:t>%</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D569E47" w14:textId="5685526C" w:rsidR="00F72B3A" w:rsidRPr="00F30FD1" w:rsidRDefault="00B946C8" w:rsidP="00F72B3A">
            <w:pPr>
              <w:spacing w:after="0" w:line="240" w:lineRule="auto"/>
              <w:rPr>
                <w:rFonts w:eastAsia="Times New Roman" w:cs="Arial"/>
                <w:sz w:val="18"/>
                <w:szCs w:val="22"/>
                <w:lang w:val="es-MX"/>
              </w:rPr>
            </w:pPr>
            <w:r w:rsidRPr="00F30FD1">
              <w:rPr>
                <w:rFonts w:eastAsia="Times New Roman" w:cs="Arial"/>
                <w:sz w:val="18"/>
                <w:szCs w:val="22"/>
                <w:lang w:val="es-MX"/>
              </w:rPr>
              <w:t xml:space="preserve">Año de </w:t>
            </w:r>
            <w:r w:rsidR="00F72B3A" w:rsidRPr="00F30FD1">
              <w:rPr>
                <w:rFonts w:eastAsia="Times New Roman" w:cs="Arial"/>
                <w:sz w:val="18"/>
                <w:szCs w:val="22"/>
                <w:lang w:val="es-MX"/>
              </w:rPr>
              <w:t>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F02CD43" w14:textId="1DF7C97B" w:rsidR="00F72B3A" w:rsidRPr="00F30FD1" w:rsidRDefault="00990385" w:rsidP="00F72B3A">
            <w:pPr>
              <w:spacing w:after="0" w:line="240" w:lineRule="auto"/>
              <w:rPr>
                <w:rFonts w:eastAsia="Times New Roman" w:cs="Arial"/>
                <w:sz w:val="18"/>
                <w:szCs w:val="22"/>
                <w:lang w:val="es-MX"/>
              </w:rPr>
            </w:pPr>
            <w:r w:rsidRPr="00F30FD1">
              <w:rPr>
                <w:rFonts w:eastAsia="Calibri" w:cs="Calibri"/>
                <w:color w:val="595959"/>
                <w:sz w:val="20"/>
                <w:szCs w:val="20"/>
              </w:rPr>
              <w:t>2019</w:t>
            </w:r>
          </w:p>
        </w:tc>
      </w:tr>
      <w:tr w:rsidR="00F72B3A" w:rsidRPr="00F30FD1" w14:paraId="5D1E6941"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EB68BF" w14:textId="1CB0D809"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11E292C" w14:textId="475C8FE9"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72B3A" w:rsidRPr="00F30FD1" w14:paraId="7AD7D7AC"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2B8CE82" w14:textId="1FF66B8D"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6D740A5" w14:textId="4B88B98B"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tc>
      </w:tr>
      <w:tr w:rsidR="00F72B3A" w:rsidRPr="00F30FD1" w14:paraId="7330E90C"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79EA9A" w14:textId="3BD60EE4"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129FF38" w14:textId="1E0605EA"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F72B3A" w:rsidRPr="00F30FD1" w14:paraId="6E1B1EAD"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6696C2B" w14:textId="54B4286C"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7F90C7" w14:textId="77777777" w:rsidR="00F72B3A" w:rsidRPr="00F30FD1" w:rsidRDefault="00F72B3A" w:rsidP="00F72B3A">
            <w:pPr>
              <w:pStyle w:val="Prrafodelista"/>
              <w:numPr>
                <w:ilvl w:val="1"/>
                <w:numId w:val="15"/>
              </w:numPr>
              <w:spacing w:after="0" w:line="240" w:lineRule="auto"/>
              <w:rPr>
                <w:rFonts w:eastAsia="Times New Roman" w:cs="Arial"/>
                <w:sz w:val="18"/>
                <w:szCs w:val="22"/>
                <w:lang w:val="es-MX"/>
              </w:rPr>
            </w:pPr>
            <w:r w:rsidRPr="00F30FD1">
              <w:rPr>
                <w:rFonts w:eastAsia="Times New Roman" w:cs="Arial"/>
                <w:sz w:val="18"/>
                <w:szCs w:val="22"/>
                <w:lang w:val="es-MX"/>
              </w:rPr>
              <w:t>Derechos</w:t>
            </w:r>
          </w:p>
          <w:p w14:paraId="1EE1D818" w14:textId="77777777" w:rsidR="00F72B3A" w:rsidRPr="00F30FD1" w:rsidRDefault="00F72B3A" w:rsidP="00F72B3A">
            <w:pPr>
              <w:pStyle w:val="Prrafodelista"/>
              <w:numPr>
                <w:ilvl w:val="1"/>
                <w:numId w:val="15"/>
              </w:numPr>
              <w:spacing w:after="0" w:line="240" w:lineRule="auto"/>
              <w:rPr>
                <w:rFonts w:eastAsia="Times New Roman" w:cs="Arial"/>
                <w:sz w:val="18"/>
                <w:szCs w:val="22"/>
                <w:lang w:val="es-MX"/>
              </w:rPr>
            </w:pPr>
            <w:r w:rsidRPr="00F30FD1">
              <w:rPr>
                <w:rFonts w:eastAsia="Times New Roman" w:cs="Arial"/>
                <w:sz w:val="18"/>
                <w:szCs w:val="22"/>
                <w:lang w:val="es-MX"/>
              </w:rPr>
              <w:t>Productos</w:t>
            </w:r>
          </w:p>
          <w:p w14:paraId="592BD43A" w14:textId="77777777" w:rsidR="00F72B3A" w:rsidRPr="00F30FD1" w:rsidRDefault="00F72B3A" w:rsidP="00F72B3A">
            <w:pPr>
              <w:pStyle w:val="Prrafodelista"/>
              <w:numPr>
                <w:ilvl w:val="1"/>
                <w:numId w:val="15"/>
              </w:numPr>
              <w:spacing w:after="0" w:line="240" w:lineRule="auto"/>
              <w:rPr>
                <w:rFonts w:eastAsia="Times New Roman" w:cs="Arial"/>
                <w:sz w:val="18"/>
                <w:szCs w:val="22"/>
                <w:lang w:val="es-MX"/>
              </w:rPr>
            </w:pPr>
            <w:r w:rsidRPr="00F30FD1">
              <w:rPr>
                <w:rFonts w:eastAsia="Times New Roman" w:cs="Arial"/>
                <w:sz w:val="18"/>
                <w:szCs w:val="22"/>
                <w:lang w:val="es-MX"/>
              </w:rPr>
              <w:t xml:space="preserve">Impuestos </w:t>
            </w:r>
          </w:p>
          <w:p w14:paraId="05677C60" w14:textId="0179A82A"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 xml:space="preserve">       1.4.Aprovechamientos</w:t>
            </w:r>
          </w:p>
        </w:tc>
      </w:tr>
      <w:tr w:rsidR="00F72B3A" w:rsidRPr="00F30FD1" w14:paraId="192AB2F9"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174CEB5" w14:textId="14502BF9"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F72B3A" w:rsidRPr="00F30FD1" w14:paraId="62579DF7"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620BD4C" w14:textId="159120FA"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10AC0FD" w14:textId="613C817F"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49A5C1D" w14:textId="76A8AEEF"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0CC92D7" w14:textId="3E6EB809"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329F9F7" w14:textId="12368984"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C674F3D" w14:textId="0FC0A686"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F72B3A" w:rsidRPr="00F30FD1" w14:paraId="05812558"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181D41D" w14:textId="4147DD8E" w:rsidR="00F72B3A" w:rsidRPr="00F30FD1" w:rsidRDefault="009964FA" w:rsidP="00F72B3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CB34AD4" w14:textId="7D0B6DA5" w:rsidR="00F72B3A" w:rsidRPr="00F30FD1" w:rsidRDefault="009964FA" w:rsidP="00F72B3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54A8F3E" w14:textId="2EA4614C" w:rsidR="00F72B3A" w:rsidRPr="00F30FD1" w:rsidRDefault="00F72B3A" w:rsidP="00F72B3A">
            <w:pPr>
              <w:spacing w:after="0" w:line="240" w:lineRule="auto"/>
              <w:jc w:val="center"/>
              <w:rPr>
                <w:rFonts w:eastAsia="Times New Roman" w:cs="Arial"/>
                <w:sz w:val="18"/>
                <w:szCs w:val="22"/>
                <w:lang w:val="es-MX"/>
              </w:rPr>
            </w:pPr>
            <w:r w:rsidRPr="00F30FD1">
              <w:rPr>
                <w:rFonts w:eastAsia="Calibri" w:cs="Calibri"/>
                <w:color w:val="595959"/>
                <w:sz w:val="20"/>
                <w:szCs w:val="20"/>
              </w:rPr>
              <w:t>100</w:t>
            </w:r>
            <w:r w:rsidR="004C299F" w:rsidRPr="00F30FD1">
              <w:rPr>
                <w:rFonts w:eastAsia="Calibri" w:cs="Calibri"/>
                <w:color w:val="595959"/>
                <w:sz w:val="20"/>
                <w:szCs w:val="20"/>
              </w:rPr>
              <w:t>%</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8660A66" w14:textId="48A5F560" w:rsidR="00F72B3A" w:rsidRPr="00F30FD1" w:rsidRDefault="00F72B3A" w:rsidP="00F72B3A">
            <w:pPr>
              <w:spacing w:after="0" w:line="240" w:lineRule="auto"/>
              <w:jc w:val="center"/>
              <w:rPr>
                <w:rFonts w:eastAsia="Times New Roman" w:cs="Arial"/>
                <w:sz w:val="18"/>
                <w:szCs w:val="22"/>
                <w:lang w:val="es-MX"/>
              </w:rPr>
            </w:pPr>
            <w:r w:rsidRPr="00F30FD1">
              <w:rPr>
                <w:rFonts w:eastAsia="Calibri" w:cs="Calibri"/>
                <w:color w:val="595959"/>
                <w:sz w:val="20"/>
                <w:szCs w:val="20"/>
              </w:rPr>
              <w:t>100</w:t>
            </w:r>
            <w:r w:rsidR="004C299F" w:rsidRPr="00F30FD1">
              <w:rPr>
                <w:rFonts w:eastAsia="Calibri" w:cs="Calibri"/>
                <w:color w:val="595959"/>
                <w:sz w:val="20"/>
                <w:szCs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DA9D2D5" w14:textId="2680E272" w:rsidR="00F72B3A" w:rsidRPr="00F30FD1" w:rsidRDefault="00F72B3A" w:rsidP="00F72B3A">
            <w:pPr>
              <w:spacing w:after="0" w:line="240" w:lineRule="auto"/>
              <w:jc w:val="center"/>
              <w:rPr>
                <w:rFonts w:eastAsia="Times New Roman" w:cs="Arial"/>
                <w:sz w:val="18"/>
                <w:szCs w:val="22"/>
                <w:lang w:val="es-MX"/>
              </w:rPr>
            </w:pPr>
            <w:r w:rsidRPr="00F30FD1">
              <w:rPr>
                <w:rFonts w:eastAsia="Calibri" w:cs="Calibri"/>
                <w:color w:val="595959"/>
                <w:sz w:val="20"/>
                <w:szCs w:val="20"/>
              </w:rPr>
              <w:t>100</w:t>
            </w:r>
            <w:r w:rsidR="004C299F" w:rsidRPr="00F30FD1">
              <w:rPr>
                <w:rFonts w:eastAsia="Calibri" w:cs="Calibri"/>
                <w:color w:val="595959"/>
                <w:sz w:val="20"/>
                <w:szCs w:val="20"/>
              </w:rPr>
              <w:t>%</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709FECE" w14:textId="29B14353" w:rsidR="00F72B3A" w:rsidRPr="00F30FD1" w:rsidRDefault="00F72B3A" w:rsidP="00F72B3A">
            <w:pPr>
              <w:spacing w:after="0" w:line="240" w:lineRule="auto"/>
              <w:jc w:val="center"/>
              <w:rPr>
                <w:rFonts w:eastAsia="Times New Roman" w:cs="Arial"/>
                <w:sz w:val="18"/>
                <w:szCs w:val="22"/>
                <w:lang w:val="es-MX"/>
              </w:rPr>
            </w:pPr>
            <w:r w:rsidRPr="00F30FD1">
              <w:rPr>
                <w:rFonts w:eastAsia="Calibri" w:cs="Calibri"/>
                <w:color w:val="595959"/>
                <w:sz w:val="20"/>
                <w:szCs w:val="20"/>
              </w:rPr>
              <w:t>100</w:t>
            </w:r>
            <w:r w:rsidR="004C299F" w:rsidRPr="00F30FD1">
              <w:rPr>
                <w:rFonts w:eastAsia="Calibri" w:cs="Calibri"/>
                <w:color w:val="595959"/>
                <w:sz w:val="20"/>
                <w:szCs w:val="20"/>
              </w:rPr>
              <w:t>%</w:t>
            </w:r>
          </w:p>
        </w:tc>
      </w:tr>
    </w:tbl>
    <w:p w14:paraId="1A6EBF4E" w14:textId="02669A4B" w:rsidR="00575DE8" w:rsidRPr="00F30FD1" w:rsidRDefault="00575DE8" w:rsidP="00952E57">
      <w:pPr>
        <w:spacing w:after="0" w:line="240" w:lineRule="auto"/>
        <w:contextualSpacing/>
        <w:rPr>
          <w:rFonts w:eastAsia="Times New Roman" w:cs="Arial"/>
          <w:sz w:val="20"/>
          <w:szCs w:val="22"/>
          <w:lang w:val="es-MX"/>
        </w:rPr>
      </w:pPr>
    </w:p>
    <w:p w14:paraId="3539EAAA"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5A54CDC3"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106"/>
        <w:gridCol w:w="382"/>
        <w:gridCol w:w="1204"/>
        <w:gridCol w:w="431"/>
        <w:gridCol w:w="848"/>
        <w:gridCol w:w="620"/>
        <w:gridCol w:w="1664"/>
        <w:gridCol w:w="366"/>
        <w:gridCol w:w="2048"/>
      </w:tblGrid>
      <w:tr w:rsidR="00F72B3A" w:rsidRPr="00F30FD1" w14:paraId="61741D19"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653FF85" w14:textId="0475A90F"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F7E75A5" w14:textId="19FF0FCF"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F72B3A" w:rsidRPr="00F30FD1" w14:paraId="5C9CAA03"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E8D1FF9" w14:textId="641AEA90"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7106FC5" w14:textId="249DADDF"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13. Fortalecer los servicios de bancarización y pago electrónico de contribuciones.</w:t>
            </w:r>
          </w:p>
        </w:tc>
      </w:tr>
      <w:tr w:rsidR="00F72B3A" w:rsidRPr="00F30FD1" w14:paraId="0AF2E0ED" w14:textId="77777777" w:rsidTr="001D269B">
        <w:trPr>
          <w:trHeight w:val="20"/>
          <w:jc w:val="right"/>
        </w:trPr>
        <w:tc>
          <w:tcPr>
            <w:tcW w:w="1962"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1331FF1" w14:textId="118C290C"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215D14C7" w14:textId="6FCCE9B4"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F72B3A" w:rsidRPr="00F30FD1" w14:paraId="521351A7"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2AB9FC8" w14:textId="4C3C9959"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D1D75EA" w14:textId="785F1080" w:rsidR="00F72B3A" w:rsidRPr="00F30FD1" w:rsidRDefault="004C299F" w:rsidP="00F72B3A">
            <w:pPr>
              <w:spacing w:after="0" w:line="240" w:lineRule="auto"/>
              <w:rPr>
                <w:rFonts w:eastAsia="Times New Roman" w:cs="Arial"/>
                <w:sz w:val="18"/>
                <w:szCs w:val="22"/>
                <w:lang w:val="es-MX"/>
              </w:rPr>
            </w:pPr>
            <w:r w:rsidRPr="00F30FD1">
              <w:rPr>
                <w:rFonts w:eastAsia="Calibri" w:cs="Calibri"/>
                <w:color w:val="595959"/>
                <w:sz w:val="20"/>
                <w:szCs w:val="20"/>
              </w:rPr>
              <w:t xml:space="preserve">Porcentaje de </w:t>
            </w:r>
            <w:r w:rsidR="00F72B3A" w:rsidRPr="00F30FD1">
              <w:rPr>
                <w:rFonts w:eastAsia="Calibri" w:cs="Calibri"/>
                <w:color w:val="595959"/>
                <w:sz w:val="20"/>
                <w:szCs w:val="20"/>
              </w:rPr>
              <w:t>Operaciones vía electrónica</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E416151" w14:textId="2A6F974E" w:rsidR="00F72B3A" w:rsidRPr="00F30FD1" w:rsidRDefault="00BE4D29" w:rsidP="00F72B3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D3F57AD" w14:textId="4BB3A723" w:rsidR="00F72B3A" w:rsidRPr="00F30FD1" w:rsidRDefault="00DB29FF" w:rsidP="00F72B3A">
            <w:pPr>
              <w:spacing w:after="0" w:line="240" w:lineRule="auto"/>
              <w:rPr>
                <w:rFonts w:eastAsia="Times New Roman" w:cs="Arial"/>
                <w:sz w:val="18"/>
                <w:szCs w:val="22"/>
                <w:lang w:val="es-MX"/>
              </w:rPr>
            </w:pPr>
            <w:r w:rsidRPr="00F30FD1">
              <w:rPr>
                <w:rFonts w:eastAsia="Calibri" w:cs="Calibri"/>
                <w:color w:val="595959"/>
                <w:sz w:val="20"/>
                <w:szCs w:val="20"/>
              </w:rPr>
              <w:t>porcentaje</w:t>
            </w:r>
          </w:p>
        </w:tc>
      </w:tr>
      <w:tr w:rsidR="00DB29FF" w:rsidRPr="00F30FD1" w14:paraId="172498A6"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A304A49" w14:textId="3511287D" w:rsidR="00DB29FF" w:rsidRPr="00F30FD1" w:rsidRDefault="00DB29FF" w:rsidP="00DB29FF">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99EAB76" w14:textId="7FDDF94E" w:rsidR="00DB29FF" w:rsidRPr="00F30FD1" w:rsidRDefault="00DB29FF" w:rsidP="00DB29FF">
            <w:pPr>
              <w:spacing w:after="0" w:line="240" w:lineRule="auto"/>
              <w:rPr>
                <w:rFonts w:eastAsia="Times New Roman" w:cs="Arial"/>
                <w:sz w:val="18"/>
                <w:szCs w:val="22"/>
                <w:lang w:val="es-MX"/>
              </w:rPr>
            </w:pPr>
            <w:r w:rsidRPr="00F30FD1">
              <w:rPr>
                <w:rFonts w:eastAsia="Calibri" w:cs="Calibri"/>
                <w:color w:val="595959"/>
                <w:sz w:val="20"/>
                <w:szCs w:val="20"/>
              </w:rPr>
              <w:t>Incrementar el porcentaje pagos de contribuciones bancarios y electrónicos. A partir del 2018, las Recaudadoras, pasaron a ser “Centros de Información y Atención a Contribuyentes”, actualmente a partir de la creación del SATQ en el ejercicio 2019 son ahora Direcciones de Recaudación con “Módulos de Asistencia al Contribuyente”</w:t>
            </w:r>
          </w:p>
        </w:tc>
      </w:tr>
      <w:tr w:rsidR="00F72B3A" w:rsidRPr="00F30FD1" w14:paraId="0C2DF162"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200D66B" w14:textId="447D7E67"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52EB6F7" w14:textId="1D67139B"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Sistema de Ingresos</w:t>
            </w:r>
          </w:p>
        </w:tc>
      </w:tr>
      <w:tr w:rsidR="00F72B3A" w:rsidRPr="00F30FD1" w14:paraId="019587F9"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991F34C" w14:textId="2A353F5B"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F2F9B60" w14:textId="57CC43A6"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70%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06899DF" w14:textId="6C63CD56" w:rsidR="00F72B3A" w:rsidRPr="00F30FD1" w:rsidRDefault="00610A32" w:rsidP="00610A32">
            <w:pPr>
              <w:spacing w:after="0" w:line="240" w:lineRule="auto"/>
              <w:rPr>
                <w:rFonts w:eastAsia="Times New Roman" w:cs="Arial"/>
                <w:sz w:val="18"/>
                <w:szCs w:val="22"/>
                <w:lang w:val="es-MX"/>
              </w:rPr>
            </w:pPr>
            <w:r w:rsidRPr="00F30FD1">
              <w:rPr>
                <w:rFonts w:eastAsia="Times New Roman" w:cs="Arial"/>
                <w:sz w:val="18"/>
                <w:szCs w:val="22"/>
                <w:lang w:val="es-MX"/>
              </w:rPr>
              <w:t>Año de l</w:t>
            </w:r>
            <w:r w:rsidR="00F72B3A" w:rsidRPr="00F30FD1">
              <w:rPr>
                <w:rFonts w:eastAsia="Times New Roman" w:cs="Arial"/>
                <w:sz w:val="18"/>
                <w:szCs w:val="22"/>
                <w:lang w:val="es-MX"/>
              </w:rPr>
              <w:t>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7E404B5" w14:textId="677831C8" w:rsidR="00F72B3A" w:rsidRPr="00F30FD1" w:rsidRDefault="00B2716B" w:rsidP="00F72B3A">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F72B3A" w:rsidRPr="00F30FD1" w14:paraId="0733DC4D"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08E0471" w14:textId="4D00B5AE"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34D4A9A" w14:textId="2F46AEA7"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72B3A" w:rsidRPr="00F30FD1" w14:paraId="49F8A463"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B972E17" w14:textId="31B91D35"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1D02A6F" w14:textId="25A24B7A"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tc>
      </w:tr>
      <w:tr w:rsidR="00F72B3A" w:rsidRPr="00F30FD1" w14:paraId="62ABFCAB"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2C74F6A" w14:textId="66A4BA4A"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33E9377" w14:textId="588B98C0"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F72B3A" w:rsidRPr="00F30FD1" w14:paraId="5F8F8536"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B090E0D" w14:textId="24C560FC"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3266CE7" w14:textId="77777777" w:rsidR="00F72B3A" w:rsidRPr="00F30FD1" w:rsidRDefault="00F72B3A" w:rsidP="00F72B3A">
            <w:pPr>
              <w:pStyle w:val="Prrafodelista"/>
              <w:numPr>
                <w:ilvl w:val="1"/>
                <w:numId w:val="16"/>
              </w:numPr>
              <w:spacing w:after="0" w:line="240" w:lineRule="auto"/>
              <w:rPr>
                <w:rFonts w:eastAsia="Times New Roman" w:cs="Arial"/>
                <w:sz w:val="18"/>
                <w:szCs w:val="22"/>
                <w:lang w:val="es-MX"/>
              </w:rPr>
            </w:pPr>
            <w:r w:rsidRPr="00F30FD1">
              <w:rPr>
                <w:rFonts w:eastAsia="Times New Roman" w:cs="Arial"/>
                <w:sz w:val="18"/>
                <w:szCs w:val="22"/>
                <w:lang w:val="es-MX"/>
              </w:rPr>
              <w:t>Derechos</w:t>
            </w:r>
          </w:p>
          <w:p w14:paraId="342CAD17" w14:textId="77777777" w:rsidR="00F72B3A" w:rsidRPr="00F30FD1" w:rsidRDefault="00F72B3A" w:rsidP="00F72B3A">
            <w:pPr>
              <w:pStyle w:val="Prrafodelista"/>
              <w:numPr>
                <w:ilvl w:val="1"/>
                <w:numId w:val="16"/>
              </w:numPr>
              <w:spacing w:after="0" w:line="240" w:lineRule="auto"/>
              <w:rPr>
                <w:rFonts w:eastAsia="Times New Roman" w:cs="Arial"/>
                <w:sz w:val="18"/>
                <w:szCs w:val="22"/>
                <w:lang w:val="es-MX"/>
              </w:rPr>
            </w:pPr>
            <w:r w:rsidRPr="00F30FD1">
              <w:rPr>
                <w:rFonts w:eastAsia="Times New Roman" w:cs="Arial"/>
                <w:sz w:val="18"/>
                <w:szCs w:val="22"/>
                <w:lang w:val="es-MX"/>
              </w:rPr>
              <w:t>Productos</w:t>
            </w:r>
          </w:p>
          <w:p w14:paraId="30F916A9" w14:textId="77777777" w:rsidR="00F72B3A" w:rsidRPr="00F30FD1" w:rsidRDefault="00F72B3A" w:rsidP="00F72B3A">
            <w:pPr>
              <w:pStyle w:val="Prrafodelista"/>
              <w:numPr>
                <w:ilvl w:val="1"/>
                <w:numId w:val="16"/>
              </w:numPr>
              <w:spacing w:after="0" w:line="240" w:lineRule="auto"/>
              <w:rPr>
                <w:rFonts w:eastAsia="Times New Roman" w:cs="Arial"/>
                <w:sz w:val="18"/>
                <w:szCs w:val="22"/>
                <w:lang w:val="es-MX"/>
              </w:rPr>
            </w:pPr>
            <w:r w:rsidRPr="00F30FD1">
              <w:rPr>
                <w:rFonts w:eastAsia="Times New Roman" w:cs="Arial"/>
                <w:sz w:val="18"/>
                <w:szCs w:val="22"/>
                <w:lang w:val="es-MX"/>
              </w:rPr>
              <w:t xml:space="preserve">Impuestos </w:t>
            </w:r>
          </w:p>
          <w:p w14:paraId="256CF213" w14:textId="5EE719EC"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1.4.Aprovechamientos</w:t>
            </w:r>
          </w:p>
        </w:tc>
      </w:tr>
      <w:tr w:rsidR="00F72B3A" w:rsidRPr="00F30FD1" w14:paraId="49B30263"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FF65F4E" w14:textId="707B3E3D"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F72B3A" w:rsidRPr="00F30FD1" w14:paraId="4000B78A"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36F5BA4" w14:textId="5C5BC278"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21B8DF4" w14:textId="0BDA887B"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621885B" w14:textId="2F54709F"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F78E62D" w14:textId="78F2B0AF"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C22FB08" w14:textId="3BAD5C70"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5051B9A" w14:textId="589AEFF6"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F72B3A" w:rsidRPr="00F30FD1" w14:paraId="12718B53"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42D9848" w14:textId="3A7A5AB6" w:rsidR="00F72B3A" w:rsidRPr="00F30FD1" w:rsidRDefault="009964FA" w:rsidP="00F72B3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437B3C2" w14:textId="02F6D70E" w:rsidR="00F72B3A" w:rsidRPr="00F30FD1" w:rsidRDefault="009964FA" w:rsidP="00F72B3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7F7FCC2" w14:textId="6BD8DE68" w:rsidR="00F72B3A" w:rsidRPr="00F30FD1" w:rsidRDefault="00F72B3A" w:rsidP="00F72B3A">
            <w:pPr>
              <w:spacing w:after="0" w:line="240" w:lineRule="auto"/>
              <w:jc w:val="center"/>
              <w:rPr>
                <w:rFonts w:eastAsia="Times New Roman" w:cs="Arial"/>
                <w:sz w:val="18"/>
                <w:szCs w:val="22"/>
                <w:lang w:val="es-MX"/>
              </w:rPr>
            </w:pPr>
            <w:r w:rsidRPr="00F30FD1">
              <w:rPr>
                <w:rFonts w:eastAsia="Calibri" w:cs="Calibri"/>
                <w:color w:val="595959"/>
                <w:sz w:val="20"/>
                <w:szCs w:val="20"/>
              </w:rPr>
              <w:t>70</w:t>
            </w:r>
            <w:r w:rsidR="004C299F" w:rsidRPr="00F30FD1">
              <w:rPr>
                <w:rFonts w:eastAsia="Calibri" w:cs="Calibri"/>
                <w:color w:val="595959"/>
                <w:sz w:val="20"/>
                <w:szCs w:val="20"/>
              </w:rPr>
              <w:t>%</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FA86BCE" w14:textId="117CECC7" w:rsidR="00F72B3A" w:rsidRPr="00F30FD1" w:rsidRDefault="00F72B3A" w:rsidP="00F72B3A">
            <w:pPr>
              <w:spacing w:after="0" w:line="240" w:lineRule="auto"/>
              <w:jc w:val="center"/>
              <w:rPr>
                <w:rFonts w:eastAsia="Times New Roman" w:cs="Arial"/>
                <w:sz w:val="18"/>
                <w:szCs w:val="22"/>
                <w:lang w:val="es-MX"/>
              </w:rPr>
            </w:pPr>
            <w:r w:rsidRPr="00F30FD1">
              <w:rPr>
                <w:rFonts w:eastAsia="Calibri" w:cs="Calibri"/>
                <w:color w:val="595959"/>
                <w:sz w:val="20"/>
                <w:szCs w:val="20"/>
              </w:rPr>
              <w:t>73</w:t>
            </w:r>
            <w:r w:rsidR="004C299F" w:rsidRPr="00F30FD1">
              <w:rPr>
                <w:rFonts w:eastAsia="Calibri" w:cs="Calibri"/>
                <w:color w:val="595959"/>
                <w:sz w:val="20"/>
                <w:szCs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B3C82B2" w14:textId="1C6789A4" w:rsidR="00F72B3A" w:rsidRPr="00F30FD1" w:rsidRDefault="00F72B3A" w:rsidP="00F72B3A">
            <w:pPr>
              <w:spacing w:after="0" w:line="240" w:lineRule="auto"/>
              <w:jc w:val="center"/>
              <w:rPr>
                <w:rFonts w:eastAsia="Times New Roman" w:cs="Arial"/>
                <w:sz w:val="18"/>
                <w:szCs w:val="22"/>
                <w:lang w:val="es-MX"/>
              </w:rPr>
            </w:pPr>
            <w:r w:rsidRPr="00F30FD1">
              <w:rPr>
                <w:rFonts w:eastAsia="Calibri" w:cs="Calibri"/>
                <w:color w:val="595959"/>
                <w:sz w:val="20"/>
                <w:szCs w:val="20"/>
              </w:rPr>
              <w:t>76</w:t>
            </w:r>
            <w:r w:rsidR="004C299F" w:rsidRPr="00F30FD1">
              <w:rPr>
                <w:rFonts w:eastAsia="Calibri" w:cs="Calibri"/>
                <w:color w:val="595959"/>
                <w:sz w:val="20"/>
                <w:szCs w:val="20"/>
              </w:rPr>
              <w:t>%</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B6EBDBA" w14:textId="16E806C0" w:rsidR="00F72B3A" w:rsidRPr="00F30FD1" w:rsidRDefault="00F72B3A" w:rsidP="00F72B3A">
            <w:pPr>
              <w:spacing w:after="0" w:line="240" w:lineRule="auto"/>
              <w:jc w:val="center"/>
              <w:rPr>
                <w:rFonts w:eastAsia="Times New Roman" w:cs="Arial"/>
                <w:sz w:val="18"/>
                <w:szCs w:val="22"/>
                <w:lang w:val="es-MX"/>
              </w:rPr>
            </w:pPr>
            <w:r w:rsidRPr="00F30FD1">
              <w:rPr>
                <w:rFonts w:eastAsia="Calibri" w:cs="Calibri"/>
                <w:color w:val="595959"/>
                <w:sz w:val="20"/>
                <w:szCs w:val="20"/>
              </w:rPr>
              <w:t>80</w:t>
            </w:r>
            <w:r w:rsidR="004C299F" w:rsidRPr="00F30FD1">
              <w:rPr>
                <w:rFonts w:eastAsia="Calibri" w:cs="Calibri"/>
                <w:color w:val="595959"/>
                <w:sz w:val="20"/>
                <w:szCs w:val="20"/>
              </w:rPr>
              <w:t>%</w:t>
            </w:r>
          </w:p>
        </w:tc>
      </w:tr>
    </w:tbl>
    <w:p w14:paraId="25ADD054" w14:textId="04F5DF02" w:rsidR="00575DE8" w:rsidRPr="00F30FD1" w:rsidRDefault="00575DE8" w:rsidP="00952E57">
      <w:pPr>
        <w:spacing w:after="0" w:line="240" w:lineRule="auto"/>
        <w:contextualSpacing/>
        <w:rPr>
          <w:rFonts w:eastAsia="Times New Roman" w:cs="Arial"/>
          <w:sz w:val="20"/>
          <w:szCs w:val="22"/>
          <w:lang w:val="es-MX"/>
        </w:rPr>
      </w:pPr>
    </w:p>
    <w:p w14:paraId="67790047"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4AD9148A"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16"/>
        <w:gridCol w:w="732"/>
        <w:gridCol w:w="96"/>
        <w:gridCol w:w="372"/>
        <w:gridCol w:w="1194"/>
        <w:gridCol w:w="421"/>
        <w:gridCol w:w="838"/>
        <w:gridCol w:w="612"/>
        <w:gridCol w:w="1656"/>
        <w:gridCol w:w="356"/>
        <w:gridCol w:w="2142"/>
      </w:tblGrid>
      <w:tr w:rsidR="00F72B3A" w:rsidRPr="00F30FD1" w14:paraId="487B0568" w14:textId="77777777" w:rsidTr="001D269B">
        <w:trPr>
          <w:trHeight w:val="20"/>
          <w:jc w:val="right"/>
        </w:trPr>
        <w:tc>
          <w:tcPr>
            <w:tcW w:w="109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68E05BE" w14:textId="170DF0C0"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90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17F3758" w14:textId="16CA95E6"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F72B3A" w:rsidRPr="00F30FD1" w14:paraId="21558D44" w14:textId="77777777" w:rsidTr="001D269B">
        <w:trPr>
          <w:trHeight w:val="20"/>
          <w:jc w:val="right"/>
        </w:trPr>
        <w:tc>
          <w:tcPr>
            <w:tcW w:w="109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28B49D6" w14:textId="1C9415B8"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49C7587" w14:textId="61B60887"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14. Fortalecer, con apoyo de herramientas tecnológicas, las tareas efectuadas por las Direcciones de Recaudación.</w:t>
            </w:r>
          </w:p>
        </w:tc>
      </w:tr>
      <w:tr w:rsidR="00F72B3A" w:rsidRPr="00F30FD1" w14:paraId="7FEFB1B1" w14:textId="77777777" w:rsidTr="001D269B">
        <w:trPr>
          <w:trHeight w:val="20"/>
          <w:jc w:val="right"/>
        </w:trPr>
        <w:tc>
          <w:tcPr>
            <w:tcW w:w="1937"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A193FA5" w14:textId="77158CB2"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63" w:type="pct"/>
            <w:gridSpan w:val="6"/>
            <w:tcBorders>
              <w:top w:val="single" w:sz="4" w:space="0" w:color="auto"/>
              <w:left w:val="single" w:sz="4" w:space="0" w:color="auto"/>
              <w:bottom w:val="single" w:sz="4" w:space="0" w:color="auto"/>
              <w:right w:val="single" w:sz="4" w:space="0" w:color="auto"/>
            </w:tcBorders>
            <w:shd w:val="clear" w:color="auto" w:fill="A6A6A6"/>
          </w:tcPr>
          <w:p w14:paraId="65AB83E4" w14:textId="37BFC5E6"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F72B3A" w:rsidRPr="00F30FD1" w14:paraId="232B7CCF" w14:textId="77777777" w:rsidTr="001D269B">
        <w:trPr>
          <w:trHeight w:val="20"/>
          <w:jc w:val="right"/>
        </w:trPr>
        <w:tc>
          <w:tcPr>
            <w:tcW w:w="109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980DAC6" w14:textId="52E29611"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84"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F55A0FD" w14:textId="17287FE0"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Número de oficinas Recaudadoras equipadas</w:t>
            </w:r>
          </w:p>
        </w:tc>
        <w:tc>
          <w:tcPr>
            <w:tcW w:w="1334"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30DF98E" w14:textId="50797CB2" w:rsidR="00F72B3A" w:rsidRPr="00F30FD1" w:rsidRDefault="00EA31EC" w:rsidP="00F72B3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8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A2B88C9" w14:textId="548E9790" w:rsidR="00DB29FF" w:rsidRPr="00F30FD1" w:rsidRDefault="00F72B3A" w:rsidP="00DB29FF">
            <w:pPr>
              <w:spacing w:after="0" w:line="240" w:lineRule="auto"/>
              <w:rPr>
                <w:rFonts w:eastAsia="Calibri" w:cs="Calibri"/>
                <w:color w:val="595959"/>
                <w:sz w:val="20"/>
                <w:szCs w:val="20"/>
              </w:rPr>
            </w:pPr>
            <w:r w:rsidRPr="00F30FD1">
              <w:rPr>
                <w:rFonts w:eastAsia="Calibri" w:cs="Calibri"/>
                <w:color w:val="595959"/>
                <w:sz w:val="20"/>
                <w:szCs w:val="20"/>
              </w:rPr>
              <w:t>oficinas equipadas</w:t>
            </w:r>
          </w:p>
        </w:tc>
      </w:tr>
      <w:tr w:rsidR="00F72B3A" w:rsidRPr="00F30FD1" w14:paraId="5D36DB87" w14:textId="77777777" w:rsidTr="001D269B">
        <w:trPr>
          <w:trHeight w:val="20"/>
          <w:jc w:val="right"/>
        </w:trPr>
        <w:tc>
          <w:tcPr>
            <w:tcW w:w="109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65FD95B" w14:textId="31B0C4B1"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08"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6224ED4" w14:textId="65768B4C"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Fortalecer el sistema de recaudación y el suministro de nuevos equipos de cómputo.</w:t>
            </w:r>
          </w:p>
        </w:tc>
      </w:tr>
      <w:tr w:rsidR="00F72B3A" w:rsidRPr="00F30FD1" w14:paraId="514A3757" w14:textId="77777777" w:rsidTr="001D269B">
        <w:trPr>
          <w:trHeight w:val="20"/>
          <w:jc w:val="right"/>
        </w:trPr>
        <w:tc>
          <w:tcPr>
            <w:tcW w:w="114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C90B2F2" w14:textId="71B4A20A"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5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62DACC7" w14:textId="39B94861"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Equipamiento de Oficinas Recaudadoras (Inventario)</w:t>
            </w:r>
          </w:p>
        </w:tc>
      </w:tr>
      <w:tr w:rsidR="00F72B3A" w:rsidRPr="00F30FD1" w14:paraId="66B2025B" w14:textId="77777777" w:rsidTr="001D269B">
        <w:trPr>
          <w:trHeight w:val="20"/>
          <w:jc w:val="right"/>
        </w:trPr>
        <w:tc>
          <w:tcPr>
            <w:tcW w:w="114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739F7C6" w14:textId="5648731D"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3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5E3215F" w14:textId="6CD0AAF0" w:rsidR="00F72B3A" w:rsidRPr="00F30FD1" w:rsidRDefault="000E7275" w:rsidP="00911631">
            <w:pPr>
              <w:spacing w:after="0" w:line="240" w:lineRule="auto"/>
              <w:rPr>
                <w:rFonts w:eastAsia="Times New Roman" w:cs="Arial"/>
                <w:sz w:val="18"/>
                <w:szCs w:val="22"/>
                <w:lang w:val="es-MX"/>
              </w:rPr>
            </w:pPr>
            <w:r w:rsidRPr="00F30FD1">
              <w:rPr>
                <w:rFonts w:eastAsia="Times New Roman" w:cs="Arial"/>
                <w:sz w:val="18"/>
                <w:szCs w:val="22"/>
                <w:lang w:val="es-MX"/>
              </w:rPr>
              <w:t>2</w:t>
            </w:r>
          </w:p>
        </w:tc>
        <w:tc>
          <w:tcPr>
            <w:tcW w:w="1334"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5842D6D" w14:textId="6C8768DD" w:rsidR="00F72B3A" w:rsidRPr="00F30FD1" w:rsidRDefault="00911631" w:rsidP="00911631">
            <w:pPr>
              <w:spacing w:after="0" w:line="240" w:lineRule="auto"/>
              <w:rPr>
                <w:rFonts w:eastAsia="Times New Roman" w:cs="Arial"/>
                <w:sz w:val="18"/>
                <w:szCs w:val="22"/>
                <w:lang w:val="es-MX"/>
              </w:rPr>
            </w:pPr>
            <w:r w:rsidRPr="00F30FD1">
              <w:rPr>
                <w:rFonts w:eastAsia="Times New Roman" w:cs="Arial"/>
                <w:sz w:val="18"/>
                <w:szCs w:val="22"/>
                <w:lang w:val="es-MX"/>
              </w:rPr>
              <w:t>Año de l</w:t>
            </w:r>
            <w:r w:rsidR="00F72B3A" w:rsidRPr="00F30FD1">
              <w:rPr>
                <w:rFonts w:eastAsia="Times New Roman" w:cs="Arial"/>
                <w:sz w:val="18"/>
                <w:szCs w:val="22"/>
                <w:lang w:val="es-MX"/>
              </w:rPr>
              <w:t>ínea base:</w:t>
            </w:r>
          </w:p>
        </w:tc>
        <w:tc>
          <w:tcPr>
            <w:tcW w:w="108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ACF886F" w14:textId="0B7973BA" w:rsidR="00F72B3A" w:rsidRPr="00F30FD1" w:rsidRDefault="000E7275" w:rsidP="00F72B3A">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F72B3A" w:rsidRPr="00F30FD1" w14:paraId="09A7C224" w14:textId="77777777" w:rsidTr="001D269B">
        <w:trPr>
          <w:trHeight w:val="20"/>
          <w:jc w:val="right"/>
        </w:trPr>
        <w:tc>
          <w:tcPr>
            <w:tcW w:w="114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6115CCF" w14:textId="799011A8"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5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32265C9" w14:textId="27024FF8"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72B3A" w:rsidRPr="00F30FD1" w14:paraId="6E57587B" w14:textId="77777777" w:rsidTr="001D269B">
        <w:trPr>
          <w:trHeight w:val="20"/>
          <w:jc w:val="right"/>
        </w:trPr>
        <w:tc>
          <w:tcPr>
            <w:tcW w:w="114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3CF84C5" w14:textId="2E66C6B5"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5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B253B0E" w14:textId="37E1C6C6"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tc>
      </w:tr>
      <w:tr w:rsidR="00F72B3A" w:rsidRPr="00F30FD1" w14:paraId="752AD3AD" w14:textId="77777777" w:rsidTr="001D269B">
        <w:trPr>
          <w:trHeight w:val="20"/>
          <w:jc w:val="right"/>
        </w:trPr>
        <w:tc>
          <w:tcPr>
            <w:tcW w:w="114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7EA6311" w14:textId="141D6F1C"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5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5E74ABB" w14:textId="483C48D5"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DB29FF" w:rsidRPr="00F30FD1" w14:paraId="19D974CD" w14:textId="77777777" w:rsidTr="001D269B">
        <w:trPr>
          <w:trHeight w:val="20"/>
          <w:jc w:val="right"/>
        </w:trPr>
        <w:tc>
          <w:tcPr>
            <w:tcW w:w="1141"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7079BB2" w14:textId="1032ED99" w:rsidR="00DB29FF" w:rsidRPr="00F30FD1" w:rsidRDefault="00DB29FF" w:rsidP="00DB29FF">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5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18F6592" w14:textId="77777777" w:rsidR="00DB29FF" w:rsidRPr="00F30FD1" w:rsidRDefault="00DB29FF" w:rsidP="00DB29FF">
            <w:pPr>
              <w:pStyle w:val="Prrafodelista"/>
              <w:numPr>
                <w:ilvl w:val="1"/>
                <w:numId w:val="17"/>
              </w:numPr>
              <w:spacing w:after="0" w:line="240" w:lineRule="auto"/>
              <w:rPr>
                <w:rFonts w:eastAsia="Times New Roman" w:cs="Arial"/>
                <w:sz w:val="18"/>
                <w:szCs w:val="22"/>
                <w:lang w:val="es-MX"/>
              </w:rPr>
            </w:pPr>
            <w:r w:rsidRPr="00F30FD1">
              <w:rPr>
                <w:rFonts w:eastAsia="Times New Roman" w:cs="Arial"/>
                <w:sz w:val="18"/>
                <w:szCs w:val="22"/>
                <w:lang w:val="es-MX"/>
              </w:rPr>
              <w:t>Derechos</w:t>
            </w:r>
          </w:p>
          <w:p w14:paraId="3538619D" w14:textId="77777777" w:rsidR="00DB29FF" w:rsidRPr="00F30FD1" w:rsidRDefault="00DB29FF" w:rsidP="00DB29FF">
            <w:pPr>
              <w:pStyle w:val="Prrafodelista"/>
              <w:numPr>
                <w:ilvl w:val="1"/>
                <w:numId w:val="17"/>
              </w:numPr>
              <w:spacing w:after="0" w:line="240" w:lineRule="auto"/>
              <w:rPr>
                <w:rFonts w:eastAsia="Times New Roman" w:cs="Arial"/>
                <w:sz w:val="18"/>
                <w:szCs w:val="22"/>
                <w:lang w:val="es-MX"/>
              </w:rPr>
            </w:pPr>
            <w:r w:rsidRPr="00F30FD1">
              <w:rPr>
                <w:rFonts w:eastAsia="Times New Roman" w:cs="Arial"/>
                <w:sz w:val="18"/>
                <w:szCs w:val="22"/>
                <w:lang w:val="es-MX"/>
              </w:rPr>
              <w:t>Productos</w:t>
            </w:r>
          </w:p>
          <w:p w14:paraId="4F059A21" w14:textId="77777777" w:rsidR="00DB29FF" w:rsidRPr="00F30FD1" w:rsidRDefault="00DB29FF" w:rsidP="00DB29FF">
            <w:pPr>
              <w:pStyle w:val="Prrafodelista"/>
              <w:numPr>
                <w:ilvl w:val="1"/>
                <w:numId w:val="17"/>
              </w:numPr>
              <w:spacing w:after="0" w:line="240" w:lineRule="auto"/>
              <w:rPr>
                <w:rFonts w:eastAsia="Times New Roman" w:cs="Arial"/>
                <w:sz w:val="18"/>
                <w:szCs w:val="22"/>
                <w:lang w:val="es-MX"/>
              </w:rPr>
            </w:pPr>
            <w:r w:rsidRPr="00F30FD1">
              <w:rPr>
                <w:rFonts w:eastAsia="Times New Roman" w:cs="Arial"/>
                <w:sz w:val="18"/>
                <w:szCs w:val="22"/>
                <w:lang w:val="es-MX"/>
              </w:rPr>
              <w:t xml:space="preserve">Impuestos </w:t>
            </w:r>
          </w:p>
          <w:p w14:paraId="49ECBB47" w14:textId="24F6B284" w:rsidR="00DB29FF" w:rsidRPr="00F30FD1" w:rsidRDefault="00DB29FF" w:rsidP="00DB29FF">
            <w:pPr>
              <w:spacing w:after="0" w:line="240" w:lineRule="auto"/>
              <w:rPr>
                <w:rFonts w:eastAsia="Times New Roman" w:cs="Arial"/>
                <w:sz w:val="18"/>
                <w:szCs w:val="22"/>
                <w:lang w:val="es-MX"/>
              </w:rPr>
            </w:pPr>
            <w:r w:rsidRPr="00F30FD1">
              <w:rPr>
                <w:rFonts w:eastAsia="Times New Roman" w:cs="Arial"/>
                <w:sz w:val="18"/>
                <w:szCs w:val="22"/>
                <w:lang w:val="es-MX"/>
              </w:rPr>
              <w:t xml:space="preserve">        1.4.Aprovechamientos</w:t>
            </w:r>
          </w:p>
        </w:tc>
      </w:tr>
      <w:tr w:rsidR="00F72B3A" w:rsidRPr="00F30FD1" w14:paraId="51978827"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662A66D" w14:textId="05CE5928"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9F1F9B" w:rsidRPr="00F30FD1" w14:paraId="60D49F98" w14:textId="77777777" w:rsidTr="001D269B">
        <w:trPr>
          <w:trHeight w:val="20"/>
          <w:jc w:val="right"/>
        </w:trPr>
        <w:tc>
          <w:tcPr>
            <w:tcW w:w="72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D4F10DE" w14:textId="74E41E9C"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10"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D46E02E" w14:textId="713A2D4B"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2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312FBC9" w14:textId="782893CC"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A5214E7" w14:textId="6B3D60E8"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9F8B550" w14:textId="34F2A2C2"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7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5509E45" w14:textId="43EA096F"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F1F9B" w:rsidRPr="00F30FD1" w14:paraId="0ADF2B16" w14:textId="77777777" w:rsidTr="001D269B">
        <w:trPr>
          <w:trHeight w:val="20"/>
          <w:jc w:val="right"/>
        </w:trPr>
        <w:tc>
          <w:tcPr>
            <w:tcW w:w="72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4459DE7" w14:textId="52A4ECE1" w:rsidR="009F1F9B" w:rsidRPr="00F30FD1" w:rsidRDefault="009964FA" w:rsidP="009F1F9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10"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DC79DE8" w14:textId="1C2067CF" w:rsidR="009F1F9B" w:rsidRPr="00F30FD1" w:rsidRDefault="009964FA" w:rsidP="009F1F9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2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E0191D7" w14:textId="0478CAD5"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2</w:t>
            </w:r>
          </w:p>
        </w:tc>
        <w:tc>
          <w:tcPr>
            <w:tcW w:w="73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D44C6A9" w14:textId="290A0940"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3</w:t>
            </w:r>
          </w:p>
        </w:tc>
        <w:tc>
          <w:tcPr>
            <w:tcW w:w="8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2862E44" w14:textId="011194C0"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3</w:t>
            </w:r>
          </w:p>
        </w:tc>
        <w:tc>
          <w:tcPr>
            <w:tcW w:w="127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0A9BDB3" w14:textId="1A843B94"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4</w:t>
            </w:r>
          </w:p>
        </w:tc>
      </w:tr>
    </w:tbl>
    <w:p w14:paraId="181DFAD0" w14:textId="7946B3B4" w:rsidR="00575DE8" w:rsidRPr="00F30FD1" w:rsidRDefault="00575DE8" w:rsidP="00952E57">
      <w:pPr>
        <w:spacing w:after="0" w:line="240" w:lineRule="auto"/>
        <w:contextualSpacing/>
        <w:rPr>
          <w:rFonts w:eastAsia="Times New Roman" w:cs="Arial"/>
          <w:sz w:val="20"/>
          <w:szCs w:val="22"/>
          <w:lang w:val="es-MX"/>
        </w:rPr>
      </w:pPr>
    </w:p>
    <w:p w14:paraId="286908C3"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064752F8"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847"/>
        <w:gridCol w:w="382"/>
        <w:gridCol w:w="1204"/>
        <w:gridCol w:w="431"/>
        <w:gridCol w:w="848"/>
        <w:gridCol w:w="620"/>
        <w:gridCol w:w="1664"/>
        <w:gridCol w:w="366"/>
        <w:gridCol w:w="2048"/>
      </w:tblGrid>
      <w:tr w:rsidR="00F72B3A" w:rsidRPr="00F30FD1" w14:paraId="1005C5A8"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7FB84F3" w14:textId="385796EF"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7284C58" w14:textId="071CA1B7"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F72B3A" w:rsidRPr="00F30FD1" w14:paraId="672156D1"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487C70E8" w14:textId="4645C2B3"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9045AEE" w14:textId="47752071"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15. Efectuar, en coordinación con la federación, actos de fiscalización para el cumplimiento de obligaciones en materia de impuestos, derechos, productos y aprovechamientos.</w:t>
            </w:r>
          </w:p>
        </w:tc>
      </w:tr>
      <w:tr w:rsidR="00F72B3A" w:rsidRPr="00F30FD1" w14:paraId="41166B1B"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50C8185" w14:textId="52EDD405"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4BD18CE1" w14:textId="515F8F76"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F72B3A" w:rsidRPr="00F30FD1" w14:paraId="5104570D"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417BCB5" w14:textId="2187C3B8"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DAF33AF" w14:textId="6A58E488"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Porcentaje de créditos fiscales recuperados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55EA8CC" w14:textId="659A5BBC" w:rsidR="00F72B3A" w:rsidRPr="00F30FD1" w:rsidRDefault="00EA31EC" w:rsidP="00F72B3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B7E8D6C" w14:textId="380E7AA0" w:rsidR="00F72B3A" w:rsidRPr="00F30FD1" w:rsidRDefault="00DB29FF" w:rsidP="00DB29FF">
            <w:pPr>
              <w:spacing w:after="0" w:line="240" w:lineRule="auto"/>
              <w:rPr>
                <w:rFonts w:eastAsia="Times New Roman" w:cs="Arial"/>
                <w:sz w:val="18"/>
                <w:szCs w:val="22"/>
                <w:lang w:val="es-MX"/>
              </w:rPr>
            </w:pPr>
            <w:r w:rsidRPr="00F30FD1">
              <w:rPr>
                <w:rFonts w:eastAsia="Calibri" w:cs="Calibri"/>
                <w:color w:val="595959"/>
                <w:sz w:val="20"/>
                <w:szCs w:val="20"/>
              </w:rPr>
              <w:t>Porcentaje</w:t>
            </w:r>
          </w:p>
        </w:tc>
      </w:tr>
      <w:tr w:rsidR="00F72B3A" w:rsidRPr="00F30FD1" w14:paraId="340216BF"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E8C805D" w14:textId="257082DD"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F25462D" w14:textId="68592DA0"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Reportar el 100% de las vigilancias de obligaciones federales trabajados.</w:t>
            </w:r>
          </w:p>
        </w:tc>
      </w:tr>
      <w:tr w:rsidR="00F72B3A" w:rsidRPr="00F30FD1" w14:paraId="217E175A"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F2F7487" w14:textId="4B3DB68F"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A964265" w14:textId="19916A10" w:rsidR="00F72B3A" w:rsidRPr="00F30FD1" w:rsidRDefault="00F72B3A" w:rsidP="00F72B3A">
            <w:pPr>
              <w:spacing w:after="0" w:line="240" w:lineRule="auto"/>
              <w:rPr>
                <w:rFonts w:eastAsia="Times New Roman" w:cs="Arial"/>
                <w:sz w:val="18"/>
                <w:szCs w:val="22"/>
                <w:lang w:val="es-MX"/>
              </w:rPr>
            </w:pPr>
            <w:r w:rsidRPr="00F30FD1">
              <w:rPr>
                <w:rFonts w:eastAsia="Calibri" w:cs="Calibri"/>
                <w:color w:val="595959"/>
                <w:sz w:val="20"/>
                <w:szCs w:val="20"/>
              </w:rPr>
              <w:t>Requerimiento</w:t>
            </w:r>
          </w:p>
        </w:tc>
      </w:tr>
      <w:tr w:rsidR="00F72B3A" w:rsidRPr="00F30FD1" w14:paraId="45B1F3D3"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D52986E" w14:textId="32872E3F"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4AEB1C3" w14:textId="200955B1" w:rsidR="00F72B3A" w:rsidRPr="00F30FD1" w:rsidRDefault="00004570" w:rsidP="00F72B3A">
            <w:pPr>
              <w:spacing w:after="0" w:line="240" w:lineRule="auto"/>
              <w:rPr>
                <w:rFonts w:eastAsia="Times New Roman" w:cs="Arial"/>
                <w:sz w:val="18"/>
                <w:szCs w:val="22"/>
                <w:lang w:val="es-MX"/>
              </w:rPr>
            </w:pPr>
            <w:r w:rsidRPr="00F30FD1">
              <w:rPr>
                <w:rFonts w:eastAsia="Times New Roman" w:cs="Arial"/>
                <w:sz w:val="18"/>
                <w:szCs w:val="22"/>
                <w:lang w:val="es-MX"/>
              </w:rPr>
              <w:t>100</w:t>
            </w:r>
            <w:r w:rsidR="00BA6964">
              <w:rPr>
                <w:rFonts w:eastAsia="Times New Roman" w:cs="Arial"/>
                <w:sz w:val="18"/>
                <w:szCs w:val="22"/>
                <w:lang w:val="es-MX"/>
              </w:rPr>
              <w:t>%</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CE68525" w14:textId="23B280C1" w:rsidR="00F72B3A" w:rsidRPr="00F30FD1" w:rsidRDefault="009A1AD2" w:rsidP="009A1AD2">
            <w:pPr>
              <w:spacing w:after="0" w:line="240" w:lineRule="auto"/>
              <w:rPr>
                <w:rFonts w:eastAsia="Times New Roman" w:cs="Arial"/>
                <w:sz w:val="18"/>
                <w:szCs w:val="22"/>
                <w:lang w:val="es-MX"/>
              </w:rPr>
            </w:pPr>
            <w:r w:rsidRPr="00F30FD1">
              <w:rPr>
                <w:rFonts w:eastAsia="Times New Roman" w:cs="Arial"/>
                <w:sz w:val="18"/>
                <w:szCs w:val="22"/>
                <w:lang w:val="es-MX"/>
              </w:rPr>
              <w:t>Año de l</w:t>
            </w:r>
            <w:r w:rsidR="00F72B3A" w:rsidRPr="00F30FD1">
              <w:rPr>
                <w:rFonts w:eastAsia="Times New Roman" w:cs="Arial"/>
                <w:sz w:val="18"/>
                <w:szCs w:val="22"/>
                <w:lang w:val="es-MX"/>
              </w:rPr>
              <w:t>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28EA738" w14:textId="06341B11" w:rsidR="00F72B3A" w:rsidRPr="00F30FD1" w:rsidRDefault="00DB29FF" w:rsidP="00F72B3A">
            <w:pPr>
              <w:spacing w:after="0" w:line="240" w:lineRule="auto"/>
              <w:rPr>
                <w:rFonts w:eastAsia="Times New Roman" w:cs="Arial"/>
                <w:sz w:val="18"/>
                <w:szCs w:val="22"/>
                <w:lang w:val="es-MX"/>
              </w:rPr>
            </w:pPr>
            <w:r w:rsidRPr="00F30FD1">
              <w:rPr>
                <w:rFonts w:eastAsia="Times New Roman" w:cs="Arial"/>
                <w:sz w:val="18"/>
                <w:szCs w:val="22"/>
                <w:lang w:val="es-MX"/>
              </w:rPr>
              <w:t>2</w:t>
            </w:r>
            <w:r w:rsidR="00004570" w:rsidRPr="00F30FD1">
              <w:rPr>
                <w:rFonts w:eastAsia="Times New Roman" w:cs="Arial"/>
                <w:sz w:val="18"/>
                <w:szCs w:val="22"/>
                <w:lang w:val="es-MX"/>
              </w:rPr>
              <w:t>019</w:t>
            </w:r>
          </w:p>
        </w:tc>
      </w:tr>
      <w:tr w:rsidR="00F72B3A" w:rsidRPr="00F30FD1" w14:paraId="6AE4FE4F"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6E3AF61" w14:textId="44554276"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7CC123F" w14:textId="15E3822F"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72B3A" w:rsidRPr="00F30FD1" w14:paraId="669973B6"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DFD0D77" w14:textId="0713E8C2"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FFA764F" w14:textId="21D4FFB8"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tc>
      </w:tr>
      <w:tr w:rsidR="00F72B3A" w:rsidRPr="00F30FD1" w14:paraId="258EABB5"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7F9041B" w14:textId="06330E3B"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71F445F" w14:textId="6FB59AD6"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F72B3A" w:rsidRPr="00F30FD1" w14:paraId="5B4F5C6D"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D5E0542" w14:textId="59CB67BF"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B57E798" w14:textId="77777777"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1.1.- Derechos</w:t>
            </w:r>
          </w:p>
          <w:p w14:paraId="265CB0ED" w14:textId="77777777" w:rsidR="00F72B3A" w:rsidRPr="00F30FD1" w:rsidRDefault="00F72B3A" w:rsidP="00F72B3A">
            <w:pPr>
              <w:pStyle w:val="Prrafodelista"/>
              <w:numPr>
                <w:ilvl w:val="1"/>
                <w:numId w:val="18"/>
              </w:numPr>
              <w:spacing w:after="0" w:line="240" w:lineRule="auto"/>
              <w:rPr>
                <w:rFonts w:eastAsia="Times New Roman" w:cs="Arial"/>
                <w:sz w:val="18"/>
                <w:szCs w:val="22"/>
                <w:lang w:val="es-MX"/>
              </w:rPr>
            </w:pPr>
            <w:r w:rsidRPr="00F30FD1">
              <w:rPr>
                <w:rFonts w:eastAsia="Times New Roman" w:cs="Arial"/>
                <w:sz w:val="18"/>
                <w:szCs w:val="22"/>
                <w:lang w:val="es-MX"/>
              </w:rPr>
              <w:t>Productos</w:t>
            </w:r>
          </w:p>
          <w:p w14:paraId="4CFC2D91" w14:textId="77777777" w:rsidR="00F72B3A" w:rsidRPr="00F30FD1" w:rsidRDefault="00F72B3A" w:rsidP="00F72B3A">
            <w:pPr>
              <w:pStyle w:val="Prrafodelista"/>
              <w:numPr>
                <w:ilvl w:val="1"/>
                <w:numId w:val="18"/>
              </w:numPr>
              <w:spacing w:after="0" w:line="240" w:lineRule="auto"/>
              <w:rPr>
                <w:rFonts w:eastAsia="Times New Roman" w:cs="Arial"/>
                <w:sz w:val="18"/>
                <w:szCs w:val="22"/>
                <w:lang w:val="es-MX"/>
              </w:rPr>
            </w:pPr>
            <w:r w:rsidRPr="00F30FD1">
              <w:rPr>
                <w:rFonts w:eastAsia="Times New Roman" w:cs="Arial"/>
                <w:sz w:val="18"/>
                <w:szCs w:val="22"/>
                <w:lang w:val="es-MX"/>
              </w:rPr>
              <w:t xml:space="preserve">Impuestos </w:t>
            </w:r>
          </w:p>
          <w:p w14:paraId="4AFCB242" w14:textId="016CF9BB" w:rsidR="00F72B3A" w:rsidRPr="00F30FD1" w:rsidRDefault="00F72B3A" w:rsidP="00F72B3A">
            <w:pPr>
              <w:spacing w:after="0" w:line="240" w:lineRule="auto"/>
              <w:rPr>
                <w:rFonts w:eastAsia="Times New Roman" w:cs="Arial"/>
                <w:sz w:val="18"/>
                <w:szCs w:val="22"/>
                <w:lang w:val="es-MX"/>
              </w:rPr>
            </w:pPr>
            <w:r w:rsidRPr="00F30FD1">
              <w:rPr>
                <w:rFonts w:eastAsia="Times New Roman" w:cs="Arial"/>
                <w:sz w:val="18"/>
                <w:szCs w:val="22"/>
                <w:lang w:val="es-MX"/>
              </w:rPr>
              <w:t xml:space="preserve">        1.4.Aprovechamientos</w:t>
            </w:r>
          </w:p>
        </w:tc>
      </w:tr>
      <w:tr w:rsidR="00F72B3A" w:rsidRPr="00F30FD1" w14:paraId="36F27D97"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E99A242" w14:textId="6006E9B1" w:rsidR="00F72B3A" w:rsidRPr="00F30FD1" w:rsidRDefault="00F72B3A" w:rsidP="00F72B3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9F1F9B" w:rsidRPr="00F30FD1" w14:paraId="7AC1CC77"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FC8EBDD" w14:textId="08684A57"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A0D473E" w14:textId="16F57808"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A72D3B6" w14:textId="4A9EC4BE"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230E42F" w14:textId="267BE9A8"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8AE843E" w14:textId="2126B5C1"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A13F599" w14:textId="4E2903C9"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F1F9B" w:rsidRPr="00F30FD1" w14:paraId="16AAE779"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3AE3A8F" w14:textId="223B222E" w:rsidR="009F1F9B" w:rsidRPr="00F30FD1" w:rsidRDefault="009964FA" w:rsidP="009F1F9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E0980D3" w14:textId="412D02E5" w:rsidR="009F1F9B" w:rsidRPr="00F30FD1" w:rsidRDefault="009964FA" w:rsidP="009964F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DA008AD" w14:textId="3B88CDAA"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100%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F79AF97" w14:textId="0A46D30B"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100%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A51E60F" w14:textId="5A1B1021"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2F39BC0" w14:textId="5B46B899"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100%</w:t>
            </w:r>
          </w:p>
        </w:tc>
      </w:tr>
    </w:tbl>
    <w:p w14:paraId="512BBE4D" w14:textId="2D7724AC" w:rsidR="00575DE8" w:rsidRPr="00F30FD1" w:rsidRDefault="00575DE8" w:rsidP="00952E57">
      <w:pPr>
        <w:spacing w:after="0" w:line="240" w:lineRule="auto"/>
        <w:contextualSpacing/>
        <w:rPr>
          <w:rFonts w:eastAsia="Times New Roman" w:cs="Arial"/>
          <w:sz w:val="20"/>
          <w:szCs w:val="22"/>
          <w:lang w:val="es-MX"/>
        </w:rPr>
      </w:pPr>
    </w:p>
    <w:p w14:paraId="4EC6A616"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7319524C"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847"/>
        <w:gridCol w:w="382"/>
        <w:gridCol w:w="1204"/>
        <w:gridCol w:w="431"/>
        <w:gridCol w:w="848"/>
        <w:gridCol w:w="620"/>
        <w:gridCol w:w="1664"/>
        <w:gridCol w:w="366"/>
        <w:gridCol w:w="2048"/>
      </w:tblGrid>
      <w:tr w:rsidR="009F1F9B" w:rsidRPr="00F30FD1" w14:paraId="13A770BD"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7CDE1EB" w14:textId="35F0A6B3"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060FBC5" w14:textId="366718F3"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9F1F9B" w:rsidRPr="00F30FD1" w14:paraId="45603356"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199CB0AB" w14:textId="042C8571"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B3257D4" w14:textId="3AB4981D"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16. Mejorar, en coordinación con la Secretaría de Gestión Pública, los procesos y servicios que presta el gobierno del estado a través del Servicio de Administración Tributaria del Estado de Quintana Roo.</w:t>
            </w:r>
          </w:p>
        </w:tc>
      </w:tr>
      <w:tr w:rsidR="009F1F9B" w:rsidRPr="00F30FD1" w14:paraId="32D3333D"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69E437C" w14:textId="4FB8CE58"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508FAC56" w14:textId="09BCAA2B"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9F1F9B" w:rsidRPr="00F30FD1" w14:paraId="093740A3"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B617663" w14:textId="1028D919"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5079BE5" w14:textId="03658001" w:rsidR="009F1F9B" w:rsidRPr="00F30FD1" w:rsidRDefault="009F1F9B" w:rsidP="009F1F9B">
            <w:pPr>
              <w:spacing w:after="0" w:line="240" w:lineRule="auto"/>
              <w:rPr>
                <w:rFonts w:eastAsia="Times New Roman" w:cs="Arial"/>
                <w:sz w:val="18"/>
                <w:szCs w:val="22"/>
                <w:lang w:val="es-MX"/>
              </w:rPr>
            </w:pPr>
            <w:r w:rsidRPr="00F30FD1">
              <w:rPr>
                <w:rFonts w:eastAsia="Calibri" w:cs="Calibri"/>
                <w:color w:val="595959"/>
                <w:sz w:val="20"/>
                <w:szCs w:val="20"/>
              </w:rPr>
              <w:t>Listado de trámites y servicios actualizado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FF45145" w14:textId="29F3E435" w:rsidR="009F1F9B" w:rsidRPr="00F30FD1" w:rsidRDefault="00EA31EC" w:rsidP="009F1F9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DE9CEF" w14:textId="54B07E70" w:rsidR="009F1F9B" w:rsidRPr="00F30FD1" w:rsidRDefault="009F1F9B" w:rsidP="00DB29FF">
            <w:pPr>
              <w:spacing w:after="0" w:line="240" w:lineRule="auto"/>
              <w:rPr>
                <w:rFonts w:eastAsia="Times New Roman" w:cs="Arial"/>
                <w:sz w:val="18"/>
                <w:szCs w:val="22"/>
                <w:lang w:val="es-MX"/>
              </w:rPr>
            </w:pPr>
            <w:r w:rsidRPr="00F30FD1">
              <w:rPr>
                <w:rFonts w:eastAsia="Calibri" w:cs="Calibri"/>
                <w:color w:val="595959"/>
                <w:sz w:val="20"/>
                <w:szCs w:val="20"/>
              </w:rPr>
              <w:t>Listado actualizado</w:t>
            </w:r>
          </w:p>
        </w:tc>
      </w:tr>
      <w:tr w:rsidR="009F1F9B" w:rsidRPr="00F30FD1" w14:paraId="5C70A14E"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7B76F74" w14:textId="6F7C1314"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33B7E7F" w14:textId="05F4E0DA" w:rsidR="009F1F9B" w:rsidRPr="00F30FD1" w:rsidRDefault="009F1F9B" w:rsidP="009F1F9B">
            <w:pPr>
              <w:spacing w:after="0" w:line="240" w:lineRule="auto"/>
              <w:rPr>
                <w:rFonts w:eastAsia="Times New Roman" w:cs="Arial"/>
                <w:sz w:val="18"/>
                <w:szCs w:val="22"/>
                <w:lang w:val="es-MX"/>
              </w:rPr>
            </w:pPr>
            <w:r w:rsidRPr="00F30FD1">
              <w:rPr>
                <w:rFonts w:eastAsia="Calibri" w:cs="Calibri"/>
                <w:color w:val="595959"/>
                <w:sz w:val="20"/>
                <w:szCs w:val="20"/>
              </w:rPr>
              <w:t>Las modificaciones fiscales que autoriza el Congreso para el ejercicio inmediato posterior, obliga a actualizar el listado de trámites y servicios.</w:t>
            </w:r>
          </w:p>
        </w:tc>
      </w:tr>
      <w:tr w:rsidR="009F1F9B" w:rsidRPr="00F30FD1" w14:paraId="2D21F170"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7E91F00" w14:textId="4E2B134B"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55731E4" w14:textId="658FFCBC" w:rsidR="009F1F9B" w:rsidRPr="00F30FD1" w:rsidRDefault="009F1F9B" w:rsidP="009F1F9B">
            <w:pPr>
              <w:spacing w:after="0" w:line="240" w:lineRule="auto"/>
              <w:rPr>
                <w:rFonts w:eastAsia="Times New Roman" w:cs="Arial"/>
                <w:sz w:val="18"/>
                <w:szCs w:val="22"/>
                <w:lang w:val="es-MX"/>
              </w:rPr>
            </w:pPr>
            <w:r w:rsidRPr="00F30FD1">
              <w:rPr>
                <w:rFonts w:eastAsia="Calibri" w:cs="Calibri"/>
                <w:color w:val="595959"/>
                <w:sz w:val="20"/>
                <w:szCs w:val="20"/>
              </w:rPr>
              <w:t>Dictamen de la Secretaria de la Contralo</w:t>
            </w:r>
            <w:r w:rsidRPr="00F30FD1">
              <w:rPr>
                <w:rFonts w:eastAsia="Calibri" w:cs="Calibri"/>
                <w:color w:val="595959"/>
                <w:sz w:val="20"/>
                <w:szCs w:val="20"/>
                <w:lang w:val="es-MX"/>
              </w:rPr>
              <w:t>ría</w:t>
            </w:r>
          </w:p>
        </w:tc>
      </w:tr>
      <w:tr w:rsidR="009F1F9B" w:rsidRPr="00F30FD1" w14:paraId="58DE4C03"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A38280A" w14:textId="21EFD81E"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764ACA6" w14:textId="0942BE62"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C402BCD" w14:textId="1B92B1D9" w:rsidR="009F1F9B" w:rsidRPr="00F30FD1" w:rsidRDefault="00531D51" w:rsidP="00531D51">
            <w:pPr>
              <w:spacing w:after="0" w:line="240" w:lineRule="auto"/>
              <w:rPr>
                <w:rFonts w:eastAsia="Times New Roman" w:cs="Arial"/>
                <w:sz w:val="18"/>
                <w:szCs w:val="22"/>
                <w:lang w:val="es-MX"/>
              </w:rPr>
            </w:pPr>
            <w:r w:rsidRPr="00F30FD1">
              <w:rPr>
                <w:rFonts w:eastAsia="Times New Roman" w:cs="Arial"/>
                <w:sz w:val="18"/>
                <w:szCs w:val="22"/>
                <w:lang w:val="es-MX"/>
              </w:rPr>
              <w:t>Año del l</w:t>
            </w:r>
            <w:r w:rsidR="009F1F9B" w:rsidRPr="00F30FD1">
              <w:rPr>
                <w:rFonts w:eastAsia="Times New Roman" w:cs="Arial"/>
                <w:sz w:val="18"/>
                <w:szCs w:val="22"/>
                <w:lang w:val="es-MX"/>
              </w:rPr>
              <w:t>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4DD4CF6" w14:textId="56A66E67" w:rsidR="009F1F9B" w:rsidRPr="00F30FD1" w:rsidRDefault="00DB29FF" w:rsidP="009F1F9B">
            <w:pPr>
              <w:spacing w:after="0" w:line="240" w:lineRule="auto"/>
              <w:rPr>
                <w:rFonts w:eastAsia="Times New Roman" w:cs="Arial"/>
                <w:sz w:val="18"/>
                <w:szCs w:val="22"/>
                <w:lang w:val="es-MX"/>
              </w:rPr>
            </w:pPr>
            <w:r w:rsidRPr="00F30FD1">
              <w:rPr>
                <w:rFonts w:eastAsia="Times New Roman" w:cs="Arial"/>
                <w:sz w:val="18"/>
                <w:szCs w:val="22"/>
                <w:lang w:val="es-MX"/>
              </w:rPr>
              <w:t>2</w:t>
            </w:r>
            <w:r w:rsidR="009F4496" w:rsidRPr="00F30FD1">
              <w:rPr>
                <w:rFonts w:eastAsia="Times New Roman" w:cs="Arial"/>
                <w:sz w:val="18"/>
                <w:szCs w:val="22"/>
                <w:lang w:val="es-MX"/>
              </w:rPr>
              <w:t>019</w:t>
            </w:r>
          </w:p>
        </w:tc>
      </w:tr>
      <w:tr w:rsidR="009F1F9B" w:rsidRPr="00F30FD1" w14:paraId="1797302C"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316F657" w14:textId="5405A30E"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2F54CFD" w14:textId="774D359C"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9F1F9B" w:rsidRPr="00F30FD1" w14:paraId="4F57A1E4"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1FCC8C" w14:textId="1519F80D"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4F6E90E" w14:textId="204DD49B"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tc>
      </w:tr>
      <w:tr w:rsidR="009F1F9B" w:rsidRPr="00F30FD1" w14:paraId="5C910632"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FEA7F91" w14:textId="4B95373A"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22CD26B" w14:textId="36747739"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9F1F9B" w:rsidRPr="00F30FD1" w14:paraId="52BA42EF"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2A79643" w14:textId="261CA33F"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23C69F9" w14:textId="33AF7969"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1.2.- Mejora de la Eficiencia Recaudatoria</w:t>
            </w:r>
          </w:p>
        </w:tc>
      </w:tr>
      <w:tr w:rsidR="009F1F9B" w:rsidRPr="00F30FD1" w14:paraId="68F9AB96"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EA69D9F" w14:textId="18A5D00D"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9F1F9B" w:rsidRPr="00F30FD1" w14:paraId="62C56257"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D3876A1" w14:textId="3A8C390F"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A2BCFDD" w14:textId="30E550A9"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DD20ECD" w14:textId="02E636AA"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E8EAD2F" w14:textId="2649B09D"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296AE55" w14:textId="2422D68A"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9AAA695" w14:textId="31213A5F"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F1F9B" w:rsidRPr="00F30FD1" w14:paraId="325116E5"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9D001B7" w14:textId="76D4D1EC" w:rsidR="009F1F9B" w:rsidRPr="00F30FD1" w:rsidRDefault="009964FA" w:rsidP="009F1F9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BDE7A6A" w14:textId="5D86368E" w:rsidR="009F1F9B" w:rsidRPr="00F30FD1" w:rsidRDefault="009964FA" w:rsidP="009F1F9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10AD912" w14:textId="62C92880"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1</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83679F4" w14:textId="5A23961B"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1</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CF16D90" w14:textId="22428152"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5052B0C" w14:textId="6C67F5C3" w:rsidR="009F1F9B" w:rsidRPr="00F30FD1" w:rsidRDefault="009F1F9B" w:rsidP="009F1F9B">
            <w:pPr>
              <w:spacing w:after="0" w:line="240" w:lineRule="auto"/>
              <w:jc w:val="center"/>
              <w:rPr>
                <w:rFonts w:eastAsia="Times New Roman" w:cs="Arial"/>
                <w:sz w:val="18"/>
                <w:szCs w:val="22"/>
                <w:lang w:val="es-MX"/>
              </w:rPr>
            </w:pPr>
            <w:r w:rsidRPr="00F30FD1">
              <w:rPr>
                <w:rFonts w:eastAsia="Calibri" w:cs="Calibri"/>
                <w:color w:val="595959"/>
                <w:sz w:val="20"/>
                <w:szCs w:val="20"/>
              </w:rPr>
              <w:t>1</w:t>
            </w:r>
          </w:p>
        </w:tc>
      </w:tr>
    </w:tbl>
    <w:p w14:paraId="1630676B" w14:textId="2EB512B2" w:rsidR="00575DE8" w:rsidRPr="00F30FD1" w:rsidRDefault="00575DE8" w:rsidP="00952E57">
      <w:pPr>
        <w:spacing w:after="0" w:line="240" w:lineRule="auto"/>
        <w:contextualSpacing/>
        <w:rPr>
          <w:rFonts w:eastAsia="Times New Roman" w:cs="Arial"/>
          <w:sz w:val="20"/>
          <w:szCs w:val="22"/>
          <w:lang w:val="es-MX"/>
        </w:rPr>
      </w:pPr>
    </w:p>
    <w:p w14:paraId="739B1359"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33A3D1D1"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106"/>
        <w:gridCol w:w="382"/>
        <w:gridCol w:w="1204"/>
        <w:gridCol w:w="431"/>
        <w:gridCol w:w="848"/>
        <w:gridCol w:w="620"/>
        <w:gridCol w:w="1664"/>
        <w:gridCol w:w="366"/>
        <w:gridCol w:w="2048"/>
      </w:tblGrid>
      <w:tr w:rsidR="009F1F9B" w:rsidRPr="00F30FD1" w14:paraId="72574218"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95A96FF" w14:textId="608C3C65"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35F83FD" w14:textId="3A3F8B5C"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9F1F9B" w:rsidRPr="00F30FD1" w14:paraId="5FF7CE82"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188F93F9" w14:textId="3EBEE0F3"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72C77AB" w14:textId="194D3B98"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17. Impulsar programas de calidad total en la atención a usuarios internos y externos de los servicios tributarios.</w:t>
            </w:r>
          </w:p>
        </w:tc>
      </w:tr>
      <w:tr w:rsidR="009F1F9B" w:rsidRPr="00F30FD1" w14:paraId="4ECCC98C" w14:textId="77777777" w:rsidTr="001D269B">
        <w:trPr>
          <w:trHeight w:val="20"/>
          <w:jc w:val="right"/>
        </w:trPr>
        <w:tc>
          <w:tcPr>
            <w:tcW w:w="1962"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0BA46F0" w14:textId="22FA1C19"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45404CBD" w14:textId="61EB676E"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9F1F9B" w:rsidRPr="00F30FD1" w14:paraId="70C73C31"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15CE65D" w14:textId="5824A98E"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3FE43D9" w14:textId="77D3320C"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Resoluciones emitidas a favor de la autoridad</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C7D88F0" w14:textId="1537F6CC" w:rsidR="009F1F9B" w:rsidRPr="00F30FD1" w:rsidRDefault="00EA31EC" w:rsidP="009F1F9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6FB465E" w14:textId="0F5F13BD" w:rsidR="009F1F9B" w:rsidRPr="00F30FD1" w:rsidRDefault="009F1F9B" w:rsidP="00DB29FF">
            <w:pPr>
              <w:spacing w:after="0" w:line="240" w:lineRule="auto"/>
              <w:rPr>
                <w:rFonts w:eastAsia="Times New Roman" w:cs="Arial"/>
                <w:sz w:val="18"/>
                <w:szCs w:val="22"/>
                <w:lang w:val="es-MX"/>
              </w:rPr>
            </w:pPr>
            <w:r w:rsidRPr="00F30FD1">
              <w:rPr>
                <w:rFonts w:eastAsia="Times New Roman" w:cs="Arial"/>
                <w:sz w:val="18"/>
                <w:szCs w:val="22"/>
                <w:lang w:val="es-MX"/>
              </w:rPr>
              <w:t>Resoluciones emitidas</w:t>
            </w:r>
          </w:p>
        </w:tc>
      </w:tr>
      <w:tr w:rsidR="009F1F9B" w:rsidRPr="00F30FD1" w14:paraId="4F984DF7"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65D1EE9" w14:textId="6C6D9356"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D7794E7" w14:textId="42BA39A9" w:rsidR="009F1F9B" w:rsidRPr="00F30FD1" w:rsidRDefault="009F1F9B" w:rsidP="009F1F9B">
            <w:pPr>
              <w:spacing w:after="0" w:line="240" w:lineRule="auto"/>
              <w:rPr>
                <w:rFonts w:eastAsia="Times New Roman" w:cs="Arial"/>
                <w:sz w:val="18"/>
                <w:szCs w:val="22"/>
                <w:lang w:val="es-MX"/>
              </w:rPr>
            </w:pPr>
            <w:r w:rsidRPr="00F30FD1">
              <w:rPr>
                <w:sz w:val="18"/>
                <w:szCs w:val="18"/>
              </w:rPr>
              <w:t>Mejorar en coordinación con las autoridades fiscales, las medidas para la adecuada elaboración de las multas, créditos fiscales, infracciones y demás actos por incumplimiento de obligaciones fiscales, así como su debida notificación, que dé como resultado la óptima y legal realización de los actos administrativos que pudieran ser impugnados mediante recursos de revocación.</w:t>
            </w:r>
          </w:p>
        </w:tc>
      </w:tr>
      <w:tr w:rsidR="009F1F9B" w:rsidRPr="00F30FD1" w14:paraId="4D2C17A9"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0F3D3B9" w14:textId="0A8362BF"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0E35A0" w14:textId="6D6FFC72"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softHyphen/>
            </w:r>
            <w:r w:rsidRPr="00F30FD1">
              <w:rPr>
                <w:sz w:val="18"/>
                <w:szCs w:val="18"/>
              </w:rPr>
              <w:t>Plataforma Nacional de Transparencia.</w:t>
            </w:r>
          </w:p>
        </w:tc>
      </w:tr>
      <w:tr w:rsidR="009F1F9B" w:rsidRPr="00F30FD1" w14:paraId="53D42A4E"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F9494BF" w14:textId="07ADB8CE"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21B41DE" w14:textId="2E976DE9" w:rsidR="009F1F9B" w:rsidRPr="00F30FD1" w:rsidRDefault="009F1F9B" w:rsidP="009F1F9B">
            <w:pPr>
              <w:spacing w:after="0" w:line="240" w:lineRule="auto"/>
              <w:rPr>
                <w:rFonts w:eastAsia="Times New Roman" w:cs="Arial"/>
                <w:sz w:val="18"/>
                <w:szCs w:val="22"/>
                <w:lang w:val="es-MX"/>
              </w:rPr>
            </w:pPr>
            <w:r w:rsidRPr="00F30FD1">
              <w:rPr>
                <w:sz w:val="18"/>
                <w:szCs w:val="18"/>
              </w:rPr>
              <w:t>62.56%</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ABAE3BA" w14:textId="45B90BD7" w:rsidR="009F1F9B" w:rsidRPr="00F30FD1" w:rsidRDefault="000A3439" w:rsidP="000A3439">
            <w:pPr>
              <w:spacing w:after="0" w:line="240" w:lineRule="auto"/>
              <w:rPr>
                <w:rFonts w:eastAsia="Times New Roman" w:cs="Arial"/>
                <w:sz w:val="18"/>
                <w:szCs w:val="22"/>
                <w:lang w:val="es-MX"/>
              </w:rPr>
            </w:pPr>
            <w:r w:rsidRPr="00F30FD1">
              <w:rPr>
                <w:rFonts w:eastAsia="Times New Roman" w:cs="Arial"/>
                <w:sz w:val="18"/>
                <w:szCs w:val="22"/>
                <w:lang w:val="es-MX"/>
              </w:rPr>
              <w:t>Año de l</w:t>
            </w:r>
            <w:r w:rsidR="009F1F9B" w:rsidRPr="00F30FD1">
              <w:rPr>
                <w:rFonts w:eastAsia="Times New Roman" w:cs="Arial"/>
                <w:sz w:val="18"/>
                <w:szCs w:val="22"/>
                <w:lang w:val="es-MX"/>
              </w:rPr>
              <w:t>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EBF16A3" w14:textId="1B4BAD17" w:rsidR="009F1F9B" w:rsidRPr="00F30FD1" w:rsidRDefault="00DB29FF" w:rsidP="00DB29FF">
            <w:pPr>
              <w:spacing w:after="0" w:line="240" w:lineRule="auto"/>
              <w:rPr>
                <w:rFonts w:eastAsia="Times New Roman" w:cs="Arial"/>
                <w:sz w:val="18"/>
                <w:szCs w:val="22"/>
                <w:lang w:val="es-MX"/>
              </w:rPr>
            </w:pPr>
            <w:r w:rsidRPr="00F30FD1">
              <w:rPr>
                <w:sz w:val="18"/>
                <w:szCs w:val="18"/>
              </w:rPr>
              <w:t>2019</w:t>
            </w:r>
          </w:p>
        </w:tc>
      </w:tr>
      <w:tr w:rsidR="009F1F9B" w:rsidRPr="00F30FD1" w14:paraId="4863AC7C"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D67C9EE" w14:textId="4317F070"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1BA6FE6" w14:textId="086FD8E7"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9F1F9B" w:rsidRPr="00F30FD1" w14:paraId="37FF2F79"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2DCFA66" w14:textId="5A9B24DF"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27EDD5D" w14:textId="0CE26DE9"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tc>
      </w:tr>
      <w:tr w:rsidR="009F1F9B" w:rsidRPr="00F30FD1" w14:paraId="045A36CB"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3CD0401" w14:textId="27157D51"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B1F8C67" w14:textId="7E7550D5"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9F1F9B" w:rsidRPr="00F30FD1" w14:paraId="18793F3B" w14:textId="77777777" w:rsidTr="001D269B">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3F4C877" w14:textId="3A93BF89"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0BB31FB" w14:textId="5127C103" w:rsidR="009F1F9B" w:rsidRPr="00F30FD1" w:rsidRDefault="009F1F9B" w:rsidP="009F1F9B">
            <w:pPr>
              <w:spacing w:after="0" w:line="240" w:lineRule="auto"/>
              <w:rPr>
                <w:rFonts w:eastAsia="Times New Roman" w:cs="Arial"/>
                <w:sz w:val="18"/>
                <w:szCs w:val="22"/>
                <w:lang w:val="es-MX"/>
              </w:rPr>
            </w:pPr>
            <w:r w:rsidRPr="00F30FD1">
              <w:rPr>
                <w:rFonts w:eastAsia="Times New Roman" w:cs="Arial"/>
                <w:sz w:val="18"/>
                <w:szCs w:val="22"/>
                <w:lang w:val="es-MX"/>
              </w:rPr>
              <w:t>1.2.- Mejora de la Eficiencia Recaudación.</w:t>
            </w:r>
          </w:p>
        </w:tc>
      </w:tr>
      <w:tr w:rsidR="009F1F9B" w:rsidRPr="00F30FD1" w14:paraId="6122EA95"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E7B7420" w14:textId="79653C9A"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9F1F9B" w:rsidRPr="00F30FD1" w14:paraId="6C9E9D34"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38E32D1" w14:textId="31FF5135"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14049DA" w14:textId="369C470C"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A5E0670" w14:textId="5554CCC5"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429D325" w14:textId="116F1A98"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3963831" w14:textId="5A06DE24"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4F66C1E" w14:textId="0C963749" w:rsidR="009F1F9B" w:rsidRPr="00F30FD1" w:rsidRDefault="009F1F9B" w:rsidP="009F1F9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F1F9B" w:rsidRPr="00F30FD1" w14:paraId="20F69C98"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3414CB8" w14:textId="00E7CE1D" w:rsidR="009F1F9B" w:rsidRPr="00F30FD1" w:rsidRDefault="009964FA" w:rsidP="009F1F9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B28E29E" w14:textId="57DAF0EC" w:rsidR="009F1F9B" w:rsidRPr="00F30FD1" w:rsidRDefault="009964FA" w:rsidP="009F1F9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A8AB4F2" w14:textId="79D39075" w:rsidR="009F1F9B" w:rsidRPr="00F30FD1" w:rsidRDefault="009F1F9B" w:rsidP="009F1F9B">
            <w:pPr>
              <w:spacing w:after="0" w:line="240" w:lineRule="auto"/>
              <w:jc w:val="center"/>
              <w:rPr>
                <w:rFonts w:eastAsia="Times New Roman" w:cs="Arial"/>
                <w:sz w:val="18"/>
                <w:szCs w:val="22"/>
                <w:lang w:val="es-MX"/>
              </w:rPr>
            </w:pPr>
            <w:r w:rsidRPr="00F30FD1">
              <w:rPr>
                <w:sz w:val="18"/>
                <w:szCs w:val="18"/>
              </w:rPr>
              <w:t>62.56%</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64C87BF" w14:textId="4459C766" w:rsidR="009F1F9B" w:rsidRPr="00F30FD1" w:rsidRDefault="009F1F9B" w:rsidP="009F1F9B">
            <w:pPr>
              <w:spacing w:after="0" w:line="240" w:lineRule="auto"/>
              <w:jc w:val="center"/>
              <w:rPr>
                <w:rFonts w:eastAsia="Times New Roman" w:cs="Arial"/>
                <w:sz w:val="18"/>
                <w:szCs w:val="22"/>
                <w:lang w:val="es-MX"/>
              </w:rPr>
            </w:pPr>
            <w:r w:rsidRPr="00F30FD1">
              <w:rPr>
                <w:color w:val="0D0D0D"/>
                <w:sz w:val="18"/>
                <w:szCs w:val="18"/>
              </w:rPr>
              <w:t>100%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1009071" w14:textId="4343674D" w:rsidR="009F1F9B" w:rsidRPr="00F30FD1" w:rsidRDefault="009F1F9B" w:rsidP="009F1F9B">
            <w:pPr>
              <w:spacing w:after="0" w:line="240" w:lineRule="auto"/>
              <w:jc w:val="center"/>
              <w:rPr>
                <w:rFonts w:eastAsia="Times New Roman" w:cs="Arial"/>
                <w:sz w:val="18"/>
                <w:szCs w:val="22"/>
                <w:lang w:val="es-MX"/>
              </w:rPr>
            </w:pPr>
            <w:r w:rsidRPr="00F30FD1">
              <w:rPr>
                <w:color w:val="0D0D0D"/>
                <w:sz w:val="18"/>
                <w:szCs w:val="18"/>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DB201AA" w14:textId="0BDEC73F" w:rsidR="009F1F9B" w:rsidRPr="00F30FD1" w:rsidRDefault="009F1F9B" w:rsidP="009F1F9B">
            <w:pPr>
              <w:spacing w:after="0" w:line="240" w:lineRule="auto"/>
              <w:jc w:val="center"/>
              <w:rPr>
                <w:rFonts w:eastAsia="Times New Roman" w:cs="Arial"/>
                <w:sz w:val="18"/>
                <w:szCs w:val="22"/>
                <w:lang w:val="es-MX"/>
              </w:rPr>
            </w:pPr>
            <w:r w:rsidRPr="00F30FD1">
              <w:rPr>
                <w:color w:val="0D0D0D"/>
                <w:sz w:val="18"/>
                <w:szCs w:val="18"/>
              </w:rPr>
              <w:t>100%</w:t>
            </w:r>
          </w:p>
        </w:tc>
      </w:tr>
    </w:tbl>
    <w:p w14:paraId="59FC265F" w14:textId="60C03DD3" w:rsidR="00575DE8" w:rsidRPr="00F30FD1" w:rsidRDefault="00575DE8" w:rsidP="00952E57">
      <w:pPr>
        <w:spacing w:after="0" w:line="240" w:lineRule="auto"/>
        <w:contextualSpacing/>
        <w:rPr>
          <w:rFonts w:eastAsia="Times New Roman" w:cs="Arial"/>
          <w:sz w:val="20"/>
          <w:szCs w:val="22"/>
          <w:lang w:val="es-MX"/>
        </w:rPr>
      </w:pPr>
    </w:p>
    <w:p w14:paraId="4A10A709"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49767701"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847"/>
        <w:gridCol w:w="382"/>
        <w:gridCol w:w="1204"/>
        <w:gridCol w:w="431"/>
        <w:gridCol w:w="848"/>
        <w:gridCol w:w="620"/>
        <w:gridCol w:w="1664"/>
        <w:gridCol w:w="366"/>
        <w:gridCol w:w="2048"/>
      </w:tblGrid>
      <w:tr w:rsidR="00AF56F3" w:rsidRPr="00F30FD1" w14:paraId="4CD7942B"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E57BED8"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7413D3F"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AF56F3" w:rsidRPr="00F30FD1" w14:paraId="572D7608"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055C203F"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A4DD692"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17. Impulsar programas de calidad total en la atención a usuarios internos y externos de los servicios tributarios.</w:t>
            </w:r>
          </w:p>
        </w:tc>
      </w:tr>
      <w:tr w:rsidR="00AF56F3" w:rsidRPr="00F30FD1" w14:paraId="409F784A"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615E654"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1131DAB1"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AF56F3" w:rsidRPr="00F30FD1" w14:paraId="47109CB0"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0D68D5E"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1FA2ADD" w14:textId="087439CC" w:rsidR="00AF56F3" w:rsidRPr="00F30FD1" w:rsidRDefault="00330DB0" w:rsidP="00AF56F3">
            <w:pPr>
              <w:spacing w:after="0" w:line="240" w:lineRule="auto"/>
              <w:rPr>
                <w:rFonts w:eastAsia="Times New Roman" w:cs="Arial"/>
                <w:sz w:val="18"/>
                <w:szCs w:val="22"/>
                <w:lang w:val="es-MX"/>
              </w:rPr>
            </w:pPr>
            <w:r w:rsidRPr="00F30FD1">
              <w:rPr>
                <w:rFonts w:eastAsia="Times New Roman" w:cs="Arial"/>
                <w:sz w:val="18"/>
                <w:szCs w:val="22"/>
                <w:lang w:val="es-MX"/>
              </w:rPr>
              <w:t>Número de Instituciones Atendidas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54B2059"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E24DBC9" w14:textId="395AF0CF" w:rsidR="00AF56F3" w:rsidRPr="00F30FD1" w:rsidRDefault="00330DB0" w:rsidP="00AF56F3">
            <w:pPr>
              <w:spacing w:after="0" w:line="240" w:lineRule="auto"/>
              <w:rPr>
                <w:rFonts w:eastAsia="Times New Roman" w:cs="Arial"/>
                <w:sz w:val="18"/>
                <w:szCs w:val="22"/>
                <w:lang w:val="es-MX"/>
              </w:rPr>
            </w:pPr>
            <w:r w:rsidRPr="00F30FD1">
              <w:rPr>
                <w:rFonts w:eastAsia="Times New Roman" w:cs="Arial"/>
                <w:sz w:val="18"/>
                <w:szCs w:val="22"/>
                <w:lang w:val="es-MX"/>
              </w:rPr>
              <w:t>Instituciones Atendidas</w:t>
            </w:r>
          </w:p>
        </w:tc>
      </w:tr>
      <w:tr w:rsidR="00AF56F3" w:rsidRPr="00F30FD1" w14:paraId="02D6DB45"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357F0A4"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FB7A237" w14:textId="422CFC87" w:rsidR="00AF56F3" w:rsidRPr="00F30FD1" w:rsidRDefault="00330DB0" w:rsidP="00AF56F3">
            <w:pPr>
              <w:spacing w:after="0" w:line="240" w:lineRule="auto"/>
              <w:rPr>
                <w:rFonts w:eastAsia="Times New Roman" w:cs="Arial"/>
                <w:sz w:val="18"/>
                <w:szCs w:val="22"/>
                <w:lang w:val="es-MX"/>
              </w:rPr>
            </w:pPr>
            <w:r w:rsidRPr="00F30FD1">
              <w:rPr>
                <w:rFonts w:eastAsia="Times New Roman" w:cs="Arial"/>
                <w:sz w:val="18"/>
                <w:szCs w:val="22"/>
                <w:lang w:val="es-MX"/>
              </w:rPr>
              <w:t>Realizar acuerdos y gestionar alianzas estratégicas con instituciones públicas y privadas coadyuvando la concreción y desarrollo de nuevas estrategias en pro de Quintana Roo.</w:t>
            </w:r>
          </w:p>
        </w:tc>
      </w:tr>
      <w:tr w:rsidR="00AF56F3" w:rsidRPr="00F30FD1" w14:paraId="18A7CEAA"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7A69DE4"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03F3AC" w14:textId="0B076D5C" w:rsidR="00AF56F3" w:rsidRPr="00F30FD1" w:rsidRDefault="00330DB0" w:rsidP="00AF56F3">
            <w:pPr>
              <w:spacing w:after="0" w:line="240" w:lineRule="auto"/>
              <w:rPr>
                <w:rFonts w:eastAsia="Times New Roman" w:cs="Arial"/>
                <w:sz w:val="18"/>
                <w:szCs w:val="22"/>
                <w:lang w:val="es-MX"/>
              </w:rPr>
            </w:pPr>
            <w:r w:rsidRPr="00F30FD1">
              <w:rPr>
                <w:rFonts w:eastAsia="Times New Roman" w:cs="Arial"/>
                <w:sz w:val="18"/>
                <w:szCs w:val="22"/>
                <w:lang w:val="es-MX"/>
              </w:rPr>
              <w:t>Convenios Firmados</w:t>
            </w:r>
          </w:p>
        </w:tc>
      </w:tr>
      <w:tr w:rsidR="00AF56F3" w:rsidRPr="00F30FD1" w14:paraId="1DDD0606"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8B01B65"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717ECC4" w14:textId="518B03AB" w:rsidR="00AF56F3" w:rsidRPr="00F30FD1" w:rsidRDefault="00330DB0" w:rsidP="00AF56F3">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BE2C8D7"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63F84F9" w14:textId="745A50BE" w:rsidR="00AF56F3" w:rsidRPr="00F30FD1" w:rsidRDefault="00330DB0" w:rsidP="00AF56F3">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AF56F3" w:rsidRPr="00F30FD1" w14:paraId="0738B164"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33CC52F"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D656DF9" w14:textId="02E94E49" w:rsidR="00AF56F3" w:rsidRPr="00F30FD1" w:rsidRDefault="00330DB0" w:rsidP="00AF56F3">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AF56F3" w:rsidRPr="00F30FD1" w14:paraId="46418BA0"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4FA0B31"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78C23AE" w14:textId="55CDA7BC" w:rsidR="00AF56F3" w:rsidRPr="00F30FD1" w:rsidRDefault="00330DB0" w:rsidP="00AF56F3">
            <w:pPr>
              <w:spacing w:after="0" w:line="240" w:lineRule="auto"/>
              <w:rPr>
                <w:rFonts w:eastAsia="Times New Roman" w:cs="Arial"/>
                <w:sz w:val="18"/>
                <w:szCs w:val="22"/>
                <w:lang w:val="es-MX"/>
              </w:rPr>
            </w:pPr>
            <w:r w:rsidRPr="00F30FD1">
              <w:rPr>
                <w:rFonts w:eastAsia="Times New Roman" w:cs="Arial"/>
                <w:sz w:val="18"/>
                <w:szCs w:val="22"/>
                <w:lang w:val="es-MX"/>
              </w:rPr>
              <w:t>17.17.- Fomentar y Promover la constitución de alianzas eficaces en las esferas públicas, Público-Privado y de la Sociedad Civil.</w:t>
            </w:r>
          </w:p>
        </w:tc>
      </w:tr>
      <w:tr w:rsidR="00AF56F3" w:rsidRPr="00F30FD1" w14:paraId="1D2875C1"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B96428E"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E841BBA" w14:textId="1AFF296F" w:rsidR="00AF56F3" w:rsidRPr="00F30FD1" w:rsidRDefault="00990385" w:rsidP="00AF56F3">
            <w:pPr>
              <w:spacing w:after="0" w:line="240" w:lineRule="auto"/>
              <w:rPr>
                <w:rFonts w:eastAsia="Times New Roman" w:cs="Arial"/>
                <w:sz w:val="18"/>
                <w:szCs w:val="22"/>
                <w:lang w:val="es-MX"/>
              </w:rPr>
            </w:pPr>
            <w:r w:rsidRPr="00F30FD1">
              <w:rPr>
                <w:rFonts w:eastAsia="Times New Roman" w:cs="Arial"/>
                <w:sz w:val="18"/>
                <w:szCs w:val="22"/>
                <w:lang w:val="es-MX"/>
              </w:rPr>
              <w:t>17. Crecimiento Económico del Sur</w:t>
            </w:r>
          </w:p>
        </w:tc>
      </w:tr>
      <w:tr w:rsidR="00AF56F3" w:rsidRPr="00F30FD1" w14:paraId="37DAEB2A"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43A3605" w14:textId="77777777" w:rsidR="00AF56F3" w:rsidRPr="00F30FD1" w:rsidRDefault="00AF56F3" w:rsidP="00AF56F3">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8372D8A" w14:textId="2C6D4992" w:rsidR="00AF56F3" w:rsidRPr="00F30FD1" w:rsidRDefault="00990385" w:rsidP="00AF56F3">
            <w:pPr>
              <w:spacing w:after="0" w:line="240" w:lineRule="auto"/>
              <w:rPr>
                <w:rFonts w:eastAsia="Times New Roman" w:cs="Arial"/>
                <w:sz w:val="18"/>
                <w:szCs w:val="22"/>
                <w:lang w:val="es-MX"/>
              </w:rPr>
            </w:pPr>
            <w:r w:rsidRPr="00F30FD1">
              <w:rPr>
                <w:rFonts w:eastAsia="Times New Roman" w:cs="Arial"/>
                <w:sz w:val="18"/>
                <w:szCs w:val="22"/>
                <w:lang w:val="es-MX"/>
              </w:rPr>
              <w:t>17.1.9 Programa de Atracciones de Inversión</w:t>
            </w:r>
          </w:p>
        </w:tc>
      </w:tr>
      <w:tr w:rsidR="00AF56F3" w:rsidRPr="00F30FD1" w14:paraId="14F64683"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47C708A" w14:textId="77777777" w:rsidR="00AF56F3" w:rsidRPr="00F30FD1" w:rsidRDefault="00AF56F3"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AF56F3" w:rsidRPr="00F30FD1" w14:paraId="4CC9A6EA"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6FBC40A" w14:textId="77777777" w:rsidR="00AF56F3" w:rsidRPr="00F30FD1" w:rsidRDefault="00AF56F3"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39C932B" w14:textId="77777777" w:rsidR="00AF56F3" w:rsidRPr="00F30FD1" w:rsidRDefault="00AF56F3"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8C6A2CC" w14:textId="77777777" w:rsidR="00AF56F3" w:rsidRPr="00F30FD1" w:rsidRDefault="00AF56F3"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7606592" w14:textId="77777777" w:rsidR="00AF56F3" w:rsidRPr="00F30FD1" w:rsidRDefault="00AF56F3"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8255660" w14:textId="77777777" w:rsidR="00AF56F3" w:rsidRPr="00F30FD1" w:rsidRDefault="00AF56F3"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B6F6D88" w14:textId="77777777" w:rsidR="00AF56F3" w:rsidRPr="00F30FD1" w:rsidRDefault="00AF56F3"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AF56F3" w:rsidRPr="00F30FD1" w14:paraId="41725D19"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F1534CC" w14:textId="05596508" w:rsidR="00AF56F3" w:rsidRPr="00F30FD1" w:rsidRDefault="009964FA" w:rsidP="00AF56F3">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B97757D" w14:textId="518593EF" w:rsidR="00AF56F3" w:rsidRPr="00F30FD1" w:rsidRDefault="009964FA" w:rsidP="00AF56F3">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C830E29" w14:textId="0AA6A0BC" w:rsidR="00AF56F3" w:rsidRPr="00F30FD1" w:rsidRDefault="009964FA" w:rsidP="00AF56F3">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AC2F4E3" w14:textId="147C6732" w:rsidR="00AF56F3" w:rsidRPr="00F30FD1" w:rsidRDefault="00F179C9"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5</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43998EE" w14:textId="264B6BB7" w:rsidR="00AF56F3" w:rsidRPr="00F30FD1" w:rsidRDefault="00F179C9"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5</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0ACD4F4" w14:textId="25263702" w:rsidR="00AF56F3" w:rsidRPr="00F30FD1" w:rsidRDefault="00330DB0"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3</w:t>
            </w:r>
          </w:p>
        </w:tc>
      </w:tr>
    </w:tbl>
    <w:p w14:paraId="448D7B07" w14:textId="02B5838E" w:rsidR="00AF56F3" w:rsidRPr="00F30FD1" w:rsidRDefault="00AF56F3" w:rsidP="00952E57">
      <w:pPr>
        <w:spacing w:after="0" w:line="240" w:lineRule="auto"/>
        <w:contextualSpacing/>
        <w:rPr>
          <w:rFonts w:eastAsia="Times New Roman" w:cs="Arial"/>
          <w:sz w:val="20"/>
          <w:szCs w:val="22"/>
          <w:lang w:val="es-MX"/>
        </w:rPr>
      </w:pPr>
    </w:p>
    <w:p w14:paraId="0884810F" w14:textId="7BE4E6DF"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1779FAB7" w14:textId="77777777" w:rsidR="00AF56F3" w:rsidRPr="00F30FD1" w:rsidRDefault="00AF56F3"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847"/>
        <w:gridCol w:w="382"/>
        <w:gridCol w:w="1204"/>
        <w:gridCol w:w="431"/>
        <w:gridCol w:w="848"/>
        <w:gridCol w:w="620"/>
        <w:gridCol w:w="1664"/>
        <w:gridCol w:w="366"/>
        <w:gridCol w:w="2048"/>
      </w:tblGrid>
      <w:tr w:rsidR="00F179C9" w:rsidRPr="00F30FD1" w14:paraId="51E1963F"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F1CBAC6"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C361572"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F179C9" w:rsidRPr="00F30FD1" w14:paraId="21B3E518"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564DD4F0"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2EEE42B"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17. Impulsar programas de calidad total en la atención a usuarios internos y externos de los servicios tributarios.</w:t>
            </w:r>
          </w:p>
        </w:tc>
      </w:tr>
      <w:tr w:rsidR="00F179C9" w:rsidRPr="00F30FD1" w14:paraId="27C27340"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D68884A"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7E413CB2"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6E1888" w:rsidRPr="00F30FD1" w14:paraId="4C17488B"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9CC1804"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FA3E419" w14:textId="66CB2CD0"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Campañas, notas informativas y métricas de medios digitales</w:t>
            </w:r>
          </w:p>
          <w:p w14:paraId="55C25361" w14:textId="19516A22" w:rsidR="00F179C9" w:rsidRPr="00F30FD1" w:rsidRDefault="00F179C9" w:rsidP="00F179C9">
            <w:pPr>
              <w:spacing w:after="0" w:line="240" w:lineRule="auto"/>
              <w:rPr>
                <w:rFonts w:eastAsia="Times New Roman" w:cs="Arial"/>
                <w:sz w:val="18"/>
                <w:szCs w:val="22"/>
              </w:rPr>
            </w:pP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B0588BB"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E6C83F5" w14:textId="088877EA" w:rsidR="00F179C9" w:rsidRPr="00F30FD1" w:rsidRDefault="006E1888" w:rsidP="00F179C9">
            <w:pPr>
              <w:spacing w:after="0" w:line="240" w:lineRule="auto"/>
              <w:rPr>
                <w:rFonts w:cs="Arial"/>
              </w:rPr>
            </w:pPr>
            <w:r w:rsidRPr="00F30FD1">
              <w:rPr>
                <w:rFonts w:eastAsia="Times New Roman" w:cs="Arial"/>
                <w:sz w:val="18"/>
                <w:szCs w:val="22"/>
                <w:lang w:val="es-MX"/>
              </w:rPr>
              <w:t xml:space="preserve">Personas </w:t>
            </w:r>
            <w:r w:rsidR="00F179C9" w:rsidRPr="00F30FD1">
              <w:rPr>
                <w:rFonts w:eastAsia="Times New Roman" w:cs="Arial"/>
                <w:sz w:val="18"/>
                <w:szCs w:val="22"/>
                <w:lang w:val="es-MX"/>
              </w:rPr>
              <w:t>Impactadas</w:t>
            </w:r>
          </w:p>
          <w:p w14:paraId="3E5B3544" w14:textId="2BFA9FB7" w:rsidR="00F179C9" w:rsidRPr="00F30FD1" w:rsidRDefault="00F179C9" w:rsidP="00F179C9">
            <w:pPr>
              <w:spacing w:after="0" w:line="240" w:lineRule="auto"/>
              <w:rPr>
                <w:rFonts w:eastAsia="Times New Roman" w:cs="Arial"/>
                <w:sz w:val="18"/>
                <w:szCs w:val="22"/>
                <w:lang w:val="es-MX"/>
              </w:rPr>
            </w:pPr>
          </w:p>
        </w:tc>
      </w:tr>
      <w:tr w:rsidR="00F179C9" w:rsidRPr="00F30FD1" w14:paraId="494AC534"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446EA58"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A6CDA07" w14:textId="440B0A9C"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Estrategia de posicionamiento de Quintana Roo como destino de inversión</w:t>
            </w:r>
          </w:p>
          <w:p w14:paraId="1F98F063" w14:textId="348EACF1" w:rsidR="00F179C9" w:rsidRPr="00F30FD1" w:rsidRDefault="00F179C9" w:rsidP="00F179C9">
            <w:pPr>
              <w:spacing w:after="0" w:line="240" w:lineRule="auto"/>
              <w:rPr>
                <w:rFonts w:eastAsia="Times New Roman" w:cs="Arial"/>
                <w:sz w:val="18"/>
                <w:szCs w:val="22"/>
              </w:rPr>
            </w:pPr>
          </w:p>
        </w:tc>
      </w:tr>
      <w:tr w:rsidR="00F179C9" w:rsidRPr="00F30FD1" w14:paraId="4F7352A4"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47C416B"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48F39FA"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Sitios web y redes sociales</w:t>
            </w:r>
          </w:p>
          <w:p w14:paraId="3DE6846E" w14:textId="62A2D919" w:rsidR="00F179C9" w:rsidRPr="00F30FD1" w:rsidRDefault="00F179C9" w:rsidP="00F179C9">
            <w:pPr>
              <w:spacing w:after="0" w:line="240" w:lineRule="auto"/>
              <w:rPr>
                <w:rFonts w:eastAsia="Times New Roman" w:cs="Arial"/>
                <w:sz w:val="18"/>
                <w:szCs w:val="22"/>
                <w:lang w:val="es-MX"/>
              </w:rPr>
            </w:pPr>
          </w:p>
        </w:tc>
      </w:tr>
      <w:tr w:rsidR="006E1888" w:rsidRPr="00F30FD1" w14:paraId="2AC2AAC0"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6363FE3"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3DA6EE"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A39CC87"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6684F9A"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F179C9" w:rsidRPr="00F30FD1" w14:paraId="61E8127E"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91D5F7F"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E53326"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179C9" w:rsidRPr="00F30FD1" w14:paraId="21ACE06B"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F1A55E0"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05D2DA5"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17.17.- Fomentar y Promover la constitución de alianzas eficaces en las esferas públicas, Público-Privado y de la Sociedad Civil.</w:t>
            </w:r>
          </w:p>
        </w:tc>
      </w:tr>
      <w:tr w:rsidR="00990385" w:rsidRPr="00F30FD1" w14:paraId="00326A0E"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02A3BAC" w14:textId="3891619E"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F3FDDF1" w14:textId="7D69F4E5"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17. Crecimiento Económico del Sur</w:t>
            </w:r>
          </w:p>
        </w:tc>
      </w:tr>
      <w:tr w:rsidR="00990385" w:rsidRPr="00F30FD1" w14:paraId="28B6B194"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91B548F" w14:textId="3D456545"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887B1A4" w14:textId="16F165A3"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17.1.9 Programa de Atracciones de Inversión</w:t>
            </w:r>
          </w:p>
        </w:tc>
      </w:tr>
      <w:tr w:rsidR="00F179C9" w:rsidRPr="00F30FD1" w14:paraId="0D4E1ACA"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3C73BCF"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6E1888" w:rsidRPr="00F30FD1" w14:paraId="2C956291"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8667FC4"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F404783"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004471B"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F289A77"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3BAC842"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FA15DB9"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6E1888" w:rsidRPr="00F30FD1" w14:paraId="7F7EECCA"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9F31EC7" w14:textId="0C89223A" w:rsidR="00F179C9" w:rsidRPr="00F30FD1" w:rsidRDefault="009964FA" w:rsidP="00F179C9">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EF0AAC8" w14:textId="03F2BBDA" w:rsidR="00F179C9" w:rsidRPr="00F30FD1" w:rsidRDefault="009964FA" w:rsidP="00F179C9">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1D4A979" w14:textId="121D5731" w:rsidR="00F179C9" w:rsidRPr="00F30FD1" w:rsidRDefault="009964FA" w:rsidP="00F179C9">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67679AD" w14:textId="173BDE3A" w:rsidR="00F179C9" w:rsidRPr="00F30FD1" w:rsidRDefault="006E1888"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1200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A2698EC" w14:textId="3F3815D9" w:rsidR="00F179C9" w:rsidRPr="00F30FD1" w:rsidRDefault="006E1888"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1200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5C55C9F" w14:textId="114C08D6" w:rsidR="00F179C9" w:rsidRPr="00F30FD1" w:rsidRDefault="006E1888"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700</w:t>
            </w:r>
          </w:p>
        </w:tc>
      </w:tr>
    </w:tbl>
    <w:p w14:paraId="434F07F4" w14:textId="77777777" w:rsidR="00F179C9" w:rsidRPr="00F30FD1" w:rsidRDefault="00F179C9" w:rsidP="00F179C9">
      <w:pPr>
        <w:spacing w:after="0" w:line="240" w:lineRule="auto"/>
        <w:contextualSpacing/>
        <w:rPr>
          <w:rFonts w:eastAsia="Times New Roman" w:cs="Arial"/>
          <w:sz w:val="20"/>
          <w:szCs w:val="22"/>
          <w:lang w:val="es-MX"/>
        </w:rPr>
      </w:pPr>
    </w:p>
    <w:p w14:paraId="09193E9B" w14:textId="3D940224"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7222F9BD" w14:textId="77777777" w:rsidR="00F179C9" w:rsidRPr="00F30FD1" w:rsidRDefault="00F179C9"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847"/>
        <w:gridCol w:w="382"/>
        <w:gridCol w:w="1204"/>
        <w:gridCol w:w="431"/>
        <w:gridCol w:w="848"/>
        <w:gridCol w:w="620"/>
        <w:gridCol w:w="1664"/>
        <w:gridCol w:w="366"/>
        <w:gridCol w:w="2048"/>
      </w:tblGrid>
      <w:tr w:rsidR="00F179C9" w:rsidRPr="00F30FD1" w14:paraId="49A1AB2C"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C51B74A"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5F16AF8"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F179C9" w:rsidRPr="00F30FD1" w14:paraId="761C460A"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5A309338"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48CBC30"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17. Impulsar programas de calidad total en la atención a usuarios internos y externos de los servicios tributarios.</w:t>
            </w:r>
          </w:p>
        </w:tc>
      </w:tr>
      <w:tr w:rsidR="00F179C9" w:rsidRPr="00F30FD1" w14:paraId="15DF595A"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5B7EE36"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6C3A5BC4"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F179C9" w:rsidRPr="00F30FD1" w14:paraId="39FBC951"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473A1F2"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E02D6F7" w14:textId="16495201" w:rsidR="006E1888" w:rsidRPr="00F30FD1" w:rsidRDefault="006E1888" w:rsidP="006E1888">
            <w:pPr>
              <w:spacing w:after="0" w:line="240" w:lineRule="auto"/>
              <w:rPr>
                <w:rFonts w:eastAsia="Times New Roman" w:cs="Arial"/>
                <w:sz w:val="18"/>
                <w:szCs w:val="22"/>
                <w:lang w:val="es-MX"/>
              </w:rPr>
            </w:pPr>
            <w:r w:rsidRPr="00F30FD1">
              <w:rPr>
                <w:rFonts w:eastAsia="Times New Roman" w:cs="Arial"/>
                <w:sz w:val="18"/>
                <w:szCs w:val="22"/>
                <w:lang w:val="es-MX"/>
              </w:rPr>
              <w:t>Reporte y evidencias de inversionistas atendidos</w:t>
            </w:r>
          </w:p>
          <w:p w14:paraId="531888FF" w14:textId="0F62E4B2" w:rsidR="00F179C9" w:rsidRPr="00F30FD1" w:rsidRDefault="00F179C9" w:rsidP="00F179C9">
            <w:pPr>
              <w:spacing w:after="0" w:line="240" w:lineRule="auto"/>
              <w:rPr>
                <w:rFonts w:eastAsia="Times New Roman" w:cs="Arial"/>
                <w:sz w:val="18"/>
                <w:szCs w:val="22"/>
                <w:lang w:val="es-MX"/>
              </w:rPr>
            </w:pP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F4C6E6F"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5E91B95" w14:textId="0D034EEC" w:rsidR="006E1888" w:rsidRPr="00F30FD1" w:rsidRDefault="006E1888" w:rsidP="006E1888">
            <w:pPr>
              <w:spacing w:after="0" w:line="240" w:lineRule="auto"/>
              <w:rPr>
                <w:rFonts w:eastAsia="Times New Roman" w:cs="Arial"/>
                <w:sz w:val="18"/>
                <w:szCs w:val="22"/>
                <w:lang w:val="es-MX"/>
              </w:rPr>
            </w:pPr>
            <w:r w:rsidRPr="00F30FD1">
              <w:rPr>
                <w:rFonts w:eastAsia="Times New Roman" w:cs="Arial"/>
                <w:sz w:val="18"/>
                <w:szCs w:val="22"/>
                <w:lang w:val="es-MX"/>
              </w:rPr>
              <w:t>Inversionistas atendidos</w:t>
            </w:r>
          </w:p>
          <w:p w14:paraId="62358352" w14:textId="36762E7A" w:rsidR="00F179C9" w:rsidRPr="00F30FD1" w:rsidRDefault="00F179C9" w:rsidP="00F179C9">
            <w:pPr>
              <w:spacing w:after="0" w:line="240" w:lineRule="auto"/>
              <w:rPr>
                <w:rFonts w:eastAsia="Times New Roman" w:cs="Arial"/>
                <w:sz w:val="18"/>
                <w:szCs w:val="22"/>
                <w:lang w:val="es-MX"/>
              </w:rPr>
            </w:pPr>
          </w:p>
        </w:tc>
      </w:tr>
      <w:tr w:rsidR="00F179C9" w:rsidRPr="00F30FD1" w14:paraId="0706107E"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B66EAD1"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64B04DC" w14:textId="4D1A7191" w:rsidR="00F179C9" w:rsidRPr="00F30FD1" w:rsidRDefault="006E1888" w:rsidP="006E1888">
            <w:pPr>
              <w:spacing w:after="0" w:line="240" w:lineRule="auto"/>
              <w:rPr>
                <w:rFonts w:eastAsia="Times New Roman" w:cs="Arial"/>
                <w:sz w:val="18"/>
                <w:szCs w:val="22"/>
                <w:lang w:val="es-MX"/>
              </w:rPr>
            </w:pPr>
            <w:r w:rsidRPr="00F30FD1">
              <w:rPr>
                <w:rFonts w:eastAsia="Times New Roman" w:cs="Arial"/>
                <w:sz w:val="18"/>
                <w:szCs w:val="22"/>
                <w:lang w:val="es-MX"/>
              </w:rPr>
              <w:t>Se realizaran Reportes  de las Agendas de trabajo institucional sobre la atención  a los inversionistas.</w:t>
            </w:r>
          </w:p>
        </w:tc>
      </w:tr>
      <w:tr w:rsidR="00F179C9" w:rsidRPr="00F30FD1" w14:paraId="5A93303E"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EB35777"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12F31B9" w14:textId="7128552A" w:rsidR="00F179C9" w:rsidRPr="00F30FD1" w:rsidRDefault="00306C82" w:rsidP="00F179C9">
            <w:pPr>
              <w:spacing w:after="0" w:line="240" w:lineRule="auto"/>
              <w:rPr>
                <w:rFonts w:eastAsia="Times New Roman" w:cs="Arial"/>
                <w:sz w:val="18"/>
                <w:szCs w:val="22"/>
                <w:lang w:val="es-MX"/>
              </w:rPr>
            </w:pPr>
            <w:r w:rsidRPr="00F30FD1">
              <w:rPr>
                <w:rFonts w:eastAsia="Times New Roman" w:cs="Arial"/>
                <w:sz w:val="18"/>
                <w:szCs w:val="22"/>
                <w:lang w:val="es-MX"/>
              </w:rPr>
              <w:t>Formato de reporte de los inversionistas atendidos</w:t>
            </w:r>
          </w:p>
        </w:tc>
      </w:tr>
      <w:tr w:rsidR="00F179C9" w:rsidRPr="00F30FD1" w14:paraId="57A1F1CE"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BAE908A"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2EBEC0D"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FCB9A78"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0F1CF14"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F179C9" w:rsidRPr="00F30FD1" w14:paraId="6023653E"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C646DF"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99D8EB"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179C9" w:rsidRPr="00F30FD1" w14:paraId="6A7CB853"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8EFEC5D"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74B9AC1"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17.17.- Fomentar y Promover la constitución de alianzas eficaces en las esferas públicas, Público-Privado y de la Sociedad Civil.</w:t>
            </w:r>
          </w:p>
        </w:tc>
      </w:tr>
      <w:tr w:rsidR="00990385" w:rsidRPr="00F30FD1" w14:paraId="78ED0460"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DB83CAA" w14:textId="3D19E084"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FFC30E8" w14:textId="0337A7EE"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17. Crecimiento Económico del Sur</w:t>
            </w:r>
          </w:p>
        </w:tc>
      </w:tr>
      <w:tr w:rsidR="00990385" w:rsidRPr="00F30FD1" w14:paraId="50A2FFD8"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7CDDDBF" w14:textId="5D68A990"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FC0C06D" w14:textId="46752DD8"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17.1.9 Programa de Atracciones de Inversión</w:t>
            </w:r>
          </w:p>
        </w:tc>
      </w:tr>
      <w:tr w:rsidR="00F179C9" w:rsidRPr="00F30FD1" w14:paraId="1B5A919C"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83DF131"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F179C9" w:rsidRPr="00F30FD1" w14:paraId="776C55F1"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C90D8F9"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BE0B759"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6E6CAF1"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F0451D2"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3C3D011"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A11C982"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F179C9" w:rsidRPr="00F30FD1" w14:paraId="05BF8C6C"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229F6F7" w14:textId="35710D09" w:rsidR="00F179C9" w:rsidRPr="00F30FD1" w:rsidRDefault="009964FA" w:rsidP="00F179C9">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EF4114F" w14:textId="4D0DE9B6" w:rsidR="00F179C9" w:rsidRPr="00F30FD1" w:rsidRDefault="009964FA" w:rsidP="00F179C9">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448EAA7" w14:textId="29CBC3FC" w:rsidR="00F179C9" w:rsidRPr="00F30FD1" w:rsidRDefault="009964FA" w:rsidP="00F179C9">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C5ED253" w14:textId="10931A60" w:rsidR="00F179C9" w:rsidRPr="00F30FD1" w:rsidRDefault="006E1888"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120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CB782D4" w14:textId="1E2D5C3C" w:rsidR="00F179C9" w:rsidRPr="00F30FD1" w:rsidRDefault="006E1888"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120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7230690" w14:textId="3DD02F20" w:rsidR="00F179C9" w:rsidRPr="00F30FD1" w:rsidRDefault="006E1888"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80</w:t>
            </w:r>
          </w:p>
        </w:tc>
      </w:tr>
    </w:tbl>
    <w:p w14:paraId="207AB100" w14:textId="77777777" w:rsidR="00F179C9" w:rsidRPr="00F30FD1" w:rsidRDefault="00F179C9" w:rsidP="00F179C9">
      <w:pPr>
        <w:spacing w:after="0" w:line="240" w:lineRule="auto"/>
        <w:contextualSpacing/>
        <w:rPr>
          <w:rFonts w:eastAsia="Times New Roman" w:cs="Arial"/>
          <w:sz w:val="20"/>
          <w:szCs w:val="22"/>
          <w:lang w:val="es-MX"/>
        </w:rPr>
      </w:pPr>
    </w:p>
    <w:p w14:paraId="40079568" w14:textId="42D3BF9F"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506B0942" w14:textId="77777777" w:rsidR="00F179C9" w:rsidRPr="00F30FD1" w:rsidRDefault="00F179C9"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847"/>
        <w:gridCol w:w="382"/>
        <w:gridCol w:w="1204"/>
        <w:gridCol w:w="431"/>
        <w:gridCol w:w="848"/>
        <w:gridCol w:w="620"/>
        <w:gridCol w:w="1664"/>
        <w:gridCol w:w="366"/>
        <w:gridCol w:w="2048"/>
      </w:tblGrid>
      <w:tr w:rsidR="00F179C9" w:rsidRPr="00F30FD1" w14:paraId="5FF7B220"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D72F703"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E7B018F"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F179C9" w:rsidRPr="00F30FD1" w14:paraId="444F07A3"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C795409"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599B204"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17. Impulsar programas de calidad total en la atención a usuarios internos y externos de los servicios tributarios.</w:t>
            </w:r>
          </w:p>
        </w:tc>
      </w:tr>
      <w:tr w:rsidR="00F179C9" w:rsidRPr="00F30FD1" w14:paraId="6A45DB77"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6E4DD4C"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350A615C"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F179C9" w:rsidRPr="00F30FD1" w14:paraId="67B70D05"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501444B"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4ECABC8" w14:textId="49CB3A92" w:rsidR="00306C82" w:rsidRPr="00F30FD1" w:rsidRDefault="00306C82" w:rsidP="00306C82">
            <w:pPr>
              <w:spacing w:after="0" w:line="240" w:lineRule="auto"/>
              <w:rPr>
                <w:rFonts w:eastAsia="Times New Roman" w:cs="Arial"/>
                <w:sz w:val="18"/>
                <w:szCs w:val="22"/>
                <w:lang w:val="es-MX"/>
              </w:rPr>
            </w:pPr>
            <w:r w:rsidRPr="00F30FD1">
              <w:rPr>
                <w:rFonts w:eastAsia="Times New Roman" w:cs="Arial"/>
                <w:sz w:val="18"/>
                <w:szCs w:val="22"/>
                <w:lang w:val="es-MX"/>
              </w:rPr>
              <w:t>Informe de reuniones con Instituciones Financieras</w:t>
            </w:r>
          </w:p>
          <w:p w14:paraId="6CA59F79" w14:textId="47CBDFAB" w:rsidR="00F179C9" w:rsidRPr="00F30FD1" w:rsidRDefault="00F179C9" w:rsidP="00F179C9">
            <w:pPr>
              <w:spacing w:after="0" w:line="240" w:lineRule="auto"/>
              <w:rPr>
                <w:rFonts w:eastAsia="Times New Roman" w:cs="Arial"/>
                <w:sz w:val="18"/>
                <w:szCs w:val="22"/>
                <w:lang w:val="es-MX"/>
              </w:rPr>
            </w:pP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8E3E7EF"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FCCB07D" w14:textId="7937B03A" w:rsidR="00306C82" w:rsidRPr="00F30FD1" w:rsidRDefault="00306C82" w:rsidP="00306C82">
            <w:pPr>
              <w:spacing w:after="0" w:line="240" w:lineRule="auto"/>
              <w:rPr>
                <w:rFonts w:eastAsia="Times New Roman" w:cs="Arial"/>
                <w:sz w:val="18"/>
                <w:szCs w:val="22"/>
                <w:lang w:val="es-MX"/>
              </w:rPr>
            </w:pPr>
            <w:r w:rsidRPr="00F30FD1">
              <w:rPr>
                <w:rFonts w:eastAsia="Times New Roman" w:cs="Arial"/>
                <w:sz w:val="18"/>
                <w:szCs w:val="22"/>
                <w:lang w:val="es-MX"/>
              </w:rPr>
              <w:t>Informe Elaborados</w:t>
            </w:r>
          </w:p>
          <w:p w14:paraId="4A4582C8" w14:textId="7E264CCB" w:rsidR="00F179C9" w:rsidRPr="00F30FD1" w:rsidRDefault="00F179C9" w:rsidP="00F179C9">
            <w:pPr>
              <w:spacing w:after="0" w:line="240" w:lineRule="auto"/>
              <w:rPr>
                <w:rFonts w:eastAsia="Times New Roman" w:cs="Arial"/>
                <w:sz w:val="18"/>
                <w:szCs w:val="22"/>
                <w:lang w:val="es-MX"/>
              </w:rPr>
            </w:pPr>
          </w:p>
        </w:tc>
      </w:tr>
      <w:tr w:rsidR="00F179C9" w:rsidRPr="00F30FD1" w14:paraId="3646E380"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47B54E7"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A7504D3" w14:textId="7A3417EE" w:rsidR="00F179C9" w:rsidRPr="00F30FD1" w:rsidRDefault="00306C82" w:rsidP="00990385">
            <w:pPr>
              <w:spacing w:after="0" w:line="240" w:lineRule="auto"/>
              <w:rPr>
                <w:rFonts w:eastAsia="Times New Roman" w:cs="Arial"/>
                <w:sz w:val="18"/>
                <w:szCs w:val="22"/>
                <w:lang w:val="es-MX"/>
              </w:rPr>
            </w:pPr>
            <w:r w:rsidRPr="00F30FD1">
              <w:rPr>
                <w:rFonts w:eastAsia="Times New Roman" w:cs="Arial"/>
                <w:sz w:val="18"/>
                <w:szCs w:val="22"/>
                <w:lang w:val="es-MX"/>
              </w:rPr>
              <w:t>Informe de los avances realizados de las gestiones en cuestión de financiamiento</w:t>
            </w:r>
          </w:p>
        </w:tc>
      </w:tr>
      <w:tr w:rsidR="00F179C9" w:rsidRPr="00F30FD1" w14:paraId="1666B1BB"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8927EF7"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71D9EEE" w14:textId="52411385" w:rsidR="00F179C9" w:rsidRPr="00F30FD1" w:rsidRDefault="00306C82" w:rsidP="00F179C9">
            <w:pPr>
              <w:spacing w:after="0" w:line="240" w:lineRule="auto"/>
              <w:rPr>
                <w:rFonts w:eastAsia="Times New Roman" w:cs="Arial"/>
                <w:sz w:val="18"/>
                <w:szCs w:val="22"/>
                <w:lang w:val="es-MX"/>
              </w:rPr>
            </w:pPr>
            <w:r w:rsidRPr="00F30FD1">
              <w:rPr>
                <w:rFonts w:eastAsia="Times New Roman" w:cs="Arial"/>
                <w:sz w:val="18"/>
                <w:szCs w:val="22"/>
                <w:lang w:val="es-MX"/>
              </w:rPr>
              <w:t>Minutas Elaboradas</w:t>
            </w:r>
          </w:p>
        </w:tc>
      </w:tr>
      <w:tr w:rsidR="00F179C9" w:rsidRPr="00F30FD1" w14:paraId="5301CB94"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CBD1F48"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E6610E0"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CA26E2B"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E6926C8"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F179C9" w:rsidRPr="00F30FD1" w14:paraId="3C3A8E74"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6EBCF9A"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F87EA77"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179C9" w:rsidRPr="00F30FD1" w14:paraId="33C60346"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D77CCF6"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7FEC485" w14:textId="77777777" w:rsidR="00F179C9" w:rsidRPr="00F30FD1" w:rsidRDefault="00F179C9" w:rsidP="00F179C9">
            <w:pPr>
              <w:spacing w:after="0" w:line="240" w:lineRule="auto"/>
              <w:rPr>
                <w:rFonts w:eastAsia="Times New Roman" w:cs="Arial"/>
                <w:sz w:val="18"/>
                <w:szCs w:val="22"/>
                <w:lang w:val="es-MX"/>
              </w:rPr>
            </w:pPr>
            <w:r w:rsidRPr="00F30FD1">
              <w:rPr>
                <w:rFonts w:eastAsia="Times New Roman" w:cs="Arial"/>
                <w:sz w:val="18"/>
                <w:szCs w:val="22"/>
                <w:lang w:val="es-MX"/>
              </w:rPr>
              <w:t>17.17.- Fomentar y Promover la constitución de alianzas eficaces en las esferas públicas, Público-Privado y de la Sociedad Civil.</w:t>
            </w:r>
          </w:p>
        </w:tc>
      </w:tr>
      <w:tr w:rsidR="00990385" w:rsidRPr="00F30FD1" w14:paraId="74542BA4"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E786FEB" w14:textId="6F1057F2"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D6A5BE4" w14:textId="75BFFA71"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17. Crecimiento Económico del Sur</w:t>
            </w:r>
          </w:p>
        </w:tc>
      </w:tr>
      <w:tr w:rsidR="00990385" w:rsidRPr="00F30FD1" w14:paraId="12CDC097" w14:textId="77777777" w:rsidTr="001D269B">
        <w:trPr>
          <w:trHeight w:val="20"/>
          <w:jc w:val="right"/>
        </w:trPr>
        <w:tc>
          <w:tcPr>
            <w:tcW w:w="115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C1B2F7B" w14:textId="18457440"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9F97A19" w14:textId="2374FB38" w:rsidR="00990385" w:rsidRPr="00F30FD1" w:rsidRDefault="00990385" w:rsidP="00F179C9">
            <w:pPr>
              <w:spacing w:after="0" w:line="240" w:lineRule="auto"/>
              <w:rPr>
                <w:rFonts w:eastAsia="Times New Roman" w:cs="Arial"/>
                <w:sz w:val="18"/>
                <w:szCs w:val="22"/>
                <w:lang w:val="es-MX"/>
              </w:rPr>
            </w:pPr>
            <w:r w:rsidRPr="00F30FD1">
              <w:rPr>
                <w:rFonts w:eastAsia="Times New Roman" w:cs="Arial"/>
                <w:sz w:val="18"/>
                <w:szCs w:val="22"/>
                <w:lang w:val="es-MX"/>
              </w:rPr>
              <w:t>17.1.9 Programa de Atracciones de Inversión</w:t>
            </w:r>
          </w:p>
        </w:tc>
      </w:tr>
      <w:tr w:rsidR="00F179C9" w:rsidRPr="00F30FD1" w14:paraId="209E87F3"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A621A79"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F179C9" w:rsidRPr="00F30FD1" w14:paraId="5E71900A"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CD22FA5"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67AB9E4"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D3A1780"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8A461C4"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54774FE"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160177C" w14:textId="77777777" w:rsidR="00F179C9" w:rsidRPr="00F30FD1" w:rsidRDefault="00F179C9"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F179C9" w:rsidRPr="00F30FD1" w14:paraId="2B5C4A83"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5AFBEFA" w14:textId="092A5E5C" w:rsidR="00F179C9" w:rsidRPr="00F30FD1" w:rsidRDefault="009964FA" w:rsidP="00F179C9">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23E5EFB" w14:textId="3972B1A9" w:rsidR="00F179C9" w:rsidRPr="00F30FD1" w:rsidRDefault="009964FA" w:rsidP="00F179C9">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DCE74B6" w14:textId="001669C1" w:rsidR="00F179C9" w:rsidRPr="00F30FD1" w:rsidRDefault="009964FA" w:rsidP="00F179C9">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460466E" w14:textId="72A4D902" w:rsidR="00F179C9" w:rsidRPr="00F30FD1" w:rsidRDefault="00306C82"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4</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C7AD269" w14:textId="126B2334" w:rsidR="00F179C9" w:rsidRPr="00F30FD1" w:rsidRDefault="00306C82" w:rsidP="00306C82">
            <w:pPr>
              <w:spacing w:after="0" w:line="240" w:lineRule="auto"/>
              <w:rPr>
                <w:rFonts w:eastAsia="Times New Roman" w:cs="Arial"/>
                <w:sz w:val="18"/>
                <w:szCs w:val="22"/>
                <w:lang w:val="es-MX"/>
              </w:rPr>
            </w:pPr>
            <w:r w:rsidRPr="00F30FD1">
              <w:rPr>
                <w:rFonts w:eastAsia="Times New Roman" w:cs="Arial"/>
                <w:sz w:val="18"/>
                <w:szCs w:val="22"/>
                <w:lang w:val="es-MX"/>
              </w:rPr>
              <w:t>4</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EE6E7EC" w14:textId="49BF644C" w:rsidR="00F179C9" w:rsidRPr="00F30FD1" w:rsidRDefault="00306C82" w:rsidP="00F179C9">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r>
    </w:tbl>
    <w:p w14:paraId="0EA34E26" w14:textId="77777777" w:rsidR="00F179C9" w:rsidRPr="00F30FD1" w:rsidRDefault="00F179C9" w:rsidP="00F179C9">
      <w:pPr>
        <w:spacing w:after="0" w:line="240" w:lineRule="auto"/>
        <w:contextualSpacing/>
        <w:rPr>
          <w:rFonts w:eastAsia="Times New Roman" w:cs="Arial"/>
          <w:sz w:val="20"/>
          <w:szCs w:val="22"/>
          <w:lang w:val="es-MX"/>
        </w:rPr>
      </w:pPr>
    </w:p>
    <w:p w14:paraId="1002F43B" w14:textId="354F024B"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3317BE81" w14:textId="77777777" w:rsidR="00F179C9" w:rsidRPr="00F30FD1" w:rsidRDefault="00F179C9"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41F31213"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C01B9B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93E9BF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5D23C786"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509429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F4C4C9B" w14:textId="08CFDFE5" w:rsidR="00E66F7B" w:rsidRPr="00F30FD1" w:rsidRDefault="00E96D3B" w:rsidP="00E96D3B">
            <w:pPr>
              <w:spacing w:after="0" w:line="240" w:lineRule="auto"/>
              <w:rPr>
                <w:rFonts w:eastAsia="Times New Roman" w:cs="Arial"/>
                <w:sz w:val="18"/>
                <w:szCs w:val="22"/>
                <w:lang w:val="es-MX"/>
              </w:rPr>
            </w:pPr>
            <w:r w:rsidRPr="00F30FD1">
              <w:rPr>
                <w:rFonts w:eastAsia="Times New Roman" w:cs="Arial"/>
                <w:sz w:val="18"/>
                <w:szCs w:val="22"/>
                <w:lang w:val="es-MX"/>
              </w:rPr>
              <w:t>18. Impulsar la recaudación de ingresos propios.</w:t>
            </w:r>
          </w:p>
        </w:tc>
      </w:tr>
      <w:tr w:rsidR="00E66F7B" w:rsidRPr="00F30FD1" w14:paraId="7417857E"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0AA4B3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6013D67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1F5C91" w:rsidRPr="00F30FD1" w14:paraId="719A5A2A"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69330D" w14:textId="1345015E"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FD8525C" w14:textId="22E87856"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Número de Movimientos de licencias y permisos autorizados para la venta y consumo de bebidas alcohólicas.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8DC8F0D" w14:textId="1B2AA3B2"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068DAB0" w14:textId="3F5A8919" w:rsidR="001F5C91" w:rsidRPr="00F30FD1" w:rsidRDefault="00DC6EB8" w:rsidP="001F5C91">
            <w:pPr>
              <w:spacing w:after="0" w:line="240" w:lineRule="auto"/>
              <w:rPr>
                <w:rFonts w:eastAsia="Times New Roman" w:cs="Arial"/>
                <w:sz w:val="18"/>
                <w:szCs w:val="22"/>
                <w:lang w:val="es-MX"/>
              </w:rPr>
            </w:pPr>
            <w:r w:rsidRPr="00F30FD1">
              <w:rPr>
                <w:rFonts w:eastAsia="Times New Roman" w:cs="Arial"/>
                <w:sz w:val="18"/>
                <w:szCs w:val="22"/>
                <w:lang w:val="es-MX"/>
              </w:rPr>
              <w:t xml:space="preserve"> </w:t>
            </w:r>
            <w:r w:rsidR="00014766" w:rsidRPr="00F30FD1">
              <w:rPr>
                <w:rFonts w:eastAsia="Times New Roman" w:cs="Arial"/>
                <w:sz w:val="18"/>
                <w:szCs w:val="22"/>
                <w:lang w:val="es-MX"/>
              </w:rPr>
              <w:t>Licencias  y Permisos Autorizados</w:t>
            </w:r>
          </w:p>
        </w:tc>
      </w:tr>
      <w:tr w:rsidR="001F5C91" w:rsidRPr="00F30FD1" w14:paraId="545F0EB5"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982015B" w14:textId="3F56B062"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B7AE2E4" w14:textId="17F6FDFD" w:rsidR="001F5C91" w:rsidRPr="00F30FD1" w:rsidRDefault="001F5C91" w:rsidP="00DC6EB8">
            <w:pPr>
              <w:spacing w:after="0" w:line="240" w:lineRule="auto"/>
              <w:rPr>
                <w:rFonts w:eastAsia="Times New Roman" w:cs="Arial"/>
                <w:sz w:val="18"/>
                <w:szCs w:val="22"/>
                <w:lang w:val="es-MX"/>
              </w:rPr>
            </w:pPr>
            <w:r w:rsidRPr="00F30FD1">
              <w:rPr>
                <w:rFonts w:eastAsia="Times New Roman" w:cs="Arial"/>
                <w:sz w:val="18"/>
                <w:szCs w:val="22"/>
                <w:lang w:val="es-MX"/>
              </w:rPr>
              <w:t>Se refiere a</w:t>
            </w:r>
            <w:r w:rsidR="00DC6EB8" w:rsidRPr="00F30FD1">
              <w:rPr>
                <w:rFonts w:eastAsia="Times New Roman" w:cs="Arial"/>
                <w:sz w:val="18"/>
                <w:szCs w:val="22"/>
                <w:lang w:val="es-MX"/>
              </w:rPr>
              <w:t xml:space="preserve">l número de </w:t>
            </w:r>
            <w:r w:rsidRPr="00F30FD1">
              <w:rPr>
                <w:rFonts w:eastAsia="Times New Roman" w:cs="Arial"/>
                <w:sz w:val="18"/>
                <w:szCs w:val="22"/>
                <w:lang w:val="es-MX"/>
              </w:rPr>
              <w:t xml:space="preserve">movimientos de </w:t>
            </w:r>
            <w:r w:rsidR="00DC6EB8" w:rsidRPr="00F30FD1">
              <w:rPr>
                <w:rFonts w:eastAsia="Times New Roman" w:cs="Arial"/>
                <w:sz w:val="18"/>
                <w:szCs w:val="22"/>
                <w:lang w:val="es-MX"/>
              </w:rPr>
              <w:t xml:space="preserve">las </w:t>
            </w:r>
            <w:r w:rsidRPr="00F30FD1">
              <w:rPr>
                <w:rFonts w:eastAsia="Times New Roman" w:cs="Arial"/>
                <w:sz w:val="18"/>
                <w:szCs w:val="22"/>
                <w:lang w:val="es-MX"/>
              </w:rPr>
              <w:t xml:space="preserve">licencias </w:t>
            </w:r>
            <w:r w:rsidR="00DC6EB8" w:rsidRPr="00F30FD1">
              <w:rPr>
                <w:rFonts w:eastAsia="Times New Roman" w:cs="Arial"/>
                <w:sz w:val="18"/>
                <w:szCs w:val="22"/>
                <w:lang w:val="es-MX"/>
              </w:rPr>
              <w:t xml:space="preserve">(expedición de licencias, certificaciones, renovaciones, cambios, refrendos, comodatos) </w:t>
            </w:r>
            <w:r w:rsidRPr="00F30FD1">
              <w:rPr>
                <w:rFonts w:eastAsia="Times New Roman" w:cs="Arial"/>
                <w:sz w:val="18"/>
                <w:szCs w:val="22"/>
                <w:lang w:val="es-MX"/>
              </w:rPr>
              <w:t xml:space="preserve">y permisos </w:t>
            </w:r>
            <w:r w:rsidR="00DC6EB8" w:rsidRPr="00F30FD1">
              <w:rPr>
                <w:rFonts w:eastAsia="Times New Roman" w:cs="Arial"/>
                <w:sz w:val="18"/>
                <w:szCs w:val="22"/>
                <w:lang w:val="es-MX"/>
              </w:rPr>
              <w:t xml:space="preserve">autorizados </w:t>
            </w:r>
            <w:r w:rsidRPr="00F30FD1">
              <w:rPr>
                <w:rFonts w:eastAsia="Times New Roman" w:cs="Arial"/>
                <w:sz w:val="18"/>
                <w:szCs w:val="22"/>
                <w:lang w:val="es-MX"/>
              </w:rPr>
              <w:t>para la venta y consumo de bebidas alcohólicas</w:t>
            </w:r>
          </w:p>
        </w:tc>
      </w:tr>
      <w:tr w:rsidR="001F5C91" w:rsidRPr="00F30FD1" w14:paraId="5870B1C0"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DC41356" w14:textId="1707239F"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26C56D" w14:textId="07EE3C71"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Sistema Administrativo de Recaudación Hacendaria (SARH) y BEBAL</w:t>
            </w:r>
          </w:p>
        </w:tc>
      </w:tr>
      <w:tr w:rsidR="001F5C91" w:rsidRPr="00F30FD1" w14:paraId="472B8CE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65FF3B4" w14:textId="59917EEF"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A15423D" w14:textId="017D48AD" w:rsidR="001F5C91" w:rsidRPr="00F30FD1" w:rsidRDefault="00DC6EB8" w:rsidP="001F5C91">
            <w:pPr>
              <w:spacing w:after="0" w:line="240" w:lineRule="auto"/>
              <w:rPr>
                <w:rFonts w:eastAsia="Times New Roman" w:cs="Arial"/>
                <w:sz w:val="18"/>
                <w:szCs w:val="22"/>
                <w:lang w:val="es-MX"/>
              </w:rPr>
            </w:pPr>
            <w:r w:rsidRPr="00F30FD1">
              <w:rPr>
                <w:rFonts w:eastAsia="Times New Roman" w:cs="Arial"/>
                <w:sz w:val="18"/>
                <w:szCs w:val="22"/>
                <w:lang w:val="es-MX"/>
              </w:rPr>
              <w:t>16</w:t>
            </w:r>
            <w:r w:rsidR="001F5C91" w:rsidRPr="00F30FD1">
              <w:rPr>
                <w:rFonts w:eastAsia="Times New Roman" w:cs="Arial"/>
                <w:sz w:val="18"/>
                <w:szCs w:val="22"/>
                <w:lang w:val="es-MX"/>
              </w:rPr>
              <w:t>,000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C9B161E" w14:textId="779395EC"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4AC75AE" w14:textId="5B4D7275" w:rsidR="001F5C91" w:rsidRPr="00F30FD1" w:rsidRDefault="00B40224" w:rsidP="001F5C91">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1F5C91" w:rsidRPr="00F30FD1" w14:paraId="47889D78"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CA051C" w14:textId="2B8019CD"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D32F909" w14:textId="6C6A8870"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 xml:space="preserve">17.Alianza para lograr los objetivos </w:t>
            </w:r>
          </w:p>
        </w:tc>
      </w:tr>
      <w:tr w:rsidR="001F5C91" w:rsidRPr="00F30FD1" w14:paraId="09EDE75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F0DDE35" w14:textId="4E012F04"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2127A63" w14:textId="690D3913" w:rsidR="001F5C91" w:rsidRPr="00F30FD1" w:rsidRDefault="004A7A01" w:rsidP="001F5C91">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tc>
      </w:tr>
      <w:tr w:rsidR="001F5C91" w:rsidRPr="00F30FD1" w14:paraId="11CB9D0D"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6D15B2A" w14:textId="1F1DAC5E"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8A30A37" w14:textId="506A4EC4"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1.Recaudación</w:t>
            </w:r>
          </w:p>
        </w:tc>
      </w:tr>
      <w:tr w:rsidR="001F5C91" w:rsidRPr="00F30FD1" w14:paraId="65F19ED6"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B54B09F" w14:textId="195C8D06"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08A6BF" w14:textId="0E9ACE2A" w:rsidR="001F5C91" w:rsidRPr="00F30FD1" w:rsidRDefault="001F5C91" w:rsidP="001F5C91">
            <w:pPr>
              <w:spacing w:after="0" w:line="240" w:lineRule="auto"/>
              <w:rPr>
                <w:rFonts w:eastAsia="Times New Roman" w:cs="Arial"/>
                <w:sz w:val="18"/>
                <w:szCs w:val="22"/>
                <w:lang w:val="es-MX"/>
              </w:rPr>
            </w:pPr>
            <w:r w:rsidRPr="00F30FD1">
              <w:rPr>
                <w:rFonts w:eastAsia="Times New Roman" w:cs="Arial"/>
                <w:sz w:val="18"/>
                <w:szCs w:val="22"/>
                <w:lang w:val="es-MX"/>
              </w:rPr>
              <w:t>1.1.2. Productos</w:t>
            </w:r>
          </w:p>
        </w:tc>
      </w:tr>
      <w:tr w:rsidR="001F5C91" w:rsidRPr="00F30FD1" w14:paraId="78C4D858"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677374" w14:textId="63E3D076" w:rsidR="001F5C91" w:rsidRPr="00F30FD1" w:rsidRDefault="001F5C91"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1F5C91" w:rsidRPr="00F30FD1" w14:paraId="313DFCBC"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2AC9272" w14:textId="35C12957" w:rsidR="001F5C91" w:rsidRPr="00F30FD1" w:rsidRDefault="001F5C91"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17AE2A0" w14:textId="4E5BCCB7" w:rsidR="001F5C91" w:rsidRPr="00F30FD1" w:rsidRDefault="001F5C91"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254EB58" w14:textId="32C967B7" w:rsidR="001F5C91" w:rsidRPr="00F30FD1" w:rsidRDefault="001F5C91"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ED552EF" w14:textId="739CAC26" w:rsidR="001F5C91" w:rsidRPr="00F30FD1" w:rsidRDefault="001F5C91"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8DB44A3" w14:textId="5C851162" w:rsidR="001F5C91" w:rsidRPr="00F30FD1" w:rsidRDefault="001F5C91"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EE4F954" w14:textId="77F8C5DF" w:rsidR="001F5C91" w:rsidRPr="00F30FD1" w:rsidRDefault="001F5C91"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1F5C91" w:rsidRPr="00F30FD1" w14:paraId="0AF4B395"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4114543" w14:textId="1DCC0415" w:rsidR="001F5C91" w:rsidRPr="00F30FD1" w:rsidRDefault="001F5C91"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59AD6C1" w14:textId="36C56E13" w:rsidR="001F5C91" w:rsidRPr="00F30FD1" w:rsidRDefault="001F5C91"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02DABE3" w14:textId="4C4B50E6" w:rsidR="001F5C91" w:rsidRPr="00F30FD1" w:rsidRDefault="00DC6EB8"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16</w:t>
            </w:r>
            <w:r w:rsidR="001F5C91" w:rsidRPr="00F30FD1">
              <w:rPr>
                <w:rFonts w:eastAsia="Times New Roman" w:cs="Arial"/>
                <w:sz w:val="18"/>
                <w:szCs w:val="22"/>
                <w:lang w:val="es-MX"/>
              </w:rPr>
              <w:t>,000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3281463" w14:textId="72A2626B" w:rsidR="001F5C91" w:rsidRPr="00F30FD1" w:rsidRDefault="00DC6EB8"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14,000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3A2C32D" w14:textId="7AC0A7F4" w:rsidR="001F5C91" w:rsidRPr="00F30FD1" w:rsidRDefault="00DC6EB8"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16,000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6266B72" w14:textId="19B4E9EF" w:rsidR="001F5C91" w:rsidRPr="00F30FD1" w:rsidRDefault="00DC6EB8" w:rsidP="001F5C91">
            <w:pPr>
              <w:spacing w:after="0" w:line="240" w:lineRule="auto"/>
              <w:jc w:val="center"/>
              <w:rPr>
                <w:rFonts w:eastAsia="Times New Roman" w:cs="Arial"/>
                <w:sz w:val="18"/>
                <w:szCs w:val="22"/>
                <w:lang w:val="es-MX"/>
              </w:rPr>
            </w:pPr>
            <w:r w:rsidRPr="00F30FD1">
              <w:rPr>
                <w:rFonts w:eastAsia="Times New Roman" w:cs="Arial"/>
                <w:sz w:val="18"/>
                <w:szCs w:val="22"/>
                <w:lang w:val="es-MX"/>
              </w:rPr>
              <w:t>16,320</w:t>
            </w:r>
          </w:p>
        </w:tc>
      </w:tr>
    </w:tbl>
    <w:p w14:paraId="3958F4B0" w14:textId="1C31CEBF" w:rsidR="00575DE8" w:rsidRPr="00F30FD1" w:rsidRDefault="00575DE8" w:rsidP="00952E57">
      <w:pPr>
        <w:spacing w:after="0" w:line="240" w:lineRule="auto"/>
        <w:contextualSpacing/>
        <w:rPr>
          <w:rFonts w:eastAsia="Times New Roman" w:cs="Arial"/>
          <w:sz w:val="20"/>
          <w:szCs w:val="22"/>
          <w:lang w:val="es-MX"/>
        </w:rPr>
      </w:pPr>
    </w:p>
    <w:p w14:paraId="3DD53826"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5"/>
        <w:gridCol w:w="739"/>
        <w:gridCol w:w="490"/>
        <w:gridCol w:w="1202"/>
        <w:gridCol w:w="433"/>
        <w:gridCol w:w="848"/>
        <w:gridCol w:w="620"/>
        <w:gridCol w:w="1664"/>
        <w:gridCol w:w="366"/>
        <w:gridCol w:w="2048"/>
      </w:tblGrid>
      <w:tr w:rsidR="001F5C91" w:rsidRPr="00F30FD1" w14:paraId="6635471E"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4D08946"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F2EEC8B"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1F5C91" w:rsidRPr="00F30FD1" w14:paraId="2F123FFB"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4F633B3"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42A1FCA"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18. Impulsar la recaudación de ingresos propios.</w:t>
            </w:r>
          </w:p>
        </w:tc>
      </w:tr>
      <w:tr w:rsidR="001F5C91" w:rsidRPr="00F30FD1" w14:paraId="5C05820C" w14:textId="77777777" w:rsidTr="00575DE8">
        <w:trPr>
          <w:trHeight w:val="20"/>
          <w:jc w:val="right"/>
        </w:trPr>
        <w:tc>
          <w:tcPr>
            <w:tcW w:w="196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A2D517B"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9" w:type="pct"/>
            <w:gridSpan w:val="6"/>
            <w:tcBorders>
              <w:top w:val="single" w:sz="4" w:space="0" w:color="auto"/>
              <w:left w:val="single" w:sz="4" w:space="0" w:color="auto"/>
              <w:bottom w:val="single" w:sz="4" w:space="0" w:color="auto"/>
              <w:right w:val="single" w:sz="4" w:space="0" w:color="auto"/>
            </w:tcBorders>
            <w:shd w:val="clear" w:color="auto" w:fill="A6A6A6"/>
          </w:tcPr>
          <w:p w14:paraId="679BB898"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1F5C91" w:rsidRPr="00F30FD1" w14:paraId="1A7568BE"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A5AF69A"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EB34F87"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Índice de capacidad para generar ingresos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FFEE939"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146213A"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índice</w:t>
            </w:r>
          </w:p>
        </w:tc>
      </w:tr>
      <w:tr w:rsidR="001F5C91" w:rsidRPr="00F30FD1" w14:paraId="0839096C"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53FFD1E"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2DE354D"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Se calcula el porcentaje que representa los ingresos tributarios con relación a los ingresos disponibles</w:t>
            </w:r>
          </w:p>
          <w:p w14:paraId="41AF96CD" w14:textId="77777777" w:rsidR="001F5C91" w:rsidRPr="00F30FD1" w:rsidRDefault="001F5C91" w:rsidP="00AF56F3">
            <w:pPr>
              <w:spacing w:after="0" w:line="240" w:lineRule="auto"/>
              <w:rPr>
                <w:rFonts w:eastAsia="Times New Roman" w:cs="Arial"/>
                <w:sz w:val="18"/>
                <w:szCs w:val="22"/>
                <w:lang w:val="es-MX"/>
              </w:rPr>
            </w:pPr>
          </w:p>
        </w:tc>
      </w:tr>
      <w:tr w:rsidR="001F5C91" w:rsidRPr="00F30FD1" w14:paraId="168C3A83"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F2B2AA3"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60F5DC0"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Estado analítico de Ingresos Detallado</w:t>
            </w:r>
          </w:p>
        </w:tc>
      </w:tr>
      <w:tr w:rsidR="001F5C91" w:rsidRPr="00F30FD1" w14:paraId="5A1EF156"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CAD6A11"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3CAC3AD" w14:textId="3BB08EA9" w:rsidR="001F5C91" w:rsidRPr="00F30FD1" w:rsidRDefault="00BA6964" w:rsidP="00AF56F3">
            <w:pPr>
              <w:spacing w:after="0" w:line="240" w:lineRule="auto"/>
              <w:rPr>
                <w:rFonts w:eastAsia="Times New Roman" w:cs="Arial"/>
                <w:sz w:val="18"/>
                <w:szCs w:val="22"/>
                <w:lang w:val="es-MX"/>
              </w:rPr>
            </w:pPr>
            <w:r>
              <w:rPr>
                <w:rFonts w:eastAsia="Times New Roman" w:cs="Arial"/>
                <w:sz w:val="18"/>
                <w:szCs w:val="22"/>
                <w:lang w:val="es-MX"/>
              </w:rPr>
              <w:t>0</w:t>
            </w:r>
            <w:r w:rsidR="00B047EF" w:rsidRPr="00F30FD1">
              <w:rPr>
                <w:rFonts w:eastAsia="Times New Roman" w:cs="Arial"/>
                <w:sz w:val="18"/>
                <w:szCs w:val="22"/>
                <w:lang w:val="es-MX"/>
              </w:rPr>
              <w:t>%</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4C191D9"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1050F0C" w14:textId="696FF5E5" w:rsidR="001F5C91" w:rsidRPr="00F30FD1" w:rsidRDefault="00BA6964" w:rsidP="00AF56F3">
            <w:pPr>
              <w:spacing w:after="0" w:line="240" w:lineRule="auto"/>
              <w:rPr>
                <w:rFonts w:eastAsia="Times New Roman" w:cs="Arial"/>
                <w:sz w:val="18"/>
                <w:szCs w:val="22"/>
                <w:lang w:val="es-MX"/>
              </w:rPr>
            </w:pPr>
            <w:r>
              <w:rPr>
                <w:rFonts w:eastAsia="Times New Roman" w:cs="Arial"/>
                <w:sz w:val="18"/>
                <w:szCs w:val="22"/>
                <w:lang w:val="es-MX"/>
              </w:rPr>
              <w:t>2016</w:t>
            </w:r>
          </w:p>
        </w:tc>
      </w:tr>
      <w:tr w:rsidR="001F5C91" w:rsidRPr="00F30FD1" w14:paraId="32EAE5CD"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01D4FFF"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F92EF16"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1F5C91" w:rsidRPr="00F30FD1" w14:paraId="3501EC55"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87EB5E5"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0151CE3" w14:textId="3451F08B" w:rsidR="001F5C91" w:rsidRPr="00F30FD1" w:rsidRDefault="007A5E98" w:rsidP="00AF56F3">
            <w:pPr>
              <w:spacing w:after="0" w:line="240" w:lineRule="auto"/>
              <w:rPr>
                <w:rFonts w:eastAsia="Times New Roman" w:cs="Arial"/>
                <w:sz w:val="18"/>
                <w:szCs w:val="22"/>
                <w:lang w:val="es-MX"/>
              </w:rPr>
            </w:pPr>
            <w:r w:rsidRPr="00F30FD1">
              <w:rPr>
                <w:rFonts w:eastAsia="Times New Roman" w:cs="Arial"/>
                <w:sz w:val="18"/>
                <w:szCs w:val="22"/>
                <w:lang w:val="es-MX"/>
              </w:rPr>
              <w:t xml:space="preserve">17.13.- </w:t>
            </w:r>
            <w:r w:rsidR="001F5C91" w:rsidRPr="00F30FD1">
              <w:rPr>
                <w:rFonts w:eastAsia="Times New Roman" w:cs="Arial"/>
                <w:sz w:val="18"/>
                <w:szCs w:val="22"/>
                <w:lang w:val="es-MX"/>
              </w:rPr>
              <w:t>Aumentar la estabilidad macroeconómica mundial, incluso mediante la coordinación y coherencia de las políticas</w:t>
            </w:r>
          </w:p>
        </w:tc>
      </w:tr>
      <w:tr w:rsidR="001F5C91" w:rsidRPr="00F30FD1" w14:paraId="76510E04"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5D457BD"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36C5D9"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1F5C91" w:rsidRPr="00F30FD1" w14:paraId="7648508C" w14:textId="77777777" w:rsidTr="00575DE8">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9396C8"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F0C3CB7"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1.1.1 Derechos</w:t>
            </w:r>
          </w:p>
          <w:p w14:paraId="33820BF4"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1.1.2 Productos</w:t>
            </w:r>
          </w:p>
          <w:p w14:paraId="1F115075" w14:textId="77777777" w:rsidR="001F5C91" w:rsidRPr="00F30FD1" w:rsidRDefault="001F5C91" w:rsidP="00AF56F3">
            <w:pPr>
              <w:spacing w:after="0" w:line="240" w:lineRule="auto"/>
              <w:rPr>
                <w:rFonts w:eastAsia="Times New Roman" w:cs="Arial"/>
                <w:sz w:val="18"/>
                <w:szCs w:val="22"/>
                <w:lang w:val="es-MX"/>
              </w:rPr>
            </w:pPr>
            <w:r w:rsidRPr="00F30FD1">
              <w:rPr>
                <w:rFonts w:eastAsia="Times New Roman" w:cs="Arial"/>
                <w:sz w:val="18"/>
                <w:szCs w:val="22"/>
                <w:lang w:val="es-MX"/>
              </w:rPr>
              <w:t>1.1.3 Impuestos</w:t>
            </w:r>
          </w:p>
        </w:tc>
      </w:tr>
      <w:tr w:rsidR="001F5C91" w:rsidRPr="00F30FD1" w14:paraId="72BCBF5A"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F4705F7"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1F5C91" w:rsidRPr="00F30FD1" w14:paraId="66CD61F8" w14:textId="77777777" w:rsidTr="00575DE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E05CBBE"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F660F2A"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960A19E"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B24D855"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F8BF59E"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75A85D6"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1F5C91" w:rsidRPr="00F30FD1" w14:paraId="18F1604F" w14:textId="77777777" w:rsidTr="00575DE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034516A"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48%</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224460C"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49%</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49FFB9F"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50%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884E49E"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51%</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D4363C7"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52%</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D57B617" w14:textId="77777777" w:rsidR="001F5C91" w:rsidRPr="00F30FD1" w:rsidRDefault="001F5C91" w:rsidP="00AF56F3">
            <w:pPr>
              <w:spacing w:after="0" w:line="240" w:lineRule="auto"/>
              <w:jc w:val="center"/>
              <w:rPr>
                <w:rFonts w:eastAsia="Times New Roman" w:cs="Arial"/>
                <w:sz w:val="18"/>
                <w:szCs w:val="22"/>
                <w:lang w:val="es-MX"/>
              </w:rPr>
            </w:pPr>
            <w:r w:rsidRPr="00F30FD1">
              <w:rPr>
                <w:rFonts w:eastAsia="Times New Roman" w:cs="Arial"/>
                <w:sz w:val="18"/>
                <w:szCs w:val="22"/>
                <w:lang w:val="es-MX"/>
              </w:rPr>
              <w:t>53%</w:t>
            </w:r>
          </w:p>
        </w:tc>
      </w:tr>
    </w:tbl>
    <w:p w14:paraId="41DDA830" w14:textId="6F8A0AA8" w:rsidR="001F5C91" w:rsidRPr="00F30FD1" w:rsidRDefault="001F5C91" w:rsidP="00952E57">
      <w:pPr>
        <w:spacing w:after="0" w:line="240" w:lineRule="auto"/>
        <w:contextualSpacing/>
        <w:rPr>
          <w:rFonts w:eastAsia="Times New Roman" w:cs="Arial"/>
          <w:sz w:val="20"/>
          <w:szCs w:val="22"/>
          <w:lang w:val="es-MX"/>
        </w:rPr>
      </w:pPr>
    </w:p>
    <w:p w14:paraId="1DC7CB57" w14:textId="37D7DD93"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6F5C2D16" w14:textId="77777777" w:rsidR="001F5C91" w:rsidRPr="00F30FD1" w:rsidRDefault="001F5C91"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68DAF787"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2157D7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D7ABE1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29763B1F"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356F66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A37604D" w14:textId="5983A562" w:rsidR="00E66F7B" w:rsidRPr="00F30FD1" w:rsidRDefault="00E96D3B" w:rsidP="00E96D3B">
            <w:pPr>
              <w:spacing w:after="0" w:line="240" w:lineRule="auto"/>
              <w:rPr>
                <w:rFonts w:eastAsia="Times New Roman" w:cs="Arial"/>
                <w:sz w:val="18"/>
                <w:szCs w:val="22"/>
                <w:lang w:val="es-MX"/>
              </w:rPr>
            </w:pPr>
            <w:r w:rsidRPr="00F30FD1">
              <w:rPr>
                <w:rFonts w:eastAsia="Times New Roman" w:cs="Arial"/>
                <w:sz w:val="18"/>
                <w:szCs w:val="22"/>
                <w:lang w:val="es-MX"/>
              </w:rPr>
              <w:t>19. Promover los estímulos estatales y subsidios necesarios para beneficio social.</w:t>
            </w:r>
          </w:p>
        </w:tc>
      </w:tr>
      <w:tr w:rsidR="00E66F7B" w:rsidRPr="00F30FD1" w14:paraId="3052B725"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7C6E33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64085FD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03DAC9B1"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048C4B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2AF2B6C" w14:textId="3FB6BEDE" w:rsidR="00E66F7B" w:rsidRPr="00F30FD1" w:rsidRDefault="001941F7" w:rsidP="00E66F7B">
            <w:pPr>
              <w:spacing w:after="0" w:line="240" w:lineRule="auto"/>
              <w:rPr>
                <w:rFonts w:eastAsia="Times New Roman" w:cs="Arial"/>
                <w:sz w:val="18"/>
                <w:szCs w:val="22"/>
                <w:lang w:val="es-MX"/>
              </w:rPr>
            </w:pPr>
            <w:r w:rsidRPr="00F30FD1">
              <w:rPr>
                <w:rFonts w:eastAsia="Times New Roman" w:cs="Arial"/>
                <w:sz w:val="18"/>
                <w:szCs w:val="22"/>
                <w:lang w:val="es-MX"/>
              </w:rPr>
              <w:t>Número de Acuerdos, Estímulos, Subsidios e Iniciativas publicadas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52195A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4769263" w14:textId="0973607A" w:rsidR="00E66F7B" w:rsidRPr="00F30FD1" w:rsidRDefault="001941F7" w:rsidP="00E66F7B">
            <w:pPr>
              <w:spacing w:after="0" w:line="240" w:lineRule="auto"/>
              <w:rPr>
                <w:rFonts w:eastAsia="Times New Roman" w:cs="Arial"/>
                <w:sz w:val="18"/>
                <w:szCs w:val="22"/>
                <w:lang w:val="es-MX"/>
              </w:rPr>
            </w:pPr>
            <w:r w:rsidRPr="00F30FD1">
              <w:rPr>
                <w:rFonts w:eastAsia="Times New Roman" w:cs="Arial"/>
                <w:sz w:val="18"/>
                <w:szCs w:val="22"/>
                <w:lang w:val="es-MX"/>
              </w:rPr>
              <w:t>Número de documentos publicados</w:t>
            </w:r>
          </w:p>
        </w:tc>
      </w:tr>
      <w:tr w:rsidR="00E66F7B" w:rsidRPr="00F30FD1" w14:paraId="40DEA180"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B784A2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851456C" w14:textId="77777777" w:rsidR="001941F7" w:rsidRPr="00F30FD1" w:rsidRDefault="001941F7" w:rsidP="001941F7">
            <w:pPr>
              <w:spacing w:after="0" w:line="240" w:lineRule="auto"/>
              <w:rPr>
                <w:rFonts w:eastAsia="Times New Roman" w:cs="Arial"/>
                <w:sz w:val="18"/>
                <w:szCs w:val="22"/>
                <w:lang w:val="es-MX"/>
              </w:rPr>
            </w:pPr>
            <w:r w:rsidRPr="00F30FD1">
              <w:rPr>
                <w:rFonts w:eastAsia="Times New Roman" w:cs="Arial"/>
                <w:sz w:val="18"/>
                <w:szCs w:val="22"/>
                <w:lang w:val="es-MX"/>
              </w:rPr>
              <w:t>Se toman en cuenta la total de acuerdos, estímulos, subsidios e iniciativas publicadas en el Periódico Oficial del Estado, en beneficio de la ciudadanía</w:t>
            </w:r>
          </w:p>
          <w:p w14:paraId="50C2164E" w14:textId="77777777" w:rsidR="00E66F7B" w:rsidRPr="00F30FD1" w:rsidRDefault="00E66F7B" w:rsidP="00E66F7B">
            <w:pPr>
              <w:spacing w:after="0" w:line="240" w:lineRule="auto"/>
              <w:rPr>
                <w:rFonts w:eastAsia="Times New Roman" w:cs="Arial"/>
                <w:sz w:val="18"/>
                <w:szCs w:val="22"/>
                <w:lang w:val="es-MX"/>
              </w:rPr>
            </w:pPr>
          </w:p>
        </w:tc>
      </w:tr>
      <w:tr w:rsidR="00E66F7B" w:rsidRPr="00F30FD1" w14:paraId="28C1F104"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7E68C4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2A18041" w14:textId="503BA2EC" w:rsidR="00E66F7B" w:rsidRPr="00F30FD1" w:rsidRDefault="001941F7" w:rsidP="00E66F7B">
            <w:pPr>
              <w:spacing w:after="0" w:line="240" w:lineRule="auto"/>
              <w:rPr>
                <w:rFonts w:eastAsia="Times New Roman" w:cs="Arial"/>
                <w:sz w:val="18"/>
                <w:szCs w:val="22"/>
                <w:lang w:val="es-MX"/>
              </w:rPr>
            </w:pPr>
            <w:r w:rsidRPr="00F30FD1">
              <w:rPr>
                <w:rFonts w:eastAsia="Times New Roman" w:cs="Arial"/>
                <w:sz w:val="18"/>
                <w:szCs w:val="22"/>
                <w:lang w:val="es-MX"/>
              </w:rPr>
              <w:t>Periódico Oficial del Estado</w:t>
            </w:r>
          </w:p>
        </w:tc>
      </w:tr>
      <w:tr w:rsidR="00E66F7B" w:rsidRPr="00F30FD1" w14:paraId="7230C863"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347F12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9FB690A" w14:textId="0FD9FE62" w:rsidR="00E66F7B" w:rsidRPr="00F30FD1" w:rsidRDefault="00BA6964" w:rsidP="00BA6964">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CF998D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E698C1B" w14:textId="4A3D35A9"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E66F7B" w:rsidRPr="00F30FD1" w14:paraId="3510E618"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484835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AF605E" w14:textId="2B2B8D0E" w:rsidR="00E66F7B" w:rsidRPr="00F30FD1" w:rsidRDefault="001941F7" w:rsidP="001941F7">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E66F7B" w:rsidRPr="00F30FD1" w14:paraId="18765F5C"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457E86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B7CA944" w14:textId="7B1EA2B4" w:rsidR="00E66F7B" w:rsidRPr="00F30FD1" w:rsidRDefault="001941F7" w:rsidP="001941F7">
            <w:pPr>
              <w:spacing w:after="0" w:line="240" w:lineRule="auto"/>
              <w:rPr>
                <w:rFonts w:eastAsia="Times New Roman" w:cs="Arial"/>
                <w:sz w:val="18"/>
                <w:szCs w:val="22"/>
                <w:lang w:val="es-MX"/>
              </w:rPr>
            </w:pPr>
            <w:r w:rsidRPr="00F30FD1">
              <w:rPr>
                <w:rFonts w:eastAsia="Times New Roman" w:cs="Arial"/>
                <w:sz w:val="18"/>
                <w:szCs w:val="22"/>
                <w:lang w:val="es-MX"/>
              </w:rPr>
              <w:t>17.13 Aumentar la estabilidad macroeconómica mundial, incluso mediante la coordinación y coherencia de las políticas.</w:t>
            </w:r>
          </w:p>
        </w:tc>
      </w:tr>
      <w:tr w:rsidR="00E66F7B" w:rsidRPr="00F30FD1" w14:paraId="02CF5586"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035151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F7767A0" w14:textId="261A0B2F" w:rsidR="00E66F7B" w:rsidRPr="00F30FD1" w:rsidRDefault="001941F7" w:rsidP="00E66F7B">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E66F7B" w:rsidRPr="00F30FD1" w14:paraId="27B9D276"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710947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21CD8E7" w14:textId="393AF6C7" w:rsidR="00E66F7B" w:rsidRPr="00F30FD1" w:rsidRDefault="001941F7" w:rsidP="00E66F7B">
            <w:pPr>
              <w:spacing w:after="0" w:line="240" w:lineRule="auto"/>
              <w:rPr>
                <w:rFonts w:eastAsia="Times New Roman" w:cs="Arial"/>
                <w:sz w:val="18"/>
                <w:szCs w:val="22"/>
                <w:lang w:val="es-MX"/>
              </w:rPr>
            </w:pPr>
            <w:r w:rsidRPr="00F30FD1">
              <w:rPr>
                <w:rFonts w:eastAsia="Times New Roman" w:cs="Arial"/>
                <w:sz w:val="18"/>
                <w:szCs w:val="22"/>
                <w:lang w:val="es-MX"/>
              </w:rPr>
              <w:t>1.1.1 Derechos</w:t>
            </w:r>
          </w:p>
        </w:tc>
      </w:tr>
      <w:tr w:rsidR="00E66F7B" w:rsidRPr="00F30FD1" w14:paraId="0B0661F4"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ECBC9B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0A30A7EA"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EE8736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6A0253E"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8C1617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DC3DC1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DDED5A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8B7B1E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E96D3B" w:rsidRPr="00F30FD1" w14:paraId="241D78BC"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B52AAAE" w14:textId="502BCA36" w:rsidR="00E96D3B" w:rsidRPr="00F30FD1" w:rsidRDefault="001941F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15</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D6AB2CB" w14:textId="3AF9660A" w:rsidR="00E96D3B" w:rsidRPr="00F30FD1" w:rsidRDefault="001941F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15</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15A1100" w14:textId="0CCC611B" w:rsidR="00E96D3B" w:rsidRPr="00F30FD1" w:rsidRDefault="001941F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16</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74B257C" w14:textId="17B609A0" w:rsidR="00E96D3B" w:rsidRPr="00F30FD1" w:rsidRDefault="001941F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17</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8E9E2E1" w14:textId="3D9BF72C" w:rsidR="00E96D3B" w:rsidRPr="00F30FD1" w:rsidRDefault="001941F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18</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FB1D3F7" w14:textId="236627BB" w:rsidR="00E96D3B" w:rsidRPr="00F30FD1" w:rsidRDefault="001941F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19</w:t>
            </w:r>
          </w:p>
        </w:tc>
      </w:tr>
    </w:tbl>
    <w:p w14:paraId="24AFC62D" w14:textId="3A686684" w:rsidR="00575DE8" w:rsidRPr="00F30FD1" w:rsidRDefault="00575DE8" w:rsidP="00952E57">
      <w:pPr>
        <w:spacing w:after="0" w:line="240" w:lineRule="auto"/>
        <w:contextualSpacing/>
        <w:rPr>
          <w:rFonts w:eastAsia="Times New Roman" w:cs="Arial"/>
          <w:sz w:val="20"/>
          <w:szCs w:val="22"/>
          <w:lang w:val="es-MX"/>
        </w:rPr>
      </w:pPr>
    </w:p>
    <w:p w14:paraId="5231B556"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69173566"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70FA0552"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7A669F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63B034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0108E3BB"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42AB1A0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911F5A1" w14:textId="43071DFB" w:rsidR="00E66F7B" w:rsidRPr="00F30FD1" w:rsidRDefault="00E96D3B" w:rsidP="00E96D3B">
            <w:pPr>
              <w:spacing w:after="0" w:line="240" w:lineRule="auto"/>
              <w:rPr>
                <w:rFonts w:eastAsia="Times New Roman" w:cs="Arial"/>
                <w:sz w:val="18"/>
                <w:szCs w:val="22"/>
                <w:lang w:val="es-MX"/>
              </w:rPr>
            </w:pPr>
            <w:r w:rsidRPr="00F30FD1">
              <w:rPr>
                <w:rFonts w:eastAsia="Times New Roman" w:cs="Arial"/>
                <w:sz w:val="18"/>
                <w:szCs w:val="22"/>
                <w:lang w:val="es-MX"/>
              </w:rPr>
              <w:t>20. Impulsar el incremento de los recursos federales.</w:t>
            </w:r>
          </w:p>
        </w:tc>
      </w:tr>
      <w:tr w:rsidR="00E66F7B" w:rsidRPr="00F30FD1" w14:paraId="67091FD5"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D151FE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3E769A4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7FC2EE9E"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417154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4974783" w14:textId="11CC858E" w:rsidR="00E66F7B" w:rsidRPr="00F30FD1" w:rsidRDefault="001F123B" w:rsidP="00E66F7B">
            <w:pPr>
              <w:spacing w:after="0" w:line="240" w:lineRule="auto"/>
              <w:rPr>
                <w:rFonts w:eastAsia="Times New Roman" w:cs="Arial"/>
                <w:sz w:val="18"/>
                <w:szCs w:val="22"/>
                <w:lang w:val="es-MX"/>
              </w:rPr>
            </w:pPr>
            <w:r w:rsidRPr="00F30FD1">
              <w:rPr>
                <w:rFonts w:eastAsia="Times New Roman" w:cs="Arial"/>
                <w:sz w:val="18"/>
                <w:szCs w:val="22"/>
                <w:lang w:val="es-MX"/>
              </w:rPr>
              <w:t>Tasa de Variación de los recursos federales de libre disposición</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A9F51D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D12A7F9" w14:textId="6353E54B" w:rsidR="00E66F7B" w:rsidRPr="00F30FD1" w:rsidRDefault="001F123B" w:rsidP="00E66F7B">
            <w:pPr>
              <w:spacing w:after="0" w:line="240" w:lineRule="auto"/>
              <w:rPr>
                <w:rFonts w:eastAsia="Times New Roman" w:cs="Arial"/>
                <w:sz w:val="18"/>
                <w:szCs w:val="22"/>
                <w:lang w:val="es-MX"/>
              </w:rPr>
            </w:pPr>
            <w:r w:rsidRPr="00F30FD1">
              <w:rPr>
                <w:rFonts w:eastAsia="Times New Roman" w:cs="Arial"/>
                <w:sz w:val="18"/>
                <w:szCs w:val="22"/>
                <w:lang w:val="es-MX"/>
              </w:rPr>
              <w:t>Tasa</w:t>
            </w:r>
          </w:p>
        </w:tc>
      </w:tr>
      <w:tr w:rsidR="00E66F7B" w:rsidRPr="00F30FD1" w14:paraId="324DF475"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4492AA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15EFA6" w14:textId="77777777" w:rsidR="001F123B" w:rsidRPr="00F30FD1" w:rsidRDefault="001F123B" w:rsidP="001F123B">
            <w:pPr>
              <w:spacing w:after="0" w:line="240" w:lineRule="auto"/>
              <w:rPr>
                <w:rFonts w:eastAsia="Times New Roman" w:cs="Arial"/>
                <w:sz w:val="18"/>
                <w:szCs w:val="22"/>
                <w:lang w:val="es-MX"/>
              </w:rPr>
            </w:pPr>
            <w:r w:rsidRPr="00F30FD1">
              <w:rPr>
                <w:rFonts w:eastAsia="Times New Roman" w:cs="Arial"/>
                <w:sz w:val="18"/>
                <w:szCs w:val="22"/>
                <w:lang w:val="es-MX"/>
              </w:rPr>
              <w:t>Se busca determinar la tasa de crecimiento de los recursos federales ministrados a la entidad que se encuentren disponibles para libre disposición</w:t>
            </w:r>
          </w:p>
          <w:p w14:paraId="35F5D089" w14:textId="77777777" w:rsidR="00E66F7B" w:rsidRPr="00F30FD1" w:rsidRDefault="00E66F7B" w:rsidP="00E66F7B">
            <w:pPr>
              <w:spacing w:after="0" w:line="240" w:lineRule="auto"/>
              <w:rPr>
                <w:rFonts w:eastAsia="Times New Roman" w:cs="Arial"/>
                <w:sz w:val="18"/>
                <w:szCs w:val="22"/>
                <w:lang w:val="es-MX"/>
              </w:rPr>
            </w:pPr>
          </w:p>
        </w:tc>
      </w:tr>
      <w:tr w:rsidR="00E66F7B" w:rsidRPr="00F30FD1" w14:paraId="275CBB6E"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3A7FA6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E3F2435" w14:textId="4DBEAB45" w:rsidR="00E66F7B" w:rsidRPr="00F30FD1" w:rsidRDefault="001F123B" w:rsidP="00E66F7B">
            <w:pPr>
              <w:spacing w:after="0" w:line="240" w:lineRule="auto"/>
              <w:rPr>
                <w:rFonts w:eastAsia="Times New Roman" w:cs="Arial"/>
                <w:sz w:val="18"/>
                <w:szCs w:val="22"/>
                <w:lang w:val="es-MX"/>
              </w:rPr>
            </w:pPr>
            <w:r w:rsidRPr="00F30FD1">
              <w:rPr>
                <w:rFonts w:eastAsia="Times New Roman" w:cs="Arial"/>
                <w:sz w:val="18"/>
                <w:szCs w:val="22"/>
                <w:lang w:val="es-MX"/>
              </w:rPr>
              <w:t>Estado Analítico de Ingresos</w:t>
            </w:r>
          </w:p>
        </w:tc>
      </w:tr>
      <w:tr w:rsidR="00E66F7B" w:rsidRPr="00F30FD1" w14:paraId="1E57B6C3"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B8F2AF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E6F8AC3" w14:textId="7B0447E2"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82B368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CD8A5A5" w14:textId="100E267E"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E66F7B" w:rsidRPr="00F30FD1" w14:paraId="364C0AC1"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60B081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0415AFB" w14:textId="26BD44D1" w:rsidR="00E66F7B" w:rsidRPr="00F30FD1" w:rsidRDefault="001F123B" w:rsidP="001F123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E66F7B" w:rsidRPr="00F30FD1" w14:paraId="493A26CD"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45511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1EBE203" w14:textId="77777777" w:rsidR="001F123B" w:rsidRPr="00F30FD1" w:rsidRDefault="001F123B" w:rsidP="001F123B">
            <w:pPr>
              <w:spacing w:after="0" w:line="240" w:lineRule="auto"/>
              <w:rPr>
                <w:rFonts w:eastAsia="Times New Roman" w:cs="Arial"/>
                <w:sz w:val="18"/>
                <w:szCs w:val="22"/>
                <w:lang w:val="es-MX"/>
              </w:rPr>
            </w:pPr>
            <w:r w:rsidRPr="00F30FD1">
              <w:rPr>
                <w:rFonts w:eastAsia="Times New Roman" w:cs="Arial"/>
                <w:sz w:val="18"/>
                <w:szCs w:val="22"/>
                <w:lang w:val="es-MX"/>
              </w:rPr>
              <w:t>17.13 Aumentar la estabilidad macroeconómica mundial, incluso mediante la coordinación y coherencia de las políticas</w:t>
            </w:r>
          </w:p>
          <w:p w14:paraId="644514C1" w14:textId="77777777" w:rsidR="00E66F7B" w:rsidRPr="00F30FD1" w:rsidRDefault="00E66F7B" w:rsidP="00E66F7B">
            <w:pPr>
              <w:spacing w:after="0" w:line="240" w:lineRule="auto"/>
              <w:rPr>
                <w:rFonts w:eastAsia="Times New Roman" w:cs="Arial"/>
                <w:sz w:val="18"/>
                <w:szCs w:val="22"/>
                <w:lang w:val="es-MX"/>
              </w:rPr>
            </w:pPr>
          </w:p>
        </w:tc>
      </w:tr>
      <w:tr w:rsidR="00E66F7B" w:rsidRPr="00F30FD1" w14:paraId="35F6AB6F"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6EF558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F5A2851" w14:textId="77777777" w:rsidR="001F123B" w:rsidRPr="00F30FD1" w:rsidRDefault="001F123B" w:rsidP="001F123B">
            <w:pPr>
              <w:spacing w:after="0" w:line="240" w:lineRule="auto"/>
              <w:rPr>
                <w:rFonts w:eastAsia="Times New Roman" w:cs="Arial"/>
                <w:sz w:val="18"/>
                <w:szCs w:val="22"/>
                <w:lang w:val="es-MX"/>
              </w:rPr>
            </w:pPr>
            <w:r w:rsidRPr="00F30FD1">
              <w:rPr>
                <w:rFonts w:eastAsia="Times New Roman" w:cs="Arial"/>
                <w:sz w:val="18"/>
                <w:szCs w:val="22"/>
                <w:lang w:val="es-MX"/>
              </w:rPr>
              <w:t>1. Recaudación</w:t>
            </w:r>
          </w:p>
          <w:p w14:paraId="36B0C15C" w14:textId="77777777" w:rsidR="00E66F7B" w:rsidRPr="00F30FD1" w:rsidRDefault="00E66F7B" w:rsidP="00E66F7B">
            <w:pPr>
              <w:spacing w:after="0" w:line="240" w:lineRule="auto"/>
              <w:rPr>
                <w:rFonts w:eastAsia="Times New Roman" w:cs="Arial"/>
                <w:sz w:val="18"/>
                <w:szCs w:val="22"/>
                <w:lang w:val="es-MX"/>
              </w:rPr>
            </w:pPr>
          </w:p>
        </w:tc>
      </w:tr>
      <w:tr w:rsidR="00E66F7B" w:rsidRPr="00F30FD1" w14:paraId="308D3C8A"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31B7FF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BD36C99" w14:textId="77777777" w:rsidR="001F123B" w:rsidRPr="00F30FD1" w:rsidRDefault="001F123B" w:rsidP="001F123B">
            <w:pPr>
              <w:spacing w:after="0" w:line="240" w:lineRule="auto"/>
              <w:rPr>
                <w:rFonts w:eastAsia="Times New Roman" w:cs="Arial"/>
                <w:sz w:val="18"/>
                <w:szCs w:val="22"/>
                <w:lang w:val="es-MX"/>
              </w:rPr>
            </w:pPr>
            <w:r w:rsidRPr="00F30FD1">
              <w:rPr>
                <w:rFonts w:eastAsia="Times New Roman" w:cs="Arial"/>
                <w:sz w:val="18"/>
                <w:szCs w:val="22"/>
                <w:lang w:val="es-MX"/>
              </w:rPr>
              <w:t>1.1.5 Incentivos federales</w:t>
            </w:r>
          </w:p>
          <w:p w14:paraId="18F9E587" w14:textId="77777777" w:rsidR="001F123B" w:rsidRPr="00F30FD1" w:rsidRDefault="001F123B" w:rsidP="001F123B">
            <w:pPr>
              <w:spacing w:after="0" w:line="240" w:lineRule="auto"/>
              <w:rPr>
                <w:rFonts w:eastAsia="Times New Roman" w:cs="Arial"/>
                <w:sz w:val="18"/>
                <w:szCs w:val="22"/>
                <w:lang w:val="es-MX"/>
              </w:rPr>
            </w:pPr>
            <w:r w:rsidRPr="00F30FD1">
              <w:rPr>
                <w:rFonts w:eastAsia="Times New Roman" w:cs="Arial"/>
                <w:sz w:val="18"/>
                <w:szCs w:val="22"/>
                <w:lang w:val="es-MX"/>
              </w:rPr>
              <w:t>1.1.7 Participaciones</w:t>
            </w:r>
          </w:p>
          <w:p w14:paraId="6108FAE0" w14:textId="507CEE4C" w:rsidR="00E66F7B" w:rsidRPr="00F30FD1" w:rsidRDefault="001F123B" w:rsidP="00E66F7B">
            <w:pPr>
              <w:spacing w:after="0" w:line="240" w:lineRule="auto"/>
              <w:rPr>
                <w:rFonts w:eastAsia="Times New Roman" w:cs="Arial"/>
                <w:sz w:val="18"/>
                <w:szCs w:val="22"/>
                <w:lang w:val="es-MX"/>
              </w:rPr>
            </w:pPr>
            <w:r w:rsidRPr="00F30FD1">
              <w:rPr>
                <w:rFonts w:eastAsia="Times New Roman" w:cs="Arial"/>
                <w:sz w:val="18"/>
                <w:szCs w:val="22"/>
                <w:lang w:val="es-MX"/>
              </w:rPr>
              <w:t>1.1.8 Convenios</w:t>
            </w:r>
          </w:p>
        </w:tc>
      </w:tr>
      <w:tr w:rsidR="00E66F7B" w:rsidRPr="00F30FD1" w14:paraId="197A7F0B"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55859D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46539020"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B6893D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5FCD74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FDBAAC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932F139"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25D179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85F97E9"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1F123B" w:rsidRPr="00F30FD1" w14:paraId="7E801523"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B557266" w14:textId="4363EFAD" w:rsidR="001F123B" w:rsidRPr="00F30FD1" w:rsidRDefault="001F123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102%</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8126A5B" w14:textId="6BEE96E9" w:rsidR="001F123B" w:rsidRPr="00F30FD1" w:rsidRDefault="001F123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104%</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86DA7C" w14:textId="3B206B65" w:rsidR="001F123B" w:rsidRPr="00F30FD1" w:rsidRDefault="001F123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106%</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1788E14" w14:textId="65C4DA2E" w:rsidR="001F123B" w:rsidRPr="00F30FD1" w:rsidRDefault="001F123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108%</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8EF7698" w14:textId="4BF30468" w:rsidR="001F123B" w:rsidRPr="00F30FD1" w:rsidRDefault="001F123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110%</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A5A38C" w14:textId="44FCE0A0" w:rsidR="001F123B" w:rsidRPr="00F30FD1" w:rsidRDefault="001F123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112%</w:t>
            </w:r>
          </w:p>
        </w:tc>
      </w:tr>
    </w:tbl>
    <w:p w14:paraId="065275B5" w14:textId="1EDC7192" w:rsidR="00575DE8" w:rsidRPr="00F30FD1" w:rsidRDefault="00575DE8" w:rsidP="00952E57">
      <w:pPr>
        <w:spacing w:after="0" w:line="240" w:lineRule="auto"/>
        <w:contextualSpacing/>
        <w:rPr>
          <w:rFonts w:eastAsia="Times New Roman" w:cs="Arial"/>
          <w:sz w:val="20"/>
          <w:szCs w:val="22"/>
          <w:lang w:val="es-MX"/>
        </w:rPr>
      </w:pPr>
    </w:p>
    <w:p w14:paraId="09FDC1BD"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0D700E2C"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297FFF75"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ECCE43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55C85A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17607BB2"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E77F04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A4A16FB" w14:textId="53FD910A" w:rsidR="00E66F7B" w:rsidRPr="00F30FD1" w:rsidRDefault="00E96D3B" w:rsidP="00E96D3B">
            <w:pPr>
              <w:spacing w:after="0" w:line="240" w:lineRule="auto"/>
              <w:rPr>
                <w:rFonts w:eastAsia="Times New Roman" w:cs="Arial"/>
                <w:sz w:val="18"/>
                <w:szCs w:val="22"/>
                <w:lang w:val="es-MX"/>
              </w:rPr>
            </w:pPr>
            <w:r w:rsidRPr="00F30FD1">
              <w:rPr>
                <w:rFonts w:eastAsia="Times New Roman" w:cs="Arial"/>
                <w:sz w:val="18"/>
                <w:szCs w:val="22"/>
                <w:lang w:val="es-MX"/>
              </w:rPr>
              <w:t>21. Determinar el comportamiento del ejercicio presupuestal de los recursos asignados a los entes públicos, en términos del manejo eficiente, transparente y de rendición de cuentas de las finanzas públicas, en atención a lo establecido e</w:t>
            </w:r>
            <w:r w:rsidR="00081240" w:rsidRPr="00F30FD1">
              <w:rPr>
                <w:rFonts w:eastAsia="Times New Roman" w:cs="Arial"/>
                <w:sz w:val="18"/>
                <w:szCs w:val="22"/>
                <w:lang w:val="es-MX"/>
              </w:rPr>
              <w:t>n el Plan Estatal de Desarrollo y la normatividad vigente en materia Presupuestal.</w:t>
            </w:r>
          </w:p>
        </w:tc>
      </w:tr>
      <w:tr w:rsidR="00E66F7B" w:rsidRPr="00F30FD1" w14:paraId="07F616C4"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B760D5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2AEAACD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65D35134"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6D4227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339F63C" w14:textId="54C54240" w:rsidR="00E66F7B" w:rsidRPr="00F30FD1" w:rsidRDefault="00533954" w:rsidP="00E66F7B">
            <w:pPr>
              <w:spacing w:after="0" w:line="240" w:lineRule="auto"/>
              <w:rPr>
                <w:rFonts w:eastAsia="Times New Roman" w:cs="Arial"/>
                <w:sz w:val="18"/>
                <w:szCs w:val="22"/>
                <w:lang w:val="es-MX"/>
              </w:rPr>
            </w:pPr>
            <w:r w:rsidRPr="00F30FD1">
              <w:rPr>
                <w:rFonts w:eastAsia="Times New Roman" w:cs="Arial"/>
                <w:sz w:val="18"/>
                <w:szCs w:val="22"/>
                <w:lang w:val="es-MX"/>
              </w:rPr>
              <w:t xml:space="preserve">Porcentaje de los </w:t>
            </w:r>
            <w:r w:rsidR="00F86609" w:rsidRPr="00F30FD1">
              <w:rPr>
                <w:rFonts w:eastAsia="Times New Roman" w:cs="Arial"/>
                <w:sz w:val="18"/>
                <w:szCs w:val="22"/>
                <w:lang w:val="es-MX"/>
              </w:rPr>
              <w:t>Estados Analíticos del Gasto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1A8239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A69BF0F" w14:textId="4D68DF6B"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F86609" w:rsidRPr="00F30FD1" w14:paraId="0CFE5475"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6DF1EEA"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8B1EDD8" w14:textId="3DFD9FFB"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Corresponde a la publicación de la información presupuestaria solicitada por la Ley General de Contabilidad Gubernamental trimestralmente en la página web de la Secretaría de Finanzas y Planeación.</w:t>
            </w:r>
          </w:p>
        </w:tc>
      </w:tr>
      <w:tr w:rsidR="00F86609" w:rsidRPr="00F30FD1" w14:paraId="094CB2AA"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3FACFF1"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23C307" w14:textId="77777777" w:rsidR="00472C23" w:rsidRPr="00472C23" w:rsidRDefault="00472C23" w:rsidP="00472C23">
            <w:pPr>
              <w:pStyle w:val="Default"/>
              <w:jc w:val="both"/>
              <w:rPr>
                <w:rFonts w:ascii="Futura T OT" w:hAnsi="Futura T OT" w:cs="Arial"/>
                <w:color w:val="auto"/>
                <w:sz w:val="18"/>
                <w:szCs w:val="22"/>
                <w:lang w:val="es-MX"/>
              </w:rPr>
            </w:pPr>
            <w:r w:rsidRPr="00472C23">
              <w:rPr>
                <w:rFonts w:ascii="Futura T OT" w:hAnsi="Futura T OT" w:cs="Arial"/>
                <w:color w:val="auto"/>
                <w:sz w:val="18"/>
                <w:szCs w:val="22"/>
                <w:lang w:val="es-MX"/>
              </w:rPr>
              <w:t xml:space="preserve">“Cumplimiento a la Publicación de Información Obligatoria” Apartado “Información Financiera Gubernamental” en la página de la Secretaria de Finanzas y Planeación, </w:t>
            </w:r>
          </w:p>
          <w:p w14:paraId="18081650" w14:textId="7690FAAC" w:rsidR="00F86609" w:rsidRPr="00472C23" w:rsidRDefault="00472C23" w:rsidP="00472C23">
            <w:pPr>
              <w:pStyle w:val="Default"/>
              <w:jc w:val="both"/>
              <w:rPr>
                <w:sz w:val="18"/>
                <w:szCs w:val="18"/>
              </w:rPr>
            </w:pPr>
            <w:r w:rsidRPr="00472C23">
              <w:rPr>
                <w:rFonts w:ascii="Futura T OT" w:hAnsi="Futura T OT" w:cs="Arial"/>
                <w:color w:val="auto"/>
                <w:sz w:val="18"/>
                <w:szCs w:val="22"/>
                <w:lang w:val="es-MX"/>
              </w:rPr>
              <w:t xml:space="preserve">Liga de acceso: http://www.sefiplan.qroo.gob.mx/sistemas/FGob/ </w:t>
            </w:r>
            <w:proofErr w:type="spellStart"/>
            <w:r w:rsidRPr="00472C23">
              <w:rPr>
                <w:rFonts w:ascii="Futura T OT" w:hAnsi="Futura T OT" w:cs="Arial"/>
                <w:color w:val="auto"/>
                <w:sz w:val="18"/>
                <w:szCs w:val="22"/>
                <w:lang w:val="es-MX"/>
              </w:rPr>
              <w:t>pagina.php?id</w:t>
            </w:r>
            <w:proofErr w:type="spellEnd"/>
            <w:r w:rsidRPr="00472C23">
              <w:rPr>
                <w:rFonts w:ascii="Futura T OT" w:hAnsi="Futura T OT" w:cs="Arial"/>
                <w:color w:val="auto"/>
                <w:sz w:val="18"/>
                <w:szCs w:val="22"/>
                <w:lang w:val="es-MX"/>
              </w:rPr>
              <w:t>=198</w:t>
            </w:r>
            <w:r>
              <w:rPr>
                <w:sz w:val="18"/>
                <w:szCs w:val="18"/>
              </w:rPr>
              <w:t xml:space="preserve"> </w:t>
            </w:r>
          </w:p>
        </w:tc>
      </w:tr>
      <w:tr w:rsidR="00E66F7B" w:rsidRPr="00F30FD1" w14:paraId="034B429F"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E6ECEB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BFC3936" w14:textId="0A227100" w:rsidR="00E66F7B" w:rsidRPr="00F30FD1" w:rsidRDefault="00081240" w:rsidP="00E66F7B">
            <w:pPr>
              <w:spacing w:after="0" w:line="240" w:lineRule="auto"/>
              <w:rPr>
                <w:rFonts w:eastAsia="Times New Roman" w:cs="Arial"/>
                <w:sz w:val="18"/>
                <w:szCs w:val="22"/>
                <w:lang w:val="es-MX"/>
              </w:rPr>
            </w:pPr>
            <w:r w:rsidRPr="00F30FD1">
              <w:rPr>
                <w:rFonts w:eastAsia="Times New Roman" w:cs="Arial"/>
                <w:sz w:val="18"/>
                <w:szCs w:val="22"/>
                <w:lang w:val="es-MX"/>
              </w:rPr>
              <w:t>100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62BAF7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4F698A9" w14:textId="28257E80" w:rsidR="00E66F7B" w:rsidRPr="00F30FD1" w:rsidRDefault="00E95231" w:rsidP="00E66F7B">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F86609" w:rsidRPr="00F30FD1" w14:paraId="1A786F19"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9477C37"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753B80" w14:textId="0B9FF925" w:rsidR="00F86609" w:rsidRPr="00F30FD1" w:rsidRDefault="00F86609" w:rsidP="00990385">
            <w:pPr>
              <w:spacing w:after="0" w:line="240" w:lineRule="auto"/>
              <w:rPr>
                <w:rFonts w:eastAsia="Times New Roman" w:cs="Arial"/>
                <w:sz w:val="18"/>
                <w:szCs w:val="22"/>
                <w:lang w:val="es-MX"/>
              </w:rPr>
            </w:pPr>
            <w:r w:rsidRPr="00F30FD1">
              <w:rPr>
                <w:rFonts w:eastAsia="Times New Roman" w:cs="Arial"/>
                <w:sz w:val="18"/>
                <w:szCs w:val="22"/>
                <w:lang w:val="es-MX"/>
              </w:rPr>
              <w:t>17.</w:t>
            </w:r>
            <w:r w:rsidR="00990385" w:rsidRPr="00F30FD1">
              <w:rPr>
                <w:rFonts w:eastAsia="Times New Roman" w:cs="Arial"/>
                <w:sz w:val="18"/>
                <w:szCs w:val="22"/>
                <w:lang w:val="es-MX"/>
              </w:rPr>
              <w:t xml:space="preserve"> Alianza para lograr los objetivos</w:t>
            </w:r>
          </w:p>
        </w:tc>
      </w:tr>
      <w:tr w:rsidR="00F86609" w:rsidRPr="00F30FD1" w14:paraId="7DAE11FE"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94AE481"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92CFB35" w14:textId="6AB2CE58"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17.19 De aquí a 2030, aprovechar las iniciativas existentes para elaborar indicadores que permitan medir los progresos en materia de desarrollo sostenible y complementen el producto interno bruto, y apoyar la creación de capacidad estadística en los países en desarrollo</w:t>
            </w:r>
          </w:p>
        </w:tc>
      </w:tr>
      <w:tr w:rsidR="00E66F7B" w:rsidRPr="00F30FD1" w14:paraId="13D8AEA0"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9F5332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EB794E9" w14:textId="4C2966AA" w:rsidR="00E66F7B" w:rsidRPr="00F30FD1" w:rsidRDefault="00533954" w:rsidP="00533954">
            <w:pPr>
              <w:spacing w:after="0" w:line="240" w:lineRule="auto"/>
              <w:rPr>
                <w:rFonts w:eastAsia="Times New Roman" w:cs="Arial"/>
                <w:sz w:val="18"/>
                <w:szCs w:val="22"/>
                <w:lang w:val="es-MX"/>
              </w:rPr>
            </w:pPr>
            <w:r w:rsidRPr="00F30FD1">
              <w:rPr>
                <w:rFonts w:eastAsia="Times New Roman" w:cs="Arial"/>
                <w:sz w:val="18"/>
                <w:szCs w:val="22"/>
                <w:lang w:val="es-MX"/>
              </w:rPr>
              <w:t>2.3 Austeridad</w:t>
            </w:r>
          </w:p>
        </w:tc>
      </w:tr>
      <w:tr w:rsidR="00E66F7B" w:rsidRPr="00F30FD1" w14:paraId="40F83D3B"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AFECE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A1FCC95" w14:textId="1D25D3CB" w:rsidR="00E66F7B" w:rsidRPr="00F30FD1" w:rsidRDefault="00533954" w:rsidP="00E66F7B">
            <w:pPr>
              <w:spacing w:after="0" w:line="240" w:lineRule="auto"/>
              <w:rPr>
                <w:rFonts w:eastAsia="Times New Roman" w:cs="Arial"/>
                <w:sz w:val="18"/>
                <w:szCs w:val="22"/>
                <w:lang w:val="es-MX"/>
              </w:rPr>
            </w:pPr>
            <w:r w:rsidRPr="00F30FD1">
              <w:rPr>
                <w:rFonts w:eastAsia="Times New Roman" w:cs="Arial"/>
                <w:sz w:val="18"/>
                <w:szCs w:val="22"/>
                <w:lang w:val="es-MX"/>
              </w:rPr>
              <w:t>2.3 Recursos Financieros</w:t>
            </w:r>
          </w:p>
        </w:tc>
      </w:tr>
      <w:tr w:rsidR="00E66F7B" w:rsidRPr="00F30FD1" w14:paraId="74A8672D"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E51D6C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6998C151"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B8B2AF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4FC757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432219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23F071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6FF5BB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D6E3FF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2376DF08"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155DDCC" w14:textId="422D8127" w:rsidR="00BA1EEE" w:rsidRPr="00F30FD1" w:rsidRDefault="00F8660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62AC01C" w14:textId="66C087BD" w:rsidR="00BA1EEE" w:rsidRPr="00F30FD1" w:rsidRDefault="00F8660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118ECAF" w14:textId="03243DF2" w:rsidR="00BA1EEE" w:rsidRPr="00F30FD1" w:rsidRDefault="00F8660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43CA861" w14:textId="4F3ADAE7" w:rsidR="00BA1EEE" w:rsidRPr="00F30FD1" w:rsidRDefault="00F8660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r w:rsidR="00533954" w:rsidRPr="00F30FD1">
              <w:rPr>
                <w:rFonts w:eastAsia="Times New Roman" w:cs="Arial"/>
                <w:sz w:val="18"/>
                <w:szCs w:val="22"/>
                <w:lang w:val="es-MX"/>
              </w:rPr>
              <w:t>%</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6144A8F" w14:textId="1FECA6B0" w:rsidR="00BA1EEE" w:rsidRPr="00F30FD1" w:rsidRDefault="00F8660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r w:rsidR="00533954" w:rsidRPr="00F30FD1">
              <w:rPr>
                <w:rFonts w:eastAsia="Times New Roman" w:cs="Arial"/>
                <w:sz w:val="18"/>
                <w:szCs w:val="22"/>
                <w:lang w:val="es-MX"/>
              </w:rPr>
              <w:t>%</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37D2810" w14:textId="54C36E73" w:rsidR="00BA1EEE" w:rsidRPr="00F30FD1" w:rsidRDefault="00F8660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r w:rsidR="00533954" w:rsidRPr="00F30FD1">
              <w:rPr>
                <w:rFonts w:eastAsia="Times New Roman" w:cs="Arial"/>
                <w:sz w:val="18"/>
                <w:szCs w:val="22"/>
                <w:lang w:val="es-MX"/>
              </w:rPr>
              <w:t>%</w:t>
            </w:r>
          </w:p>
        </w:tc>
      </w:tr>
    </w:tbl>
    <w:p w14:paraId="247A4D90" w14:textId="084B3A5F" w:rsidR="00575DE8" w:rsidRPr="00F30FD1" w:rsidRDefault="00575DE8" w:rsidP="00952E57">
      <w:pPr>
        <w:spacing w:after="0" w:line="240" w:lineRule="auto"/>
        <w:contextualSpacing/>
        <w:rPr>
          <w:rFonts w:eastAsia="Times New Roman" w:cs="Arial"/>
          <w:sz w:val="20"/>
          <w:szCs w:val="22"/>
          <w:lang w:val="es-MX"/>
        </w:rPr>
      </w:pPr>
    </w:p>
    <w:p w14:paraId="490B0822"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3DF8AE80"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370"/>
        <w:gridCol w:w="683"/>
        <w:gridCol w:w="69"/>
        <w:gridCol w:w="395"/>
        <w:gridCol w:w="1223"/>
        <w:gridCol w:w="445"/>
        <w:gridCol w:w="860"/>
        <w:gridCol w:w="635"/>
        <w:gridCol w:w="1698"/>
        <w:gridCol w:w="368"/>
        <w:gridCol w:w="2089"/>
      </w:tblGrid>
      <w:tr w:rsidR="00E66F7B" w:rsidRPr="00F30FD1" w14:paraId="6DEC307A" w14:textId="77777777" w:rsidTr="001D269B">
        <w:trPr>
          <w:trHeight w:val="20"/>
          <w:jc w:val="right"/>
        </w:trPr>
        <w:tc>
          <w:tcPr>
            <w:tcW w:w="1044"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43D316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956"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A9DAC6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4AE0D7EB" w14:textId="77777777" w:rsidTr="001D269B">
        <w:trPr>
          <w:trHeight w:val="20"/>
          <w:jc w:val="right"/>
        </w:trPr>
        <w:tc>
          <w:tcPr>
            <w:tcW w:w="1044"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190CAD9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56"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66C1150" w14:textId="68851285" w:rsidR="00E66F7B" w:rsidRPr="00F30FD1" w:rsidRDefault="00BA1EEE" w:rsidP="00BA1EEE">
            <w:pPr>
              <w:spacing w:after="0" w:line="240" w:lineRule="auto"/>
              <w:rPr>
                <w:rFonts w:eastAsia="Times New Roman" w:cs="Arial"/>
                <w:sz w:val="18"/>
                <w:szCs w:val="22"/>
                <w:lang w:val="es-MX"/>
              </w:rPr>
            </w:pPr>
            <w:r w:rsidRPr="00F30FD1">
              <w:rPr>
                <w:rFonts w:eastAsia="Times New Roman" w:cs="Arial"/>
                <w:sz w:val="18"/>
                <w:szCs w:val="22"/>
                <w:lang w:val="es-MX"/>
              </w:rPr>
              <w:t>22. Impulsar mecanismos de participación ciudadana para el análisis de las finanzas pública</w:t>
            </w:r>
            <w:r w:rsidR="00444EB6" w:rsidRPr="00F30FD1">
              <w:rPr>
                <w:rFonts w:eastAsia="Times New Roman" w:cs="Arial"/>
                <w:sz w:val="18"/>
                <w:szCs w:val="22"/>
                <w:lang w:val="es-MX"/>
              </w:rPr>
              <w:t>s</w:t>
            </w:r>
            <w:r w:rsidRPr="00F30FD1">
              <w:rPr>
                <w:rFonts w:eastAsia="Times New Roman" w:cs="Arial"/>
                <w:sz w:val="18"/>
                <w:szCs w:val="22"/>
                <w:lang w:val="es-MX"/>
              </w:rPr>
              <w:t>.</w:t>
            </w:r>
          </w:p>
        </w:tc>
      </w:tr>
      <w:tr w:rsidR="00E66F7B" w:rsidRPr="00F30FD1" w14:paraId="1307E017" w14:textId="77777777" w:rsidTr="001D269B">
        <w:trPr>
          <w:trHeight w:val="20"/>
          <w:jc w:val="right"/>
        </w:trPr>
        <w:tc>
          <w:tcPr>
            <w:tcW w:w="1902"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EC8328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98" w:type="pct"/>
            <w:gridSpan w:val="6"/>
            <w:tcBorders>
              <w:top w:val="single" w:sz="4" w:space="0" w:color="auto"/>
              <w:left w:val="single" w:sz="4" w:space="0" w:color="auto"/>
              <w:bottom w:val="single" w:sz="4" w:space="0" w:color="auto"/>
              <w:right w:val="single" w:sz="4" w:space="0" w:color="auto"/>
            </w:tcBorders>
            <w:shd w:val="clear" w:color="auto" w:fill="A6A6A6"/>
          </w:tcPr>
          <w:p w14:paraId="51465A6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58253560" w14:textId="77777777" w:rsidTr="001D269B">
        <w:trPr>
          <w:trHeight w:val="20"/>
          <w:jc w:val="right"/>
        </w:trPr>
        <w:tc>
          <w:tcPr>
            <w:tcW w:w="104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02C99B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21"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10CBC8" w14:textId="504B674A" w:rsidR="00E66F7B"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Número de Participantes capacitados en los espacios que brindan conocimientos sobre finanzas públicas.</w:t>
            </w:r>
          </w:p>
        </w:tc>
        <w:tc>
          <w:tcPr>
            <w:tcW w:w="1373"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1667F2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6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428467E" w14:textId="0BC560E3" w:rsidR="00E66F7B" w:rsidRPr="00F30FD1" w:rsidRDefault="00444EB6" w:rsidP="00E66F7B">
            <w:pPr>
              <w:spacing w:after="0" w:line="240" w:lineRule="auto"/>
              <w:rPr>
                <w:rFonts w:eastAsia="Times New Roman" w:cs="Arial"/>
                <w:sz w:val="18"/>
                <w:szCs w:val="22"/>
                <w:lang w:val="es-MX"/>
              </w:rPr>
            </w:pPr>
            <w:r w:rsidRPr="00F30FD1">
              <w:rPr>
                <w:rFonts w:eastAsia="Times New Roman" w:cs="Arial"/>
                <w:sz w:val="18"/>
                <w:szCs w:val="22"/>
                <w:lang w:val="es-MX"/>
              </w:rPr>
              <w:t>Participante capacitado</w:t>
            </w:r>
          </w:p>
        </w:tc>
      </w:tr>
      <w:tr w:rsidR="00FF61B9" w:rsidRPr="00F30FD1" w14:paraId="459DE380" w14:textId="77777777" w:rsidTr="001D269B">
        <w:trPr>
          <w:trHeight w:val="20"/>
          <w:jc w:val="right"/>
        </w:trPr>
        <w:tc>
          <w:tcPr>
            <w:tcW w:w="104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67D8968" w14:textId="77777777"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56"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90D12FA" w14:textId="230475AB"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Se refiere a los participantes en los distintos espacios o eventos  que promueven el análisis de las finanzas públicas en el Estado.</w:t>
            </w:r>
          </w:p>
        </w:tc>
      </w:tr>
      <w:tr w:rsidR="00FF61B9" w:rsidRPr="00F30FD1" w14:paraId="2F8E80D4" w14:textId="77777777" w:rsidTr="001D269B">
        <w:trPr>
          <w:trHeight w:val="20"/>
          <w:jc w:val="right"/>
        </w:trPr>
        <w:tc>
          <w:tcPr>
            <w:tcW w:w="1079"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2D87CE" w14:textId="77777777"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2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7639EB8" w14:textId="77777777" w:rsidR="00FF61B9" w:rsidRPr="00F30FD1" w:rsidRDefault="00FF61B9" w:rsidP="001941F7">
            <w:pPr>
              <w:spacing w:after="0" w:line="240" w:lineRule="auto"/>
              <w:rPr>
                <w:rFonts w:eastAsia="Times New Roman" w:cs="Arial"/>
                <w:sz w:val="18"/>
                <w:szCs w:val="22"/>
                <w:lang w:val="es-MX"/>
              </w:rPr>
            </w:pPr>
            <w:r w:rsidRPr="00F30FD1">
              <w:rPr>
                <w:rFonts w:eastAsia="Times New Roman" w:cs="Arial"/>
                <w:sz w:val="18"/>
                <w:szCs w:val="22"/>
                <w:lang w:val="es-MX"/>
              </w:rPr>
              <w:t xml:space="preserve">Fichas técnicas de eventos de la Dirección Técnica, trimestrales, publicadas en el </w:t>
            </w:r>
            <w:proofErr w:type="spellStart"/>
            <w:r w:rsidRPr="00F30FD1">
              <w:rPr>
                <w:rFonts w:eastAsia="Times New Roman" w:cs="Arial"/>
                <w:sz w:val="18"/>
                <w:szCs w:val="22"/>
                <w:lang w:val="es-MX"/>
              </w:rPr>
              <w:t>micrositio</w:t>
            </w:r>
            <w:proofErr w:type="spellEnd"/>
            <w:r w:rsidRPr="00F30FD1">
              <w:rPr>
                <w:rFonts w:eastAsia="Times New Roman" w:cs="Arial"/>
                <w:sz w:val="18"/>
                <w:szCs w:val="22"/>
                <w:lang w:val="es-MX"/>
              </w:rPr>
              <w:t xml:space="preserve"> del CIEGEQROO.</w:t>
            </w:r>
          </w:p>
          <w:p w14:paraId="4EBFCFAA" w14:textId="23CCDDD9"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http://www.sefiplan.qroo.gob.mx/CIEGEQROO/capacitaciones.php</w:t>
            </w:r>
          </w:p>
        </w:tc>
      </w:tr>
      <w:tr w:rsidR="00FF61B9" w:rsidRPr="00F30FD1" w14:paraId="1D62CCDB" w14:textId="77777777" w:rsidTr="001D269B">
        <w:trPr>
          <w:trHeight w:val="20"/>
          <w:jc w:val="right"/>
        </w:trPr>
        <w:tc>
          <w:tcPr>
            <w:tcW w:w="1079"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8F11737" w14:textId="77777777"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8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414566C" w14:textId="178753AA" w:rsidR="00FF61B9" w:rsidRPr="00F30FD1" w:rsidRDefault="00A94D52" w:rsidP="00E66F7B">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73"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B4444FA" w14:textId="77777777"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6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516F932" w14:textId="6DDD6882" w:rsidR="00FF61B9"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FF61B9" w:rsidRPr="00F30FD1" w14:paraId="167E644B" w14:textId="77777777" w:rsidTr="001D269B">
        <w:trPr>
          <w:trHeight w:val="20"/>
          <w:jc w:val="right"/>
        </w:trPr>
        <w:tc>
          <w:tcPr>
            <w:tcW w:w="1079"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259B14B" w14:textId="77777777"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2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5F36BE0" w14:textId="391C600F" w:rsidR="00FF61B9"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16. Paz, Justicia e Instituciones Solidas</w:t>
            </w:r>
          </w:p>
        </w:tc>
      </w:tr>
      <w:tr w:rsidR="00FF61B9" w:rsidRPr="00F30FD1" w14:paraId="19F81721" w14:textId="77777777" w:rsidTr="001D269B">
        <w:trPr>
          <w:trHeight w:val="20"/>
          <w:jc w:val="right"/>
        </w:trPr>
        <w:tc>
          <w:tcPr>
            <w:tcW w:w="1079"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9DA44BA" w14:textId="77777777"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2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58B3EE2" w14:textId="4A972552" w:rsidR="00FF61B9" w:rsidRPr="00F30FD1" w:rsidRDefault="007A5E98" w:rsidP="00E66F7B">
            <w:pPr>
              <w:spacing w:after="0" w:line="240" w:lineRule="auto"/>
              <w:rPr>
                <w:rFonts w:eastAsia="Times New Roman" w:cs="Arial"/>
                <w:sz w:val="18"/>
                <w:szCs w:val="22"/>
                <w:lang w:val="es-MX"/>
              </w:rPr>
            </w:pPr>
            <w:r w:rsidRPr="00F30FD1">
              <w:rPr>
                <w:rFonts w:eastAsia="Times New Roman" w:cs="Arial"/>
                <w:sz w:val="18"/>
                <w:szCs w:val="22"/>
                <w:lang w:val="es-MX"/>
              </w:rPr>
              <w:t>16.7 Garantizar la adopción en todos los niveles de decisiones inclusivas, participativas y representativas que respondan a las necesidades</w:t>
            </w:r>
          </w:p>
        </w:tc>
      </w:tr>
      <w:tr w:rsidR="00FF61B9" w:rsidRPr="00F30FD1" w14:paraId="75A37045" w14:textId="77777777" w:rsidTr="001D269B">
        <w:trPr>
          <w:trHeight w:val="20"/>
          <w:jc w:val="right"/>
        </w:trPr>
        <w:tc>
          <w:tcPr>
            <w:tcW w:w="1079"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D9C1B36" w14:textId="77777777"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2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8CCD8BC" w14:textId="7501978F" w:rsidR="00FF61B9" w:rsidRPr="00F30FD1" w:rsidRDefault="00444EB6"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FF61B9" w:rsidRPr="00F30FD1" w14:paraId="159FF4A5" w14:textId="77777777" w:rsidTr="001D269B">
        <w:trPr>
          <w:trHeight w:val="20"/>
          <w:jc w:val="right"/>
        </w:trPr>
        <w:tc>
          <w:tcPr>
            <w:tcW w:w="1079"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A170E51" w14:textId="77777777" w:rsidR="00FF61B9" w:rsidRPr="00F30FD1" w:rsidRDefault="00FF61B9"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2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8CE7A9" w14:textId="6FBD4913" w:rsidR="00FF61B9" w:rsidRPr="00F30FD1" w:rsidRDefault="00444EB6"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FF61B9" w:rsidRPr="00F30FD1" w14:paraId="2689716C"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47924E7" w14:textId="77777777"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FF61B9" w:rsidRPr="00F30FD1" w14:paraId="4B3199FF" w14:textId="77777777" w:rsidTr="001D269B">
        <w:trPr>
          <w:trHeight w:val="20"/>
          <w:jc w:val="right"/>
        </w:trPr>
        <w:tc>
          <w:tcPr>
            <w:tcW w:w="69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1D1009C" w14:textId="77777777"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583"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A111DA0" w14:textId="77777777"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4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DAA671F" w14:textId="77777777"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6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D42D6D8" w14:textId="77777777"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6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838FA5A" w14:textId="77777777"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CE93F63" w14:textId="77777777"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FF61B9" w:rsidRPr="00F30FD1" w14:paraId="0B51E411" w14:textId="77777777" w:rsidTr="001D269B">
        <w:trPr>
          <w:trHeight w:val="20"/>
          <w:jc w:val="right"/>
        </w:trPr>
        <w:tc>
          <w:tcPr>
            <w:tcW w:w="697"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8AE4344" w14:textId="22CDE6A5"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240</w:t>
            </w:r>
          </w:p>
        </w:tc>
        <w:tc>
          <w:tcPr>
            <w:tcW w:w="583"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0573064" w14:textId="501615CB"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270</w:t>
            </w:r>
          </w:p>
        </w:tc>
        <w:tc>
          <w:tcPr>
            <w:tcW w:w="84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BE83801" w14:textId="7A4EDC04" w:rsidR="00FF61B9" w:rsidRPr="00F30FD1" w:rsidRDefault="00FF61B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300</w:t>
            </w:r>
          </w:p>
        </w:tc>
        <w:tc>
          <w:tcPr>
            <w:tcW w:w="76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6B969BD" w14:textId="01BC5BF8" w:rsidR="00FF61B9" w:rsidRPr="00F30FD1" w:rsidRDefault="00EB4EA0"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300</w:t>
            </w:r>
          </w:p>
        </w:tc>
        <w:tc>
          <w:tcPr>
            <w:tcW w:w="86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21A364D" w14:textId="7ADAB708" w:rsidR="00FF61B9" w:rsidRPr="00F30FD1" w:rsidRDefault="00EB4EA0"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300</w:t>
            </w:r>
          </w:p>
        </w:tc>
        <w:tc>
          <w:tcPr>
            <w:tcW w:w="124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2A1FC1E" w14:textId="61757EC2" w:rsidR="00FF61B9" w:rsidRPr="00F30FD1" w:rsidRDefault="00FC7FF3"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300</w:t>
            </w:r>
          </w:p>
        </w:tc>
      </w:tr>
    </w:tbl>
    <w:p w14:paraId="02FE589F" w14:textId="6AEA9E2B" w:rsidR="00575DE8" w:rsidRPr="00F30FD1" w:rsidRDefault="00575DE8" w:rsidP="00952E57">
      <w:pPr>
        <w:spacing w:after="0" w:line="240" w:lineRule="auto"/>
        <w:contextualSpacing/>
        <w:rPr>
          <w:rFonts w:eastAsia="Times New Roman" w:cs="Arial"/>
          <w:sz w:val="20"/>
          <w:szCs w:val="22"/>
          <w:lang w:val="es-MX"/>
        </w:rPr>
      </w:pPr>
    </w:p>
    <w:p w14:paraId="45C2B582" w14:textId="77777777" w:rsidR="00575DE8" w:rsidRPr="00F30FD1" w:rsidRDefault="00575DE8">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0F41D08E"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05"/>
        <w:gridCol w:w="719"/>
        <w:gridCol w:w="492"/>
        <w:gridCol w:w="1208"/>
        <w:gridCol w:w="437"/>
        <w:gridCol w:w="854"/>
        <w:gridCol w:w="622"/>
        <w:gridCol w:w="1674"/>
        <w:gridCol w:w="368"/>
        <w:gridCol w:w="2056"/>
      </w:tblGrid>
      <w:tr w:rsidR="00E66F7B" w:rsidRPr="00F30FD1" w14:paraId="5B8486FA"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8EDAE2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91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13F7BF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28261019"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063B1E8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1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50E141B" w14:textId="4D8E0991" w:rsidR="00E66F7B" w:rsidRPr="00F30FD1" w:rsidRDefault="00BA1EEE" w:rsidP="00BA1EEE">
            <w:pPr>
              <w:spacing w:after="0" w:line="240" w:lineRule="auto"/>
              <w:rPr>
                <w:rFonts w:eastAsia="Times New Roman" w:cs="Arial"/>
                <w:sz w:val="18"/>
                <w:szCs w:val="22"/>
                <w:lang w:val="es-MX"/>
              </w:rPr>
            </w:pPr>
            <w:r w:rsidRPr="00F30FD1">
              <w:rPr>
                <w:rFonts w:eastAsia="Times New Roman" w:cs="Arial"/>
                <w:sz w:val="18"/>
                <w:szCs w:val="22"/>
                <w:lang w:val="es-MX"/>
              </w:rPr>
              <w:t>23. Fomentar acciones tendientes a promover, asesorar, proteger y defender los intereses de los usuarios de servicios financieros.</w:t>
            </w:r>
          </w:p>
        </w:tc>
      </w:tr>
      <w:tr w:rsidR="00E66F7B" w:rsidRPr="00F30FD1" w14:paraId="26A0E6B3" w14:textId="77777777" w:rsidTr="001D269B">
        <w:trPr>
          <w:trHeight w:val="20"/>
          <w:jc w:val="right"/>
        </w:trPr>
        <w:tc>
          <w:tcPr>
            <w:tcW w:w="1945"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744631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55" w:type="pct"/>
            <w:gridSpan w:val="6"/>
            <w:tcBorders>
              <w:top w:val="single" w:sz="4" w:space="0" w:color="auto"/>
              <w:left w:val="single" w:sz="4" w:space="0" w:color="auto"/>
              <w:bottom w:val="single" w:sz="4" w:space="0" w:color="auto"/>
              <w:right w:val="single" w:sz="4" w:space="0" w:color="auto"/>
            </w:tcBorders>
            <w:shd w:val="clear" w:color="auto" w:fill="A6A6A6"/>
          </w:tcPr>
          <w:p w14:paraId="7599C17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08C7C423"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5BF387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20"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3E62C76" w14:textId="47AB95DF" w:rsidR="00E66F7B" w:rsidRPr="00F30FD1" w:rsidRDefault="00067064" w:rsidP="00E66F7B">
            <w:pPr>
              <w:spacing w:after="0" w:line="240" w:lineRule="auto"/>
              <w:rPr>
                <w:rFonts w:eastAsia="Times New Roman" w:cs="Arial"/>
                <w:sz w:val="18"/>
                <w:szCs w:val="22"/>
                <w:lang w:val="es-MX"/>
              </w:rPr>
            </w:pPr>
            <w:r w:rsidRPr="00F30FD1">
              <w:rPr>
                <w:rFonts w:eastAsia="Times New Roman" w:cs="Arial"/>
                <w:sz w:val="18"/>
                <w:szCs w:val="22"/>
                <w:lang w:val="es-MX"/>
              </w:rPr>
              <w:t>Atención a usuarios del Módulo CONDUSEF Chetumal.</w:t>
            </w:r>
          </w:p>
        </w:tc>
        <w:tc>
          <w:tcPr>
            <w:tcW w:w="1354"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0446EA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C56CB72" w14:textId="2E01F0AD" w:rsidR="00E66F7B" w:rsidRPr="00F30FD1" w:rsidRDefault="00067064"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067064" w:rsidRPr="00F30FD1" w14:paraId="25A45129"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2BC2DE8" w14:textId="77777777" w:rsidR="00067064" w:rsidRPr="00F30FD1" w:rsidRDefault="00067064"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1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83A0A27" w14:textId="194960CD" w:rsidR="00067064" w:rsidRPr="00F30FD1" w:rsidRDefault="00067064" w:rsidP="00E66F7B">
            <w:pPr>
              <w:spacing w:after="0" w:line="240" w:lineRule="auto"/>
              <w:rPr>
                <w:rFonts w:eastAsia="Times New Roman" w:cs="Arial"/>
                <w:sz w:val="18"/>
                <w:szCs w:val="22"/>
                <w:lang w:val="es-MX"/>
              </w:rPr>
            </w:pPr>
            <w:r w:rsidRPr="00F30FD1">
              <w:rPr>
                <w:rFonts w:eastAsia="Times New Roman" w:cs="Arial"/>
                <w:sz w:val="18"/>
                <w:szCs w:val="22"/>
                <w:lang w:val="es-MX"/>
              </w:rPr>
              <w:t>Se refiere a la atención que reciben los usuarios del módulo de la CONDUSEF a través de asesorías y que son canalizados ante las instancias correspondientes para interponer sus quejas y  dudas relacionadas con servicios financieros en proporción del número de usuarios que asisten al módulo.</w:t>
            </w:r>
          </w:p>
        </w:tc>
      </w:tr>
      <w:tr w:rsidR="00067064" w:rsidRPr="00F30FD1" w14:paraId="4C5687EF"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BCA6750" w14:textId="77777777" w:rsidR="00067064" w:rsidRPr="00F30FD1" w:rsidRDefault="00067064"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1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F134B6D" w14:textId="77777777" w:rsidR="00067064" w:rsidRPr="00F30FD1" w:rsidRDefault="00067064" w:rsidP="001941F7">
            <w:pPr>
              <w:spacing w:after="0" w:line="240" w:lineRule="auto"/>
              <w:rPr>
                <w:rFonts w:eastAsia="Times New Roman" w:cs="Arial"/>
                <w:sz w:val="18"/>
                <w:szCs w:val="22"/>
                <w:lang w:val="es-MX"/>
              </w:rPr>
            </w:pPr>
            <w:r w:rsidRPr="00F30FD1">
              <w:rPr>
                <w:rFonts w:eastAsia="Times New Roman" w:cs="Arial"/>
                <w:sz w:val="18"/>
                <w:szCs w:val="22"/>
                <w:lang w:val="es-MX"/>
              </w:rPr>
              <w:t xml:space="preserve">Informe del módulo de atención CONDUSEF Chetumal de la Dirección Técnica, trimestral, publicados en el </w:t>
            </w:r>
            <w:proofErr w:type="spellStart"/>
            <w:r w:rsidRPr="00F30FD1">
              <w:rPr>
                <w:rFonts w:eastAsia="Times New Roman" w:cs="Arial"/>
                <w:sz w:val="18"/>
                <w:szCs w:val="22"/>
                <w:lang w:val="es-MX"/>
              </w:rPr>
              <w:t>micrositio</w:t>
            </w:r>
            <w:proofErr w:type="spellEnd"/>
            <w:r w:rsidRPr="00F30FD1">
              <w:rPr>
                <w:rFonts w:eastAsia="Times New Roman" w:cs="Arial"/>
                <w:sz w:val="18"/>
                <w:szCs w:val="22"/>
                <w:lang w:val="es-MX"/>
              </w:rPr>
              <w:t xml:space="preserve"> del CIEGEQROO.</w:t>
            </w:r>
          </w:p>
          <w:p w14:paraId="0EEA449A" w14:textId="12415BDC" w:rsidR="00067064" w:rsidRPr="00F30FD1" w:rsidRDefault="00067064" w:rsidP="00E66F7B">
            <w:pPr>
              <w:spacing w:after="0" w:line="240" w:lineRule="auto"/>
              <w:rPr>
                <w:rFonts w:eastAsia="Times New Roman" w:cs="Arial"/>
                <w:sz w:val="18"/>
                <w:szCs w:val="22"/>
                <w:lang w:val="es-MX"/>
              </w:rPr>
            </w:pPr>
            <w:r w:rsidRPr="00F30FD1">
              <w:rPr>
                <w:rFonts w:eastAsia="Times New Roman" w:cs="Arial"/>
                <w:sz w:val="18"/>
                <w:szCs w:val="22"/>
                <w:lang w:val="es-MX"/>
              </w:rPr>
              <w:t>http://www.sefiplan.qroo.gob.mx/CIEGEQROO/capacitaciones.php</w:t>
            </w:r>
          </w:p>
        </w:tc>
      </w:tr>
      <w:tr w:rsidR="00E66F7B" w:rsidRPr="00F30FD1" w14:paraId="162D2D5E"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EA9BA4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20"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05D4469" w14:textId="3628DC6A"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0</w:t>
            </w:r>
            <w:r w:rsidR="00085B7A">
              <w:rPr>
                <w:rFonts w:eastAsia="Times New Roman" w:cs="Arial"/>
                <w:sz w:val="18"/>
                <w:szCs w:val="22"/>
                <w:lang w:val="es-MX"/>
              </w:rPr>
              <w:t>%</w:t>
            </w:r>
          </w:p>
        </w:tc>
        <w:tc>
          <w:tcPr>
            <w:tcW w:w="1354"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16569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04047E" w14:textId="21C4C40F"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533954" w:rsidRPr="00F30FD1" w14:paraId="49B76B95"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322F96" w14:textId="77777777" w:rsidR="00533954" w:rsidRPr="00F30FD1" w:rsidRDefault="00533954" w:rsidP="00533954">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1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586F6C" w14:textId="560AFAF7" w:rsidR="00533954" w:rsidRPr="00F30FD1" w:rsidRDefault="00533954" w:rsidP="00533954">
            <w:pPr>
              <w:spacing w:after="0" w:line="240" w:lineRule="auto"/>
              <w:rPr>
                <w:rFonts w:eastAsia="Times New Roman" w:cs="Arial"/>
                <w:sz w:val="18"/>
                <w:szCs w:val="22"/>
                <w:lang w:val="es-MX"/>
              </w:rPr>
            </w:pPr>
            <w:r w:rsidRPr="00F30FD1">
              <w:rPr>
                <w:rFonts w:eastAsia="Times New Roman" w:cs="Arial"/>
                <w:sz w:val="18"/>
                <w:szCs w:val="22"/>
                <w:lang w:val="es-MX"/>
              </w:rPr>
              <w:t>16.- Paz, Justicia e Instituciones Sólidas.</w:t>
            </w:r>
          </w:p>
        </w:tc>
      </w:tr>
      <w:tr w:rsidR="00067064" w:rsidRPr="00F30FD1" w14:paraId="790EB9F1"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CA71BCE" w14:textId="77777777" w:rsidR="00067064" w:rsidRPr="00F30FD1" w:rsidRDefault="00067064"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1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1E27E29" w14:textId="09B04823" w:rsidR="00067064" w:rsidRPr="00F30FD1" w:rsidRDefault="00067064" w:rsidP="00E66F7B">
            <w:pPr>
              <w:spacing w:after="0" w:line="240" w:lineRule="auto"/>
              <w:rPr>
                <w:rFonts w:eastAsia="Times New Roman" w:cs="Arial"/>
                <w:sz w:val="18"/>
                <w:szCs w:val="22"/>
                <w:lang w:val="es-MX"/>
              </w:rPr>
            </w:pPr>
            <w:r w:rsidRPr="00F30FD1">
              <w:rPr>
                <w:rFonts w:eastAsia="Times New Roman" w:cs="Arial"/>
                <w:sz w:val="18"/>
                <w:szCs w:val="22"/>
                <w:lang w:val="es-MX"/>
              </w:rPr>
              <w:t>16</w:t>
            </w:r>
            <w:r w:rsidRPr="00472C23">
              <w:rPr>
                <w:rFonts w:eastAsia="Times New Roman" w:cs="Arial"/>
                <w:sz w:val="18"/>
                <w:szCs w:val="22"/>
                <w:lang w:val="es-MX"/>
              </w:rPr>
              <w:t>.</w:t>
            </w:r>
            <w:r w:rsidR="007A5E98" w:rsidRPr="00472C23">
              <w:rPr>
                <w:rFonts w:eastAsia="Times New Roman" w:cs="Arial"/>
                <w:sz w:val="18"/>
                <w:szCs w:val="22"/>
                <w:lang w:val="es-MX"/>
              </w:rPr>
              <w:t>10</w:t>
            </w:r>
            <w:r w:rsidRPr="00F30FD1">
              <w:rPr>
                <w:rFonts w:eastAsia="Times New Roman" w:cs="Arial"/>
                <w:sz w:val="18"/>
                <w:szCs w:val="22"/>
                <w:lang w:val="es-MX"/>
              </w:rPr>
              <w:t xml:space="preserve"> Garantizar el acceso público a la información y proteger las libertades fundamentales, de conformidad con las leyes nacionales y los acuerdos internacionales</w:t>
            </w:r>
            <w:r w:rsidR="007A5E98" w:rsidRPr="00F30FD1">
              <w:rPr>
                <w:rFonts w:eastAsia="Times New Roman" w:cs="Arial"/>
                <w:sz w:val="18"/>
                <w:szCs w:val="22"/>
                <w:lang w:val="es-MX"/>
              </w:rPr>
              <w:t>.</w:t>
            </w:r>
          </w:p>
        </w:tc>
      </w:tr>
      <w:tr w:rsidR="00533954" w:rsidRPr="00F30FD1" w14:paraId="5930D613"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004497" w14:textId="77777777" w:rsidR="00533954" w:rsidRPr="00F30FD1" w:rsidRDefault="00533954" w:rsidP="00533954">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1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654403B" w14:textId="629CBF78" w:rsidR="00533954" w:rsidRPr="00F30FD1" w:rsidRDefault="006374D3" w:rsidP="00533954">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533954" w:rsidRPr="00F30FD1" w14:paraId="481CE85D" w14:textId="77777777" w:rsidTr="001D269B">
        <w:trPr>
          <w:trHeight w:val="20"/>
          <w:jc w:val="right"/>
        </w:trPr>
        <w:tc>
          <w:tcPr>
            <w:tcW w:w="108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1916B0C" w14:textId="77777777" w:rsidR="00533954" w:rsidRPr="00F30FD1" w:rsidRDefault="00533954" w:rsidP="00533954">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1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2C48487" w14:textId="6A62FEDE" w:rsidR="00533954" w:rsidRPr="00F30FD1" w:rsidRDefault="006374D3" w:rsidP="00533954">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067064" w:rsidRPr="00F30FD1" w14:paraId="7B6DF2C5"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80B0FE8" w14:textId="77777777"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067064" w:rsidRPr="00F30FD1" w14:paraId="0059D714" w14:textId="77777777" w:rsidTr="001D269B">
        <w:trPr>
          <w:trHeight w:val="20"/>
          <w:jc w:val="right"/>
        </w:trPr>
        <w:tc>
          <w:tcPr>
            <w:tcW w:w="71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4077850" w14:textId="77777777"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1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D9F5B91" w14:textId="77777777"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588C6F5" w14:textId="77777777"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5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B457374" w14:textId="77777777"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5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26B09CC" w14:textId="77777777"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F63BD17" w14:textId="77777777"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067064" w:rsidRPr="00F30FD1" w14:paraId="60AD2151" w14:textId="77777777" w:rsidTr="001D269B">
        <w:trPr>
          <w:trHeight w:val="20"/>
          <w:jc w:val="right"/>
        </w:trPr>
        <w:tc>
          <w:tcPr>
            <w:tcW w:w="71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731EED5" w14:textId="68FE691B"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61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A447E3" w14:textId="031311C5"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83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6666F2A" w14:textId="0D9D67B2"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75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2C34B5D" w14:textId="6A9FC2D3"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85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92F2176" w14:textId="0E01FB1D"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123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02398E4" w14:textId="7D0B2E92" w:rsidR="00067064" w:rsidRPr="00F30FD1" w:rsidRDefault="0006706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r>
    </w:tbl>
    <w:p w14:paraId="729A6DED" w14:textId="4D53DB90" w:rsidR="00B9509C" w:rsidRPr="00F30FD1" w:rsidRDefault="00B9509C" w:rsidP="00952E57">
      <w:pPr>
        <w:spacing w:after="0" w:line="240" w:lineRule="auto"/>
        <w:contextualSpacing/>
        <w:rPr>
          <w:rFonts w:eastAsia="Times New Roman" w:cs="Arial"/>
          <w:sz w:val="20"/>
          <w:szCs w:val="22"/>
          <w:lang w:val="es-MX"/>
        </w:rPr>
      </w:pPr>
    </w:p>
    <w:p w14:paraId="251B0805" w14:textId="77777777" w:rsidR="00B9509C" w:rsidRPr="00F30FD1" w:rsidRDefault="00B9509C">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4CA76829"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61DE326E"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19CC4D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637B31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34338964"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441976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35A2469" w14:textId="1F1A0D76" w:rsidR="00E66F7B" w:rsidRPr="00F30FD1" w:rsidRDefault="00BA1EEE" w:rsidP="00BA1EEE">
            <w:pPr>
              <w:spacing w:after="0" w:line="240" w:lineRule="auto"/>
              <w:rPr>
                <w:rFonts w:eastAsia="Times New Roman" w:cs="Arial"/>
                <w:sz w:val="18"/>
                <w:szCs w:val="22"/>
                <w:lang w:val="es-MX"/>
              </w:rPr>
            </w:pPr>
            <w:r w:rsidRPr="00F30FD1">
              <w:rPr>
                <w:rFonts w:eastAsia="Times New Roman" w:cs="Arial"/>
                <w:sz w:val="18"/>
                <w:szCs w:val="22"/>
                <w:lang w:val="es-MX"/>
              </w:rPr>
              <w:t xml:space="preserve">24. Implementar el Sistema Estatal de Información, Geografía y Estadística para lograr la integración de los subsistemas de información que sirvan para la elaboración, instrumentación y evaluación de los programas a cargo de la Administración Pública del Estado. </w:t>
            </w:r>
          </w:p>
        </w:tc>
      </w:tr>
      <w:tr w:rsidR="00E66F7B" w:rsidRPr="00F30FD1" w14:paraId="08042553" w14:textId="77777777" w:rsidTr="001D269B">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82A927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5442214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10B6D1DB"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21883E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189B301" w14:textId="402CA0F2" w:rsidR="00E66F7B"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Usuarios de la información estadística y geográfica generada.</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A4DEA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1FF0D87" w14:textId="0F9A97DE" w:rsidR="00E66F7B"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Usuarios</w:t>
            </w:r>
          </w:p>
        </w:tc>
      </w:tr>
      <w:tr w:rsidR="00213C0D" w:rsidRPr="00F30FD1" w14:paraId="72AA6BC2"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09D81EB" w14:textId="77777777" w:rsidR="00213C0D"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8DF986" w14:textId="5816242E" w:rsidR="00213C0D"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Se refiere a los participantes en los distintos espacios o eventos que promueven el análisis de las finanzas públicas en el Estado.</w:t>
            </w:r>
          </w:p>
        </w:tc>
      </w:tr>
      <w:tr w:rsidR="00213C0D" w:rsidRPr="00F30FD1" w14:paraId="5EAA8B80"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EF4E8C4" w14:textId="77777777" w:rsidR="00213C0D"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4926145" w14:textId="6476EB46" w:rsidR="00213C0D"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Contador de visitas en la página Web del Centro de Información Estadística y Geográfica de Quintana Roo http://www.sefiplan.qroo.gob.mx/CIEGEQROO/index.php</w:t>
            </w:r>
          </w:p>
        </w:tc>
      </w:tr>
      <w:tr w:rsidR="00E66F7B" w:rsidRPr="00F30FD1" w14:paraId="7B5350D4"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FB69BD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B8682D8" w14:textId="749811F1"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256613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6DCAFDC" w14:textId="6F89767F" w:rsidR="00E66F7B"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E66F7B" w:rsidRPr="00F30FD1" w14:paraId="28F43579"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50C0E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059A11" w14:textId="09E8B922" w:rsidR="00E66F7B"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213C0D" w:rsidRPr="00F30FD1" w14:paraId="5295A634"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BB43EBF" w14:textId="77777777" w:rsidR="00213C0D"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BAD868E" w14:textId="77777777" w:rsidR="00AB7245" w:rsidRPr="00F30FD1" w:rsidRDefault="00AB7245" w:rsidP="00AB7245">
            <w:pPr>
              <w:spacing w:after="0" w:line="240" w:lineRule="auto"/>
              <w:rPr>
                <w:rFonts w:eastAsia="Times New Roman" w:cs="Arial"/>
                <w:sz w:val="18"/>
                <w:szCs w:val="22"/>
                <w:lang w:val="es-MX"/>
              </w:rPr>
            </w:pPr>
            <w:r w:rsidRPr="00F30FD1">
              <w:rPr>
                <w:rFonts w:eastAsia="Times New Roman" w:cs="Arial"/>
                <w:sz w:val="18"/>
                <w:szCs w:val="22"/>
                <w:lang w:val="es-MX"/>
              </w:rPr>
              <w:t>17.13 Aumentar la estabilidad macroeconómica mundial, incluso mediante la coordinación y coherencia de las políticas</w:t>
            </w:r>
          </w:p>
          <w:p w14:paraId="0CD7EC6C" w14:textId="34CE7D04" w:rsidR="00213C0D" w:rsidRPr="00F30FD1" w:rsidRDefault="00213C0D" w:rsidP="00E66F7B">
            <w:pPr>
              <w:spacing w:after="0" w:line="240" w:lineRule="auto"/>
              <w:rPr>
                <w:rFonts w:eastAsia="Times New Roman" w:cs="Arial"/>
                <w:sz w:val="18"/>
                <w:szCs w:val="22"/>
                <w:lang w:val="es-MX"/>
              </w:rPr>
            </w:pPr>
          </w:p>
        </w:tc>
      </w:tr>
      <w:tr w:rsidR="00213C0D" w:rsidRPr="00F30FD1" w14:paraId="78E8D96E"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215F0DB" w14:textId="77777777" w:rsidR="00213C0D"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EC5E4D7" w14:textId="6F38DA2F" w:rsidR="00213C0D"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1. Recaudación</w:t>
            </w:r>
          </w:p>
        </w:tc>
      </w:tr>
      <w:tr w:rsidR="00213C0D" w:rsidRPr="00F30FD1" w14:paraId="5E0F5755" w14:textId="77777777" w:rsidTr="001D269B">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7EA3C30" w14:textId="77777777" w:rsidR="00213C0D"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013AE38" w14:textId="0B8C88B7" w:rsidR="00213C0D" w:rsidRPr="00F30FD1" w:rsidRDefault="00213C0D" w:rsidP="00E66F7B">
            <w:pPr>
              <w:spacing w:after="0" w:line="240" w:lineRule="auto"/>
              <w:rPr>
                <w:rFonts w:eastAsia="Times New Roman" w:cs="Arial"/>
                <w:sz w:val="18"/>
                <w:szCs w:val="22"/>
                <w:lang w:val="es-MX"/>
              </w:rPr>
            </w:pPr>
            <w:r w:rsidRPr="00F30FD1">
              <w:rPr>
                <w:rFonts w:eastAsia="Times New Roman" w:cs="Arial"/>
                <w:sz w:val="18"/>
                <w:szCs w:val="22"/>
                <w:lang w:val="es-MX"/>
              </w:rPr>
              <w:t>1.2.3. Fiscalización</w:t>
            </w:r>
          </w:p>
        </w:tc>
      </w:tr>
      <w:tr w:rsidR="00213C0D" w:rsidRPr="00F30FD1" w14:paraId="5AE938DF" w14:textId="77777777" w:rsidTr="001D269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D96528A" w14:textId="77777777"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213C0D" w:rsidRPr="00F30FD1" w14:paraId="735C7497"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0379A74" w14:textId="77777777"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02D2D02" w14:textId="77777777"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0246989" w14:textId="77777777"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FF1955F" w14:textId="77777777"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1FC26DF" w14:textId="77777777"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16BE5D2" w14:textId="77777777"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213C0D" w:rsidRPr="00F30FD1" w14:paraId="4D7089C6" w14:textId="77777777" w:rsidTr="001D269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35D6E89" w14:textId="76E3BDEB" w:rsidR="00213C0D"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2664268" w14:textId="19F9D20B" w:rsidR="00213C0D"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80E51F2" w14:textId="1FFB9FE1" w:rsidR="00213C0D"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86A734C" w14:textId="768EFAAB"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1500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6D62844" w14:textId="66336715"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2000</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0D383B6" w14:textId="5D067F4C" w:rsidR="00213C0D" w:rsidRPr="00F30FD1" w:rsidRDefault="00213C0D"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2500</w:t>
            </w:r>
          </w:p>
        </w:tc>
      </w:tr>
    </w:tbl>
    <w:p w14:paraId="297816B6" w14:textId="5A28432C" w:rsidR="00457A62" w:rsidRPr="00F30FD1" w:rsidRDefault="00457A62" w:rsidP="00952E57">
      <w:pPr>
        <w:spacing w:after="0" w:line="240" w:lineRule="auto"/>
        <w:contextualSpacing/>
        <w:rPr>
          <w:rFonts w:eastAsia="Times New Roman" w:cs="Arial"/>
          <w:sz w:val="20"/>
          <w:szCs w:val="22"/>
          <w:lang w:val="es-MX"/>
        </w:rPr>
      </w:pPr>
    </w:p>
    <w:p w14:paraId="55A5CB5F"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1"/>
        <w:gridCol w:w="688"/>
        <w:gridCol w:w="51"/>
        <w:gridCol w:w="490"/>
        <w:gridCol w:w="1200"/>
        <w:gridCol w:w="435"/>
        <w:gridCol w:w="846"/>
        <w:gridCol w:w="622"/>
        <w:gridCol w:w="1664"/>
        <w:gridCol w:w="366"/>
        <w:gridCol w:w="2052"/>
      </w:tblGrid>
      <w:tr w:rsidR="00117150" w:rsidRPr="00F30FD1" w14:paraId="456B00EC" w14:textId="77777777" w:rsidTr="00085B7A">
        <w:trPr>
          <w:trHeight w:val="20"/>
          <w:jc w:val="right"/>
        </w:trPr>
        <w:tc>
          <w:tcPr>
            <w:tcW w:w="1099" w:type="pct"/>
            <w:gridSpan w:val="3"/>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1AEC3327" w14:textId="6051DA50" w:rsidR="00117150" w:rsidRPr="00F30FD1" w:rsidRDefault="00C920BF" w:rsidP="002C277A">
            <w:pPr>
              <w:spacing w:after="0" w:line="240" w:lineRule="auto"/>
              <w:rPr>
                <w:rFonts w:eastAsia="Times New Roman" w:cs="Arial"/>
                <w:sz w:val="18"/>
                <w:szCs w:val="22"/>
                <w:lang w:val="es-MX"/>
              </w:rPr>
            </w:pPr>
            <w:r w:rsidRPr="00F30FD1">
              <w:rPr>
                <w:rFonts w:eastAsia="Times New Roman" w:cs="Arial"/>
                <w:sz w:val="20"/>
                <w:szCs w:val="22"/>
                <w:lang w:val="es-MX"/>
              </w:rPr>
              <w:lastRenderedPageBreak/>
              <w:br w:type="page"/>
            </w:r>
            <w:r w:rsidR="00117150" w:rsidRPr="00F30FD1">
              <w:rPr>
                <w:rFonts w:eastAsia="Times New Roman" w:cs="Arial"/>
                <w:sz w:val="18"/>
                <w:szCs w:val="22"/>
                <w:lang w:val="es-MX"/>
              </w:rPr>
              <w:t>Programa PED</w:t>
            </w:r>
          </w:p>
        </w:tc>
        <w:tc>
          <w:tcPr>
            <w:tcW w:w="3901"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72731EA1"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117150" w:rsidRPr="00F30FD1" w14:paraId="7CFA5939" w14:textId="77777777" w:rsidTr="00085B7A">
        <w:trPr>
          <w:trHeight w:val="20"/>
          <w:jc w:val="right"/>
        </w:trPr>
        <w:tc>
          <w:tcPr>
            <w:tcW w:w="1099" w:type="pct"/>
            <w:gridSpan w:val="3"/>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50F3015"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1"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2B46102"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25. Aplicar de manera correcta la Ley General de Contabilidad Gubernamental, así como las disposiciones emitidas por el Consejo Nacional de Armonización Contable, CONAC.</w:t>
            </w:r>
          </w:p>
        </w:tc>
      </w:tr>
      <w:tr w:rsidR="00117150" w:rsidRPr="00F30FD1" w14:paraId="7A3A3972" w14:textId="77777777" w:rsidTr="00085B7A">
        <w:trPr>
          <w:trHeight w:val="20"/>
          <w:jc w:val="right"/>
        </w:trPr>
        <w:tc>
          <w:tcPr>
            <w:tcW w:w="1958"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B3DD532"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2" w:type="pct"/>
            <w:gridSpan w:val="6"/>
            <w:tcBorders>
              <w:top w:val="single" w:sz="4" w:space="0" w:color="auto"/>
              <w:left w:val="single" w:sz="4" w:space="0" w:color="auto"/>
              <w:bottom w:val="single" w:sz="4" w:space="0" w:color="auto"/>
              <w:right w:val="single" w:sz="4" w:space="0" w:color="auto"/>
            </w:tcBorders>
            <w:shd w:val="clear" w:color="auto" w:fill="A6A6A6"/>
            <w:hideMark/>
          </w:tcPr>
          <w:p w14:paraId="7E28B1CE"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117150" w:rsidRPr="00F30FD1" w14:paraId="6668D974" w14:textId="77777777" w:rsidTr="00085B7A">
        <w:trPr>
          <w:trHeight w:val="20"/>
          <w:jc w:val="right"/>
        </w:trPr>
        <w:tc>
          <w:tcPr>
            <w:tcW w:w="107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6BAD64F"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36"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8BC4CF8" w14:textId="3AD9974D" w:rsidR="00117150" w:rsidRPr="00F30FD1" w:rsidRDefault="00447119" w:rsidP="002C277A">
            <w:pPr>
              <w:spacing w:after="0" w:line="240" w:lineRule="auto"/>
              <w:rPr>
                <w:rFonts w:eastAsia="Times New Roman" w:cs="Arial"/>
                <w:sz w:val="18"/>
                <w:szCs w:val="22"/>
                <w:lang w:val="es-MX"/>
              </w:rPr>
            </w:pPr>
            <w:r w:rsidRPr="00F30FD1">
              <w:rPr>
                <w:rFonts w:eastAsia="Times New Roman" w:cs="Arial"/>
                <w:sz w:val="18"/>
                <w:szCs w:val="22"/>
                <w:lang w:val="es-MX"/>
              </w:rPr>
              <w:t xml:space="preserve">Porcentaje de </w:t>
            </w:r>
            <w:r w:rsidR="00117150" w:rsidRPr="00F30FD1">
              <w:rPr>
                <w:rFonts w:eastAsia="Times New Roman" w:cs="Arial"/>
                <w:sz w:val="18"/>
                <w:szCs w:val="22"/>
                <w:lang w:val="es-MX"/>
              </w:rPr>
              <w:t>pagos autorizados por el Tesorero General del Estado</w:t>
            </w:r>
          </w:p>
        </w:tc>
        <w:tc>
          <w:tcPr>
            <w:tcW w:w="1348"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AE1AFBF"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F1FEA35"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117150" w:rsidRPr="00F30FD1" w14:paraId="1B13372E" w14:textId="77777777" w:rsidTr="00085B7A">
        <w:trPr>
          <w:trHeight w:val="20"/>
          <w:jc w:val="right"/>
        </w:trPr>
        <w:tc>
          <w:tcPr>
            <w:tcW w:w="107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F6B2E0D"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27"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DD28CAE" w14:textId="77777777" w:rsidR="00117150" w:rsidRPr="00F30FD1" w:rsidRDefault="00117150" w:rsidP="002C277A">
            <w:pPr>
              <w:pStyle w:val="NormalWeb"/>
              <w:shd w:val="clear" w:color="auto" w:fill="FFFFFF"/>
              <w:spacing w:before="0" w:beforeAutospacing="0" w:after="160" w:afterAutospacing="0" w:line="235" w:lineRule="atLeast"/>
              <w:rPr>
                <w:rFonts w:ascii="Futura T OT" w:hAnsi="Futura T OT" w:cs="Calibri"/>
                <w:color w:val="000000"/>
                <w:sz w:val="22"/>
                <w:szCs w:val="22"/>
              </w:rPr>
            </w:pPr>
            <w:r w:rsidRPr="00F30FD1">
              <w:rPr>
                <w:rFonts w:ascii="Futura T OT" w:hAnsi="Futura T OT" w:cs="Calibri"/>
                <w:color w:val="000000"/>
                <w:sz w:val="22"/>
                <w:szCs w:val="22"/>
              </w:rPr>
              <w:t>Autorizar todas las erogaciones con cargo al presupuesto de Egresos turnados por la Dirección de Egresos en su reporte de propuesta de pagos de acuerdo con el análisis de antigüedad de saldos, fuente de financiamiento y grado de exigibilidad de las obligaciones a favor de los proveedores, contratistas y acreedores del Estado, los cuales estarán sujetos en todo momento a la disponibilidad financiera emitida de forma diaria por la dirección de Caja.</w:t>
            </w:r>
          </w:p>
          <w:p w14:paraId="016BAE88" w14:textId="77777777" w:rsidR="00117150" w:rsidRPr="00F30FD1" w:rsidRDefault="00117150" w:rsidP="002C277A">
            <w:pPr>
              <w:spacing w:after="0" w:line="240" w:lineRule="auto"/>
              <w:rPr>
                <w:rFonts w:eastAsia="Times New Roman" w:cs="Arial"/>
                <w:sz w:val="18"/>
                <w:szCs w:val="22"/>
                <w:lang w:val="es-MX"/>
              </w:rPr>
            </w:pPr>
          </w:p>
        </w:tc>
      </w:tr>
      <w:tr w:rsidR="00117150" w:rsidRPr="00F30FD1" w14:paraId="4B6F2B71" w14:textId="77777777" w:rsidTr="00085B7A">
        <w:trPr>
          <w:trHeight w:val="20"/>
          <w:jc w:val="right"/>
        </w:trPr>
        <w:tc>
          <w:tcPr>
            <w:tcW w:w="107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B3893C9"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27"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48A7493"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Expediente de Reportes definitivos de pagos diarios autorizados por el Tesorero General del Estado.</w:t>
            </w:r>
          </w:p>
          <w:p w14:paraId="5EA718CC" w14:textId="77777777" w:rsidR="00117150" w:rsidRPr="00F30FD1" w:rsidRDefault="00117150" w:rsidP="002C277A">
            <w:pPr>
              <w:spacing w:after="0" w:line="240" w:lineRule="auto"/>
              <w:rPr>
                <w:rFonts w:eastAsia="Times New Roman" w:cs="Arial"/>
                <w:sz w:val="18"/>
                <w:szCs w:val="22"/>
                <w:lang w:val="es-MX"/>
              </w:rPr>
            </w:pPr>
          </w:p>
        </w:tc>
      </w:tr>
      <w:tr w:rsidR="00117150" w:rsidRPr="00F30FD1" w14:paraId="3F354C10" w14:textId="77777777" w:rsidTr="00085B7A">
        <w:trPr>
          <w:trHeight w:val="20"/>
          <w:jc w:val="right"/>
        </w:trPr>
        <w:tc>
          <w:tcPr>
            <w:tcW w:w="107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2E26605"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36"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2708ABC" w14:textId="03FFB466"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0</w:t>
            </w:r>
            <w:r w:rsidR="00085B7A">
              <w:rPr>
                <w:rFonts w:eastAsia="Times New Roman" w:cs="Arial"/>
                <w:sz w:val="18"/>
                <w:szCs w:val="22"/>
                <w:lang w:val="es-MX"/>
              </w:rPr>
              <w:t>%</w:t>
            </w:r>
          </w:p>
        </w:tc>
        <w:tc>
          <w:tcPr>
            <w:tcW w:w="1348"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2871B9F"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43BA4FD"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117150" w:rsidRPr="00F30FD1" w14:paraId="0F8512CC" w14:textId="77777777" w:rsidTr="00085B7A">
        <w:trPr>
          <w:trHeight w:val="20"/>
          <w:jc w:val="right"/>
        </w:trPr>
        <w:tc>
          <w:tcPr>
            <w:tcW w:w="107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AB3C698"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27"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DD6ABAE" w14:textId="1C036338" w:rsidR="00117150" w:rsidRPr="00F30FD1" w:rsidRDefault="00447119" w:rsidP="002C277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117150" w:rsidRPr="00F30FD1" w14:paraId="48BBD22E" w14:textId="77777777" w:rsidTr="00085B7A">
        <w:trPr>
          <w:trHeight w:val="20"/>
          <w:jc w:val="right"/>
        </w:trPr>
        <w:tc>
          <w:tcPr>
            <w:tcW w:w="107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F2ED4C0"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27"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FD919BD" w14:textId="77777777" w:rsidR="00447119" w:rsidRPr="00F30FD1" w:rsidRDefault="00447119" w:rsidP="00447119">
            <w:pPr>
              <w:rPr>
                <w:rFonts w:cs="Arial"/>
                <w:sz w:val="18"/>
                <w:szCs w:val="22"/>
                <w:lang w:val="es-MX"/>
              </w:rPr>
            </w:pPr>
            <w:r w:rsidRPr="00F30FD1">
              <w:rPr>
                <w:rFonts w:cs="Arial"/>
                <w:sz w:val="18"/>
                <w:szCs w:val="22"/>
                <w:lang w:val="es-MX"/>
              </w:rPr>
              <w:t>17.14 Mejorar la coherencia de las políticas para el desarrollo sostenible;</w:t>
            </w:r>
          </w:p>
          <w:p w14:paraId="42A4D63E" w14:textId="77777777" w:rsidR="00117150" w:rsidRPr="00F30FD1" w:rsidRDefault="00117150" w:rsidP="002C277A">
            <w:pPr>
              <w:spacing w:after="0" w:line="240" w:lineRule="auto"/>
              <w:rPr>
                <w:rFonts w:eastAsia="Times New Roman" w:cs="Arial"/>
                <w:sz w:val="18"/>
                <w:szCs w:val="22"/>
                <w:lang w:val="es-MX"/>
              </w:rPr>
            </w:pPr>
          </w:p>
        </w:tc>
      </w:tr>
      <w:tr w:rsidR="00117150" w:rsidRPr="00F30FD1" w14:paraId="30F4A39F" w14:textId="77777777" w:rsidTr="00085B7A">
        <w:trPr>
          <w:trHeight w:val="20"/>
          <w:jc w:val="right"/>
        </w:trPr>
        <w:tc>
          <w:tcPr>
            <w:tcW w:w="107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87AF764"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27"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0719882"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117150" w:rsidRPr="00F30FD1" w14:paraId="4AE691F7" w14:textId="77777777" w:rsidTr="00085B7A">
        <w:trPr>
          <w:trHeight w:val="20"/>
          <w:jc w:val="right"/>
        </w:trPr>
        <w:tc>
          <w:tcPr>
            <w:tcW w:w="107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435CFEC"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27"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F765D50" w14:textId="77777777" w:rsidR="00117150" w:rsidRPr="00F30FD1" w:rsidRDefault="00117150" w:rsidP="002C27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117150" w:rsidRPr="00F30FD1" w14:paraId="1A25B496" w14:textId="77777777" w:rsidTr="001D269B">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A7A8AA6"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117150" w:rsidRPr="00F30FD1" w14:paraId="5D26000A" w14:textId="77777777" w:rsidTr="00085B7A">
        <w:trPr>
          <w:trHeight w:val="20"/>
          <w:jc w:val="right"/>
        </w:trPr>
        <w:tc>
          <w:tcPr>
            <w:tcW w:w="72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38D8D66"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87650A7"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E010543"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833B914"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34FF0A9"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CD0464D"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117150" w:rsidRPr="00F30FD1" w14:paraId="4A9438E5" w14:textId="77777777" w:rsidTr="00085B7A">
        <w:trPr>
          <w:trHeight w:val="20"/>
          <w:jc w:val="right"/>
        </w:trPr>
        <w:tc>
          <w:tcPr>
            <w:tcW w:w="72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5DC7A71"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Calibri" w:cs="Calibri"/>
                <w:color w:val="595959"/>
                <w:sz w:val="20"/>
                <w:szCs w:val="20"/>
              </w:rPr>
              <w:t>0%</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6520FBA"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Calibri" w:cs="Calibri"/>
                <w:color w:val="595959"/>
                <w:sz w:val="20"/>
                <w:szCs w:val="20"/>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53221C5" w14:textId="77777777" w:rsidR="00117150" w:rsidRPr="00F30FD1" w:rsidRDefault="00117150" w:rsidP="002C277A">
            <w:pPr>
              <w:spacing w:after="0" w:line="240" w:lineRule="auto"/>
              <w:jc w:val="center"/>
              <w:rPr>
                <w:rFonts w:eastAsia="Times New Roman" w:cs="Arial"/>
                <w:sz w:val="18"/>
                <w:szCs w:val="22"/>
                <w:lang w:val="es-MX"/>
              </w:rPr>
            </w:pPr>
            <w:r w:rsidRPr="00F30FD1">
              <w:rPr>
                <w:rFonts w:eastAsia="Calibri" w:cs="Calibri"/>
                <w:color w:val="595959"/>
                <w:sz w:val="20"/>
                <w:szCs w:val="20"/>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F465C2D" w14:textId="7581AEDB" w:rsidR="00117150" w:rsidRPr="00F30FD1" w:rsidRDefault="00117150" w:rsidP="002C277A">
            <w:pPr>
              <w:spacing w:after="0" w:line="240" w:lineRule="auto"/>
              <w:jc w:val="center"/>
              <w:rPr>
                <w:rFonts w:eastAsia="Times New Roman" w:cs="Arial"/>
                <w:sz w:val="18"/>
                <w:szCs w:val="22"/>
                <w:lang w:val="es-MX"/>
              </w:rPr>
            </w:pPr>
            <w:r w:rsidRPr="00F30FD1">
              <w:rPr>
                <w:rFonts w:eastAsia="Calibri" w:cs="Calibri"/>
                <w:color w:val="595959"/>
                <w:sz w:val="20"/>
                <w:szCs w:val="20"/>
              </w:rPr>
              <w:t>65.75</w:t>
            </w:r>
            <w:r w:rsidR="00447119" w:rsidRPr="00F30FD1">
              <w:rPr>
                <w:rFonts w:eastAsia="Calibri" w:cs="Calibri"/>
                <w:color w:val="595959"/>
                <w:sz w:val="20"/>
                <w:szCs w:val="20"/>
              </w:rPr>
              <w:t>%</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94B33D7" w14:textId="79C92024" w:rsidR="00117150" w:rsidRPr="00F30FD1" w:rsidRDefault="00117150" w:rsidP="002C277A">
            <w:pPr>
              <w:spacing w:after="0" w:line="240" w:lineRule="auto"/>
              <w:jc w:val="center"/>
              <w:rPr>
                <w:rFonts w:eastAsia="Times New Roman" w:cs="Arial"/>
                <w:sz w:val="18"/>
                <w:szCs w:val="22"/>
                <w:lang w:val="es-MX"/>
              </w:rPr>
            </w:pPr>
            <w:r w:rsidRPr="00F30FD1">
              <w:rPr>
                <w:rFonts w:eastAsia="Calibri" w:cs="Calibri"/>
                <w:color w:val="595959"/>
                <w:sz w:val="20"/>
                <w:szCs w:val="20"/>
              </w:rPr>
              <w:t>100</w:t>
            </w:r>
            <w:r w:rsidR="00447119" w:rsidRPr="00F30FD1">
              <w:rPr>
                <w:rFonts w:eastAsia="Calibri" w:cs="Calibri"/>
                <w:color w:val="595959"/>
                <w:sz w:val="20"/>
                <w:szCs w:val="20"/>
              </w:rPr>
              <w:t>%</w:t>
            </w:r>
          </w:p>
        </w:tc>
        <w:tc>
          <w:tcPr>
            <w:tcW w:w="122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510A4EE" w14:textId="6B6006BF" w:rsidR="00117150" w:rsidRPr="00F30FD1" w:rsidRDefault="00117150" w:rsidP="002C277A">
            <w:pPr>
              <w:spacing w:after="0" w:line="240" w:lineRule="auto"/>
              <w:jc w:val="center"/>
              <w:rPr>
                <w:rFonts w:eastAsia="Times New Roman" w:cs="Arial"/>
                <w:sz w:val="18"/>
                <w:szCs w:val="22"/>
                <w:lang w:val="es-MX"/>
              </w:rPr>
            </w:pPr>
            <w:r w:rsidRPr="00F30FD1">
              <w:rPr>
                <w:rFonts w:eastAsia="Calibri" w:cs="Calibri"/>
                <w:color w:val="595959"/>
                <w:sz w:val="20"/>
                <w:szCs w:val="20"/>
              </w:rPr>
              <w:t>100</w:t>
            </w:r>
            <w:r w:rsidR="00447119" w:rsidRPr="00F30FD1">
              <w:rPr>
                <w:rFonts w:eastAsia="Calibri" w:cs="Calibri"/>
                <w:color w:val="595959"/>
                <w:sz w:val="20"/>
                <w:szCs w:val="20"/>
              </w:rPr>
              <w:t>%</w:t>
            </w:r>
          </w:p>
        </w:tc>
      </w:tr>
    </w:tbl>
    <w:p w14:paraId="5769E2E2" w14:textId="3211C126" w:rsidR="00100B8B" w:rsidRDefault="00100B8B" w:rsidP="00952E57">
      <w:pPr>
        <w:spacing w:after="0" w:line="240" w:lineRule="auto"/>
        <w:contextualSpacing/>
        <w:rPr>
          <w:rFonts w:eastAsia="Times New Roman" w:cs="Arial"/>
          <w:sz w:val="20"/>
          <w:szCs w:val="22"/>
          <w:lang w:val="es-MX"/>
        </w:rPr>
      </w:pPr>
    </w:p>
    <w:p w14:paraId="6E2BA558" w14:textId="77777777" w:rsidR="00100B8B" w:rsidRDefault="00100B8B">
      <w:pPr>
        <w:spacing w:after="0" w:line="240" w:lineRule="auto"/>
        <w:jc w:val="left"/>
        <w:rPr>
          <w:rFonts w:eastAsia="Times New Roman" w:cs="Arial"/>
          <w:sz w:val="20"/>
          <w:szCs w:val="22"/>
          <w:lang w:val="es-MX"/>
        </w:rPr>
      </w:pPr>
      <w:r>
        <w:rPr>
          <w:rFonts w:eastAsia="Times New Roman" w:cs="Arial"/>
          <w:sz w:val="20"/>
          <w:szCs w:val="22"/>
          <w:lang w:val="es-MX"/>
        </w:rPr>
        <w:br w:type="page"/>
      </w:r>
    </w:p>
    <w:p w14:paraId="1A75BE49" w14:textId="77777777" w:rsidR="00117150" w:rsidRPr="00F30FD1" w:rsidRDefault="00117150"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6"/>
        <w:gridCol w:w="840"/>
        <w:gridCol w:w="389"/>
        <w:gridCol w:w="1200"/>
        <w:gridCol w:w="435"/>
        <w:gridCol w:w="840"/>
        <w:gridCol w:w="627"/>
        <w:gridCol w:w="1664"/>
        <w:gridCol w:w="358"/>
        <w:gridCol w:w="2056"/>
      </w:tblGrid>
      <w:tr w:rsidR="006208AA" w:rsidRPr="00F30FD1" w14:paraId="2EF5B59F"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1CCAC8B"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4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4042B17"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6208AA" w:rsidRPr="00F30FD1" w14:paraId="5CCBE299"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3456B4E"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4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932614F"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25. Aplicar de manera correcta la Ley General de Contabilidad Gubernamental, así como las disposiciones emitidas por el Consejo Nacional de Armonización Contable, CONAC.</w:t>
            </w:r>
          </w:p>
        </w:tc>
      </w:tr>
      <w:tr w:rsidR="006208AA" w:rsidRPr="00F30FD1" w14:paraId="56F4F1B1" w14:textId="77777777" w:rsidTr="006208AA">
        <w:trPr>
          <w:trHeight w:val="20"/>
          <w:jc w:val="right"/>
        </w:trPr>
        <w:tc>
          <w:tcPr>
            <w:tcW w:w="1960"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4C0EBB0"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481E8C30"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6208AA" w:rsidRPr="00F30FD1" w14:paraId="40B689BB"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DE8EE7E" w14:textId="4E95AAB5"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C120D6C" w14:textId="5EC2BAFE"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Reporte de avance del Gasto Público ejercido.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B99C42D" w14:textId="6F8C88EC"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507A0F3" w14:textId="7D6DC017"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6208AA" w:rsidRPr="00F30FD1" w14:paraId="6A9A4FDD"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5CEA3B9" w14:textId="766F2405"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4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0C5C2CA" w14:textId="77777777" w:rsidR="006208AA" w:rsidRPr="00F30FD1" w:rsidRDefault="006208AA" w:rsidP="006208AA">
            <w:pPr>
              <w:shd w:val="clear" w:color="auto" w:fill="FFFFFF"/>
              <w:spacing w:after="0" w:line="240" w:lineRule="auto"/>
              <w:textAlignment w:val="baseline"/>
              <w:rPr>
                <w:rFonts w:eastAsia="Times New Roman" w:cs="Arial"/>
                <w:sz w:val="18"/>
                <w:szCs w:val="22"/>
                <w:lang w:val="es-MX"/>
              </w:rPr>
            </w:pPr>
            <w:r w:rsidRPr="00F30FD1">
              <w:rPr>
                <w:rFonts w:eastAsia="Times New Roman" w:cs="Arial"/>
                <w:sz w:val="18"/>
                <w:szCs w:val="22"/>
                <w:lang w:val="es-MX"/>
              </w:rPr>
              <w:t>Aplicar el gasto público de manera correcta en base a los requisitos y a la normatividad vigente, para la atención de las necesidades sociales, con la calidad y en orientación a resultados medibles.</w:t>
            </w:r>
          </w:p>
          <w:p w14:paraId="536BD369" w14:textId="5CE55A9B" w:rsidR="006208AA" w:rsidRPr="00F30FD1" w:rsidRDefault="006208AA" w:rsidP="006208AA">
            <w:pPr>
              <w:spacing w:after="0" w:line="240" w:lineRule="auto"/>
              <w:rPr>
                <w:rFonts w:eastAsia="Times New Roman" w:cs="Arial"/>
                <w:sz w:val="18"/>
                <w:szCs w:val="22"/>
                <w:lang w:val="es-MX"/>
              </w:rPr>
            </w:pPr>
          </w:p>
        </w:tc>
      </w:tr>
      <w:tr w:rsidR="006208AA" w:rsidRPr="00F30FD1" w14:paraId="7A9D7D6A"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CF6C0A1" w14:textId="5DCE734E"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42A72D1" w14:textId="77777777"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Reportes mensuales del Sistema Integral de Gestión Gubernamental.</w:t>
            </w:r>
          </w:p>
          <w:p w14:paraId="3DA83F9F" w14:textId="7B83A2F3"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http://10.9.3.191/sigg/Usuarios/Access.aspx</w:t>
            </w:r>
          </w:p>
        </w:tc>
      </w:tr>
      <w:tr w:rsidR="006208AA" w:rsidRPr="00F30FD1" w14:paraId="1A6DA402"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6E156BA" w14:textId="040F3B1E"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DC8E3EE" w14:textId="5C4E7F05" w:rsidR="006208AA" w:rsidRPr="00F30FD1" w:rsidRDefault="00BA6964" w:rsidP="006208AA">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EDCEA70" w14:textId="71C92BDB"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C1AC7BF" w14:textId="664373BE" w:rsidR="006208AA" w:rsidRPr="00F30FD1" w:rsidRDefault="00BA6964" w:rsidP="006208AA">
            <w:pPr>
              <w:spacing w:after="0" w:line="240" w:lineRule="auto"/>
              <w:rPr>
                <w:rFonts w:eastAsia="Times New Roman" w:cs="Arial"/>
                <w:sz w:val="18"/>
                <w:szCs w:val="22"/>
                <w:lang w:val="es-MX"/>
              </w:rPr>
            </w:pPr>
            <w:r>
              <w:rPr>
                <w:rFonts w:eastAsia="Times New Roman" w:cs="Arial"/>
                <w:sz w:val="18"/>
                <w:szCs w:val="22"/>
                <w:lang w:val="es-MX"/>
              </w:rPr>
              <w:t>2016</w:t>
            </w:r>
          </w:p>
        </w:tc>
      </w:tr>
      <w:tr w:rsidR="006208AA" w:rsidRPr="00F30FD1" w14:paraId="053EA99F"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B39AE59" w14:textId="34482B79"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EE2936D" w14:textId="4FB8922E"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6208AA" w:rsidRPr="00F30FD1" w14:paraId="4117DECD"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FFDF754" w14:textId="76CCC4A7"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8A1219F" w14:textId="77777777" w:rsidR="006208AA" w:rsidRPr="00F30FD1" w:rsidRDefault="006208AA" w:rsidP="006208AA">
            <w:pPr>
              <w:rPr>
                <w:rFonts w:cs="Arial"/>
                <w:sz w:val="18"/>
                <w:szCs w:val="22"/>
                <w:lang w:val="es-MX"/>
              </w:rPr>
            </w:pPr>
            <w:r w:rsidRPr="00F30FD1">
              <w:rPr>
                <w:rFonts w:cs="Arial"/>
                <w:sz w:val="18"/>
                <w:szCs w:val="22"/>
                <w:lang w:val="es-MX"/>
              </w:rPr>
              <w:t>17.14 Mejorar la coherencia de las políticas para el desarrollo sostenible;</w:t>
            </w:r>
          </w:p>
          <w:p w14:paraId="4ED44996" w14:textId="5FB1A43A" w:rsidR="006208AA" w:rsidRPr="00F30FD1" w:rsidRDefault="006208AA" w:rsidP="006208AA">
            <w:pPr>
              <w:spacing w:after="0" w:line="240" w:lineRule="auto"/>
              <w:rPr>
                <w:rFonts w:eastAsia="Times New Roman" w:cs="Arial"/>
                <w:sz w:val="18"/>
                <w:szCs w:val="22"/>
                <w:lang w:val="es-MX"/>
              </w:rPr>
            </w:pPr>
          </w:p>
        </w:tc>
      </w:tr>
      <w:tr w:rsidR="006208AA" w:rsidRPr="00F30FD1" w14:paraId="4B40C110"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BCB3A1C" w14:textId="48939A6B"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E8123A1" w14:textId="6197C38D"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6208AA" w:rsidRPr="00F30FD1" w14:paraId="25D01CD3" w14:textId="77777777" w:rsidTr="00457A62">
        <w:trPr>
          <w:trHeight w:val="20"/>
          <w:jc w:val="right"/>
        </w:trPr>
        <w:tc>
          <w:tcPr>
            <w:tcW w:w="115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E3B5A08" w14:textId="1635D968"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5F9A8DE" w14:textId="2AE234D0"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6208AA" w:rsidRPr="00F30FD1" w14:paraId="4974B21F" w14:textId="77777777" w:rsidTr="006208AA">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BEE8BC4" w14:textId="4310D4B9"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6208AA" w:rsidRPr="00F30FD1" w14:paraId="03F84E63" w14:textId="77777777" w:rsidTr="00D37DC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CE239E3" w14:textId="77BD89C8" w:rsidR="006208AA" w:rsidRPr="00F30FD1" w:rsidRDefault="006208AA" w:rsidP="00BA6964">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DD37F26" w14:textId="3D5BAFEC" w:rsidR="006208AA" w:rsidRPr="00F30FD1" w:rsidRDefault="006208AA" w:rsidP="00BA6964">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5C1ABCC" w14:textId="0178CABA" w:rsidR="006208AA" w:rsidRPr="00F30FD1" w:rsidRDefault="006208AA" w:rsidP="00BA6964">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1E88688" w14:textId="1205FAD2" w:rsidR="006208AA" w:rsidRPr="00F30FD1" w:rsidRDefault="006208AA" w:rsidP="00BA6964">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07DC595" w14:textId="6B876E0A" w:rsidR="006208AA" w:rsidRPr="00F30FD1" w:rsidRDefault="001D6570" w:rsidP="00BA6964">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411A51F" w14:textId="7CC989E6" w:rsidR="006208AA" w:rsidRPr="00F30FD1" w:rsidRDefault="001D6570" w:rsidP="00BA6964">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6208AA" w:rsidRPr="00F30FD1" w14:paraId="1D5B6E25" w14:textId="77777777" w:rsidTr="00D37DC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7E3E150" w14:textId="0A73F514" w:rsidR="006208AA" w:rsidRPr="00BA6964" w:rsidRDefault="006208AA" w:rsidP="00BA6964">
            <w:pPr>
              <w:spacing w:after="0" w:line="240" w:lineRule="auto"/>
              <w:jc w:val="center"/>
              <w:rPr>
                <w:rFonts w:eastAsia="Calibri" w:cs="Calibri"/>
                <w:color w:val="595959"/>
                <w:sz w:val="20"/>
                <w:szCs w:val="20"/>
              </w:rPr>
            </w:pPr>
            <w:r w:rsidRPr="00BA6964">
              <w:rPr>
                <w:rFonts w:eastAsia="Calibri" w:cs="Calibri"/>
                <w:color w:val="595959"/>
                <w:sz w:val="20"/>
                <w:szCs w:val="20"/>
              </w:rPr>
              <w:t>100%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C47A07E" w14:textId="1D8DB461" w:rsidR="006208AA" w:rsidRPr="00BA6964" w:rsidRDefault="006208AA" w:rsidP="00BA6964">
            <w:pPr>
              <w:spacing w:after="0" w:line="240" w:lineRule="auto"/>
              <w:jc w:val="center"/>
              <w:rPr>
                <w:rFonts w:eastAsia="Calibri" w:cs="Calibri"/>
                <w:color w:val="595959"/>
                <w:sz w:val="20"/>
                <w:szCs w:val="20"/>
              </w:rPr>
            </w:pPr>
            <w:r w:rsidRPr="00BA6964">
              <w:rPr>
                <w:rFonts w:eastAsia="Calibri" w:cs="Calibri"/>
                <w:color w:val="595959"/>
                <w:sz w:val="20"/>
                <w:szCs w:val="20"/>
              </w:rPr>
              <w:t>100%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2E4C0DD" w14:textId="604DC098" w:rsidR="006208AA" w:rsidRPr="00BA6964" w:rsidRDefault="006208AA" w:rsidP="00BA6964">
            <w:pPr>
              <w:spacing w:after="0" w:line="240" w:lineRule="auto"/>
              <w:jc w:val="center"/>
              <w:rPr>
                <w:rFonts w:eastAsia="Calibri" w:cs="Calibri"/>
                <w:color w:val="595959"/>
                <w:sz w:val="20"/>
                <w:szCs w:val="20"/>
              </w:rPr>
            </w:pPr>
            <w:r w:rsidRPr="00BA6964">
              <w:rPr>
                <w:rFonts w:eastAsia="Calibri" w:cs="Calibri"/>
                <w:color w:val="595959"/>
                <w:sz w:val="20"/>
                <w:szCs w:val="20"/>
              </w:rPr>
              <w:t>100%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CC7B5E1" w14:textId="21E27720" w:rsidR="006208AA" w:rsidRPr="00BA6964" w:rsidRDefault="006208AA" w:rsidP="00BA6964">
            <w:pPr>
              <w:spacing w:after="0" w:line="240" w:lineRule="auto"/>
              <w:jc w:val="center"/>
              <w:rPr>
                <w:rFonts w:eastAsia="Calibri" w:cs="Calibri"/>
                <w:color w:val="595959"/>
                <w:sz w:val="20"/>
                <w:szCs w:val="20"/>
              </w:rPr>
            </w:pPr>
            <w:r w:rsidRPr="00BA6964">
              <w:rPr>
                <w:rFonts w:eastAsia="Calibri" w:cs="Calibri"/>
                <w:color w:val="595959"/>
                <w:sz w:val="20"/>
                <w:szCs w:val="20"/>
              </w:rPr>
              <w:t>100%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499392E" w14:textId="47F3D26A" w:rsidR="006208AA" w:rsidRPr="00BA6964" w:rsidRDefault="006208AA" w:rsidP="00BA6964">
            <w:pPr>
              <w:spacing w:after="0" w:line="240" w:lineRule="auto"/>
              <w:jc w:val="center"/>
              <w:rPr>
                <w:rFonts w:eastAsia="Calibri" w:cs="Calibri"/>
                <w:color w:val="595959"/>
                <w:sz w:val="20"/>
                <w:szCs w:val="20"/>
              </w:rPr>
            </w:pPr>
            <w:r w:rsidRPr="00BA6964">
              <w:rPr>
                <w:rFonts w:eastAsia="Calibri" w:cs="Calibri"/>
                <w:color w:val="595959"/>
                <w:sz w:val="20"/>
                <w:szCs w:val="20"/>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5335548" w14:textId="6FDBFBDB" w:rsidR="006208AA" w:rsidRPr="00BA6964" w:rsidRDefault="006208AA" w:rsidP="00BA6964">
            <w:pPr>
              <w:spacing w:after="0" w:line="240" w:lineRule="auto"/>
              <w:jc w:val="center"/>
              <w:rPr>
                <w:rFonts w:eastAsia="Calibri" w:cs="Calibri"/>
                <w:color w:val="595959"/>
                <w:sz w:val="20"/>
                <w:szCs w:val="20"/>
              </w:rPr>
            </w:pPr>
            <w:r w:rsidRPr="00BA6964">
              <w:rPr>
                <w:rFonts w:eastAsia="Calibri" w:cs="Calibri"/>
                <w:color w:val="595959"/>
                <w:sz w:val="20"/>
                <w:szCs w:val="20"/>
              </w:rPr>
              <w:t>100%</w:t>
            </w:r>
          </w:p>
        </w:tc>
      </w:tr>
    </w:tbl>
    <w:p w14:paraId="660C9841" w14:textId="615AA69D" w:rsidR="00457A62" w:rsidRPr="00F30FD1" w:rsidRDefault="00457A62" w:rsidP="00D4066E">
      <w:pPr>
        <w:jc w:val="center"/>
        <w:rPr>
          <w:rFonts w:eastAsia="Times New Roman" w:cs="Times New Roman"/>
        </w:rPr>
      </w:pPr>
    </w:p>
    <w:p w14:paraId="6DB6C281" w14:textId="77777777" w:rsidR="00457A62" w:rsidRPr="00F30FD1" w:rsidRDefault="00457A62">
      <w:pPr>
        <w:spacing w:after="0" w:line="240" w:lineRule="auto"/>
        <w:jc w:val="left"/>
        <w:rPr>
          <w:rFonts w:eastAsia="Times New Roman" w:cs="Times New Roman"/>
        </w:rPr>
      </w:pPr>
      <w:r w:rsidRPr="00F30FD1">
        <w:rPr>
          <w:rFonts w:eastAsia="Times New Roman" w:cs="Times New Roman"/>
        </w:rPr>
        <w:br w:type="page"/>
      </w:r>
    </w:p>
    <w:tbl>
      <w:tblPr>
        <w:tblW w:w="5000" w:type="pct"/>
        <w:jc w:val="right"/>
        <w:tblCellMar>
          <w:left w:w="0" w:type="dxa"/>
          <w:right w:w="0" w:type="dxa"/>
        </w:tblCellMar>
        <w:tblLook w:val="0420" w:firstRow="1" w:lastRow="0" w:firstColumn="0" w:lastColumn="0" w:noHBand="0" w:noVBand="1"/>
      </w:tblPr>
      <w:tblGrid>
        <w:gridCol w:w="1425"/>
        <w:gridCol w:w="843"/>
        <w:gridCol w:w="386"/>
        <w:gridCol w:w="1200"/>
        <w:gridCol w:w="435"/>
        <w:gridCol w:w="844"/>
        <w:gridCol w:w="624"/>
        <w:gridCol w:w="1664"/>
        <w:gridCol w:w="362"/>
        <w:gridCol w:w="2052"/>
      </w:tblGrid>
      <w:tr w:rsidR="006208AA" w:rsidRPr="00F30FD1" w14:paraId="33395DE6"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1BB6112"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846"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C87DD15"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6208AA" w:rsidRPr="00F30FD1" w14:paraId="0F5969D4"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AD4105B"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46"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48437B1"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25. Aplicar de manera correcta la Ley General de Contabilidad Gubernamental, así como las disposiciones emitidas por el Consejo Nacional de Armonización Contable, CONAC.</w:t>
            </w:r>
          </w:p>
        </w:tc>
      </w:tr>
      <w:tr w:rsidR="006208AA" w:rsidRPr="00F30FD1" w14:paraId="357FF516" w14:textId="77777777" w:rsidTr="00457A62">
        <w:trPr>
          <w:trHeight w:val="20"/>
          <w:jc w:val="right"/>
        </w:trPr>
        <w:tc>
          <w:tcPr>
            <w:tcW w:w="1960"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43DAC79"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7D0EA294"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6208AA" w:rsidRPr="00F30FD1" w14:paraId="0F44708C"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8EA276F" w14:textId="64B9B282"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9F78A05" w14:textId="430210F9"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rPr>
              <w:t>Relación de numero de cheques del corte de caja proporcionado mensualmente por el departamento de control de pagos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8769A3D" w14:textId="415201F0"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rPr>
              <w:t>Unidad de Medida:</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907E763" w14:textId="02213A18"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rPr>
              <w:t>Porcentaje de documentos pagados</w:t>
            </w:r>
          </w:p>
        </w:tc>
      </w:tr>
      <w:tr w:rsidR="006208AA" w:rsidRPr="00F30FD1" w14:paraId="371E7F44"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F9E6B72" w14:textId="4FBE5F65"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46"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8CE449" w14:textId="555E73C5"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rPr>
              <w:t>Efectuar el pago de los documentos autorizados, previa programación de la dirección de egresos y que los mismos cumplan con los lineamientos establecidos para la correcta integración de la cuenta pública.</w:t>
            </w:r>
          </w:p>
        </w:tc>
      </w:tr>
      <w:tr w:rsidR="006208AA" w:rsidRPr="00F30FD1" w14:paraId="529C2F40"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80516C4" w14:textId="238C2163"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6"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1E99E1E" w14:textId="77777777" w:rsidR="006208AA" w:rsidRPr="00F30FD1" w:rsidRDefault="006208AA" w:rsidP="006208AA">
            <w:pPr>
              <w:spacing w:after="0" w:line="240" w:lineRule="auto"/>
              <w:rPr>
                <w:rFonts w:eastAsia="Times New Roman" w:cs="Arial"/>
                <w:sz w:val="18"/>
              </w:rPr>
            </w:pPr>
            <w:r w:rsidRPr="00F30FD1">
              <w:rPr>
                <w:rFonts w:eastAsia="Times New Roman" w:cs="Arial"/>
                <w:sz w:val="18"/>
              </w:rPr>
              <w:t>Relación de documentos tramitados y pagados</w:t>
            </w:r>
          </w:p>
          <w:p w14:paraId="6647267B" w14:textId="77777777" w:rsidR="006208AA" w:rsidRPr="00F30FD1" w:rsidRDefault="006208AA" w:rsidP="006208AA">
            <w:pPr>
              <w:spacing w:after="0" w:line="240" w:lineRule="auto"/>
              <w:rPr>
                <w:rFonts w:eastAsia="Times New Roman" w:cs="Arial"/>
                <w:sz w:val="18"/>
                <w:szCs w:val="22"/>
                <w:lang w:val="es-MX"/>
              </w:rPr>
            </w:pPr>
          </w:p>
        </w:tc>
      </w:tr>
      <w:tr w:rsidR="006208AA" w:rsidRPr="00F30FD1" w14:paraId="214D8D31"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CCD79AC" w14:textId="0A63C5DC"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C1AA02" w14:textId="61197A10" w:rsidR="006208AA" w:rsidRPr="00F30FD1" w:rsidRDefault="00BA6964" w:rsidP="006208AA">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DA3BF20" w14:textId="0E1B23E2"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DE83BDF" w14:textId="13FC5719" w:rsidR="006208AA" w:rsidRPr="00F30FD1" w:rsidRDefault="00BA6964" w:rsidP="006208AA">
            <w:pPr>
              <w:spacing w:after="0" w:line="240" w:lineRule="auto"/>
              <w:rPr>
                <w:rFonts w:eastAsia="Times New Roman" w:cs="Arial"/>
                <w:sz w:val="18"/>
                <w:szCs w:val="22"/>
                <w:lang w:val="es-MX"/>
              </w:rPr>
            </w:pPr>
            <w:r>
              <w:rPr>
                <w:rFonts w:eastAsia="Times New Roman" w:cs="Arial"/>
                <w:sz w:val="18"/>
                <w:szCs w:val="22"/>
                <w:lang w:val="es-MX"/>
              </w:rPr>
              <w:t>2016</w:t>
            </w:r>
          </w:p>
        </w:tc>
      </w:tr>
      <w:tr w:rsidR="006208AA" w:rsidRPr="00F30FD1" w14:paraId="0010663C"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72E469A" w14:textId="2150FE0E"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6"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5574576" w14:textId="3B2F2A17"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6208AA" w:rsidRPr="00F30FD1" w14:paraId="20F9767E"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02EBF47" w14:textId="1B6E8761"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6"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4C519A" w14:textId="77777777" w:rsidR="006208AA" w:rsidRPr="00F30FD1" w:rsidRDefault="006208AA" w:rsidP="006208AA">
            <w:pPr>
              <w:rPr>
                <w:rFonts w:cs="Arial"/>
                <w:sz w:val="18"/>
                <w:szCs w:val="22"/>
                <w:lang w:val="es-MX"/>
              </w:rPr>
            </w:pPr>
            <w:r w:rsidRPr="00F30FD1">
              <w:rPr>
                <w:rFonts w:cs="Arial"/>
                <w:sz w:val="18"/>
                <w:szCs w:val="22"/>
                <w:lang w:val="es-MX"/>
              </w:rPr>
              <w:t>17.14 Mejorar la coherencia de las políticas para el desarrollo sostenible;</w:t>
            </w:r>
          </w:p>
          <w:p w14:paraId="6C6CB21A" w14:textId="77777777" w:rsidR="006208AA" w:rsidRPr="00F30FD1" w:rsidRDefault="006208AA" w:rsidP="006208AA">
            <w:pPr>
              <w:spacing w:after="0" w:line="240" w:lineRule="auto"/>
              <w:rPr>
                <w:rFonts w:eastAsia="Times New Roman" w:cs="Arial"/>
                <w:sz w:val="18"/>
                <w:szCs w:val="22"/>
                <w:lang w:val="es-MX"/>
              </w:rPr>
            </w:pPr>
          </w:p>
        </w:tc>
      </w:tr>
      <w:tr w:rsidR="006208AA" w:rsidRPr="00F30FD1" w14:paraId="2EBDC313"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D438888" w14:textId="5CE37814"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6"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2D98B32" w14:textId="1D829047"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6208AA" w:rsidRPr="00F30FD1" w14:paraId="6462E0AF" w14:textId="77777777" w:rsidTr="00457A62">
        <w:trPr>
          <w:trHeight w:val="20"/>
          <w:jc w:val="right"/>
        </w:trPr>
        <w:tc>
          <w:tcPr>
            <w:tcW w:w="115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0F17570" w14:textId="34E5B4AF"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6"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A3312BF" w14:textId="6B515C96"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6208AA" w:rsidRPr="00F30FD1" w14:paraId="366D37D1" w14:textId="77777777" w:rsidTr="00D37DC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052755D" w14:textId="2B59DD7B"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6208AA" w:rsidRPr="00F30FD1" w14:paraId="65DC7108" w14:textId="77777777" w:rsidTr="00D37DC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7032E43" w14:textId="77777777" w:rsidR="006208AA" w:rsidRPr="00F30FD1" w:rsidRDefault="006208AA" w:rsidP="006208AA">
            <w:pPr>
              <w:spacing w:after="0" w:line="240" w:lineRule="auto"/>
              <w:jc w:val="center"/>
              <w:rPr>
                <w:rFonts w:eastAsia="Times New Roman" w:cs="Arial"/>
                <w:sz w:val="18"/>
                <w:szCs w:val="22"/>
                <w:lang w:val="es-MX"/>
              </w:rPr>
            </w:pP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01271F1" w14:textId="77777777" w:rsidR="006208AA" w:rsidRPr="00F30FD1" w:rsidRDefault="006208AA" w:rsidP="006208AA">
            <w:pPr>
              <w:spacing w:after="0" w:line="240" w:lineRule="auto"/>
              <w:jc w:val="center"/>
              <w:rPr>
                <w:rFonts w:eastAsia="Times New Roman" w:cs="Arial"/>
                <w:sz w:val="18"/>
                <w:szCs w:val="22"/>
                <w:lang w:val="es-MX"/>
              </w:rPr>
            </w:pP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EAA0DD6" w14:textId="77777777" w:rsidR="006208AA" w:rsidRPr="00F30FD1" w:rsidRDefault="006208AA" w:rsidP="006208AA">
            <w:pPr>
              <w:spacing w:after="0" w:line="240" w:lineRule="auto"/>
              <w:jc w:val="center"/>
              <w:rPr>
                <w:rFonts w:eastAsia="Times New Roman" w:cs="Arial"/>
                <w:sz w:val="18"/>
                <w:szCs w:val="22"/>
                <w:lang w:val="es-MX"/>
              </w:rPr>
            </w:pP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CE171C8" w14:textId="77777777" w:rsidR="006208AA" w:rsidRPr="00F30FD1" w:rsidRDefault="006208AA" w:rsidP="006208AA">
            <w:pPr>
              <w:spacing w:after="0" w:line="240" w:lineRule="auto"/>
              <w:jc w:val="center"/>
              <w:rPr>
                <w:rFonts w:eastAsia="Times New Roman" w:cs="Arial"/>
                <w:sz w:val="18"/>
                <w:szCs w:val="22"/>
                <w:lang w:val="es-MX"/>
              </w:rPr>
            </w:pP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FD6D17B" w14:textId="77777777" w:rsidR="006208AA" w:rsidRPr="00F30FD1" w:rsidRDefault="006208AA" w:rsidP="006208AA">
            <w:pPr>
              <w:spacing w:after="0" w:line="240" w:lineRule="auto"/>
              <w:jc w:val="center"/>
              <w:rPr>
                <w:rFonts w:eastAsia="Times New Roman" w:cs="Arial"/>
                <w:sz w:val="18"/>
                <w:szCs w:val="22"/>
                <w:lang w:val="es-MX"/>
              </w:rPr>
            </w:pP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F2F54FE" w14:textId="77777777" w:rsidR="006208AA" w:rsidRPr="00F30FD1" w:rsidRDefault="006208AA" w:rsidP="006208AA">
            <w:pPr>
              <w:spacing w:after="0" w:line="240" w:lineRule="auto"/>
              <w:jc w:val="center"/>
              <w:rPr>
                <w:rFonts w:eastAsia="Times New Roman" w:cs="Arial"/>
                <w:sz w:val="18"/>
                <w:szCs w:val="22"/>
                <w:lang w:val="es-MX"/>
              </w:rPr>
            </w:pPr>
          </w:p>
        </w:tc>
      </w:tr>
      <w:tr w:rsidR="006208AA" w:rsidRPr="00F30FD1" w14:paraId="5DE380C9" w14:textId="77777777" w:rsidTr="00D37DC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4E93B2A" w14:textId="31927C3F"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28F8C62" w14:textId="5BB53814"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8094214" w14:textId="52354423"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638AEC5" w14:textId="6083C9A1"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7956334" w14:textId="44EE1F99" w:rsidR="006208AA" w:rsidRPr="00F30FD1" w:rsidRDefault="00D10C8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90B9F1A" w14:textId="5B3AA3C5" w:rsidR="006208AA" w:rsidRPr="00F30FD1" w:rsidRDefault="00D10C8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6208AA" w:rsidRPr="00F30FD1" w14:paraId="41B5B94D" w14:textId="77777777" w:rsidTr="00D37DCB">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BD07EC6" w14:textId="3ADB1A4D"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rPr>
              <w:t>80%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89C7761" w14:textId="028CDCA2"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rPr>
              <w:t>80%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59C8B0B" w14:textId="70F8F277"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rPr>
              <w:t>80%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18F17CA" w14:textId="197AA13E"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rPr>
              <w:t>80%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9905E59" w14:textId="3333D561"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rPr>
              <w:t>80%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2805E7C" w14:textId="668DB610"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rPr>
              <w:t>80%</w:t>
            </w:r>
          </w:p>
        </w:tc>
      </w:tr>
    </w:tbl>
    <w:p w14:paraId="649275BB" w14:textId="77777777" w:rsidR="006208AA" w:rsidRPr="00F30FD1" w:rsidRDefault="006208AA" w:rsidP="00D4066E">
      <w:pPr>
        <w:jc w:val="center"/>
        <w:rPr>
          <w:rFonts w:eastAsia="Times New Roman" w:cs="Times New Roman"/>
        </w:rPr>
      </w:pPr>
    </w:p>
    <w:p w14:paraId="1750B72B" w14:textId="1B73194E" w:rsidR="00100B8B" w:rsidRDefault="00100B8B">
      <w:pPr>
        <w:spacing w:after="0" w:line="240" w:lineRule="auto"/>
        <w:jc w:val="left"/>
        <w:rPr>
          <w:rFonts w:eastAsia="Times New Roman" w:cs="Times New Roman"/>
        </w:rPr>
      </w:pPr>
      <w:r>
        <w:rPr>
          <w:rFonts w:eastAsia="Times New Roman" w:cs="Times New Roman"/>
        </w:rPr>
        <w:br w:type="page"/>
      </w:r>
    </w:p>
    <w:tbl>
      <w:tblPr>
        <w:tblW w:w="5000" w:type="pct"/>
        <w:jc w:val="right"/>
        <w:tblCellMar>
          <w:left w:w="0" w:type="dxa"/>
          <w:right w:w="0" w:type="dxa"/>
        </w:tblCellMar>
        <w:tblLook w:val="0420" w:firstRow="1" w:lastRow="0" w:firstColumn="0" w:lastColumn="0" w:noHBand="0" w:noVBand="1"/>
      </w:tblPr>
      <w:tblGrid>
        <w:gridCol w:w="1403"/>
        <w:gridCol w:w="972"/>
        <w:gridCol w:w="441"/>
        <w:gridCol w:w="1180"/>
        <w:gridCol w:w="407"/>
        <w:gridCol w:w="824"/>
        <w:gridCol w:w="598"/>
        <w:gridCol w:w="1642"/>
        <w:gridCol w:w="342"/>
        <w:gridCol w:w="2026"/>
      </w:tblGrid>
      <w:tr w:rsidR="006208AA" w:rsidRPr="00F30FD1" w14:paraId="42FF5E8F" w14:textId="77777777" w:rsidTr="006208AA">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A5EF0D6"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793"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74A2879"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6208AA" w:rsidRPr="00F30FD1" w14:paraId="0E1E79D0" w14:textId="77777777" w:rsidTr="006208AA">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59DB5B0E"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793"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F411063"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25. Aplicar de manera correcta la Ley General de Contabilidad Gubernamental, así como las disposiciones emitidas por el Consejo Nacional de Armonización Contable, CONAC.</w:t>
            </w:r>
          </w:p>
        </w:tc>
      </w:tr>
      <w:tr w:rsidR="006208AA" w:rsidRPr="00F30FD1" w14:paraId="678F9A66" w14:textId="77777777" w:rsidTr="00100B8B">
        <w:trPr>
          <w:trHeight w:val="20"/>
          <w:jc w:val="right"/>
        </w:trPr>
        <w:tc>
          <w:tcPr>
            <w:tcW w:w="203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233DDDB"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2969" w:type="pct"/>
            <w:gridSpan w:val="6"/>
            <w:tcBorders>
              <w:top w:val="single" w:sz="4" w:space="0" w:color="auto"/>
              <w:left w:val="single" w:sz="4" w:space="0" w:color="auto"/>
              <w:bottom w:val="single" w:sz="4" w:space="0" w:color="auto"/>
              <w:right w:val="single" w:sz="4" w:space="0" w:color="auto"/>
            </w:tcBorders>
            <w:shd w:val="clear" w:color="auto" w:fill="A6A6A6"/>
          </w:tcPr>
          <w:p w14:paraId="5AD2E45D" w14:textId="77777777" w:rsidR="006208AA" w:rsidRPr="00F30FD1" w:rsidRDefault="006208AA" w:rsidP="00D37DC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6208AA" w:rsidRPr="00F30FD1" w14:paraId="4EA52527" w14:textId="77777777" w:rsidTr="00100B8B">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233A5D" w14:textId="7EFCCA65"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450"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182A633" w14:textId="42ED8A70"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Porcentaje de avance en el Proceso de Armonización Contable en el Estado</w:t>
            </w:r>
          </w:p>
        </w:tc>
        <w:tc>
          <w:tcPr>
            <w:tcW w:w="1313"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2ED701" w14:textId="2DE4CD5F"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BFB3174" w14:textId="3DA77174"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 xml:space="preserve">Porcentaje </w:t>
            </w:r>
          </w:p>
        </w:tc>
      </w:tr>
      <w:tr w:rsidR="006208AA" w:rsidRPr="00F30FD1" w14:paraId="51614CBE" w14:textId="77777777" w:rsidTr="006208AA">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08F263B" w14:textId="5BB854F8"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79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9A0822A" w14:textId="77777777" w:rsidR="006208AA" w:rsidRPr="00F30FD1" w:rsidRDefault="006208AA" w:rsidP="006208AA">
            <w:pPr>
              <w:shd w:val="clear" w:color="auto" w:fill="FFFFFF"/>
              <w:spacing w:after="0" w:line="240" w:lineRule="auto"/>
              <w:textAlignment w:val="baseline"/>
              <w:rPr>
                <w:rFonts w:eastAsia="Times New Roman" w:cs="Arial"/>
                <w:sz w:val="18"/>
                <w:szCs w:val="22"/>
                <w:lang w:val="es-MX"/>
              </w:rPr>
            </w:pPr>
            <w:r w:rsidRPr="00F30FD1">
              <w:rPr>
                <w:rFonts w:eastAsia="Times New Roman" w:cs="Arial"/>
                <w:sz w:val="18"/>
                <w:szCs w:val="22"/>
                <w:lang w:val="es-MX"/>
              </w:rPr>
              <w:t>Contabilidad gubernamental armonizada, de conformidad con las disposiciones establecidas por el Consejo Nacional de Armonización Contable (CONAC) y otras disposiciones relacionadas.</w:t>
            </w:r>
          </w:p>
          <w:p w14:paraId="7EBA6FD5" w14:textId="77777777" w:rsidR="006208AA" w:rsidRPr="00F30FD1" w:rsidRDefault="006208AA" w:rsidP="006208AA">
            <w:pPr>
              <w:spacing w:after="0" w:line="240" w:lineRule="auto"/>
              <w:rPr>
                <w:rFonts w:eastAsia="Times New Roman" w:cs="Arial"/>
                <w:sz w:val="18"/>
                <w:szCs w:val="22"/>
                <w:lang w:val="es-MX"/>
              </w:rPr>
            </w:pPr>
          </w:p>
        </w:tc>
      </w:tr>
      <w:tr w:rsidR="006208AA" w:rsidRPr="00F30FD1" w14:paraId="661E12D5" w14:textId="77777777" w:rsidTr="006208AA">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CC9F35C" w14:textId="2DAE5775"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79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45DE0F3" w14:textId="77777777" w:rsidR="006208AA" w:rsidRPr="00F30FD1" w:rsidRDefault="00EE7D8C" w:rsidP="006208AA">
            <w:pPr>
              <w:spacing w:after="0" w:line="240" w:lineRule="auto"/>
              <w:rPr>
                <w:rFonts w:eastAsia="Times New Roman" w:cs="Arial"/>
                <w:sz w:val="18"/>
                <w:szCs w:val="22"/>
                <w:lang w:val="es-MX"/>
              </w:rPr>
            </w:pPr>
            <w:hyperlink r:id="rId36" w:history="1">
              <w:r w:rsidR="006208AA" w:rsidRPr="00F30FD1">
                <w:rPr>
                  <w:rStyle w:val="Hipervnculo"/>
                  <w:rFonts w:eastAsia="Times New Roman" w:cs="Arial"/>
                  <w:sz w:val="18"/>
                  <w:szCs w:val="22"/>
                  <w:lang w:val="es-MX"/>
                </w:rPr>
                <w:t>https://www.conac.gob.mx/es/CONAC/Transparencia</w:t>
              </w:r>
            </w:hyperlink>
          </w:p>
          <w:p w14:paraId="0A89DE33" w14:textId="708B7BA7"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Informe del Sistema de Evaluaciones de la Armonización Contable (</w:t>
            </w:r>
            <w:proofErr w:type="spellStart"/>
            <w:r w:rsidRPr="00F30FD1">
              <w:rPr>
                <w:rFonts w:eastAsia="Times New Roman" w:cs="Arial"/>
                <w:sz w:val="18"/>
                <w:szCs w:val="22"/>
                <w:lang w:val="es-MX"/>
              </w:rPr>
              <w:t>SEvAC</w:t>
            </w:r>
            <w:proofErr w:type="spellEnd"/>
            <w:r w:rsidRPr="00F30FD1">
              <w:rPr>
                <w:rFonts w:eastAsia="Times New Roman" w:cs="Arial"/>
                <w:sz w:val="18"/>
                <w:szCs w:val="22"/>
                <w:lang w:val="es-MX"/>
              </w:rPr>
              <w:t>), generado por la Unidad de Contabilidad Gubernamental del Consejo Nacional de Armonización Contable (CONAC).</w:t>
            </w:r>
          </w:p>
        </w:tc>
      </w:tr>
      <w:tr w:rsidR="006208AA" w:rsidRPr="00F30FD1" w14:paraId="72693FA9" w14:textId="77777777" w:rsidTr="00100B8B">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AC55A16" w14:textId="3213AA68"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0"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01DB643" w14:textId="542C2F43" w:rsidR="006208AA" w:rsidRPr="00F30FD1" w:rsidRDefault="00BA6964" w:rsidP="006208AA">
            <w:pPr>
              <w:spacing w:after="0" w:line="240" w:lineRule="auto"/>
              <w:rPr>
                <w:rFonts w:eastAsia="Times New Roman" w:cs="Arial"/>
                <w:sz w:val="18"/>
                <w:szCs w:val="22"/>
                <w:lang w:val="es-MX"/>
              </w:rPr>
            </w:pPr>
            <w:r>
              <w:rPr>
                <w:rFonts w:eastAsia="Times New Roman" w:cs="Arial"/>
                <w:sz w:val="18"/>
                <w:szCs w:val="22"/>
                <w:lang w:val="es-MX"/>
              </w:rPr>
              <w:t>0</w:t>
            </w:r>
          </w:p>
        </w:tc>
        <w:tc>
          <w:tcPr>
            <w:tcW w:w="1313"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EE611FD" w14:textId="58E5726F"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3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B4CF53F" w14:textId="49FA56CB" w:rsidR="006208AA" w:rsidRPr="00F30FD1" w:rsidRDefault="00BA6964" w:rsidP="006208AA">
            <w:pPr>
              <w:spacing w:after="0" w:line="240" w:lineRule="auto"/>
              <w:rPr>
                <w:rFonts w:eastAsia="Times New Roman" w:cs="Arial"/>
                <w:sz w:val="18"/>
                <w:szCs w:val="22"/>
                <w:lang w:val="es-MX"/>
              </w:rPr>
            </w:pPr>
            <w:r>
              <w:rPr>
                <w:rFonts w:eastAsia="Times New Roman" w:cs="Arial"/>
                <w:sz w:val="18"/>
                <w:szCs w:val="22"/>
                <w:lang w:val="es-MX"/>
              </w:rPr>
              <w:t>2016</w:t>
            </w:r>
          </w:p>
        </w:tc>
      </w:tr>
      <w:tr w:rsidR="006208AA" w:rsidRPr="00F30FD1" w14:paraId="64B77575" w14:textId="77777777" w:rsidTr="006208AA">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ABC2510" w14:textId="14706BB5"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79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EE6BB98" w14:textId="37E0CA82"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6208AA" w:rsidRPr="00F30FD1" w14:paraId="13D88C10" w14:textId="77777777" w:rsidTr="006208AA">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D21EF08" w14:textId="45C5A934"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79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AF910C6" w14:textId="77777777" w:rsidR="006208AA" w:rsidRPr="00F30FD1" w:rsidRDefault="006208AA" w:rsidP="006208AA">
            <w:pPr>
              <w:rPr>
                <w:rFonts w:cs="Arial"/>
                <w:sz w:val="18"/>
                <w:szCs w:val="22"/>
                <w:lang w:val="es-MX"/>
              </w:rPr>
            </w:pPr>
            <w:r w:rsidRPr="00F30FD1">
              <w:rPr>
                <w:rFonts w:cs="Arial"/>
                <w:sz w:val="18"/>
                <w:szCs w:val="22"/>
                <w:lang w:val="es-MX"/>
              </w:rPr>
              <w:t>17.14 Mejorar la coherencia de las políticas para el desarrollo sostenible;</w:t>
            </w:r>
          </w:p>
          <w:p w14:paraId="49DBE477" w14:textId="77777777" w:rsidR="006208AA" w:rsidRPr="00F30FD1" w:rsidRDefault="006208AA" w:rsidP="006208AA">
            <w:pPr>
              <w:spacing w:after="0" w:line="240" w:lineRule="auto"/>
              <w:rPr>
                <w:rFonts w:eastAsia="Times New Roman" w:cs="Arial"/>
                <w:sz w:val="18"/>
                <w:szCs w:val="22"/>
                <w:lang w:val="es-MX"/>
              </w:rPr>
            </w:pPr>
          </w:p>
        </w:tc>
      </w:tr>
      <w:tr w:rsidR="006208AA" w:rsidRPr="00F30FD1" w14:paraId="4B69735C" w14:textId="77777777" w:rsidTr="006208AA">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5820BB0" w14:textId="50055073"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79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90762E4" w14:textId="76EC216B"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6208AA" w:rsidRPr="00F30FD1" w14:paraId="2BD6D7BE" w14:textId="77777777" w:rsidTr="006208AA">
        <w:trPr>
          <w:trHeight w:val="20"/>
          <w:jc w:val="right"/>
        </w:trPr>
        <w:tc>
          <w:tcPr>
            <w:tcW w:w="12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77B628C" w14:textId="5BCAF750"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793"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3804B55" w14:textId="147E9234" w:rsidR="006208AA" w:rsidRPr="00F30FD1" w:rsidRDefault="006208AA" w:rsidP="006208A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6208AA" w:rsidRPr="00F30FD1" w14:paraId="0B005D65" w14:textId="77777777" w:rsidTr="00D37DCB">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1F6205" w14:textId="56BB9C12"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6208AA" w:rsidRPr="00F30FD1" w14:paraId="5E008081" w14:textId="77777777" w:rsidTr="006208AA">
        <w:trPr>
          <w:trHeight w:val="20"/>
          <w:jc w:val="right"/>
        </w:trPr>
        <w:tc>
          <w:tcPr>
            <w:tcW w:w="71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80B9DAC" w14:textId="765F4DCE"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71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0AC88E1" w14:textId="4138CDEC"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60BFED2" w14:textId="3B40BAC4"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2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53BAB63" w14:textId="3D49B77D" w:rsidR="006208AA" w:rsidRPr="00F30FD1" w:rsidRDefault="006208AA"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3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D2ABA6C" w14:textId="0DAC7B1F" w:rsidR="006208AA" w:rsidRPr="00F30FD1" w:rsidRDefault="00396B85"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0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B3EA9AF" w14:textId="6D3B55C9" w:rsidR="006208AA" w:rsidRPr="00F30FD1" w:rsidRDefault="00396B85"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6208AA" w:rsidRPr="00F30FD1" w14:paraId="0D20C828" w14:textId="77777777" w:rsidTr="006208AA">
        <w:trPr>
          <w:trHeight w:val="20"/>
          <w:jc w:val="right"/>
        </w:trPr>
        <w:tc>
          <w:tcPr>
            <w:tcW w:w="71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44EBE49" w14:textId="3C307E29" w:rsidR="006208AA" w:rsidRPr="00F30FD1" w:rsidRDefault="00396B85"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59.90</w:t>
            </w:r>
            <w:r w:rsidR="006208AA" w:rsidRPr="00F30FD1">
              <w:rPr>
                <w:rFonts w:eastAsia="Times New Roman" w:cs="Arial"/>
                <w:sz w:val="18"/>
                <w:szCs w:val="22"/>
                <w:lang w:val="es-MX"/>
              </w:rPr>
              <w:t>%</w:t>
            </w:r>
          </w:p>
        </w:tc>
        <w:tc>
          <w:tcPr>
            <w:tcW w:w="71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BE6E629" w14:textId="78249ED8" w:rsidR="006208AA" w:rsidRPr="00F30FD1" w:rsidRDefault="00396B85"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63.73</w:t>
            </w:r>
            <w:r w:rsidR="006208AA" w:rsidRPr="00F30FD1">
              <w:rPr>
                <w:rFonts w:eastAsia="Times New Roman" w:cs="Arial"/>
                <w:sz w:val="18"/>
                <w:szCs w:val="22"/>
                <w:lang w:val="es-MX"/>
              </w:rPr>
              <w:t>%</w:t>
            </w:r>
          </w:p>
        </w:tc>
        <w:tc>
          <w:tcPr>
            <w:tcW w:w="80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418A577" w14:textId="380D8E6C" w:rsidR="006208AA" w:rsidRPr="00F30FD1" w:rsidRDefault="00396B85"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76.6</w:t>
            </w:r>
            <w:r w:rsidR="006208AA" w:rsidRPr="00F30FD1">
              <w:rPr>
                <w:rFonts w:eastAsia="Times New Roman" w:cs="Arial"/>
                <w:sz w:val="18"/>
                <w:szCs w:val="22"/>
                <w:lang w:val="es-MX"/>
              </w:rPr>
              <w:t>0%</w:t>
            </w:r>
          </w:p>
        </w:tc>
        <w:tc>
          <w:tcPr>
            <w:tcW w:w="723"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0906F5F" w14:textId="7538F89D" w:rsidR="006208AA" w:rsidRPr="00F30FD1" w:rsidRDefault="00396B85"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77</w:t>
            </w:r>
            <w:r w:rsidR="006208AA" w:rsidRPr="00F30FD1">
              <w:rPr>
                <w:rFonts w:eastAsia="Times New Roman" w:cs="Arial"/>
                <w:sz w:val="18"/>
                <w:szCs w:val="22"/>
                <w:lang w:val="es-MX"/>
              </w:rPr>
              <w:t>.00%</w:t>
            </w:r>
          </w:p>
        </w:tc>
        <w:tc>
          <w:tcPr>
            <w:tcW w:w="83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00D3847" w14:textId="4A3EF6C7" w:rsidR="006208AA" w:rsidRPr="00F30FD1" w:rsidRDefault="00396B85"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78.00</w:t>
            </w:r>
            <w:r w:rsidR="006208AA" w:rsidRPr="00F30FD1">
              <w:rPr>
                <w:rFonts w:eastAsia="Times New Roman" w:cs="Arial"/>
                <w:sz w:val="18"/>
                <w:szCs w:val="22"/>
                <w:lang w:val="es-MX"/>
              </w:rPr>
              <w:t xml:space="preserve"> %</w:t>
            </w:r>
          </w:p>
        </w:tc>
        <w:tc>
          <w:tcPr>
            <w:tcW w:w="1204"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634A813" w14:textId="61D9ACF6" w:rsidR="006208AA" w:rsidRPr="00F30FD1" w:rsidRDefault="00396B85" w:rsidP="006208AA">
            <w:pPr>
              <w:spacing w:after="0" w:line="240" w:lineRule="auto"/>
              <w:jc w:val="center"/>
              <w:rPr>
                <w:rFonts w:eastAsia="Times New Roman" w:cs="Arial"/>
                <w:sz w:val="18"/>
                <w:szCs w:val="22"/>
                <w:lang w:val="es-MX"/>
              </w:rPr>
            </w:pPr>
            <w:r w:rsidRPr="00F30FD1">
              <w:rPr>
                <w:rFonts w:eastAsia="Times New Roman" w:cs="Arial"/>
                <w:sz w:val="18"/>
                <w:szCs w:val="22"/>
                <w:lang w:val="es-MX"/>
              </w:rPr>
              <w:t>79.00</w:t>
            </w:r>
            <w:r w:rsidR="006208AA" w:rsidRPr="00F30FD1">
              <w:rPr>
                <w:rFonts w:eastAsia="Times New Roman" w:cs="Arial"/>
                <w:sz w:val="18"/>
                <w:szCs w:val="22"/>
                <w:lang w:val="es-MX"/>
              </w:rPr>
              <w:t>%</w:t>
            </w:r>
          </w:p>
        </w:tc>
      </w:tr>
    </w:tbl>
    <w:p w14:paraId="73929B5B" w14:textId="77777777" w:rsidR="006208AA" w:rsidRPr="00F30FD1" w:rsidRDefault="006208AA" w:rsidP="00D4066E">
      <w:pPr>
        <w:jc w:val="center"/>
        <w:rPr>
          <w:rFonts w:eastAsia="Times New Roman" w:cs="Times New Roman"/>
        </w:rPr>
      </w:pPr>
    </w:p>
    <w:p w14:paraId="58BE24D3" w14:textId="0E8F9A1B"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3617BB1A" w14:textId="77777777" w:rsidR="00117150" w:rsidRPr="00F30FD1" w:rsidRDefault="00117150"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106"/>
        <w:gridCol w:w="382"/>
        <w:gridCol w:w="1204"/>
        <w:gridCol w:w="431"/>
        <w:gridCol w:w="848"/>
        <w:gridCol w:w="620"/>
        <w:gridCol w:w="1664"/>
        <w:gridCol w:w="366"/>
        <w:gridCol w:w="2048"/>
      </w:tblGrid>
      <w:tr w:rsidR="00015620" w:rsidRPr="00F30FD1" w14:paraId="59B8981E" w14:textId="77777777" w:rsidTr="006208AA">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8B96354" w14:textId="057F366B"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B2446B0" w14:textId="3D7FA206"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015620" w:rsidRPr="00F30FD1" w14:paraId="4593801C" w14:textId="77777777" w:rsidTr="006208AA">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19B089FF" w14:textId="59571AC4"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4AABFF9" w14:textId="194DC134"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26. Desarrollar e implementar acciones para fortalecer el Modelo de Prevención Quintana Roo.</w:t>
            </w:r>
          </w:p>
        </w:tc>
      </w:tr>
      <w:tr w:rsidR="00015620" w:rsidRPr="00F30FD1" w14:paraId="399F3A66" w14:textId="77777777" w:rsidTr="006208AA">
        <w:trPr>
          <w:trHeight w:val="20"/>
          <w:jc w:val="right"/>
        </w:trPr>
        <w:tc>
          <w:tcPr>
            <w:tcW w:w="1962" w:type="pct"/>
            <w:gridSpan w:val="5"/>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6A6850B" w14:textId="41B02C79"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7D4ACCC9" w14:textId="08C1C4A9"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015620" w:rsidRPr="00F30FD1" w14:paraId="429CC4CE" w14:textId="77777777" w:rsidTr="006208AA">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C902CCE" w14:textId="4862BB8B"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0" w:type="pct"/>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21394D5" w14:textId="710980CD" w:rsidR="00015620" w:rsidRPr="00F30FD1" w:rsidRDefault="0048586E" w:rsidP="0048586E">
            <w:pPr>
              <w:spacing w:after="0" w:line="240" w:lineRule="auto"/>
              <w:rPr>
                <w:rFonts w:eastAsia="Times New Roman" w:cs="Arial"/>
                <w:sz w:val="18"/>
                <w:szCs w:val="22"/>
                <w:lang w:val="es-MX"/>
              </w:rPr>
            </w:pPr>
            <w:r w:rsidRPr="00F30FD1">
              <w:rPr>
                <w:rFonts w:eastAsia="Times New Roman" w:cs="Arial"/>
                <w:sz w:val="18"/>
                <w:szCs w:val="22"/>
                <w:lang w:val="es-MX"/>
              </w:rPr>
              <w:t>Personal capacitado en curso/plática del Modelo de Prevención Quintana Roo.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441797C" w14:textId="10297216"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EDE562C" w14:textId="397165BD" w:rsidR="00015620" w:rsidRPr="00F30FD1" w:rsidRDefault="00015620" w:rsidP="0048586E">
            <w:pPr>
              <w:spacing w:after="0" w:line="240" w:lineRule="auto"/>
              <w:rPr>
                <w:rFonts w:eastAsia="Times New Roman" w:cs="Arial"/>
                <w:sz w:val="18"/>
                <w:szCs w:val="22"/>
                <w:lang w:val="es-MX"/>
              </w:rPr>
            </w:pPr>
            <w:r w:rsidRPr="00F30FD1">
              <w:rPr>
                <w:rFonts w:eastAsia="Times New Roman" w:cs="Arial"/>
                <w:sz w:val="18"/>
                <w:szCs w:val="22"/>
                <w:lang w:val="es-MX"/>
              </w:rPr>
              <w:t xml:space="preserve">Personal </w:t>
            </w:r>
            <w:r w:rsidR="0048586E" w:rsidRPr="00F30FD1">
              <w:rPr>
                <w:rFonts w:eastAsia="Times New Roman" w:cs="Arial"/>
                <w:sz w:val="18"/>
                <w:szCs w:val="22"/>
                <w:lang w:val="es-MX"/>
              </w:rPr>
              <w:t>capacitado</w:t>
            </w:r>
          </w:p>
        </w:tc>
      </w:tr>
      <w:tr w:rsidR="00015620" w:rsidRPr="00F30FD1" w14:paraId="76FA3B7E" w14:textId="77777777" w:rsidTr="006208AA">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336DF1E" w14:textId="3ED29A5E"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9"/>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B1A31EE" w14:textId="3078E79C"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Capacitar a la plantilla de personal de la Secretaría de Finanzas y Planeación en diversos temas, a fin de prevenir el acoso y hostigamientos sexual, laboral, de derechos humanos, entre otros temas</w:t>
            </w:r>
          </w:p>
        </w:tc>
      </w:tr>
      <w:tr w:rsidR="00015620" w:rsidRPr="00F30FD1" w14:paraId="174FAF0C" w14:textId="77777777" w:rsidTr="006208AA">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8C94E46" w14:textId="7EF9CB51"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DCCDD39" w14:textId="4FF9CCC0"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Reporte de Cursos Impartidos</w:t>
            </w:r>
          </w:p>
        </w:tc>
      </w:tr>
      <w:tr w:rsidR="00E66F7B" w:rsidRPr="00F30FD1" w14:paraId="1EB7A9BF" w14:textId="77777777" w:rsidTr="006208AA">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6FB22F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456"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B78719C" w14:textId="6D49D225" w:rsidR="00E66F7B" w:rsidRPr="00F30FD1" w:rsidRDefault="0048586E" w:rsidP="00E66F7B">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6AB436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3452560" w14:textId="567F1751" w:rsidR="00E66F7B" w:rsidRPr="00F30FD1" w:rsidRDefault="0048586E" w:rsidP="00E66F7B">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E66F7B" w:rsidRPr="00F30FD1" w14:paraId="0282FD6F" w14:textId="77777777" w:rsidTr="006208AA">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6F7BE0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941205A" w14:textId="3C665CAF" w:rsidR="00E66F7B" w:rsidRPr="00F30FD1" w:rsidRDefault="0048586E" w:rsidP="00E66F7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E66F7B" w:rsidRPr="00F30FD1" w14:paraId="01AEFDF0" w14:textId="77777777" w:rsidTr="006208AA">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6412B8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7B7EB2" w14:textId="77777777" w:rsidR="00AB7245" w:rsidRPr="00F30FD1" w:rsidRDefault="00AB7245" w:rsidP="00AB7245">
            <w:pPr>
              <w:spacing w:after="0" w:line="240" w:lineRule="auto"/>
              <w:rPr>
                <w:rFonts w:eastAsia="Times New Roman" w:cs="Arial"/>
                <w:sz w:val="18"/>
                <w:szCs w:val="22"/>
                <w:lang w:val="es-MX"/>
              </w:rPr>
            </w:pPr>
            <w:r w:rsidRPr="00F30FD1">
              <w:rPr>
                <w:rFonts w:eastAsia="Times New Roman" w:cs="Arial"/>
                <w:sz w:val="18"/>
                <w:szCs w:val="22"/>
                <w:lang w:val="es-MX"/>
              </w:rPr>
              <w:t>17.13 Aumentar la estabilidad macroeconómica mundial, incluso mediante la coordinación y coherencia de las políticas</w:t>
            </w:r>
          </w:p>
          <w:p w14:paraId="3D305162" w14:textId="7D8F07BA" w:rsidR="00E66F7B" w:rsidRPr="00F30FD1" w:rsidRDefault="00E66F7B" w:rsidP="00E66F7B">
            <w:pPr>
              <w:spacing w:after="0" w:line="240" w:lineRule="auto"/>
              <w:rPr>
                <w:rFonts w:eastAsia="Times New Roman" w:cs="Arial"/>
                <w:sz w:val="18"/>
                <w:szCs w:val="22"/>
                <w:lang w:val="es-MX"/>
              </w:rPr>
            </w:pPr>
          </w:p>
        </w:tc>
      </w:tr>
      <w:tr w:rsidR="00E66F7B" w:rsidRPr="00F30FD1" w14:paraId="4412BF16" w14:textId="77777777" w:rsidTr="006208AA">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15091C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F5D5A9" w14:textId="4538A52F" w:rsidR="00E66F7B" w:rsidRPr="00F30FD1" w:rsidRDefault="00AB7245" w:rsidP="00E66F7B">
            <w:pPr>
              <w:spacing w:after="0" w:line="240" w:lineRule="auto"/>
              <w:rPr>
                <w:rFonts w:eastAsia="Times New Roman" w:cs="Arial"/>
                <w:sz w:val="18"/>
                <w:szCs w:val="22"/>
                <w:lang w:val="es-MX"/>
              </w:rPr>
            </w:pPr>
            <w:r w:rsidRPr="00F30FD1">
              <w:rPr>
                <w:rFonts w:eastAsia="Times New Roman" w:cs="Arial"/>
                <w:sz w:val="18"/>
                <w:szCs w:val="22"/>
                <w:lang w:val="es-MX"/>
              </w:rPr>
              <w:t>28.- Prevención al Delito</w:t>
            </w:r>
          </w:p>
        </w:tc>
      </w:tr>
      <w:tr w:rsidR="00E66F7B" w:rsidRPr="00F30FD1" w14:paraId="09BF90DF" w14:textId="77777777" w:rsidTr="006208AA">
        <w:trPr>
          <w:trHeight w:val="20"/>
          <w:jc w:val="right"/>
        </w:trPr>
        <w:tc>
          <w:tcPr>
            <w:tcW w:w="1156"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39913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44"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1851692" w14:textId="78B058E9" w:rsidR="00E66F7B" w:rsidRPr="00F30FD1" w:rsidRDefault="00AB7245" w:rsidP="00E66F7B">
            <w:pPr>
              <w:spacing w:after="0" w:line="240" w:lineRule="auto"/>
              <w:rPr>
                <w:rFonts w:eastAsia="Times New Roman" w:cs="Arial"/>
                <w:sz w:val="18"/>
                <w:szCs w:val="22"/>
                <w:lang w:val="es-MX"/>
              </w:rPr>
            </w:pPr>
            <w:r w:rsidRPr="00F30FD1">
              <w:rPr>
                <w:rFonts w:eastAsia="Times New Roman" w:cs="Arial"/>
                <w:sz w:val="18"/>
                <w:szCs w:val="22"/>
                <w:lang w:val="es-MX"/>
              </w:rPr>
              <w:t>28.1.- Atención a factores de riesgo social.</w:t>
            </w:r>
          </w:p>
        </w:tc>
      </w:tr>
      <w:tr w:rsidR="00E66F7B" w:rsidRPr="00F30FD1" w14:paraId="56D8F0EB" w14:textId="77777777" w:rsidTr="006208AA">
        <w:trPr>
          <w:trHeight w:val="20"/>
          <w:jc w:val="right"/>
        </w:trPr>
        <w:tc>
          <w:tcPr>
            <w:tcW w:w="5000" w:type="pct"/>
            <w:gridSpan w:val="11"/>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5256679"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1BB62207" w14:textId="77777777" w:rsidTr="006208AA">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B9F53B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A5B8659"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43DC94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15F13BE"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785120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71069C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1B5D5A7E" w14:textId="77777777" w:rsidTr="006208AA">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BFD28E8" w14:textId="133130D7"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A17369A" w14:textId="612B6120"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796A88F" w14:textId="5839EB3B"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9CD3E09" w14:textId="25FBC399" w:rsidR="00BA1EEE" w:rsidRPr="00F30FD1" w:rsidRDefault="00015620"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60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1D188B5" w14:textId="468B86BE" w:rsidR="00BA1EEE" w:rsidRPr="00F30FD1" w:rsidRDefault="00015620"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50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E764C62" w14:textId="71BD0FC5" w:rsidR="00BA1EEE" w:rsidRPr="00F30FD1" w:rsidRDefault="00015620"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50</w:t>
            </w:r>
          </w:p>
        </w:tc>
      </w:tr>
    </w:tbl>
    <w:p w14:paraId="0B767941" w14:textId="225CC497" w:rsidR="00457A62" w:rsidRPr="00F30FD1" w:rsidRDefault="00457A62" w:rsidP="00952E57">
      <w:pPr>
        <w:spacing w:after="0" w:line="240" w:lineRule="auto"/>
        <w:contextualSpacing/>
        <w:rPr>
          <w:rFonts w:eastAsia="Times New Roman" w:cs="Arial"/>
          <w:sz w:val="20"/>
          <w:szCs w:val="22"/>
          <w:lang w:val="es-MX"/>
        </w:rPr>
      </w:pPr>
    </w:p>
    <w:p w14:paraId="5BEE9FB5"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6CD0D3DD"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661"/>
        <w:gridCol w:w="568"/>
        <w:gridCol w:w="1204"/>
        <w:gridCol w:w="431"/>
        <w:gridCol w:w="848"/>
        <w:gridCol w:w="620"/>
        <w:gridCol w:w="1664"/>
        <w:gridCol w:w="366"/>
        <w:gridCol w:w="2048"/>
      </w:tblGrid>
      <w:tr w:rsidR="00E66F7B" w:rsidRPr="00F30FD1" w14:paraId="0F7FB767"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544254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93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256301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18. Finanzas Públicas responsables</w:t>
            </w:r>
          </w:p>
        </w:tc>
      </w:tr>
      <w:tr w:rsidR="00E66F7B" w:rsidRPr="00F30FD1" w14:paraId="10D4EB9A"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1ABA41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3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0C3C122" w14:textId="0AECD431" w:rsidR="00E66F7B" w:rsidRPr="00F30FD1" w:rsidRDefault="00BA1EEE" w:rsidP="00BA1EEE">
            <w:pPr>
              <w:spacing w:after="0" w:line="240" w:lineRule="auto"/>
              <w:rPr>
                <w:rFonts w:eastAsia="Times New Roman" w:cs="Arial"/>
                <w:sz w:val="18"/>
                <w:szCs w:val="22"/>
                <w:lang w:val="es-MX"/>
              </w:rPr>
            </w:pPr>
            <w:r w:rsidRPr="00F30FD1">
              <w:rPr>
                <w:rFonts w:eastAsia="Times New Roman" w:cs="Arial"/>
                <w:sz w:val="18"/>
                <w:szCs w:val="22"/>
                <w:lang w:val="es-MX"/>
              </w:rPr>
              <w:t>27.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w:t>
            </w:r>
          </w:p>
        </w:tc>
      </w:tr>
      <w:tr w:rsidR="00E66F7B" w:rsidRPr="00F30FD1" w14:paraId="50FEFF3E" w14:textId="77777777" w:rsidTr="003A4B38">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35F39E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073D2D4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015620" w:rsidRPr="00F30FD1" w14:paraId="4B854859"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192D06D" w14:textId="6C845D8D"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5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852DCCF" w14:textId="2D05DD9D"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Actividades de Promoción de Derechos Humanos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DEDCAA9" w14:textId="6CD65A26"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684B0F4" w14:textId="764D650E"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Actividad realizada</w:t>
            </w:r>
          </w:p>
        </w:tc>
      </w:tr>
      <w:tr w:rsidR="00015620" w:rsidRPr="00F30FD1" w14:paraId="37B546EF"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33551A7" w14:textId="194FE5D4"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3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F8A4CE8" w14:textId="2930B555"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Realizar actividades recreativas y que promuevan los Derechos Humanos de los Trabajadores que se encuentran en la Plantilla de la Secretaría de Finanzas y Planeación, con la finalidad de que cada uno conozca sus derechos laborales y humanos.</w:t>
            </w:r>
          </w:p>
        </w:tc>
      </w:tr>
      <w:tr w:rsidR="00015620" w:rsidRPr="00F30FD1" w14:paraId="11A628E2"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06F12D2" w14:textId="14A30188" w:rsidR="00015620" w:rsidRPr="00F30FD1" w:rsidRDefault="00015620" w:rsidP="00015620">
            <w:pPr>
              <w:spacing w:after="0" w:line="240" w:lineRule="auto"/>
              <w:ind w:right="140"/>
              <w:rPr>
                <w:rFonts w:eastAsia="Times New Roman" w:cs="Arial"/>
                <w:sz w:val="18"/>
                <w:szCs w:val="22"/>
                <w:lang w:val="es-MX"/>
              </w:rPr>
            </w:pPr>
            <w:r w:rsidRPr="00F30FD1">
              <w:rPr>
                <w:rFonts w:eastAsia="Times New Roman" w:cs="Arial"/>
                <w:sz w:val="18"/>
                <w:szCs w:val="22"/>
                <w:lang w:val="es-MX"/>
              </w:rPr>
              <w:t>Medio de verificación:</w:t>
            </w:r>
          </w:p>
        </w:tc>
        <w:tc>
          <w:tcPr>
            <w:tcW w:w="393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031CD85" w14:textId="4C7E7B19" w:rsidR="00015620" w:rsidRPr="00F30FD1" w:rsidRDefault="00015620" w:rsidP="00015620">
            <w:pPr>
              <w:spacing w:after="0" w:line="240" w:lineRule="auto"/>
              <w:rPr>
                <w:rFonts w:eastAsia="Times New Roman" w:cs="Arial"/>
                <w:sz w:val="18"/>
                <w:szCs w:val="22"/>
                <w:lang w:val="es-MX"/>
              </w:rPr>
            </w:pPr>
            <w:r w:rsidRPr="00F30FD1">
              <w:rPr>
                <w:rFonts w:eastAsia="Times New Roman" w:cs="Arial"/>
                <w:sz w:val="18"/>
                <w:szCs w:val="22"/>
                <w:lang w:val="es-MX"/>
              </w:rPr>
              <w:t>Reporte de actividades realizadas</w:t>
            </w:r>
          </w:p>
        </w:tc>
      </w:tr>
      <w:tr w:rsidR="00E66F7B" w:rsidRPr="00F30FD1" w14:paraId="0FDDA6B5"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E7B171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5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3324713" w14:textId="306506B8" w:rsidR="00E66F7B" w:rsidRPr="00F30FD1" w:rsidRDefault="00AB7245" w:rsidP="00E66F7B">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ADD6EE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BF48D4E" w14:textId="1C9D9425" w:rsidR="00E66F7B" w:rsidRPr="00F30FD1" w:rsidRDefault="00AB7245" w:rsidP="00E66F7B">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E66F7B" w:rsidRPr="00F30FD1" w14:paraId="7ACD266D"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51182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3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318D5C1" w14:textId="3D1E04E4" w:rsidR="00E66F7B" w:rsidRPr="00F30FD1" w:rsidRDefault="00AB7245" w:rsidP="00E66F7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E66F7B" w:rsidRPr="00F30FD1" w14:paraId="76A64CD0"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B48113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3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C28FCCB" w14:textId="77777777" w:rsidR="00AB7245" w:rsidRPr="00F30FD1" w:rsidRDefault="00AB7245" w:rsidP="00AB7245">
            <w:pPr>
              <w:spacing w:after="0" w:line="240" w:lineRule="auto"/>
              <w:rPr>
                <w:rFonts w:eastAsia="Times New Roman" w:cs="Arial"/>
                <w:sz w:val="18"/>
                <w:szCs w:val="22"/>
                <w:lang w:val="es-MX"/>
              </w:rPr>
            </w:pPr>
            <w:r w:rsidRPr="00F30FD1">
              <w:rPr>
                <w:rFonts w:eastAsia="Times New Roman" w:cs="Arial"/>
                <w:sz w:val="18"/>
                <w:szCs w:val="22"/>
                <w:lang w:val="es-MX"/>
              </w:rPr>
              <w:t>17.13 Aumentar la estabilidad macroeconómica mundial, incluso mediante la coordinación y coherencia de las políticas</w:t>
            </w:r>
          </w:p>
          <w:p w14:paraId="06C9614C" w14:textId="10919332" w:rsidR="00E66F7B" w:rsidRPr="00F30FD1" w:rsidRDefault="00E66F7B" w:rsidP="00E66F7B">
            <w:pPr>
              <w:spacing w:after="0" w:line="240" w:lineRule="auto"/>
              <w:rPr>
                <w:rFonts w:eastAsia="Times New Roman" w:cs="Arial"/>
                <w:sz w:val="18"/>
                <w:szCs w:val="22"/>
                <w:lang w:val="es-MX"/>
              </w:rPr>
            </w:pPr>
          </w:p>
        </w:tc>
      </w:tr>
      <w:tr w:rsidR="00E66F7B" w:rsidRPr="00F30FD1" w14:paraId="2F588C3C"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4DDCE3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3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C3CB0D4" w14:textId="058FC908" w:rsidR="00E66F7B" w:rsidRPr="00F30FD1" w:rsidRDefault="00AB7245"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019526C9" w14:textId="77777777" w:rsidTr="003A4B38">
        <w:trPr>
          <w:trHeight w:val="20"/>
          <w:jc w:val="right"/>
        </w:trPr>
        <w:tc>
          <w:tcPr>
            <w:tcW w:w="106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3089DC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3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C98EBA7" w14:textId="6AF152FC" w:rsidR="00E66F7B" w:rsidRPr="00F30FD1" w:rsidRDefault="00AB7245"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091FE408"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1FD9A9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35DDA9C5"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77BB1B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F5CA246"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FCA428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D6617F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0B34FE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A0D28A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4F8969F4"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B45C68C" w14:textId="410211C5"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EDEF128" w14:textId="07709C85"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9D64E99" w14:textId="063147A7"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D91E67F" w14:textId="1CA2B1E0" w:rsidR="00BA1EEE" w:rsidRPr="00F30FD1" w:rsidRDefault="00015620"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14488B3" w14:textId="288E8DF5" w:rsidR="00BA1EEE" w:rsidRPr="00F30FD1" w:rsidRDefault="00015620"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D3D30E4" w14:textId="7FE8B097" w:rsidR="00BA1EEE" w:rsidRPr="00F30FD1" w:rsidRDefault="00015620"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w:t>
            </w:r>
          </w:p>
        </w:tc>
      </w:tr>
    </w:tbl>
    <w:p w14:paraId="5B1660B1" w14:textId="77777777" w:rsidR="00E66F7B" w:rsidRPr="00F30FD1" w:rsidRDefault="00E66F7B" w:rsidP="00952E57">
      <w:pPr>
        <w:spacing w:after="0" w:line="240" w:lineRule="auto"/>
        <w:contextualSpacing/>
        <w:rPr>
          <w:rFonts w:eastAsia="Times New Roman" w:cs="Arial"/>
          <w:sz w:val="20"/>
          <w:szCs w:val="22"/>
          <w:lang w:val="es-MX"/>
        </w:rPr>
      </w:pPr>
    </w:p>
    <w:p w14:paraId="04885B58" w14:textId="6C71CE33"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5"/>
        <w:gridCol w:w="739"/>
        <w:gridCol w:w="490"/>
        <w:gridCol w:w="1202"/>
        <w:gridCol w:w="433"/>
        <w:gridCol w:w="848"/>
        <w:gridCol w:w="620"/>
        <w:gridCol w:w="1664"/>
        <w:gridCol w:w="366"/>
        <w:gridCol w:w="2048"/>
      </w:tblGrid>
      <w:tr w:rsidR="00E66F7B" w:rsidRPr="00F30FD1" w14:paraId="0EFD69E2"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75FCB5F"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109C5FE" w14:textId="7BB9FDCC"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19</w:t>
            </w:r>
            <w:r w:rsidR="00E66F7B" w:rsidRPr="00F30FD1">
              <w:rPr>
                <w:rFonts w:eastAsia="Times New Roman" w:cs="Arial"/>
                <w:sz w:val="18"/>
                <w:szCs w:val="22"/>
                <w:lang w:val="es-MX"/>
              </w:rPr>
              <w:t xml:space="preserve">. </w:t>
            </w:r>
            <w:r w:rsidRPr="00F30FD1">
              <w:rPr>
                <w:rFonts w:eastAsia="Times New Roman" w:cs="Arial"/>
                <w:sz w:val="18"/>
                <w:szCs w:val="22"/>
                <w:lang w:val="es-MX"/>
              </w:rPr>
              <w:t>Planeación y Evaluación Estratégica</w:t>
            </w:r>
          </w:p>
        </w:tc>
      </w:tr>
      <w:tr w:rsidR="00E66F7B" w:rsidRPr="00F30FD1" w14:paraId="07A63C89"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AD3B6F4"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71E7CCB" w14:textId="48BA5151"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1. Integrar anualmente el Programa Estatal de Evaluación.</w:t>
            </w:r>
          </w:p>
        </w:tc>
      </w:tr>
      <w:tr w:rsidR="00E66F7B" w:rsidRPr="00F30FD1" w14:paraId="1407FA8E" w14:textId="77777777" w:rsidTr="00457A62">
        <w:trPr>
          <w:trHeight w:val="20"/>
          <w:jc w:val="right"/>
        </w:trPr>
        <w:tc>
          <w:tcPr>
            <w:tcW w:w="196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F6CFD82"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9" w:type="pct"/>
            <w:gridSpan w:val="6"/>
            <w:tcBorders>
              <w:top w:val="single" w:sz="4" w:space="0" w:color="auto"/>
              <w:left w:val="single" w:sz="4" w:space="0" w:color="auto"/>
              <w:bottom w:val="single" w:sz="4" w:space="0" w:color="auto"/>
              <w:right w:val="single" w:sz="4" w:space="0" w:color="auto"/>
            </w:tcBorders>
            <w:shd w:val="clear" w:color="auto" w:fill="A6A6A6"/>
          </w:tcPr>
          <w:p w14:paraId="63461E5E"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7639DB" w:rsidRPr="00F30FD1" w14:paraId="5BA86692"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123DD79"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7F4342A" w14:textId="796BA4EC" w:rsidR="007639DB" w:rsidRPr="00F30FD1" w:rsidRDefault="007639DB" w:rsidP="00085B7A">
            <w:pPr>
              <w:spacing w:after="0" w:line="240" w:lineRule="auto"/>
              <w:rPr>
                <w:rFonts w:eastAsia="Times New Roman" w:cs="Arial"/>
                <w:sz w:val="18"/>
                <w:szCs w:val="22"/>
                <w:lang w:val="es-MX"/>
              </w:rPr>
            </w:pPr>
            <w:r w:rsidRPr="00F30FD1">
              <w:rPr>
                <w:rFonts w:cs="Arial"/>
                <w:sz w:val="18"/>
                <w:szCs w:val="22"/>
                <w:lang w:val="es-MX"/>
              </w:rPr>
              <w:t>Programa Anual de Evaluación emitido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E81F47D"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8D5952" w14:textId="6513F7F6" w:rsidR="007639DB" w:rsidRPr="00F30FD1" w:rsidRDefault="007639DB" w:rsidP="00085B7A">
            <w:pPr>
              <w:spacing w:after="0" w:line="240" w:lineRule="auto"/>
              <w:rPr>
                <w:rFonts w:eastAsia="Times New Roman" w:cs="Arial"/>
                <w:sz w:val="18"/>
                <w:szCs w:val="22"/>
                <w:lang w:val="es-MX"/>
              </w:rPr>
            </w:pPr>
            <w:r w:rsidRPr="00F30FD1">
              <w:rPr>
                <w:rFonts w:cs="Arial"/>
                <w:sz w:val="18"/>
                <w:szCs w:val="22"/>
                <w:lang w:val="es-MX"/>
              </w:rPr>
              <w:t xml:space="preserve">Documento publicado </w:t>
            </w:r>
          </w:p>
        </w:tc>
      </w:tr>
      <w:tr w:rsidR="007639DB" w:rsidRPr="00F30FD1" w14:paraId="1C90DDE1"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673C953"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2FF70A3" w14:textId="34AFDBE1" w:rsidR="007639DB" w:rsidRPr="00F30FD1" w:rsidRDefault="007639DB" w:rsidP="00085B7A">
            <w:pPr>
              <w:spacing w:after="0" w:line="240" w:lineRule="auto"/>
              <w:rPr>
                <w:rFonts w:eastAsia="Times New Roman" w:cs="Arial"/>
                <w:sz w:val="18"/>
                <w:szCs w:val="22"/>
                <w:lang w:val="es-MX"/>
              </w:rPr>
            </w:pPr>
            <w:r w:rsidRPr="00F30FD1">
              <w:rPr>
                <w:rFonts w:cs="Arial"/>
                <w:sz w:val="18"/>
                <w:szCs w:val="22"/>
                <w:lang w:val="es-MX"/>
              </w:rPr>
              <w:t>El Programa Anual de Evaluación se emite cada ejercicio fiscal de conformidad con la legislación aplicable, con la finalidad de establecer la evaluación del gasto público a través de indicadores estratégicos y de gestión.</w:t>
            </w:r>
          </w:p>
        </w:tc>
      </w:tr>
      <w:tr w:rsidR="007639DB" w:rsidRPr="00F30FD1" w14:paraId="1DD8330B" w14:textId="77777777" w:rsidTr="00100B8B">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C9CD136"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4ED1854" w14:textId="737774F6" w:rsidR="007639DB" w:rsidRPr="00F30FD1" w:rsidRDefault="007639DB" w:rsidP="00085B7A">
            <w:pPr>
              <w:spacing w:after="0"/>
              <w:rPr>
                <w:rStyle w:val="Hipervnculo"/>
                <w:rFonts w:cs="Arial"/>
                <w:sz w:val="18"/>
                <w:szCs w:val="22"/>
                <w:lang w:val="es-MX"/>
              </w:rPr>
            </w:pPr>
            <w:r w:rsidRPr="00F30FD1">
              <w:rPr>
                <w:rFonts w:cs="Arial"/>
                <w:sz w:val="18"/>
                <w:szCs w:val="22"/>
                <w:lang w:val="es-MX"/>
              </w:rPr>
              <w:t>Liga de la Publicación del Programa Anual de Evaluación realizada por el Centro de Evaluación del Desempeño en su portal institucional, anualmente.</w:t>
            </w:r>
            <w:r w:rsidRPr="00F30FD1">
              <w:t xml:space="preserve"> </w:t>
            </w:r>
            <w:r w:rsidRPr="00F30FD1">
              <w:rPr>
                <w:rFonts w:cs="Arial"/>
                <w:sz w:val="18"/>
                <w:szCs w:val="22"/>
                <w:lang w:val="es-MX"/>
              </w:rPr>
              <w:t>Programa Anual de Evaluación: http://www.sefiplan.qroo.gob.mx/CEDQROO/pae.php</w:t>
            </w:r>
          </w:p>
          <w:p w14:paraId="2712F89C" w14:textId="46CB4D85" w:rsidR="007639DB" w:rsidRPr="00F30FD1" w:rsidRDefault="007639DB" w:rsidP="00085B7A">
            <w:pPr>
              <w:spacing w:after="0"/>
              <w:rPr>
                <w:rFonts w:eastAsia="Times New Roman" w:cs="Arial"/>
                <w:sz w:val="18"/>
                <w:szCs w:val="22"/>
                <w:lang w:val="es-MX"/>
              </w:rPr>
            </w:pPr>
            <w:r w:rsidRPr="00F30FD1">
              <w:rPr>
                <w:rFonts w:cs="Arial"/>
                <w:sz w:val="18"/>
                <w:szCs w:val="22"/>
                <w:lang w:val="es-MX"/>
              </w:rPr>
              <w:t>Liga de los informes de evaluación del desempeño publicados por el Centro de Evaluación del Desempeño  en su portal institucional, anualmente: http://www.sefiplan.qroo.gob.mx/CEDQROO/evaluaciones.php</w:t>
            </w:r>
          </w:p>
        </w:tc>
      </w:tr>
      <w:tr w:rsidR="007639DB" w:rsidRPr="00F30FD1" w14:paraId="6B7CC793"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A2AF395"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CCF52A7" w14:textId="350F86A2" w:rsidR="007639DB" w:rsidRPr="00F30FD1" w:rsidRDefault="00BA6964" w:rsidP="00085B7A">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8A29B00"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12109AC" w14:textId="2FACC0E8" w:rsidR="007639DB" w:rsidRPr="00F30FD1" w:rsidRDefault="00BA6964" w:rsidP="00085B7A">
            <w:pPr>
              <w:spacing w:after="0" w:line="240" w:lineRule="auto"/>
              <w:rPr>
                <w:rFonts w:eastAsia="Times New Roman" w:cs="Arial"/>
                <w:sz w:val="18"/>
                <w:szCs w:val="22"/>
                <w:lang w:val="es-MX"/>
              </w:rPr>
            </w:pPr>
            <w:r>
              <w:rPr>
                <w:rFonts w:eastAsia="Times New Roman" w:cs="Arial"/>
                <w:sz w:val="18"/>
                <w:szCs w:val="22"/>
                <w:lang w:val="es-MX"/>
              </w:rPr>
              <w:t>2019</w:t>
            </w:r>
          </w:p>
        </w:tc>
      </w:tr>
      <w:tr w:rsidR="007639DB" w:rsidRPr="00F30FD1" w14:paraId="4E8EF9EF"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D01462B"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4EDB6EA" w14:textId="05535B53" w:rsidR="007639DB" w:rsidRPr="00F30FD1" w:rsidRDefault="007639DB" w:rsidP="00085B7A">
            <w:pPr>
              <w:spacing w:after="0" w:line="240" w:lineRule="auto"/>
              <w:rPr>
                <w:rFonts w:eastAsia="Times New Roman" w:cs="Arial"/>
                <w:sz w:val="18"/>
                <w:szCs w:val="22"/>
                <w:lang w:val="es-MX"/>
              </w:rPr>
            </w:pPr>
            <w:r w:rsidRPr="00F30FD1">
              <w:rPr>
                <w:rFonts w:cs="Arial"/>
                <w:sz w:val="18"/>
                <w:szCs w:val="22"/>
                <w:lang w:val="es-MX"/>
              </w:rPr>
              <w:t>17 Alianza para lograr los objetivos</w:t>
            </w:r>
          </w:p>
        </w:tc>
      </w:tr>
      <w:tr w:rsidR="007639DB" w:rsidRPr="00F30FD1" w14:paraId="046A977E"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17383D"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9E336F9" w14:textId="77777777" w:rsidR="007639DB" w:rsidRPr="00F30FD1" w:rsidRDefault="007639DB" w:rsidP="00085B7A">
            <w:pPr>
              <w:spacing w:after="0"/>
              <w:rPr>
                <w:rFonts w:cs="Arial"/>
                <w:sz w:val="18"/>
                <w:szCs w:val="22"/>
                <w:lang w:val="es-MX"/>
              </w:rPr>
            </w:pPr>
            <w:r w:rsidRPr="00F30FD1">
              <w:rPr>
                <w:rFonts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p w14:paraId="1CAB27F2" w14:textId="77777777" w:rsidR="007639DB" w:rsidRPr="00F30FD1" w:rsidRDefault="007639DB" w:rsidP="00085B7A">
            <w:pPr>
              <w:spacing w:after="0"/>
              <w:rPr>
                <w:rFonts w:cs="Arial"/>
                <w:sz w:val="18"/>
                <w:szCs w:val="22"/>
                <w:lang w:val="es-MX"/>
              </w:rPr>
            </w:pPr>
            <w:r w:rsidRPr="00F30FD1">
              <w:rPr>
                <w:rFonts w:cs="Arial"/>
                <w:sz w:val="18"/>
                <w:szCs w:val="22"/>
                <w:lang w:val="es-MX"/>
              </w:rPr>
              <w:t>17.14 Mejorar la coherencia de las políticas para el desarrollo sostenible;</w:t>
            </w:r>
          </w:p>
          <w:p w14:paraId="3940368B" w14:textId="77777777" w:rsidR="007639DB" w:rsidRPr="00F30FD1" w:rsidRDefault="007639DB" w:rsidP="00085B7A">
            <w:pPr>
              <w:spacing w:after="0"/>
              <w:rPr>
                <w:rFonts w:cs="Arial"/>
                <w:sz w:val="18"/>
                <w:szCs w:val="22"/>
                <w:lang w:val="es-MX"/>
              </w:rPr>
            </w:pPr>
            <w:r w:rsidRPr="00F30FD1">
              <w:rPr>
                <w:rFonts w:cs="Arial"/>
                <w:sz w:val="18"/>
                <w:szCs w:val="22"/>
                <w:lang w:val="es-MX"/>
              </w:rPr>
              <w:t>17.15 Respetar el margen normativo y el liderazgo de cada país para establecer y aplicar políticas de erradicación de la pobreza y desarrollo sostenible;</w:t>
            </w:r>
          </w:p>
          <w:p w14:paraId="3BD56403" w14:textId="2F869B0B" w:rsidR="007639DB" w:rsidRPr="00F30FD1" w:rsidRDefault="007639DB" w:rsidP="00085B7A">
            <w:pPr>
              <w:spacing w:after="0"/>
              <w:rPr>
                <w:rFonts w:eastAsia="Times New Roman" w:cs="Arial"/>
                <w:sz w:val="18"/>
                <w:szCs w:val="22"/>
                <w:lang w:val="es-MX"/>
              </w:rPr>
            </w:pPr>
            <w:r w:rsidRPr="00F30FD1">
              <w:rPr>
                <w:rFonts w:cs="Arial"/>
                <w:sz w:val="18"/>
                <w:szCs w:val="22"/>
                <w:lang w:val="es-MX"/>
              </w:rPr>
              <w:t>17.16 Mejorar la Alianza Mundial para el Desarrollo Sostenible, complementada por alianzas entre múltiples interesados que movilicen e intercambien conocimientos, especialización, tecnología y recursos financieros, a fin de apoyar el logro de los Objetivos de Desarrollo Sostenible en todos los países, particularmente los países en desarrollo; y</w:t>
            </w:r>
          </w:p>
        </w:tc>
      </w:tr>
      <w:tr w:rsidR="007639DB" w:rsidRPr="00F30FD1" w14:paraId="6696D6B3"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8426C6E"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7467F84" w14:textId="321185C6" w:rsidR="007639DB" w:rsidRPr="00F30FD1" w:rsidRDefault="00AB7245"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7639DB" w:rsidRPr="00F30FD1" w14:paraId="6C6D8C06"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3B77282"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FB0CB20" w14:textId="27D95233" w:rsidR="007639DB" w:rsidRPr="00F30FD1" w:rsidRDefault="00AB7245"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7639DB" w:rsidRPr="00F30FD1" w14:paraId="73EA8F85"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1A1B6B2"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7639DB" w:rsidRPr="00F30FD1" w14:paraId="0394C26A" w14:textId="77777777" w:rsidTr="00457A62">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890DEC0"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8BE21C6"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1228158"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3C8F3B2"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F39CEB3"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7BB9D77"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7639DB" w:rsidRPr="00F30FD1" w14:paraId="00BA520E" w14:textId="77777777" w:rsidTr="00457A62">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A723587" w14:textId="155A1734" w:rsidR="007639DB" w:rsidRPr="00F30FD1" w:rsidRDefault="007639DB" w:rsidP="00085B7A">
            <w:pPr>
              <w:spacing w:after="0" w:line="240" w:lineRule="auto"/>
              <w:jc w:val="center"/>
              <w:rPr>
                <w:rFonts w:eastAsia="Times New Roman" w:cs="Arial"/>
                <w:sz w:val="18"/>
                <w:szCs w:val="22"/>
                <w:lang w:val="es-MX"/>
              </w:rPr>
            </w:pPr>
            <w:r w:rsidRPr="00F30FD1">
              <w:rPr>
                <w:rFonts w:cs="Arial"/>
                <w:sz w:val="18"/>
                <w:szCs w:val="22"/>
                <w:lang w:val="es-MX"/>
              </w:rPr>
              <w:t>1</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A7C586E" w14:textId="3C38F324" w:rsidR="007639DB" w:rsidRPr="00F30FD1" w:rsidRDefault="007639DB" w:rsidP="00085B7A">
            <w:pPr>
              <w:spacing w:after="0" w:line="240" w:lineRule="auto"/>
              <w:jc w:val="center"/>
              <w:rPr>
                <w:rFonts w:eastAsia="Times New Roman" w:cs="Arial"/>
                <w:sz w:val="18"/>
                <w:szCs w:val="22"/>
                <w:lang w:val="es-MX"/>
              </w:rPr>
            </w:pPr>
            <w:r w:rsidRPr="00F30FD1">
              <w:rPr>
                <w:rFonts w:cs="Arial"/>
                <w:sz w:val="18"/>
                <w:szCs w:val="22"/>
                <w:lang w:val="es-MX"/>
              </w:rPr>
              <w:t>1</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F594C61" w14:textId="6FD49054" w:rsidR="007639DB" w:rsidRPr="00F30FD1" w:rsidRDefault="007639DB" w:rsidP="00085B7A">
            <w:pPr>
              <w:spacing w:after="0" w:line="240" w:lineRule="auto"/>
              <w:jc w:val="center"/>
              <w:rPr>
                <w:rFonts w:eastAsia="Times New Roman" w:cs="Arial"/>
                <w:sz w:val="18"/>
                <w:szCs w:val="22"/>
                <w:lang w:val="es-MX"/>
              </w:rPr>
            </w:pPr>
            <w:r w:rsidRPr="00F30FD1">
              <w:rPr>
                <w:rFonts w:cs="Arial"/>
                <w:sz w:val="18"/>
                <w:szCs w:val="22"/>
                <w:lang w:val="es-MX"/>
              </w:rPr>
              <w:t>1</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FD3E59A" w14:textId="48B1E811" w:rsidR="007639DB" w:rsidRPr="00F30FD1" w:rsidRDefault="007639DB" w:rsidP="00085B7A">
            <w:pPr>
              <w:spacing w:after="0" w:line="240" w:lineRule="auto"/>
              <w:jc w:val="center"/>
              <w:rPr>
                <w:rFonts w:eastAsia="Times New Roman" w:cs="Arial"/>
                <w:sz w:val="18"/>
                <w:szCs w:val="22"/>
                <w:lang w:val="es-MX"/>
              </w:rPr>
            </w:pPr>
            <w:r w:rsidRPr="00F30FD1">
              <w:rPr>
                <w:rFonts w:cs="Arial"/>
                <w:sz w:val="18"/>
                <w:szCs w:val="22"/>
                <w:lang w:val="es-MX"/>
              </w:rPr>
              <w:t>1</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F1C1FE9" w14:textId="6C20B043" w:rsidR="007639DB" w:rsidRPr="00F30FD1" w:rsidRDefault="007639DB" w:rsidP="00085B7A">
            <w:pPr>
              <w:spacing w:after="0" w:line="240" w:lineRule="auto"/>
              <w:jc w:val="center"/>
              <w:rPr>
                <w:rFonts w:eastAsia="Times New Roman" w:cs="Arial"/>
                <w:sz w:val="18"/>
                <w:szCs w:val="22"/>
                <w:lang w:val="es-MX"/>
              </w:rPr>
            </w:pPr>
            <w:r w:rsidRPr="00F30FD1">
              <w:rPr>
                <w:rFonts w:cs="Arial"/>
                <w:sz w:val="18"/>
                <w:szCs w:val="22"/>
                <w:lang w:val="es-MX"/>
              </w:rPr>
              <w:t>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500F4C1" w14:textId="3D16DD3F" w:rsidR="007639DB" w:rsidRPr="00F30FD1" w:rsidRDefault="007639DB" w:rsidP="00085B7A">
            <w:pPr>
              <w:spacing w:after="0" w:line="240" w:lineRule="auto"/>
              <w:jc w:val="center"/>
              <w:rPr>
                <w:rFonts w:eastAsia="Times New Roman" w:cs="Arial"/>
                <w:sz w:val="18"/>
                <w:szCs w:val="22"/>
                <w:lang w:val="es-MX"/>
              </w:rPr>
            </w:pPr>
            <w:r w:rsidRPr="00F30FD1">
              <w:rPr>
                <w:rFonts w:cs="Arial"/>
                <w:sz w:val="18"/>
                <w:szCs w:val="22"/>
                <w:lang w:val="es-MX"/>
              </w:rPr>
              <w:t>1</w:t>
            </w:r>
          </w:p>
        </w:tc>
      </w:tr>
    </w:tbl>
    <w:p w14:paraId="7E24E7CD" w14:textId="77777777" w:rsidR="00E66F7B" w:rsidRDefault="00E66F7B" w:rsidP="00952E57">
      <w:pPr>
        <w:spacing w:after="0" w:line="240" w:lineRule="auto"/>
        <w:contextualSpacing/>
        <w:rPr>
          <w:rFonts w:eastAsia="Times New Roman" w:cs="Arial"/>
          <w:sz w:val="20"/>
          <w:szCs w:val="22"/>
          <w:lang w:val="es-MX"/>
        </w:rPr>
      </w:pPr>
    </w:p>
    <w:p w14:paraId="401D112E" w14:textId="77777777" w:rsidR="00085B7A" w:rsidRPr="00F30FD1" w:rsidRDefault="00085B7A"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6DDC2002"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CF30A5C"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2E171EC" w14:textId="4CAD1955"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30BD8786"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0C4CC30"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8DA10A7" w14:textId="27BAA31C"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2. Conformar en coordinación con las dependencias, entidades y organismos, la red de enlaces para la evaluación del desempeño de los programas presupuestarios.</w:t>
            </w:r>
          </w:p>
        </w:tc>
      </w:tr>
      <w:tr w:rsidR="00E66F7B" w:rsidRPr="00F30FD1" w14:paraId="02DDDF3B" w14:textId="77777777" w:rsidTr="003A4B38">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204E3A3"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409DDAC0"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7639DB" w:rsidRPr="00F30FD1" w14:paraId="6D686F33"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4C987FE"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272DF8A" w14:textId="3185CE6B" w:rsidR="007639DB" w:rsidRPr="00F30FD1" w:rsidRDefault="007639DB" w:rsidP="00085B7A">
            <w:pPr>
              <w:spacing w:after="0" w:line="240" w:lineRule="auto"/>
              <w:rPr>
                <w:rFonts w:eastAsia="Times New Roman" w:cs="Arial"/>
                <w:sz w:val="18"/>
                <w:szCs w:val="22"/>
                <w:lang w:val="es-MX"/>
              </w:rPr>
            </w:pPr>
            <w:r w:rsidRPr="00F30FD1">
              <w:rPr>
                <w:rFonts w:cs="Arial"/>
                <w:sz w:val="18"/>
                <w:szCs w:val="22"/>
                <w:lang w:val="es-MX"/>
              </w:rPr>
              <w:t>Red de enlaces integrada</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BF66774"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6EBC16F" w14:textId="14A6F23A" w:rsidR="007639DB" w:rsidRPr="00F30FD1" w:rsidRDefault="007639DB" w:rsidP="00085B7A">
            <w:pPr>
              <w:spacing w:after="0" w:line="240" w:lineRule="auto"/>
              <w:rPr>
                <w:rFonts w:eastAsia="Times New Roman" w:cs="Arial"/>
                <w:sz w:val="18"/>
                <w:szCs w:val="22"/>
                <w:lang w:val="es-MX"/>
              </w:rPr>
            </w:pPr>
            <w:r w:rsidRPr="00F30FD1">
              <w:rPr>
                <w:rFonts w:cs="Arial"/>
                <w:sz w:val="18"/>
                <w:szCs w:val="22"/>
                <w:lang w:val="es-MX"/>
              </w:rPr>
              <w:t>Documento publicado</w:t>
            </w:r>
          </w:p>
        </w:tc>
      </w:tr>
      <w:tr w:rsidR="007639DB" w:rsidRPr="00F30FD1" w14:paraId="2F8F97DF"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A7EFA5A"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4572E14" w14:textId="22019980" w:rsidR="007639DB" w:rsidRPr="00F30FD1" w:rsidRDefault="007639DB" w:rsidP="00085B7A">
            <w:pPr>
              <w:spacing w:after="0" w:line="240" w:lineRule="auto"/>
              <w:rPr>
                <w:rFonts w:eastAsia="Times New Roman" w:cs="Arial"/>
                <w:sz w:val="18"/>
                <w:szCs w:val="22"/>
                <w:lang w:val="es-MX"/>
              </w:rPr>
            </w:pPr>
            <w:r w:rsidRPr="00F30FD1">
              <w:rPr>
                <w:rFonts w:cs="Arial"/>
                <w:sz w:val="18"/>
                <w:szCs w:val="22"/>
                <w:lang w:val="es-MX"/>
              </w:rPr>
              <w:t>La red de enlaces se integra y publica con la finalidad de comprometer a los actores involucrados en el proceso de evaluación del desempeño, con los conceptos y valores del SED e inducir los cambios en la conducta y en la forma de trabajo para proporcionar los instrumentos necesarios para mejorar la calidad de la información, de conformidad con las disposiciones aplicables.</w:t>
            </w:r>
          </w:p>
        </w:tc>
      </w:tr>
      <w:tr w:rsidR="007639DB" w:rsidRPr="00F30FD1" w14:paraId="24E9C6DA"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2C2215A"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C863D47" w14:textId="3D261B2B" w:rsidR="007639DB" w:rsidRPr="00F30FD1" w:rsidRDefault="007639DB" w:rsidP="00085B7A">
            <w:pPr>
              <w:spacing w:after="0"/>
              <w:rPr>
                <w:rFonts w:eastAsia="Times New Roman" w:cs="Arial"/>
                <w:sz w:val="18"/>
                <w:szCs w:val="22"/>
                <w:lang w:val="es-MX"/>
              </w:rPr>
            </w:pPr>
            <w:r w:rsidRPr="00F30FD1">
              <w:rPr>
                <w:rFonts w:cs="Arial"/>
                <w:sz w:val="18"/>
                <w:szCs w:val="22"/>
                <w:lang w:val="es-MX"/>
              </w:rPr>
              <w:t xml:space="preserve">Liga de ubicación del documento denominado “red de enlaces para la evaluación del desempeño” en el portal institucional del Centro de Evaluación del Desempeño, con periodicidad anual: </w:t>
            </w:r>
            <w:hyperlink r:id="rId37" w:history="1">
              <w:r w:rsidRPr="00F30FD1">
                <w:rPr>
                  <w:rStyle w:val="Hipervnculo"/>
                  <w:rFonts w:cs="Arial"/>
                  <w:sz w:val="18"/>
                  <w:szCs w:val="22"/>
                  <w:lang w:val="es-MX"/>
                </w:rPr>
                <w:t>http://www.sefiplan.qroo.gob.mx/CEDQROO/</w:t>
              </w:r>
            </w:hyperlink>
          </w:p>
        </w:tc>
      </w:tr>
      <w:tr w:rsidR="007639DB" w:rsidRPr="00F30FD1" w14:paraId="1FEA92C1"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77E6EEA"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871D90F" w14:textId="3F3C4EB8" w:rsidR="007639DB" w:rsidRPr="00F30FD1" w:rsidRDefault="00BA6964" w:rsidP="00085B7A">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2A0C3F5"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C8A47A0" w14:textId="0F10E7C0" w:rsidR="007639DB" w:rsidRPr="00F30FD1" w:rsidRDefault="00BA6964" w:rsidP="00085B7A">
            <w:pPr>
              <w:spacing w:after="0" w:line="240" w:lineRule="auto"/>
              <w:rPr>
                <w:rFonts w:eastAsia="Times New Roman" w:cs="Arial"/>
                <w:sz w:val="18"/>
                <w:szCs w:val="22"/>
                <w:lang w:val="es-MX"/>
              </w:rPr>
            </w:pPr>
            <w:r>
              <w:rPr>
                <w:rFonts w:eastAsia="Times New Roman" w:cs="Arial"/>
                <w:sz w:val="18"/>
                <w:szCs w:val="22"/>
                <w:lang w:val="es-MX"/>
              </w:rPr>
              <w:t>2016</w:t>
            </w:r>
          </w:p>
        </w:tc>
      </w:tr>
      <w:tr w:rsidR="007639DB" w:rsidRPr="00F30FD1" w14:paraId="41F13D60"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50CB07D"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2DB4BA1" w14:textId="1F33A44C" w:rsidR="007639DB" w:rsidRPr="00F30FD1" w:rsidRDefault="007639DB" w:rsidP="00085B7A">
            <w:pPr>
              <w:spacing w:after="0" w:line="240" w:lineRule="auto"/>
              <w:rPr>
                <w:rFonts w:eastAsia="Times New Roman" w:cs="Arial"/>
                <w:sz w:val="18"/>
                <w:szCs w:val="22"/>
                <w:lang w:val="es-MX"/>
              </w:rPr>
            </w:pPr>
            <w:r w:rsidRPr="00F30FD1">
              <w:rPr>
                <w:rFonts w:cs="Arial"/>
                <w:sz w:val="18"/>
                <w:szCs w:val="22"/>
                <w:lang w:val="es-MX"/>
              </w:rPr>
              <w:t>17 Alianza para lograr los objetivos</w:t>
            </w:r>
          </w:p>
        </w:tc>
      </w:tr>
      <w:tr w:rsidR="007639DB" w:rsidRPr="00F30FD1" w14:paraId="7701E530"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CC5634"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7718EE0" w14:textId="77777777" w:rsidR="007639DB" w:rsidRPr="00F30FD1" w:rsidRDefault="007639DB" w:rsidP="00085B7A">
            <w:pPr>
              <w:spacing w:after="0"/>
              <w:rPr>
                <w:rFonts w:cs="Arial"/>
                <w:sz w:val="18"/>
                <w:szCs w:val="22"/>
                <w:lang w:val="es-MX"/>
              </w:rPr>
            </w:pPr>
            <w:r w:rsidRPr="00F30FD1">
              <w:rPr>
                <w:rFonts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p w14:paraId="51451075" w14:textId="77777777" w:rsidR="007639DB" w:rsidRPr="00F30FD1" w:rsidRDefault="007639DB" w:rsidP="00085B7A">
            <w:pPr>
              <w:spacing w:after="0"/>
              <w:rPr>
                <w:rFonts w:cs="Arial"/>
                <w:sz w:val="18"/>
                <w:szCs w:val="22"/>
                <w:lang w:val="es-MX"/>
              </w:rPr>
            </w:pPr>
            <w:r w:rsidRPr="00F30FD1">
              <w:rPr>
                <w:rFonts w:cs="Arial"/>
                <w:sz w:val="18"/>
                <w:szCs w:val="22"/>
                <w:lang w:val="es-MX"/>
              </w:rPr>
              <w:t>17.14 Mejorar la coherencia de las políticas para el desarrollo sostenible;</w:t>
            </w:r>
          </w:p>
          <w:p w14:paraId="370085E1" w14:textId="77777777" w:rsidR="007639DB" w:rsidRPr="00F30FD1" w:rsidRDefault="007639DB" w:rsidP="00085B7A">
            <w:pPr>
              <w:spacing w:after="0"/>
              <w:rPr>
                <w:rFonts w:cs="Arial"/>
                <w:sz w:val="18"/>
                <w:szCs w:val="22"/>
                <w:lang w:val="es-MX"/>
              </w:rPr>
            </w:pPr>
            <w:r w:rsidRPr="00F30FD1">
              <w:rPr>
                <w:rFonts w:cs="Arial"/>
                <w:sz w:val="18"/>
                <w:szCs w:val="22"/>
                <w:lang w:val="es-MX"/>
              </w:rPr>
              <w:t>17.15 Respetar el margen normativo y el liderazgo de cada país para establecer y aplicar políticas de erradicación de la pobreza y desarrollo sostenible;</w:t>
            </w:r>
          </w:p>
          <w:p w14:paraId="6013E9EC" w14:textId="21E7CABC" w:rsidR="007639DB" w:rsidRPr="00F30FD1" w:rsidRDefault="007639DB" w:rsidP="00085B7A">
            <w:pPr>
              <w:spacing w:after="0"/>
              <w:rPr>
                <w:rFonts w:cs="Arial"/>
                <w:sz w:val="18"/>
                <w:szCs w:val="22"/>
                <w:lang w:val="es-MX"/>
              </w:rPr>
            </w:pPr>
            <w:r w:rsidRPr="00F30FD1">
              <w:rPr>
                <w:rFonts w:cs="Arial"/>
                <w:sz w:val="18"/>
                <w:szCs w:val="22"/>
                <w:lang w:val="es-MX"/>
              </w:rPr>
              <w:t>17.16 Mejorar la Alianza Mundial para el Desarrollo Sostenible, complementada por alianzas entre múltiples interesados que movilicen e intercambien conocimientos, especialización, tecnología y recursos financieros, a fin de apoyar el logro de los Objetivos de Desarrollo Sostenible en todos los países, particularmente los países en desarrollo; y</w:t>
            </w:r>
          </w:p>
        </w:tc>
      </w:tr>
      <w:tr w:rsidR="007639DB" w:rsidRPr="00F30FD1" w14:paraId="49FD49A9"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C25634"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071D4CC" w14:textId="434C06AC" w:rsidR="007639DB" w:rsidRPr="00F30FD1" w:rsidRDefault="00AB7245"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7639DB" w:rsidRPr="00F30FD1" w14:paraId="5B8B2BBB"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4FFB10A" w14:textId="77777777" w:rsidR="007639DB" w:rsidRPr="00F30FD1" w:rsidRDefault="007639DB" w:rsidP="00085B7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0377B8A" w14:textId="605DB71E" w:rsidR="007639DB" w:rsidRPr="00F30FD1" w:rsidRDefault="00AB7245"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7639DB" w:rsidRPr="00F30FD1" w14:paraId="413D7FC7"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5199388"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7639DB" w:rsidRPr="00F30FD1" w14:paraId="16060C51"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F5BD80C"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17C2DA3"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3EF81A3"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64CFF44"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2E99E42"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769198C" w14:textId="77777777"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7639DB" w:rsidRPr="00F30FD1" w14:paraId="0066BB33"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D2FAAFE" w14:textId="03AAB35B"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8BF9FD4" w14:textId="46AF6B8C"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A633B6C" w14:textId="52BDAA42"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BEB4294" w14:textId="51397BFE"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B65DEEA" w14:textId="2556AD32"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E2584DB" w14:textId="093F1C8D" w:rsidR="007639DB" w:rsidRPr="00F30FD1" w:rsidRDefault="007639D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r>
    </w:tbl>
    <w:p w14:paraId="03B86747" w14:textId="0D1D9082" w:rsidR="00085B7A" w:rsidRDefault="00085B7A" w:rsidP="00952E57">
      <w:pPr>
        <w:spacing w:after="0" w:line="240" w:lineRule="auto"/>
        <w:contextualSpacing/>
        <w:rPr>
          <w:rFonts w:eastAsia="Times New Roman" w:cs="Arial"/>
          <w:sz w:val="20"/>
          <w:szCs w:val="22"/>
          <w:lang w:val="es-MX"/>
        </w:rPr>
      </w:pPr>
    </w:p>
    <w:p w14:paraId="423D8CF0" w14:textId="77777777" w:rsidR="00085B7A" w:rsidRDefault="00085B7A">
      <w:pPr>
        <w:spacing w:after="0" w:line="240" w:lineRule="auto"/>
        <w:jc w:val="left"/>
        <w:rPr>
          <w:rFonts w:eastAsia="Times New Roman" w:cs="Arial"/>
          <w:sz w:val="20"/>
          <w:szCs w:val="22"/>
          <w:lang w:val="es-MX"/>
        </w:rPr>
      </w:pPr>
      <w:r>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3"/>
        <w:gridCol w:w="739"/>
        <w:gridCol w:w="490"/>
        <w:gridCol w:w="1202"/>
        <w:gridCol w:w="433"/>
        <w:gridCol w:w="848"/>
        <w:gridCol w:w="620"/>
        <w:gridCol w:w="1664"/>
        <w:gridCol w:w="366"/>
        <w:gridCol w:w="2050"/>
      </w:tblGrid>
      <w:tr w:rsidR="00E66F7B" w:rsidRPr="00F30FD1" w14:paraId="4766CBAB"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1134E08"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CA52AC6" w14:textId="253B7766"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7E359E42"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4DA026FA"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4042615" w14:textId="12DA40BD"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3. Operar un Sistema de Evaluación del Desempeño con enfoque a resultados.</w:t>
            </w:r>
          </w:p>
        </w:tc>
      </w:tr>
      <w:tr w:rsidR="00E66F7B" w:rsidRPr="00F30FD1" w14:paraId="31DA9F34" w14:textId="77777777" w:rsidTr="00085B7A">
        <w:trPr>
          <w:trHeight w:val="20"/>
          <w:jc w:val="right"/>
        </w:trPr>
        <w:tc>
          <w:tcPr>
            <w:tcW w:w="1960"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A0557BD"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6A03E0F9"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1941F7" w:rsidRPr="00F30FD1" w14:paraId="3558B843"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B1A5333"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BF6A60B" w14:textId="6BB00E3B" w:rsidR="001941F7" w:rsidRPr="00F30FD1" w:rsidRDefault="001941F7" w:rsidP="00085B7A">
            <w:pPr>
              <w:spacing w:after="0" w:line="240" w:lineRule="auto"/>
              <w:rPr>
                <w:rFonts w:eastAsia="Times New Roman" w:cs="Arial"/>
                <w:sz w:val="18"/>
                <w:szCs w:val="22"/>
                <w:lang w:val="es-MX"/>
              </w:rPr>
            </w:pPr>
            <w:r w:rsidRPr="00F30FD1">
              <w:rPr>
                <w:rFonts w:cs="Arial"/>
                <w:sz w:val="18"/>
                <w:szCs w:val="22"/>
                <w:lang w:val="es-MX"/>
              </w:rPr>
              <w:t>Sistema informático integral del SED</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04CB7A8"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A2E82B3" w14:textId="1CE9503F" w:rsidR="001941F7" w:rsidRPr="00F30FD1" w:rsidRDefault="001941F7" w:rsidP="00085B7A">
            <w:pPr>
              <w:spacing w:after="0" w:line="240" w:lineRule="auto"/>
              <w:rPr>
                <w:rFonts w:eastAsia="Times New Roman" w:cs="Arial"/>
                <w:sz w:val="18"/>
                <w:szCs w:val="22"/>
                <w:lang w:val="es-MX"/>
              </w:rPr>
            </w:pPr>
            <w:r w:rsidRPr="00F30FD1">
              <w:rPr>
                <w:rFonts w:cs="Arial"/>
                <w:sz w:val="18"/>
                <w:szCs w:val="22"/>
                <w:lang w:val="es-MX"/>
              </w:rPr>
              <w:t xml:space="preserve">Sistema informático </w:t>
            </w:r>
          </w:p>
        </w:tc>
      </w:tr>
      <w:tr w:rsidR="001941F7" w:rsidRPr="00F30FD1" w14:paraId="02D64FD2"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7A1B4C3"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A06F31" w14:textId="18E6CF7E" w:rsidR="001941F7" w:rsidRPr="00F30FD1" w:rsidRDefault="005461A0" w:rsidP="00085B7A">
            <w:pPr>
              <w:spacing w:after="0" w:line="240" w:lineRule="auto"/>
              <w:rPr>
                <w:rFonts w:eastAsia="Times New Roman" w:cs="Arial"/>
                <w:sz w:val="18"/>
                <w:szCs w:val="22"/>
                <w:lang w:val="es-MX"/>
              </w:rPr>
            </w:pPr>
            <w:r w:rsidRPr="00F30FD1">
              <w:rPr>
                <w:rFonts w:cs="Arial"/>
                <w:sz w:val="18"/>
                <w:szCs w:val="22"/>
                <w:lang w:val="es-MX"/>
              </w:rPr>
              <w:t xml:space="preserve">Se refiere a la operación de un sistema informático que permita procesar y almacenar datos de desempeño para generar </w:t>
            </w:r>
            <w:r w:rsidR="00571E5D" w:rsidRPr="00F30FD1">
              <w:rPr>
                <w:rFonts w:cs="Arial"/>
                <w:sz w:val="18"/>
                <w:szCs w:val="22"/>
                <w:lang w:val="es-MX"/>
              </w:rPr>
              <w:t>información</w:t>
            </w:r>
            <w:r w:rsidRPr="00F30FD1">
              <w:rPr>
                <w:rFonts w:cs="Arial"/>
                <w:sz w:val="18"/>
                <w:szCs w:val="22"/>
                <w:lang w:val="es-MX"/>
              </w:rPr>
              <w:t xml:space="preserve"> útil para la toma de </w:t>
            </w:r>
            <w:r w:rsidR="00571E5D" w:rsidRPr="00F30FD1">
              <w:rPr>
                <w:rFonts w:cs="Arial"/>
                <w:sz w:val="18"/>
                <w:szCs w:val="22"/>
                <w:lang w:val="es-MX"/>
              </w:rPr>
              <w:t>decisiones</w:t>
            </w:r>
            <w:r w:rsidRPr="00F30FD1">
              <w:rPr>
                <w:rFonts w:cs="Arial"/>
                <w:sz w:val="18"/>
                <w:szCs w:val="22"/>
                <w:lang w:val="es-MX"/>
              </w:rPr>
              <w:t xml:space="preserve">  eficientes y </w:t>
            </w:r>
            <w:r w:rsidR="00571E5D" w:rsidRPr="00F30FD1">
              <w:rPr>
                <w:rFonts w:cs="Arial"/>
                <w:sz w:val="18"/>
                <w:szCs w:val="22"/>
                <w:lang w:val="es-MX"/>
              </w:rPr>
              <w:t>acertadas en materia de gasto y promover mejores prácticas de gestión pública orientadas a una  mejora continua del ciclo presupuestario sustentado en el logro de resultados.</w:t>
            </w:r>
          </w:p>
        </w:tc>
      </w:tr>
      <w:tr w:rsidR="001941F7" w:rsidRPr="00F30FD1" w14:paraId="6BBA38F5"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2C0D46C"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AA23438" w14:textId="2C1356B6" w:rsidR="00571E5D" w:rsidRPr="00F30FD1" w:rsidRDefault="00571E5D" w:rsidP="00085B7A">
            <w:pPr>
              <w:spacing w:after="0"/>
              <w:rPr>
                <w:rFonts w:eastAsia="Times New Roman" w:cs="Arial"/>
                <w:sz w:val="18"/>
                <w:szCs w:val="22"/>
                <w:lang w:val="es-MX"/>
              </w:rPr>
            </w:pPr>
            <w:r w:rsidRPr="00F30FD1">
              <w:rPr>
                <w:rFonts w:eastAsia="Times New Roman" w:cs="Arial"/>
                <w:sz w:val="18"/>
                <w:szCs w:val="22"/>
                <w:lang w:val="es-MX"/>
              </w:rPr>
              <w:t>Liga de acceso al Sistema Informático implementado del SED. http://www.sefiplan.qroo.gob.mx/CEDQROO/</w:t>
            </w:r>
          </w:p>
        </w:tc>
      </w:tr>
      <w:tr w:rsidR="001941F7" w:rsidRPr="00F30FD1" w14:paraId="6E299212"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2280F6E"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5E4D58A" w14:textId="570FA245" w:rsidR="001941F7" w:rsidRPr="00F30FD1" w:rsidRDefault="00BA6964" w:rsidP="00085B7A">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6E0DC29"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B6AE03F" w14:textId="7507715A"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1941F7" w:rsidRPr="00F30FD1" w14:paraId="3C9CAE65"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BD5BDCA"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1DED4F5" w14:textId="3BA6AEC5" w:rsidR="001941F7" w:rsidRPr="00F30FD1" w:rsidRDefault="001941F7" w:rsidP="00085B7A">
            <w:pPr>
              <w:spacing w:after="0" w:line="240" w:lineRule="auto"/>
              <w:rPr>
                <w:rFonts w:eastAsia="Times New Roman" w:cs="Arial"/>
                <w:sz w:val="18"/>
                <w:szCs w:val="22"/>
                <w:lang w:val="es-MX"/>
              </w:rPr>
            </w:pPr>
            <w:r w:rsidRPr="00F30FD1">
              <w:rPr>
                <w:rFonts w:cs="Arial"/>
                <w:sz w:val="18"/>
                <w:szCs w:val="22"/>
                <w:lang w:val="es-MX"/>
              </w:rPr>
              <w:t>17 Alianza para lograr los objetivos</w:t>
            </w:r>
          </w:p>
        </w:tc>
      </w:tr>
      <w:tr w:rsidR="001941F7" w:rsidRPr="00F30FD1" w14:paraId="0C33B8F7"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1DB280A"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26C3B81" w14:textId="77777777" w:rsidR="00085B7A" w:rsidRDefault="001941F7" w:rsidP="00085B7A">
            <w:pPr>
              <w:spacing w:after="0" w:line="240" w:lineRule="auto"/>
              <w:rPr>
                <w:rFonts w:cs="Arial"/>
                <w:sz w:val="18"/>
                <w:szCs w:val="22"/>
                <w:lang w:val="es-MX"/>
              </w:rPr>
            </w:pPr>
            <w:r w:rsidRPr="00F30FD1">
              <w:rPr>
                <w:rFonts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p w14:paraId="584ED225" w14:textId="1D33B468" w:rsidR="001941F7" w:rsidRPr="00F30FD1" w:rsidRDefault="001941F7" w:rsidP="00085B7A">
            <w:pPr>
              <w:spacing w:after="0" w:line="240" w:lineRule="auto"/>
              <w:rPr>
                <w:rFonts w:cs="Arial"/>
                <w:sz w:val="18"/>
                <w:szCs w:val="22"/>
                <w:lang w:val="es-MX"/>
              </w:rPr>
            </w:pPr>
            <w:r w:rsidRPr="00F30FD1">
              <w:rPr>
                <w:rFonts w:cs="Arial"/>
                <w:sz w:val="18"/>
                <w:szCs w:val="22"/>
                <w:lang w:val="es-MX"/>
              </w:rPr>
              <w:t>17.14 Mejorar la coherencia de las políticas para el desarrollo sostenible;</w:t>
            </w:r>
          </w:p>
          <w:p w14:paraId="607D7128" w14:textId="77777777" w:rsidR="001941F7" w:rsidRPr="00F30FD1" w:rsidRDefault="001941F7" w:rsidP="00085B7A">
            <w:pPr>
              <w:spacing w:after="0" w:line="240" w:lineRule="auto"/>
              <w:rPr>
                <w:rFonts w:cs="Arial"/>
                <w:sz w:val="18"/>
                <w:szCs w:val="22"/>
                <w:lang w:val="es-MX"/>
              </w:rPr>
            </w:pPr>
            <w:r w:rsidRPr="00F30FD1">
              <w:rPr>
                <w:rFonts w:cs="Arial"/>
                <w:sz w:val="18"/>
                <w:szCs w:val="22"/>
                <w:lang w:val="es-MX"/>
              </w:rPr>
              <w:t>17.15 Respetar el margen normativo y el liderazgo de cada país para establecer y aplicar políticas de erradicación de la pobreza y desarrollo sostenible;</w:t>
            </w:r>
          </w:p>
          <w:p w14:paraId="2F9BEF2F" w14:textId="15FA3BD7" w:rsidR="001941F7" w:rsidRPr="00F30FD1" w:rsidRDefault="001941F7" w:rsidP="00085B7A">
            <w:pPr>
              <w:spacing w:after="0" w:line="240" w:lineRule="auto"/>
              <w:rPr>
                <w:rFonts w:eastAsia="Times New Roman" w:cs="Arial"/>
                <w:sz w:val="18"/>
                <w:szCs w:val="22"/>
                <w:lang w:val="es-MX"/>
              </w:rPr>
            </w:pPr>
            <w:r w:rsidRPr="00F30FD1">
              <w:rPr>
                <w:rFonts w:cs="Arial"/>
                <w:sz w:val="18"/>
                <w:szCs w:val="22"/>
                <w:lang w:val="es-MX"/>
              </w:rPr>
              <w:t>17.16 Mejorar la Alianza Mundial para el Desarrollo Sostenible, complementada por alianzas entre múltiples interesados que movilicen e intercambien conocimientos, especialización, tecnología y recursos financieros, a fin de apoyar el logro de los Objetivos de Desarrollo Sostenible en todos los países, particularmente los países en desarrollo; y</w:t>
            </w:r>
          </w:p>
        </w:tc>
      </w:tr>
      <w:tr w:rsidR="001941F7" w:rsidRPr="00F30FD1" w14:paraId="36E90603"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74B9BDF"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AA78011" w14:textId="17FFBB2B" w:rsidR="001941F7" w:rsidRPr="00F30FD1" w:rsidRDefault="00AB7245"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1941F7" w:rsidRPr="00F30FD1" w14:paraId="2202A043"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49861E8"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4F0B955" w14:textId="2AACD9E4" w:rsidR="001941F7" w:rsidRPr="00F30FD1" w:rsidRDefault="0043729E"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1941F7" w:rsidRPr="00F30FD1" w14:paraId="592D6FC2"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9CAEE86" w14:textId="77777777" w:rsidR="001941F7"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1941F7" w:rsidRPr="00F30FD1" w14:paraId="375DC9C8" w14:textId="77777777" w:rsidTr="00085B7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F254097" w14:textId="77777777" w:rsidR="001941F7"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32BB5E7" w14:textId="77777777" w:rsidR="001941F7"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EEE189E" w14:textId="77777777" w:rsidR="001941F7"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F3313A1" w14:textId="77777777" w:rsidR="001941F7"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584E41A" w14:textId="77777777" w:rsidR="001941F7"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62F8068" w14:textId="77777777" w:rsidR="001941F7"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1941F7" w:rsidRPr="00F30FD1" w14:paraId="30094789" w14:textId="77777777" w:rsidTr="00085B7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CF3F89C" w14:textId="2B968106" w:rsidR="001941F7" w:rsidRPr="00F30FD1" w:rsidRDefault="009964FA" w:rsidP="00085B7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6953656" w14:textId="47E0953A" w:rsidR="001941F7" w:rsidRPr="00F30FD1" w:rsidRDefault="009964FA" w:rsidP="00085B7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5526DE4" w14:textId="0DC9A7F1" w:rsidR="001941F7" w:rsidRPr="00F30FD1" w:rsidRDefault="009964FA" w:rsidP="00085B7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64E85D7" w14:textId="0C3C822D" w:rsidR="001941F7" w:rsidRPr="00F30FD1" w:rsidRDefault="009964FA" w:rsidP="00085B7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D7163EA" w14:textId="085A9F9D" w:rsidR="001941F7" w:rsidRPr="00F30FD1" w:rsidRDefault="009964FA" w:rsidP="00085B7A">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2130DE9" w14:textId="6926AB3C" w:rsidR="001941F7" w:rsidRPr="00F30FD1" w:rsidRDefault="00AB2769"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r>
    </w:tbl>
    <w:p w14:paraId="19D455E9" w14:textId="77777777" w:rsidR="00E66F7B" w:rsidRPr="00F30FD1" w:rsidRDefault="00E66F7B" w:rsidP="00952E57">
      <w:pPr>
        <w:spacing w:after="0" w:line="240" w:lineRule="auto"/>
        <w:contextualSpacing/>
        <w:rPr>
          <w:rFonts w:eastAsia="Times New Roman" w:cs="Arial"/>
          <w:sz w:val="20"/>
          <w:szCs w:val="22"/>
          <w:lang w:val="es-MX"/>
        </w:rPr>
      </w:pPr>
    </w:p>
    <w:p w14:paraId="02085940" w14:textId="4E54B87D" w:rsidR="00085B7A" w:rsidRDefault="00085B7A">
      <w:pPr>
        <w:spacing w:after="0" w:line="240" w:lineRule="auto"/>
        <w:jc w:val="left"/>
        <w:rPr>
          <w:rFonts w:eastAsia="Times New Roman" w:cs="Arial"/>
          <w:sz w:val="20"/>
          <w:szCs w:val="22"/>
          <w:lang w:val="es-MX"/>
        </w:rPr>
      </w:pPr>
      <w:r>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1"/>
        <w:gridCol w:w="741"/>
        <w:gridCol w:w="488"/>
        <w:gridCol w:w="1204"/>
        <w:gridCol w:w="431"/>
        <w:gridCol w:w="848"/>
        <w:gridCol w:w="620"/>
        <w:gridCol w:w="1664"/>
        <w:gridCol w:w="366"/>
        <w:gridCol w:w="2052"/>
      </w:tblGrid>
      <w:tr w:rsidR="00E66F7B" w:rsidRPr="00F30FD1" w14:paraId="40B9EB4F"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412D9BF"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23830EF" w14:textId="7466E4F5"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4FCF0912"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7850F2B"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6A3AA75" w14:textId="1788D294"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4. Evaluar anualmente  los programas presupuestarios de la administración estatal en el marco del Sistema Estatal de Evaluación del Desempeño.</w:t>
            </w:r>
          </w:p>
        </w:tc>
      </w:tr>
      <w:tr w:rsidR="00E66F7B" w:rsidRPr="00F30FD1" w14:paraId="1DA3A784" w14:textId="77777777" w:rsidTr="00085B7A">
        <w:trPr>
          <w:trHeight w:val="20"/>
          <w:jc w:val="right"/>
        </w:trPr>
        <w:tc>
          <w:tcPr>
            <w:tcW w:w="1960"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49BC4B7"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76D67DC3"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0C7F013C"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A5E283B"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0"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93A1887" w14:textId="382484FD" w:rsidR="00E66F7B" w:rsidRPr="00F30FD1" w:rsidRDefault="00E93753" w:rsidP="00085B7A">
            <w:pPr>
              <w:spacing w:after="0" w:line="240" w:lineRule="auto"/>
              <w:rPr>
                <w:rFonts w:eastAsia="Times New Roman" w:cs="Arial"/>
                <w:sz w:val="18"/>
                <w:szCs w:val="22"/>
                <w:lang w:val="es-MX"/>
              </w:rPr>
            </w:pPr>
            <w:r w:rsidRPr="00F30FD1">
              <w:rPr>
                <w:rFonts w:eastAsia="Times New Roman" w:cs="Arial"/>
                <w:sz w:val="18"/>
                <w:szCs w:val="22"/>
                <w:lang w:val="es-MX"/>
              </w:rPr>
              <w:t>Informes de Resultados de las Evaluaciones del desempeño de acuerdo a la norma del CONAC</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4CBDC9E"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BDB70B0" w14:textId="442371F2" w:rsidR="00E66F7B" w:rsidRPr="00F30FD1" w:rsidRDefault="00E93753" w:rsidP="00085B7A">
            <w:pPr>
              <w:spacing w:after="0" w:line="240" w:lineRule="auto"/>
              <w:rPr>
                <w:rFonts w:eastAsia="Times New Roman" w:cs="Arial"/>
                <w:sz w:val="18"/>
                <w:szCs w:val="22"/>
                <w:lang w:val="es-MX"/>
              </w:rPr>
            </w:pPr>
            <w:r w:rsidRPr="00F30FD1">
              <w:rPr>
                <w:rFonts w:eastAsia="Times New Roman" w:cs="Arial"/>
                <w:sz w:val="18"/>
                <w:szCs w:val="22"/>
                <w:lang w:val="es-MX"/>
              </w:rPr>
              <w:t xml:space="preserve">Informes </w:t>
            </w:r>
            <w:r w:rsidR="006D56BE" w:rsidRPr="00F30FD1">
              <w:rPr>
                <w:rFonts w:eastAsia="Times New Roman" w:cs="Arial"/>
                <w:sz w:val="18"/>
                <w:szCs w:val="22"/>
                <w:lang w:val="es-MX"/>
              </w:rPr>
              <w:t>e</w:t>
            </w:r>
            <w:r w:rsidRPr="00F30FD1">
              <w:rPr>
                <w:rFonts w:eastAsia="Times New Roman" w:cs="Arial"/>
                <w:sz w:val="18"/>
                <w:szCs w:val="22"/>
                <w:lang w:val="es-MX"/>
              </w:rPr>
              <w:t>mitidos.</w:t>
            </w:r>
          </w:p>
        </w:tc>
      </w:tr>
      <w:tr w:rsidR="00E66F7B" w:rsidRPr="00F30FD1" w14:paraId="469E53F4"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F5F007B"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A27CE5" w14:textId="36EBE402" w:rsidR="00E66F7B" w:rsidRPr="00F30FD1" w:rsidRDefault="00E93753" w:rsidP="00085B7A">
            <w:pPr>
              <w:spacing w:after="0" w:line="240" w:lineRule="auto"/>
              <w:rPr>
                <w:rFonts w:eastAsia="Times New Roman" w:cs="Arial"/>
                <w:sz w:val="18"/>
                <w:szCs w:val="22"/>
                <w:lang w:val="es-MX"/>
              </w:rPr>
            </w:pPr>
            <w:r w:rsidRPr="00F30FD1">
              <w:rPr>
                <w:rFonts w:eastAsia="Times New Roman" w:cs="Arial"/>
                <w:sz w:val="18"/>
                <w:szCs w:val="22"/>
                <w:lang w:val="es-MX"/>
              </w:rPr>
              <w:t>Se refiere a la realización de evaluaciones del desempeño de acuerdo a las disposiciones aplicables, con la finalidad de evaluar el gasto público y coadyuvar a elevar la calidad del  mismo, para la obtención de mejores resultados que impacten directamente a la ciudadanía y generen valor público.</w:t>
            </w:r>
          </w:p>
        </w:tc>
      </w:tr>
      <w:tr w:rsidR="00E66F7B" w:rsidRPr="00F30FD1" w14:paraId="7531E6E9"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3078DBC"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3D533D3" w14:textId="1A745763" w:rsidR="00E66F7B" w:rsidRPr="00F30FD1" w:rsidRDefault="00E93753" w:rsidP="00085B7A">
            <w:pPr>
              <w:spacing w:after="0" w:line="240" w:lineRule="auto"/>
              <w:rPr>
                <w:rFonts w:eastAsia="Times New Roman" w:cs="Arial"/>
                <w:sz w:val="18"/>
                <w:szCs w:val="22"/>
                <w:lang w:val="es-MX"/>
              </w:rPr>
            </w:pPr>
            <w:r w:rsidRPr="00F30FD1">
              <w:rPr>
                <w:rFonts w:eastAsia="Times New Roman" w:cs="Arial"/>
                <w:sz w:val="18"/>
                <w:szCs w:val="22"/>
                <w:lang w:val="es-MX"/>
              </w:rPr>
              <w:t>Liga de los informes de evaluación del desempeño</w:t>
            </w:r>
            <w:r w:rsidR="006D56BE" w:rsidRPr="00F30FD1">
              <w:rPr>
                <w:rFonts w:eastAsia="Times New Roman" w:cs="Arial"/>
                <w:sz w:val="18"/>
                <w:szCs w:val="22"/>
                <w:lang w:val="es-MX"/>
              </w:rPr>
              <w:t xml:space="preserve"> publicados por el Centro de Evaluación del Desempeño en su portal institucional, anualmente: http://www.sefiplan.qroo.gob.mx/CEDQROO/evaluaciones.php</w:t>
            </w:r>
          </w:p>
        </w:tc>
      </w:tr>
      <w:tr w:rsidR="00E66F7B" w:rsidRPr="00F30FD1" w14:paraId="76E44B6A"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67480DE"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0"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E8080AB" w14:textId="511C81E8" w:rsidR="00E66F7B" w:rsidRPr="00F30FD1" w:rsidRDefault="00BA6964" w:rsidP="00085B7A">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2D4E68D"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C9DA588" w14:textId="55FF020E" w:rsidR="00E66F7B" w:rsidRPr="00F30FD1" w:rsidRDefault="00BA6964" w:rsidP="00085B7A">
            <w:pPr>
              <w:spacing w:after="0" w:line="240" w:lineRule="auto"/>
              <w:rPr>
                <w:rFonts w:eastAsia="Times New Roman" w:cs="Arial"/>
                <w:sz w:val="18"/>
                <w:szCs w:val="22"/>
                <w:lang w:val="es-MX"/>
              </w:rPr>
            </w:pPr>
            <w:r>
              <w:rPr>
                <w:rFonts w:eastAsia="Times New Roman" w:cs="Arial"/>
                <w:sz w:val="18"/>
                <w:szCs w:val="22"/>
                <w:lang w:val="es-MX"/>
              </w:rPr>
              <w:t>2016</w:t>
            </w:r>
          </w:p>
        </w:tc>
      </w:tr>
      <w:tr w:rsidR="00E66F7B" w:rsidRPr="00F30FD1" w14:paraId="216BEEF2"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F2E08D6"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4A34796" w14:textId="6D485A05" w:rsidR="001941F7" w:rsidRPr="00F30FD1" w:rsidRDefault="001941F7" w:rsidP="00085B7A">
            <w:pPr>
              <w:spacing w:after="0" w:line="240" w:lineRule="auto"/>
              <w:rPr>
                <w:rFonts w:eastAsia="Times New Roman" w:cs="Arial"/>
                <w:sz w:val="18"/>
                <w:szCs w:val="22"/>
                <w:lang w:val="es-MX"/>
              </w:rPr>
            </w:pPr>
          </w:p>
          <w:p w14:paraId="1415BFCE" w14:textId="65C5B24B" w:rsidR="00E66F7B"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E66F7B" w:rsidRPr="00F30FD1" w14:paraId="2D88E4EE"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4BA7ABA"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55D144"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p w14:paraId="3D89BD88"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17.14 Mejorar la coherencia de las políticas para el desarrollo sostenible;</w:t>
            </w:r>
          </w:p>
          <w:p w14:paraId="687C835C" w14:textId="77777777" w:rsidR="001941F7"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17.15 Respetar el margen normativo y el liderazgo de cada país para establecer y aplicar políticas de erradicación de la pobreza y desarrollo sostenible;</w:t>
            </w:r>
          </w:p>
          <w:p w14:paraId="41030FFB" w14:textId="2E87BFF4" w:rsidR="00E66F7B" w:rsidRPr="00F30FD1" w:rsidRDefault="001941F7" w:rsidP="00085B7A">
            <w:pPr>
              <w:spacing w:after="0" w:line="240" w:lineRule="auto"/>
              <w:rPr>
                <w:rFonts w:eastAsia="Times New Roman" w:cs="Arial"/>
                <w:sz w:val="18"/>
                <w:szCs w:val="22"/>
                <w:lang w:val="es-MX"/>
              </w:rPr>
            </w:pPr>
            <w:r w:rsidRPr="00F30FD1">
              <w:rPr>
                <w:rFonts w:eastAsia="Times New Roman" w:cs="Arial"/>
                <w:sz w:val="18"/>
                <w:szCs w:val="22"/>
                <w:lang w:val="es-MX"/>
              </w:rPr>
              <w:t>17.16 Mejorar la Alianza Mundial para el Desarrollo Sostenible, complementada por alianzas entre múltiples interesados que movilicen e intercambien conocimientos, especialización, tecnología y recursos financieros, a fin de apoyar el logro de los Objetivos de Desarrollo Sostenible en todos los países, particularmente los países en desarrollo; y</w:t>
            </w:r>
          </w:p>
        </w:tc>
      </w:tr>
      <w:tr w:rsidR="00E66F7B" w:rsidRPr="00F30FD1" w14:paraId="7B5B3000"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7C342A5"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8E09906" w14:textId="25CB6BCE" w:rsidR="00E66F7B" w:rsidRPr="00F30FD1" w:rsidRDefault="00AB7245"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0B3E089C" w14:textId="77777777" w:rsidTr="00085B7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44D725F"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A29A8D0" w14:textId="7F218E08" w:rsidR="00E66F7B" w:rsidRPr="00F30FD1" w:rsidRDefault="00AB7245"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6AB0A4BD"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5DD025D"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1DD495A1" w14:textId="77777777" w:rsidTr="00085B7A">
        <w:trPr>
          <w:trHeight w:val="20"/>
          <w:jc w:val="right"/>
        </w:trPr>
        <w:tc>
          <w:tcPr>
            <w:tcW w:w="72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5ACE9A3"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58BD92D"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117475A"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518FD6A"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ABED4C7"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5F5B2AD"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49FE1DE4" w14:textId="77777777" w:rsidTr="00085B7A">
        <w:trPr>
          <w:trHeight w:val="20"/>
          <w:jc w:val="right"/>
        </w:trPr>
        <w:tc>
          <w:tcPr>
            <w:tcW w:w="72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499C63A" w14:textId="7CB9FD23" w:rsidR="00BA1EEE" w:rsidRPr="00F30FD1" w:rsidRDefault="00C60F79"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58</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A56765D" w14:textId="192F479F" w:rsidR="00BA1EEE"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52</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20798B6" w14:textId="45DB59F4" w:rsidR="00BA1EEE"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43</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87A7089" w14:textId="51FE4495" w:rsidR="00BA1EEE" w:rsidRPr="00F30FD1" w:rsidRDefault="00533954"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63</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C3BF941" w14:textId="0596C283" w:rsidR="00BA1EEE" w:rsidRPr="00F30FD1" w:rsidRDefault="001941F7"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50</w:t>
            </w:r>
          </w:p>
        </w:tc>
        <w:tc>
          <w:tcPr>
            <w:tcW w:w="122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3D62961" w14:textId="54BA03FA" w:rsidR="00BA1EEE" w:rsidRPr="00F30FD1" w:rsidRDefault="00C60F79"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5</w:t>
            </w:r>
            <w:r w:rsidR="001941F7" w:rsidRPr="00F30FD1">
              <w:rPr>
                <w:rFonts w:eastAsia="Times New Roman" w:cs="Arial"/>
                <w:sz w:val="18"/>
                <w:szCs w:val="22"/>
                <w:lang w:val="es-MX"/>
              </w:rPr>
              <w:t>0</w:t>
            </w:r>
          </w:p>
        </w:tc>
      </w:tr>
    </w:tbl>
    <w:p w14:paraId="01F08B0A" w14:textId="679419F1" w:rsidR="00085B7A" w:rsidRDefault="00085B7A" w:rsidP="00952E57">
      <w:pPr>
        <w:spacing w:after="0" w:line="240" w:lineRule="auto"/>
        <w:contextualSpacing/>
        <w:rPr>
          <w:rFonts w:eastAsia="Times New Roman" w:cs="Arial"/>
          <w:sz w:val="20"/>
          <w:szCs w:val="22"/>
          <w:lang w:val="es-MX"/>
        </w:rPr>
      </w:pPr>
    </w:p>
    <w:p w14:paraId="37B4251E" w14:textId="77777777" w:rsidR="00085B7A" w:rsidRDefault="00085B7A">
      <w:pPr>
        <w:spacing w:after="0" w:line="240" w:lineRule="auto"/>
        <w:jc w:val="left"/>
        <w:rPr>
          <w:rFonts w:eastAsia="Times New Roman" w:cs="Arial"/>
          <w:sz w:val="20"/>
          <w:szCs w:val="22"/>
          <w:lang w:val="es-MX"/>
        </w:rPr>
      </w:pPr>
      <w:r>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3"/>
        <w:gridCol w:w="741"/>
        <w:gridCol w:w="488"/>
        <w:gridCol w:w="1204"/>
        <w:gridCol w:w="431"/>
        <w:gridCol w:w="850"/>
        <w:gridCol w:w="618"/>
        <w:gridCol w:w="1664"/>
        <w:gridCol w:w="368"/>
        <w:gridCol w:w="2048"/>
      </w:tblGrid>
      <w:tr w:rsidR="00E66F7B" w:rsidRPr="00F30FD1" w14:paraId="5E636300"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F7D01D9"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9BCE328" w14:textId="4FC30822"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71CD7F78"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5D9DF61"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25B40B0" w14:textId="0AACEB29" w:rsidR="00E66F7B" w:rsidRPr="00F30FD1" w:rsidRDefault="00BA1EEE" w:rsidP="00085B7A">
            <w:pPr>
              <w:spacing w:after="0" w:line="240" w:lineRule="auto"/>
              <w:rPr>
                <w:rFonts w:eastAsia="Times New Roman" w:cs="Arial"/>
                <w:sz w:val="18"/>
                <w:szCs w:val="22"/>
                <w:lang w:val="es-MX"/>
              </w:rPr>
            </w:pPr>
            <w:r w:rsidRPr="00F30FD1">
              <w:rPr>
                <w:rFonts w:eastAsia="Times New Roman" w:cs="Arial"/>
                <w:sz w:val="18"/>
                <w:szCs w:val="22"/>
                <w:lang w:val="es-MX"/>
              </w:rPr>
              <w:t xml:space="preserve">5. Efectuar, en coordinación con la Unidad de Transparencia y Acceso a la Información, la publicación de información en materia del Sistema de Evaluación del Desempeño. </w:t>
            </w:r>
          </w:p>
        </w:tc>
      </w:tr>
      <w:tr w:rsidR="00E66F7B" w:rsidRPr="00F30FD1" w14:paraId="4400E3F9" w14:textId="77777777" w:rsidTr="00085B7A">
        <w:trPr>
          <w:trHeight w:val="20"/>
          <w:jc w:val="right"/>
        </w:trPr>
        <w:tc>
          <w:tcPr>
            <w:tcW w:w="196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3A00F22"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9" w:type="pct"/>
            <w:gridSpan w:val="6"/>
            <w:tcBorders>
              <w:top w:val="single" w:sz="4" w:space="0" w:color="auto"/>
              <w:left w:val="single" w:sz="4" w:space="0" w:color="auto"/>
              <w:bottom w:val="single" w:sz="4" w:space="0" w:color="auto"/>
              <w:right w:val="single" w:sz="4" w:space="0" w:color="auto"/>
            </w:tcBorders>
            <w:shd w:val="clear" w:color="auto" w:fill="A6A6A6"/>
          </w:tcPr>
          <w:p w14:paraId="5E7184CF"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533954" w:rsidRPr="00F30FD1" w14:paraId="40742802"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1369B13" w14:textId="0244DD5C" w:rsidR="00533954" w:rsidRPr="00F30FD1" w:rsidRDefault="00533954" w:rsidP="00085B7A">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6E81D04" w14:textId="315411DD" w:rsidR="00533954" w:rsidRPr="00F30FD1" w:rsidRDefault="00533954" w:rsidP="00085B7A">
            <w:pPr>
              <w:spacing w:after="0" w:line="240" w:lineRule="auto"/>
              <w:rPr>
                <w:rFonts w:eastAsia="Times New Roman" w:cs="Arial"/>
                <w:sz w:val="18"/>
                <w:szCs w:val="22"/>
                <w:lang w:val="es-MX"/>
              </w:rPr>
            </w:pPr>
            <w:r w:rsidRPr="00F30FD1">
              <w:rPr>
                <w:rFonts w:cs="Arial"/>
                <w:sz w:val="18"/>
                <w:szCs w:val="22"/>
                <w:lang w:val="es-MX"/>
              </w:rPr>
              <w:t>Info</w:t>
            </w:r>
            <w:r w:rsidR="0030491A" w:rsidRPr="00F30FD1">
              <w:rPr>
                <w:rFonts w:cs="Arial"/>
                <w:sz w:val="18"/>
                <w:szCs w:val="22"/>
                <w:lang w:val="es-MX"/>
              </w:rPr>
              <w:t xml:space="preserve">rmes de seguimiento y </w:t>
            </w:r>
            <w:r w:rsidR="00991083" w:rsidRPr="00F30FD1">
              <w:rPr>
                <w:rFonts w:cs="Arial"/>
                <w:sz w:val="18"/>
                <w:szCs w:val="22"/>
                <w:lang w:val="es-MX"/>
              </w:rPr>
              <w:t>evaluación del desempeño.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1ADF8B3" w14:textId="63EB8B0A" w:rsidR="00533954" w:rsidRPr="00F30FD1" w:rsidRDefault="00533954" w:rsidP="00085B7A">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A2AA121" w14:textId="5E41E3B6" w:rsidR="00533954" w:rsidRPr="00F30FD1" w:rsidRDefault="00533954" w:rsidP="00085B7A">
            <w:pPr>
              <w:spacing w:after="0" w:line="240" w:lineRule="auto"/>
              <w:rPr>
                <w:rFonts w:eastAsia="Times New Roman" w:cs="Arial"/>
                <w:sz w:val="18"/>
                <w:szCs w:val="22"/>
                <w:lang w:val="es-MX"/>
              </w:rPr>
            </w:pPr>
            <w:r w:rsidRPr="00F30FD1">
              <w:rPr>
                <w:rFonts w:cs="Arial"/>
                <w:sz w:val="18"/>
                <w:szCs w:val="22"/>
                <w:lang w:val="es-MX"/>
              </w:rPr>
              <w:t>Informes emitidos</w:t>
            </w:r>
          </w:p>
        </w:tc>
      </w:tr>
      <w:tr w:rsidR="00533954" w:rsidRPr="00F30FD1" w14:paraId="43830EEE"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32FB755" w14:textId="70E1E479" w:rsidR="00533954" w:rsidRPr="00F30FD1" w:rsidRDefault="00533954" w:rsidP="00085B7A">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8991338" w14:textId="2506FC61" w:rsidR="00533954" w:rsidRPr="00F30FD1" w:rsidRDefault="00533954" w:rsidP="00085B7A">
            <w:pPr>
              <w:spacing w:after="0" w:line="240" w:lineRule="auto"/>
              <w:rPr>
                <w:rFonts w:eastAsia="Times New Roman" w:cs="Arial"/>
                <w:sz w:val="18"/>
                <w:szCs w:val="22"/>
                <w:lang w:val="es-MX"/>
              </w:rPr>
            </w:pPr>
            <w:r w:rsidRPr="00F30FD1">
              <w:rPr>
                <w:rFonts w:cs="Arial"/>
                <w:sz w:val="18"/>
                <w:szCs w:val="22"/>
                <w:lang w:val="es-MX"/>
              </w:rPr>
              <w:t>Se refiere a la difusión y/o publicación proactiva de datos para contar con información pública donde los ciudadanos puedan consultar los resultados del gasto a través de la evaluación y el monitoreo de los programas presupuestarios que operan en el Estado de Quintana Roo.</w:t>
            </w:r>
          </w:p>
        </w:tc>
      </w:tr>
      <w:tr w:rsidR="00533954" w:rsidRPr="00F30FD1" w14:paraId="22FDA14C"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5E09429" w14:textId="5A342183" w:rsidR="00533954" w:rsidRPr="00F30FD1" w:rsidRDefault="00533954" w:rsidP="00085B7A">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3A0983F" w14:textId="15EB4467" w:rsidR="00533954" w:rsidRPr="00F30FD1" w:rsidRDefault="00533954" w:rsidP="00085B7A">
            <w:pPr>
              <w:spacing w:after="0"/>
              <w:rPr>
                <w:rFonts w:eastAsia="Times New Roman" w:cs="Arial"/>
                <w:sz w:val="18"/>
                <w:szCs w:val="22"/>
                <w:lang w:val="es-MX"/>
              </w:rPr>
            </w:pPr>
            <w:r w:rsidRPr="00F30FD1">
              <w:rPr>
                <w:rFonts w:cs="Arial"/>
                <w:sz w:val="18"/>
                <w:szCs w:val="22"/>
                <w:lang w:val="es-MX"/>
              </w:rPr>
              <w:t xml:space="preserve">Liga de los informes de evaluación del desempeño publicados por el Centro de Evaluación del Desempeño  en su portal institucional, anualmente: </w:t>
            </w:r>
            <w:hyperlink r:id="rId38" w:history="1">
              <w:r w:rsidRPr="00F30FD1">
                <w:rPr>
                  <w:rStyle w:val="Hipervnculo"/>
                  <w:rFonts w:cs="Arial"/>
                  <w:sz w:val="18"/>
                  <w:szCs w:val="22"/>
                  <w:lang w:val="es-MX"/>
                </w:rPr>
                <w:t>http://www.sefiplan.qroo.gob.mx/CEDQROO/evaluaciones.php</w:t>
              </w:r>
            </w:hyperlink>
          </w:p>
        </w:tc>
      </w:tr>
      <w:tr w:rsidR="00533954" w:rsidRPr="00F30FD1" w14:paraId="53BB9EEB"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721B679" w14:textId="39AD4A45" w:rsidR="00533954" w:rsidRPr="00F30FD1" w:rsidRDefault="00533954" w:rsidP="00085B7A">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362464D" w14:textId="69BBCC08" w:rsidR="00533954" w:rsidRPr="00F30FD1" w:rsidRDefault="00533954" w:rsidP="00085B7A">
            <w:pPr>
              <w:spacing w:after="0" w:line="240" w:lineRule="auto"/>
              <w:rPr>
                <w:rFonts w:eastAsia="Times New Roman" w:cs="Arial"/>
                <w:sz w:val="18"/>
                <w:szCs w:val="22"/>
                <w:lang w:val="es-MX"/>
              </w:rPr>
            </w:pP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C2FEC09" w14:textId="7BBF350A" w:rsidR="00533954" w:rsidRPr="00F30FD1" w:rsidRDefault="0043729E" w:rsidP="00085B7A">
            <w:pPr>
              <w:spacing w:after="0" w:line="240" w:lineRule="auto"/>
              <w:rPr>
                <w:rFonts w:eastAsia="Times New Roman" w:cs="Arial"/>
                <w:sz w:val="18"/>
                <w:szCs w:val="22"/>
                <w:lang w:val="es-MX"/>
              </w:rPr>
            </w:pPr>
            <w:r w:rsidRPr="00F30FD1">
              <w:rPr>
                <w:rFonts w:eastAsia="Times New Roman" w:cs="Arial"/>
                <w:sz w:val="18"/>
                <w:szCs w:val="22"/>
                <w:lang w:val="es-MX"/>
              </w:rPr>
              <w:t>Año de l</w:t>
            </w:r>
            <w:r w:rsidR="00533954" w:rsidRPr="00F30FD1">
              <w:rPr>
                <w:rFonts w:eastAsia="Times New Roman" w:cs="Arial"/>
                <w:sz w:val="18"/>
                <w:szCs w:val="22"/>
                <w:lang w:val="es-MX"/>
              </w:rPr>
              <w:t>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57EFCF8" w14:textId="66EA1CDE" w:rsidR="00533954" w:rsidRPr="00F30FD1" w:rsidRDefault="00BA6964" w:rsidP="00085B7A">
            <w:pPr>
              <w:spacing w:after="0" w:line="240" w:lineRule="auto"/>
              <w:rPr>
                <w:rFonts w:eastAsia="Times New Roman" w:cs="Arial"/>
                <w:sz w:val="18"/>
                <w:szCs w:val="22"/>
                <w:lang w:val="es-MX"/>
              </w:rPr>
            </w:pPr>
            <w:r>
              <w:rPr>
                <w:rFonts w:eastAsia="Times New Roman" w:cs="Arial"/>
                <w:sz w:val="18"/>
                <w:szCs w:val="22"/>
                <w:lang w:val="es-MX"/>
              </w:rPr>
              <w:t>2016</w:t>
            </w:r>
          </w:p>
        </w:tc>
      </w:tr>
      <w:tr w:rsidR="00533954" w:rsidRPr="00F30FD1" w14:paraId="6AE56BD2"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FCC7BA1" w14:textId="745E3524" w:rsidR="00533954" w:rsidRPr="00F30FD1" w:rsidRDefault="00533954"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D29A3E2" w14:textId="77777777" w:rsidR="00533954" w:rsidRPr="00F30FD1" w:rsidRDefault="00533954" w:rsidP="00085B7A">
            <w:pPr>
              <w:spacing w:after="0"/>
              <w:rPr>
                <w:rFonts w:cs="Arial"/>
                <w:sz w:val="18"/>
                <w:szCs w:val="22"/>
                <w:lang w:val="es-MX"/>
              </w:rPr>
            </w:pPr>
            <w:r w:rsidRPr="00F30FD1">
              <w:rPr>
                <w:rFonts w:cs="Arial"/>
                <w:sz w:val="18"/>
                <w:szCs w:val="22"/>
                <w:lang w:val="es-MX"/>
              </w:rPr>
              <w:t>17 Alianza para lograr los objetivos</w:t>
            </w:r>
          </w:p>
          <w:p w14:paraId="42AFBCA9" w14:textId="77777777" w:rsidR="00533954" w:rsidRPr="00F30FD1" w:rsidRDefault="00533954" w:rsidP="00085B7A">
            <w:pPr>
              <w:spacing w:after="0" w:line="240" w:lineRule="auto"/>
              <w:rPr>
                <w:rFonts w:eastAsia="Times New Roman" w:cs="Arial"/>
                <w:sz w:val="18"/>
                <w:szCs w:val="22"/>
                <w:lang w:val="es-MX"/>
              </w:rPr>
            </w:pPr>
          </w:p>
        </w:tc>
      </w:tr>
      <w:tr w:rsidR="00533954" w:rsidRPr="00F30FD1" w14:paraId="217A456D"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E663B9D" w14:textId="6A38E6C6" w:rsidR="00533954" w:rsidRPr="00F30FD1" w:rsidRDefault="00533954" w:rsidP="00085B7A">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FA1E69" w14:textId="77777777" w:rsidR="00533954" w:rsidRPr="00F30FD1" w:rsidRDefault="00533954" w:rsidP="00085B7A">
            <w:pPr>
              <w:spacing w:after="0"/>
              <w:rPr>
                <w:rFonts w:cs="Arial"/>
                <w:sz w:val="18"/>
                <w:szCs w:val="22"/>
                <w:lang w:val="es-MX"/>
              </w:rPr>
            </w:pPr>
            <w:r w:rsidRPr="00F30FD1">
              <w:rPr>
                <w:rFonts w:cs="Arial"/>
                <w:sz w:val="18"/>
                <w:szCs w:val="22"/>
                <w:lang w:val="es-MX"/>
              </w:rPr>
              <w:t>17.1 Fortalecer la movilización de recursos internos, incluso mediante la prestación de apoyo internacional a los países en desarrollo, con el fin de mejorar la capacidad nacional para recaudar ingresos fiscales y de otra índole;</w:t>
            </w:r>
          </w:p>
          <w:p w14:paraId="79D04005" w14:textId="77777777" w:rsidR="00533954" w:rsidRPr="00F30FD1" w:rsidRDefault="00533954" w:rsidP="00085B7A">
            <w:pPr>
              <w:spacing w:after="0"/>
              <w:rPr>
                <w:rFonts w:cs="Arial"/>
                <w:sz w:val="18"/>
                <w:szCs w:val="22"/>
                <w:lang w:val="es-MX"/>
              </w:rPr>
            </w:pPr>
            <w:r w:rsidRPr="00F30FD1">
              <w:rPr>
                <w:rFonts w:cs="Arial"/>
                <w:sz w:val="18"/>
                <w:szCs w:val="22"/>
                <w:lang w:val="es-MX"/>
              </w:rPr>
              <w:t>17.14 Mejorar la coherencia de las políticas para el desarrollo sostenible;</w:t>
            </w:r>
          </w:p>
          <w:p w14:paraId="1DCA2C14" w14:textId="77777777" w:rsidR="00533954" w:rsidRPr="00F30FD1" w:rsidRDefault="00533954" w:rsidP="00085B7A">
            <w:pPr>
              <w:spacing w:after="0"/>
              <w:rPr>
                <w:rFonts w:cs="Arial"/>
                <w:sz w:val="18"/>
                <w:szCs w:val="22"/>
                <w:lang w:val="es-MX"/>
              </w:rPr>
            </w:pPr>
            <w:r w:rsidRPr="00F30FD1">
              <w:rPr>
                <w:rFonts w:cs="Arial"/>
                <w:sz w:val="18"/>
                <w:szCs w:val="22"/>
                <w:lang w:val="es-MX"/>
              </w:rPr>
              <w:t>17.15 Respetar el margen normativo y el liderazgo de cada país para establecer y aplicar políticas de erradicación de la pobreza y desarrollo sostenible;</w:t>
            </w:r>
          </w:p>
          <w:p w14:paraId="3309FEA1" w14:textId="46E29505" w:rsidR="00533954" w:rsidRPr="00F30FD1" w:rsidRDefault="00533954" w:rsidP="00085B7A">
            <w:pPr>
              <w:spacing w:after="0"/>
              <w:rPr>
                <w:rFonts w:cs="Arial"/>
                <w:sz w:val="18"/>
                <w:szCs w:val="22"/>
                <w:lang w:val="es-MX"/>
              </w:rPr>
            </w:pPr>
            <w:r w:rsidRPr="00F30FD1">
              <w:rPr>
                <w:rFonts w:cs="Arial"/>
                <w:sz w:val="18"/>
                <w:szCs w:val="22"/>
                <w:lang w:val="es-MX"/>
              </w:rPr>
              <w:t>17.16 Mejorar la Alianza Mundial para el Desarrollo Sostenible, complementada por alianzas entre múltiples interesados que movilicen e intercambien conocimientos, especialización, tecnología y recursos financieros, a fin de apoyar el logro de los Objetivos de Desarrollo Sostenible en todos los países, particularmente los países en desarrollo; y</w:t>
            </w:r>
          </w:p>
        </w:tc>
      </w:tr>
      <w:tr w:rsidR="00E66F7B" w:rsidRPr="00F30FD1" w14:paraId="55536B1A"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AC61F64"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DAF3364" w14:textId="3EB9BDE7" w:rsidR="00E66F7B" w:rsidRPr="00F30FD1" w:rsidRDefault="00BE2CDF"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557AEB3A" w14:textId="77777777" w:rsidTr="00085B7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C40B43C" w14:textId="77777777" w:rsidR="00E66F7B" w:rsidRPr="00F30FD1" w:rsidRDefault="00E66F7B" w:rsidP="00085B7A">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94F624C" w14:textId="7F2C2273" w:rsidR="00E66F7B" w:rsidRPr="00F30FD1" w:rsidRDefault="00BE2CDF" w:rsidP="00085B7A">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5AC1D04D"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79F064E"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4C5425A2" w14:textId="77777777" w:rsidTr="00085B7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860FE60"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C0B9200"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2ECDDC6"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404AB40"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22AAA8A"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9DD5D61" w14:textId="77777777" w:rsidR="00E66F7B" w:rsidRPr="00F30FD1" w:rsidRDefault="00E66F7B"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698801BA" w14:textId="77777777" w:rsidTr="00085B7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98CB6CA" w14:textId="7D7BCA16" w:rsidR="00BA1EEE" w:rsidRPr="00F30FD1" w:rsidRDefault="00533954"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64D1894" w14:textId="1104B611" w:rsidR="00BA1EEE" w:rsidRPr="00F30FD1" w:rsidRDefault="00533954"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2</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6B4E4A0" w14:textId="7CC95841" w:rsidR="00BA1EEE" w:rsidRPr="00F30FD1" w:rsidRDefault="00533954"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5</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4B36F2B" w14:textId="534BAAA7" w:rsidR="00BA1EEE" w:rsidRPr="00F30FD1" w:rsidRDefault="00533954"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5</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2BCA26E" w14:textId="18DE9805" w:rsidR="00BA1EEE" w:rsidRPr="00F30FD1" w:rsidRDefault="00533954"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5</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9B03FB0" w14:textId="2E7AB901" w:rsidR="00BA1EEE" w:rsidRPr="00F30FD1" w:rsidRDefault="00533954" w:rsidP="00085B7A">
            <w:pPr>
              <w:spacing w:after="0" w:line="240" w:lineRule="auto"/>
              <w:jc w:val="center"/>
              <w:rPr>
                <w:rFonts w:eastAsia="Times New Roman" w:cs="Arial"/>
                <w:sz w:val="18"/>
                <w:szCs w:val="22"/>
                <w:lang w:val="es-MX"/>
              </w:rPr>
            </w:pPr>
            <w:r w:rsidRPr="00F30FD1">
              <w:rPr>
                <w:rFonts w:eastAsia="Times New Roman" w:cs="Arial"/>
                <w:sz w:val="18"/>
                <w:szCs w:val="22"/>
                <w:lang w:val="es-MX"/>
              </w:rPr>
              <w:t>6</w:t>
            </w:r>
          </w:p>
        </w:tc>
      </w:tr>
    </w:tbl>
    <w:p w14:paraId="09A2E8F2" w14:textId="3D2AFC77" w:rsidR="00085B7A" w:rsidRDefault="00085B7A">
      <w:pPr>
        <w:spacing w:after="0" w:line="240" w:lineRule="auto"/>
        <w:jc w:val="left"/>
        <w:rPr>
          <w:rFonts w:eastAsia="Times New Roman" w:cs="Arial"/>
          <w:sz w:val="20"/>
          <w:szCs w:val="22"/>
          <w:lang w:val="es-MX"/>
        </w:rPr>
      </w:pPr>
    </w:p>
    <w:p w14:paraId="3524481C" w14:textId="77777777" w:rsidR="00085B7A" w:rsidRDefault="00085B7A">
      <w:pPr>
        <w:spacing w:after="0" w:line="240" w:lineRule="auto"/>
        <w:jc w:val="left"/>
        <w:rPr>
          <w:rFonts w:eastAsia="Times New Roman" w:cs="Arial"/>
          <w:sz w:val="20"/>
          <w:szCs w:val="22"/>
          <w:lang w:val="es-MX"/>
        </w:rPr>
      </w:pPr>
      <w:r>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1"/>
        <w:gridCol w:w="739"/>
        <w:gridCol w:w="490"/>
        <w:gridCol w:w="1202"/>
        <w:gridCol w:w="433"/>
        <w:gridCol w:w="848"/>
        <w:gridCol w:w="620"/>
        <w:gridCol w:w="1664"/>
        <w:gridCol w:w="366"/>
        <w:gridCol w:w="2052"/>
      </w:tblGrid>
      <w:tr w:rsidR="00E66F7B" w:rsidRPr="00F30FD1" w14:paraId="3F1AC68E"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334980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901"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3BA59FB" w14:textId="091FBD98"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014708EC"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013FFD4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1"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EE4F992" w14:textId="54D9CA68" w:rsidR="00E66F7B" w:rsidRPr="00F30FD1" w:rsidRDefault="00BA1EEE" w:rsidP="00BA1EEE">
            <w:pPr>
              <w:spacing w:after="0" w:line="240" w:lineRule="auto"/>
              <w:rPr>
                <w:rFonts w:eastAsia="Times New Roman" w:cs="Arial"/>
                <w:sz w:val="18"/>
                <w:szCs w:val="22"/>
                <w:lang w:val="es-MX"/>
              </w:rPr>
            </w:pPr>
            <w:r w:rsidRPr="00F30FD1">
              <w:rPr>
                <w:rFonts w:eastAsia="Times New Roman" w:cs="Arial"/>
                <w:sz w:val="18"/>
                <w:szCs w:val="22"/>
                <w:lang w:val="es-MX"/>
              </w:rPr>
              <w:t>6. Instaurar Consejos Interinstitucionales de apoyo a la planeación del estado.</w:t>
            </w:r>
          </w:p>
        </w:tc>
      </w:tr>
      <w:tr w:rsidR="00E66F7B" w:rsidRPr="00F30FD1" w14:paraId="68A19346" w14:textId="77777777" w:rsidTr="00391B2F">
        <w:trPr>
          <w:trHeight w:val="20"/>
          <w:jc w:val="right"/>
        </w:trPr>
        <w:tc>
          <w:tcPr>
            <w:tcW w:w="1959"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D2DEB2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1" w:type="pct"/>
            <w:gridSpan w:val="6"/>
            <w:tcBorders>
              <w:top w:val="single" w:sz="4" w:space="0" w:color="auto"/>
              <w:left w:val="single" w:sz="4" w:space="0" w:color="auto"/>
              <w:bottom w:val="single" w:sz="4" w:space="0" w:color="auto"/>
              <w:right w:val="single" w:sz="4" w:space="0" w:color="auto"/>
            </w:tcBorders>
            <w:shd w:val="clear" w:color="auto" w:fill="A6A6A6"/>
          </w:tcPr>
          <w:p w14:paraId="05A3668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391B2F" w:rsidRPr="00F30FD1" w14:paraId="5EF33FF7"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99BC7CA" w14:textId="7ABAEB67" w:rsidR="00391B2F" w:rsidRPr="00F30FD1" w:rsidRDefault="00391B2F" w:rsidP="00B65D72">
            <w:pPr>
              <w:spacing w:after="0" w:line="240" w:lineRule="auto"/>
              <w:rPr>
                <w:rFonts w:eastAsia="Times New Roman" w:cs="Arial"/>
                <w:sz w:val="18"/>
                <w:szCs w:val="22"/>
                <w:lang w:val="es-MX"/>
              </w:rPr>
            </w:pPr>
            <w:r w:rsidRPr="00391B2F">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84C3E51" w14:textId="5F3A0FAA" w:rsidR="00391B2F" w:rsidRPr="00F30FD1" w:rsidRDefault="00391B2F" w:rsidP="00B65D72">
            <w:pPr>
              <w:spacing w:after="0" w:line="240" w:lineRule="auto"/>
              <w:rPr>
                <w:rFonts w:eastAsia="Times New Roman" w:cs="Arial"/>
                <w:sz w:val="18"/>
                <w:szCs w:val="22"/>
                <w:lang w:val="es-MX"/>
              </w:rPr>
            </w:pPr>
            <w:r w:rsidRPr="00391B2F">
              <w:rPr>
                <w:rFonts w:eastAsia="Times New Roman" w:cs="Arial"/>
                <w:sz w:val="18"/>
                <w:szCs w:val="22"/>
                <w:lang w:val="es-MX"/>
              </w:rPr>
              <w:t>Participar en los consejos en apoyo a la planeación del estado.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FFF6A29" w14:textId="7C46DF06" w:rsidR="00391B2F" w:rsidRPr="00F30FD1" w:rsidRDefault="00391B2F" w:rsidP="00B65D72">
            <w:pPr>
              <w:spacing w:after="0" w:line="240" w:lineRule="auto"/>
              <w:rPr>
                <w:rFonts w:eastAsia="Times New Roman" w:cs="Arial"/>
                <w:sz w:val="18"/>
                <w:szCs w:val="22"/>
                <w:lang w:val="es-MX"/>
              </w:rPr>
            </w:pPr>
            <w:r w:rsidRPr="00391B2F">
              <w:rPr>
                <w:rFonts w:eastAsia="Times New Roman" w:cs="Arial"/>
                <w:sz w:val="18"/>
                <w:szCs w:val="22"/>
                <w:lang w:val="es-MX"/>
              </w:rPr>
              <w:t>Unidad de Medida:</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498A4B3" w14:textId="47911AF8" w:rsidR="00391B2F" w:rsidRPr="00F30FD1" w:rsidRDefault="00391B2F" w:rsidP="00B65D72">
            <w:pPr>
              <w:spacing w:after="0" w:line="240" w:lineRule="auto"/>
              <w:rPr>
                <w:rFonts w:eastAsia="Times New Roman" w:cs="Arial"/>
                <w:sz w:val="18"/>
                <w:szCs w:val="22"/>
                <w:lang w:val="es-MX"/>
              </w:rPr>
            </w:pPr>
            <w:r w:rsidRPr="00391B2F">
              <w:rPr>
                <w:rFonts w:eastAsia="Times New Roman" w:cs="Arial"/>
                <w:sz w:val="18"/>
                <w:szCs w:val="22"/>
                <w:lang w:val="es-MX"/>
              </w:rPr>
              <w:t>Consejos</w:t>
            </w:r>
          </w:p>
        </w:tc>
      </w:tr>
      <w:tr w:rsidR="00391B2F" w:rsidRPr="00F30FD1" w14:paraId="73012D80"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4E9D7E0" w14:textId="1E4C5640" w:rsidR="00391B2F" w:rsidRPr="00F30FD1" w:rsidRDefault="00391B2F" w:rsidP="00B65D72">
            <w:pPr>
              <w:spacing w:after="0" w:line="240" w:lineRule="auto"/>
              <w:rPr>
                <w:rFonts w:eastAsia="Times New Roman" w:cs="Arial"/>
                <w:sz w:val="18"/>
                <w:szCs w:val="22"/>
                <w:lang w:val="es-MX"/>
              </w:rPr>
            </w:pPr>
            <w:r w:rsidRPr="00391B2F">
              <w:rPr>
                <w:rFonts w:eastAsia="Times New Roman" w:cs="Arial"/>
                <w:sz w:val="18"/>
                <w:szCs w:val="22"/>
                <w:lang w:val="es-MX"/>
              </w:rPr>
              <w:t>Descripción:</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A0B6A7F" w14:textId="13E9D3DF" w:rsidR="00391B2F" w:rsidRPr="00F30FD1" w:rsidRDefault="00391B2F" w:rsidP="00B65D72">
            <w:pPr>
              <w:spacing w:after="0" w:line="240" w:lineRule="auto"/>
              <w:rPr>
                <w:rFonts w:eastAsia="Times New Roman" w:cs="Arial"/>
                <w:sz w:val="18"/>
                <w:szCs w:val="22"/>
                <w:lang w:val="es-MX"/>
              </w:rPr>
            </w:pPr>
            <w:r w:rsidRPr="00391B2F">
              <w:rPr>
                <w:rFonts w:eastAsia="Times New Roman" w:cs="Arial"/>
                <w:sz w:val="18"/>
                <w:szCs w:val="22"/>
                <w:lang w:val="es-MX"/>
              </w:rPr>
              <w:t>Participar en los diferentes Consejos que apoyan al desarrollo de la planeación en el Estado.</w:t>
            </w:r>
          </w:p>
        </w:tc>
      </w:tr>
      <w:tr w:rsidR="00B65D72" w:rsidRPr="00F30FD1" w14:paraId="6CA89BF1"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F3B7D84" w14:textId="7C5B971B"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84AE7B9" w14:textId="60C0CF1B"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 xml:space="preserve">Actas, </w:t>
            </w:r>
            <w:proofErr w:type="spellStart"/>
            <w:r w:rsidRPr="00F30FD1">
              <w:rPr>
                <w:rFonts w:eastAsia="Times New Roman" w:cs="Arial"/>
                <w:sz w:val="18"/>
                <w:szCs w:val="22"/>
                <w:lang w:val="es-MX"/>
              </w:rPr>
              <w:t>Micrositio</w:t>
            </w:r>
            <w:proofErr w:type="spellEnd"/>
            <w:r w:rsidRPr="00F30FD1">
              <w:rPr>
                <w:rFonts w:eastAsia="Times New Roman" w:cs="Arial"/>
                <w:sz w:val="18"/>
                <w:szCs w:val="22"/>
                <w:lang w:val="es-MX"/>
              </w:rPr>
              <w:t xml:space="preserve"> del COPLADE</w:t>
            </w:r>
          </w:p>
        </w:tc>
      </w:tr>
      <w:tr w:rsidR="00B65D72" w:rsidRPr="00F30FD1" w14:paraId="44C00DFD"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B73506F" w14:textId="3856321C"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1E16ABF" w14:textId="66924EF0" w:rsidR="00B65D72" w:rsidRPr="00F30FD1" w:rsidRDefault="00085B7A" w:rsidP="00B65D72">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FC8F29C" w14:textId="2934A7A1"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B10209D" w14:textId="6D9FA80F" w:rsidR="00B65D72" w:rsidRPr="00F30FD1" w:rsidRDefault="00BA6964" w:rsidP="00B65D72">
            <w:pPr>
              <w:spacing w:after="0" w:line="240" w:lineRule="auto"/>
              <w:rPr>
                <w:rFonts w:eastAsia="Times New Roman" w:cs="Arial"/>
                <w:sz w:val="18"/>
                <w:szCs w:val="22"/>
                <w:lang w:val="es-MX"/>
              </w:rPr>
            </w:pPr>
            <w:r>
              <w:rPr>
                <w:rFonts w:eastAsia="Times New Roman" w:cs="Arial"/>
                <w:sz w:val="18"/>
                <w:szCs w:val="22"/>
                <w:lang w:val="es-MX"/>
              </w:rPr>
              <w:t>2016</w:t>
            </w:r>
          </w:p>
        </w:tc>
      </w:tr>
      <w:tr w:rsidR="00B65D72" w:rsidRPr="00F30FD1" w14:paraId="28671376"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6E56C6B" w14:textId="5B8F3BCD"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0F61D7D" w14:textId="77777777" w:rsidR="00B65D72" w:rsidRPr="00F30FD1" w:rsidRDefault="00B65D72" w:rsidP="00B65D72">
            <w:pPr>
              <w:rPr>
                <w:rFonts w:cs="Arial"/>
                <w:sz w:val="18"/>
                <w:szCs w:val="22"/>
                <w:lang w:val="es-MX"/>
              </w:rPr>
            </w:pPr>
            <w:r w:rsidRPr="00F30FD1">
              <w:rPr>
                <w:rFonts w:cs="Arial"/>
                <w:sz w:val="18"/>
                <w:szCs w:val="22"/>
                <w:lang w:val="es-MX"/>
              </w:rPr>
              <w:t>17 Alianza para lograr los objetivos</w:t>
            </w:r>
          </w:p>
          <w:p w14:paraId="7A7CFF9D" w14:textId="77777777" w:rsidR="00B65D72" w:rsidRPr="00F30FD1" w:rsidRDefault="00B65D72" w:rsidP="00B65D72">
            <w:pPr>
              <w:spacing w:after="0" w:line="240" w:lineRule="auto"/>
              <w:rPr>
                <w:rFonts w:eastAsia="Times New Roman" w:cs="Arial"/>
                <w:sz w:val="18"/>
                <w:szCs w:val="22"/>
                <w:lang w:val="es-MX"/>
              </w:rPr>
            </w:pPr>
          </w:p>
        </w:tc>
      </w:tr>
      <w:tr w:rsidR="00B65D72" w:rsidRPr="00F30FD1" w14:paraId="691EE30A"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5625F3A" w14:textId="580F2B93"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9EBE0E0" w14:textId="59078E6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 xml:space="preserve">17.17.- Fomentar y promover la constitución de alianzas eficaces en las esferas pública, </w:t>
            </w:r>
            <w:proofErr w:type="spellStart"/>
            <w:r w:rsidRPr="00F30FD1">
              <w:rPr>
                <w:rFonts w:eastAsia="Times New Roman" w:cs="Arial"/>
                <w:sz w:val="18"/>
                <w:szCs w:val="22"/>
                <w:lang w:val="es-MX"/>
              </w:rPr>
              <w:t>públicoprivada</w:t>
            </w:r>
            <w:proofErr w:type="spellEnd"/>
            <w:r w:rsidRPr="00F30FD1">
              <w:rPr>
                <w:rFonts w:eastAsia="Times New Roman" w:cs="Arial"/>
                <w:sz w:val="18"/>
                <w:szCs w:val="22"/>
                <w:lang w:val="es-MX"/>
              </w:rPr>
              <w:t xml:space="preserve"> y de la sociedad civil, aprovechando la experiencia y las estrategias de obtención de recursos de las alianzas</w:t>
            </w:r>
          </w:p>
        </w:tc>
      </w:tr>
      <w:tr w:rsidR="00E66F7B" w:rsidRPr="00F30FD1" w14:paraId="0BF1360C"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0F8E59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78D1F29" w14:textId="0AD1C0C2"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08B184A5" w14:textId="77777777" w:rsidTr="00391B2F">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FB32F2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8246E8A" w14:textId="75A224F8"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63731AA5"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D3A5F9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1C71C592" w14:textId="77777777" w:rsidTr="00391B2F">
        <w:trPr>
          <w:trHeight w:val="20"/>
          <w:jc w:val="right"/>
        </w:trPr>
        <w:tc>
          <w:tcPr>
            <w:tcW w:w="72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1D21B8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47635D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5FBB33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416734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C5277F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2D1FA0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65D72" w:rsidRPr="00F30FD1" w14:paraId="7A70E8F7" w14:textId="77777777" w:rsidTr="00391B2F">
        <w:trPr>
          <w:trHeight w:val="20"/>
          <w:jc w:val="right"/>
        </w:trPr>
        <w:tc>
          <w:tcPr>
            <w:tcW w:w="72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6843239" w14:textId="09D2C5E7" w:rsidR="00B65D72" w:rsidRPr="00F30FD1" w:rsidRDefault="000A5F54" w:rsidP="00B65D72">
            <w:pPr>
              <w:spacing w:after="0" w:line="240" w:lineRule="auto"/>
              <w:jc w:val="center"/>
              <w:rPr>
                <w:rFonts w:eastAsia="Times New Roman" w:cs="Arial"/>
                <w:sz w:val="18"/>
                <w:szCs w:val="22"/>
                <w:lang w:val="es-MX"/>
              </w:rPr>
            </w:pPr>
            <w:r>
              <w:rPr>
                <w:rFonts w:eastAsia="Times New Roman" w:cs="Arial"/>
                <w:sz w:val="18"/>
                <w:szCs w:val="22"/>
                <w:lang w:val="es-MX"/>
              </w:rPr>
              <w:t>3</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8877A3D" w14:textId="4F5CA18F" w:rsidR="00B65D72" w:rsidRPr="00F30FD1" w:rsidRDefault="000A5F54" w:rsidP="00B65D72">
            <w:pPr>
              <w:spacing w:after="0" w:line="240" w:lineRule="auto"/>
              <w:jc w:val="center"/>
              <w:rPr>
                <w:rFonts w:eastAsia="Times New Roman" w:cs="Arial"/>
                <w:sz w:val="18"/>
                <w:szCs w:val="22"/>
                <w:lang w:val="es-MX"/>
              </w:rPr>
            </w:pPr>
            <w:r>
              <w:rPr>
                <w:rFonts w:eastAsia="Times New Roman" w:cs="Arial"/>
                <w:sz w:val="18"/>
                <w:szCs w:val="22"/>
                <w:lang w:val="es-MX"/>
              </w:rPr>
              <w:t>3</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0696594" w14:textId="60CB7384" w:rsidR="00B65D72" w:rsidRPr="00F30FD1" w:rsidRDefault="000A5F54" w:rsidP="00B65D72">
            <w:pPr>
              <w:spacing w:after="0" w:line="240" w:lineRule="auto"/>
              <w:jc w:val="center"/>
              <w:rPr>
                <w:rFonts w:eastAsia="Times New Roman" w:cs="Arial"/>
                <w:sz w:val="18"/>
                <w:szCs w:val="22"/>
                <w:lang w:val="es-MX"/>
              </w:rPr>
            </w:pPr>
            <w:r>
              <w:rPr>
                <w:rFonts w:eastAsia="Times New Roman" w:cs="Arial"/>
                <w:sz w:val="18"/>
                <w:szCs w:val="22"/>
                <w:lang w:val="es-MX"/>
              </w:rPr>
              <w:t>3</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66ABC6D" w14:textId="5113E873" w:rsidR="00B65D72" w:rsidRPr="00F30FD1" w:rsidRDefault="000A5F54" w:rsidP="00B65D72">
            <w:pPr>
              <w:spacing w:after="0" w:line="240" w:lineRule="auto"/>
              <w:jc w:val="center"/>
              <w:rPr>
                <w:rFonts w:eastAsia="Times New Roman" w:cs="Arial"/>
                <w:sz w:val="18"/>
                <w:szCs w:val="22"/>
                <w:lang w:val="es-MX"/>
              </w:rPr>
            </w:pPr>
            <w:r>
              <w:rPr>
                <w:rFonts w:eastAsia="Times New Roman" w:cs="Arial"/>
                <w:sz w:val="18"/>
                <w:szCs w:val="22"/>
                <w:lang w:val="es-MX"/>
              </w:rPr>
              <w:t>3</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7CB7D62" w14:textId="5EAC0CFC" w:rsidR="00B65D72" w:rsidRPr="00F30FD1" w:rsidRDefault="000A5F54" w:rsidP="00B65D72">
            <w:pPr>
              <w:spacing w:after="0" w:line="240" w:lineRule="auto"/>
              <w:jc w:val="center"/>
              <w:rPr>
                <w:rFonts w:eastAsia="Times New Roman" w:cs="Arial"/>
                <w:sz w:val="18"/>
                <w:szCs w:val="22"/>
                <w:lang w:val="es-MX"/>
              </w:rPr>
            </w:pPr>
            <w:r>
              <w:rPr>
                <w:rFonts w:eastAsia="Times New Roman" w:cs="Arial"/>
                <w:sz w:val="18"/>
                <w:szCs w:val="22"/>
                <w:lang w:val="es-MX"/>
              </w:rPr>
              <w:t>3</w:t>
            </w:r>
          </w:p>
        </w:tc>
        <w:tc>
          <w:tcPr>
            <w:tcW w:w="122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49605FF" w14:textId="4E2597FB" w:rsidR="00B65D72" w:rsidRPr="00F30FD1" w:rsidRDefault="000A5F54" w:rsidP="00B65D72">
            <w:pPr>
              <w:spacing w:after="0" w:line="240" w:lineRule="auto"/>
              <w:jc w:val="center"/>
              <w:rPr>
                <w:rFonts w:eastAsia="Times New Roman" w:cs="Arial"/>
                <w:sz w:val="18"/>
                <w:szCs w:val="22"/>
                <w:lang w:val="es-MX"/>
              </w:rPr>
            </w:pPr>
            <w:r>
              <w:rPr>
                <w:rFonts w:eastAsia="Times New Roman" w:cs="Arial"/>
                <w:sz w:val="18"/>
                <w:szCs w:val="22"/>
                <w:lang w:val="es-MX"/>
              </w:rPr>
              <w:t>3</w:t>
            </w:r>
            <w:bookmarkStart w:id="28" w:name="_GoBack"/>
            <w:bookmarkEnd w:id="28"/>
          </w:p>
        </w:tc>
      </w:tr>
    </w:tbl>
    <w:p w14:paraId="7F32C1DF" w14:textId="77777777" w:rsidR="00100B8B" w:rsidRDefault="00100B8B" w:rsidP="00B65D72">
      <w:pPr>
        <w:tabs>
          <w:tab w:val="left" w:pos="6945"/>
        </w:tabs>
        <w:spacing w:after="0" w:line="240" w:lineRule="auto"/>
        <w:contextualSpacing/>
        <w:rPr>
          <w:rFonts w:eastAsia="Times New Roman" w:cs="Arial"/>
          <w:sz w:val="20"/>
          <w:szCs w:val="22"/>
          <w:lang w:val="es-MX"/>
        </w:rPr>
      </w:pPr>
    </w:p>
    <w:p w14:paraId="355E3566" w14:textId="77777777" w:rsidR="00100B8B" w:rsidRDefault="00100B8B">
      <w:pPr>
        <w:spacing w:after="0" w:line="240" w:lineRule="auto"/>
        <w:jc w:val="left"/>
        <w:rPr>
          <w:rFonts w:eastAsia="Times New Roman" w:cs="Arial"/>
          <w:sz w:val="20"/>
          <w:szCs w:val="22"/>
          <w:lang w:val="es-MX"/>
        </w:rPr>
      </w:pPr>
      <w:r>
        <w:rPr>
          <w:rFonts w:eastAsia="Times New Roman" w:cs="Arial"/>
          <w:sz w:val="20"/>
          <w:szCs w:val="22"/>
          <w:lang w:val="es-MX"/>
        </w:rPr>
        <w:br w:type="page"/>
      </w:r>
    </w:p>
    <w:p w14:paraId="5A5F03D5" w14:textId="59448990" w:rsidR="00E66F7B" w:rsidRPr="00F30FD1" w:rsidRDefault="00B65D72" w:rsidP="00B65D72">
      <w:pPr>
        <w:tabs>
          <w:tab w:val="left" w:pos="6945"/>
        </w:tabs>
        <w:spacing w:after="0" w:line="240" w:lineRule="auto"/>
        <w:contextualSpacing/>
        <w:rPr>
          <w:rFonts w:eastAsia="Times New Roman" w:cs="Arial"/>
          <w:sz w:val="20"/>
          <w:szCs w:val="22"/>
          <w:lang w:val="es-MX"/>
        </w:rPr>
      </w:pPr>
      <w:r w:rsidRPr="00F30FD1">
        <w:rPr>
          <w:rFonts w:eastAsia="Times New Roman" w:cs="Arial"/>
          <w:sz w:val="20"/>
          <w:szCs w:val="22"/>
          <w:lang w:val="es-MX"/>
        </w:rPr>
        <w:lastRenderedPageBreak/>
        <w:tab/>
      </w: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11AF8934"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3B5428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BC57893" w14:textId="7E7404BA"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59EBC500"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162F55A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0F59F44" w14:textId="3ADFF645"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7. Asesorar, en coordinación con la Secretaría de la Gestión Pública, a gobiernos municipales del estado para la integración de sus modelos de planeación en materia de administración, economía y urbanización.</w:t>
            </w:r>
          </w:p>
        </w:tc>
      </w:tr>
      <w:tr w:rsidR="00E66F7B" w:rsidRPr="00F30FD1" w14:paraId="45F22033" w14:textId="77777777" w:rsidTr="003A4B38">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4F16DE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7D12667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61B8FBE3"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4CA221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98B875C" w14:textId="452E5E7D"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Número de municipios capacitados en la Guía Consultiva de Desempeño Municipal.</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8D4793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A3AED94" w14:textId="1E6614F1"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Municipios Capacitados</w:t>
            </w:r>
          </w:p>
        </w:tc>
      </w:tr>
      <w:tr w:rsidR="00E66F7B" w:rsidRPr="00F30FD1" w14:paraId="33F37346"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0A42B5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51FE727" w14:textId="0DEA8FE3"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 de municipios, de los cuales sus funcionarios municipales fueron capacitados.</w:t>
            </w:r>
          </w:p>
        </w:tc>
      </w:tr>
      <w:tr w:rsidR="00E66F7B" w:rsidRPr="00F30FD1" w14:paraId="00345BB4"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D9A0F6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A4EE858" w14:textId="3D3BEA4B"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Constancias generadas</w:t>
            </w:r>
          </w:p>
        </w:tc>
      </w:tr>
      <w:tr w:rsidR="00E66F7B" w:rsidRPr="00F30FD1" w14:paraId="3ED53669"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3AEB2C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00E34F9" w14:textId="6FAAF4D7"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C12F5B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39"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E6975B3" w14:textId="7B20985C"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E66F7B" w:rsidRPr="00F30FD1" w14:paraId="4A22480D"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495209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80F9DB7" w14:textId="65508251" w:rsidR="00E66F7B" w:rsidRPr="00F30FD1" w:rsidRDefault="00212A29" w:rsidP="00E66F7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E66F7B" w:rsidRPr="00F30FD1" w14:paraId="0F7C7489"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032FB0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D43EDC" w14:textId="69424143" w:rsidR="00E66F7B" w:rsidRPr="00F30FD1" w:rsidRDefault="0043729E" w:rsidP="00E66F7B">
            <w:pPr>
              <w:spacing w:after="0" w:line="240" w:lineRule="auto"/>
              <w:rPr>
                <w:rFonts w:eastAsia="Times New Roman" w:cs="Arial"/>
                <w:sz w:val="18"/>
                <w:szCs w:val="22"/>
                <w:lang w:val="es-MX"/>
              </w:rPr>
            </w:pPr>
            <w:r w:rsidRPr="00F30FD1">
              <w:rPr>
                <w:rFonts w:cs="Arial"/>
                <w:sz w:val="18"/>
                <w:szCs w:val="22"/>
                <w:lang w:val="es-MX"/>
              </w:rPr>
              <w:t>17.14 Mejorar la coherencia de las políticas para el desarrollo sostenible</w:t>
            </w:r>
          </w:p>
        </w:tc>
      </w:tr>
      <w:tr w:rsidR="00E66F7B" w:rsidRPr="00F30FD1" w14:paraId="345C9846"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48F73D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E5C41FE" w14:textId="45CEC46A"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51B54599"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F4A779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DAC49B" w14:textId="6F087249"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406E306D"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23BEFE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1F69F712"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E44AD7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BBEE52E"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56AC55E"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C226EB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FFDDB2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8CCAF3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3E4F9589"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4B6BCC9" w14:textId="2ABE2212" w:rsidR="00BA1EEE"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175587E" w14:textId="5B2DDF42" w:rsidR="00BA1EEE"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7</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DD09BC9" w14:textId="09DAD533" w:rsidR="00BA1EEE"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11</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6F548D5" w14:textId="2B31C06C" w:rsidR="00BA1EEE"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11</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AF7F2E9" w14:textId="2EAFC03C" w:rsidR="00BA1EEE"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11</w:t>
            </w:r>
          </w:p>
        </w:tc>
        <w:tc>
          <w:tcPr>
            <w:tcW w:w="122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52EC531" w14:textId="276E7ED6" w:rsidR="00BA1EEE" w:rsidRPr="00F30FD1" w:rsidRDefault="00212A29"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11</w:t>
            </w:r>
          </w:p>
        </w:tc>
      </w:tr>
    </w:tbl>
    <w:p w14:paraId="0A22D673"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3EEC963F"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425126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D3F42A5" w14:textId="3FEE7176"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1017A76C"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154CD4B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F89448D" w14:textId="0D721D13"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8. Fortalecer el Marco Normativo del Sistema Estatal de Planeación.</w:t>
            </w:r>
          </w:p>
        </w:tc>
      </w:tr>
      <w:tr w:rsidR="00E66F7B" w:rsidRPr="00F30FD1" w14:paraId="6130324E" w14:textId="77777777" w:rsidTr="003A4B38">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67E97A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718D9F9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B65D72" w:rsidRPr="00F30FD1" w14:paraId="6F38E862"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106BB12" w14:textId="20DB16D2"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A43681F" w14:textId="4BDB3221"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Proyectos de actualización de marco normativo presentados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6FE4B26" w14:textId="4653917B"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495BB22" w14:textId="0F00EF15"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Proyectos  Actualizados</w:t>
            </w:r>
          </w:p>
        </w:tc>
      </w:tr>
      <w:tr w:rsidR="00B65D72" w:rsidRPr="00F30FD1" w14:paraId="1638FD1A"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537DA0E" w14:textId="142BAE7E"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B53ED9" w14:textId="6AD1C5C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Se refiere a la actualización constante del marco normativo que responda a las premisas del Sistema Nacional de Planeación, así como a las estrategias estatales para la implementación del Presupuesto basado en Resultados en el Estado.</w:t>
            </w:r>
          </w:p>
        </w:tc>
      </w:tr>
      <w:tr w:rsidR="00B65D72" w:rsidRPr="00F30FD1" w14:paraId="63289EF3"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3528213" w14:textId="0A47302F"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F54CC26" w14:textId="681034EB"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Periódico Oficial del Estado.</w:t>
            </w:r>
          </w:p>
        </w:tc>
      </w:tr>
      <w:tr w:rsidR="00B65D72" w:rsidRPr="00F30FD1" w14:paraId="0DEC03B1"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866C59E" w14:textId="167B5B4A"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lastRenderedPageBreak/>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9B8031C" w14:textId="1569ED98"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35C124D" w14:textId="1150D09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E36F89A" w14:textId="63B2BB92" w:rsidR="00B65D72" w:rsidRPr="00F30FD1" w:rsidRDefault="00990385" w:rsidP="00B65D72">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B65D72" w:rsidRPr="00F30FD1" w14:paraId="54A09AD9"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2564550" w14:textId="605C4FEA"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2ADE7C1" w14:textId="5072ABEF"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B65D72" w:rsidRPr="00F30FD1" w14:paraId="03BAE48E"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0615877" w14:textId="1BF874B3"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18B9AB5" w14:textId="25A1BEF6"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17.14.- Mejorar la coherencia  de las políticas para el  desarrollo sostenible</w:t>
            </w:r>
          </w:p>
        </w:tc>
      </w:tr>
      <w:tr w:rsidR="00E66F7B" w:rsidRPr="00F30FD1" w14:paraId="09252283"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3DEC40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413DD80" w14:textId="2C7FE385"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3CD8FB92"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0A9B91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A2F1F85" w14:textId="6CAC91C0" w:rsidR="00E66F7B" w:rsidRPr="00F30FD1" w:rsidRDefault="0043729E"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5B1CCE05"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B37EA1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4D81DE92"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B18894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757657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EDCB66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44DCF4E"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816A6F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8115F4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47C5A016"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FCEE88E" w14:textId="17AA0468"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FBC7E68" w14:textId="7077D05C"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D4A2822" w14:textId="3F815DAC"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0F27DB6" w14:textId="60F359E3"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1CD9565" w14:textId="4927A53B" w:rsidR="00BA1EEE" w:rsidRPr="00F30FD1" w:rsidRDefault="00B65D72"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6E91B35" w14:textId="72CC4176"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r>
    </w:tbl>
    <w:p w14:paraId="75899DF7" w14:textId="3E85589B" w:rsidR="00C920BF" w:rsidRPr="00F30FD1" w:rsidRDefault="00C920BF"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39"/>
        <w:gridCol w:w="490"/>
        <w:gridCol w:w="1202"/>
        <w:gridCol w:w="433"/>
        <w:gridCol w:w="848"/>
        <w:gridCol w:w="620"/>
        <w:gridCol w:w="1664"/>
        <w:gridCol w:w="366"/>
        <w:gridCol w:w="2048"/>
      </w:tblGrid>
      <w:tr w:rsidR="00E66F7B" w:rsidRPr="00F30FD1" w14:paraId="56F5313F"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A44598A" w14:textId="2C418DB6" w:rsidR="00E66F7B" w:rsidRPr="00F30FD1" w:rsidRDefault="00C920BF" w:rsidP="00E66F7B">
            <w:pPr>
              <w:spacing w:after="0" w:line="240" w:lineRule="auto"/>
              <w:rPr>
                <w:rFonts w:eastAsia="Times New Roman" w:cs="Arial"/>
                <w:sz w:val="18"/>
                <w:szCs w:val="22"/>
                <w:lang w:val="es-MX"/>
              </w:rPr>
            </w:pPr>
            <w:r w:rsidRPr="00F30FD1">
              <w:rPr>
                <w:rFonts w:eastAsia="Times New Roman" w:cs="Arial"/>
                <w:sz w:val="20"/>
                <w:szCs w:val="22"/>
                <w:lang w:val="es-MX"/>
              </w:rPr>
              <w:br w:type="page"/>
            </w:r>
            <w:r w:rsidR="00E66F7B" w:rsidRPr="00F30FD1">
              <w:rPr>
                <w:rFonts w:eastAsia="Times New Roman" w:cs="Arial"/>
                <w:sz w:val="18"/>
                <w:szCs w:val="22"/>
                <w:lang w:val="es-MX"/>
              </w:rPr>
              <w:t>Programa PED</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B2BB615" w14:textId="4AD0B86D"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46DDAE5D"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176F343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0325B1A" w14:textId="1587B220"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9. Fortalecer el funcionamiento del Comité de Planeación para el Desarrollo del Estado de Quintana Roo (COPLADE).</w:t>
            </w:r>
          </w:p>
        </w:tc>
      </w:tr>
      <w:tr w:rsidR="00E66F7B" w:rsidRPr="00F30FD1" w14:paraId="76D8D4A5" w14:textId="77777777" w:rsidTr="00457A62">
        <w:trPr>
          <w:trHeight w:val="20"/>
          <w:jc w:val="right"/>
        </w:trPr>
        <w:tc>
          <w:tcPr>
            <w:tcW w:w="196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1770F4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9" w:type="pct"/>
            <w:gridSpan w:val="6"/>
            <w:tcBorders>
              <w:top w:val="single" w:sz="4" w:space="0" w:color="auto"/>
              <w:left w:val="single" w:sz="4" w:space="0" w:color="auto"/>
              <w:bottom w:val="single" w:sz="4" w:space="0" w:color="auto"/>
              <w:right w:val="single" w:sz="4" w:space="0" w:color="auto"/>
            </w:tcBorders>
            <w:shd w:val="clear" w:color="auto" w:fill="A6A6A6"/>
          </w:tcPr>
          <w:p w14:paraId="0F9233C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B65D72" w:rsidRPr="00F30FD1" w14:paraId="1AF46C8E"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762B41A" w14:textId="609BFBA1"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0A43485" w14:textId="55A67F1E"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Porcentaje de Proyectos de Inversión Pública que fueron validados a través del COPLADE.</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67F9B85" w14:textId="6F75F9AB"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87E28E9" w14:textId="1BF7F8B4"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B65D72" w:rsidRPr="00F30FD1" w14:paraId="04C41AB3"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DF54B72" w14:textId="6E396FAD"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65C0F4F" w14:textId="2C7E3AA8"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Los proyectos de inversión pública deben ser validados a través del COPLADE, mediante los grupos de trabajo y aprobados y priorizados en cada subcomité.</w:t>
            </w:r>
          </w:p>
        </w:tc>
      </w:tr>
      <w:tr w:rsidR="00B65D72" w:rsidRPr="00F30FD1" w14:paraId="6756C571"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2410610" w14:textId="012687D4"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3928721" w14:textId="3E357F26"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 xml:space="preserve">Actas del COPLADE y </w:t>
            </w:r>
            <w:proofErr w:type="spellStart"/>
            <w:r w:rsidRPr="00F30FD1">
              <w:rPr>
                <w:rFonts w:eastAsia="Times New Roman" w:cs="Arial"/>
                <w:sz w:val="18"/>
                <w:szCs w:val="22"/>
                <w:lang w:val="es-MX"/>
              </w:rPr>
              <w:t>Micrositio</w:t>
            </w:r>
            <w:proofErr w:type="spellEnd"/>
            <w:r w:rsidRPr="00F30FD1">
              <w:rPr>
                <w:rFonts w:eastAsia="Times New Roman" w:cs="Arial"/>
                <w:sz w:val="18"/>
                <w:szCs w:val="22"/>
                <w:lang w:val="es-MX"/>
              </w:rPr>
              <w:t xml:space="preserve"> del COPLADE.</w:t>
            </w:r>
          </w:p>
        </w:tc>
      </w:tr>
      <w:tr w:rsidR="00B65D72" w:rsidRPr="00F30FD1" w14:paraId="09EFE4FB"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6E172B2" w14:textId="46B3F854"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1F9C6B2" w14:textId="1AEEBD34" w:rsidR="00B65D72" w:rsidRPr="00F30FD1" w:rsidRDefault="00085B7A" w:rsidP="00B65D72">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6485EB3" w14:textId="7E832D12"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165D02C" w14:textId="15F4924B" w:rsidR="00B65D72" w:rsidRPr="00F30FD1" w:rsidRDefault="00BA6964" w:rsidP="00B65D72">
            <w:pPr>
              <w:spacing w:after="0" w:line="240" w:lineRule="auto"/>
              <w:rPr>
                <w:rFonts w:eastAsia="Times New Roman" w:cs="Arial"/>
                <w:sz w:val="18"/>
                <w:szCs w:val="22"/>
                <w:lang w:val="es-MX"/>
              </w:rPr>
            </w:pPr>
            <w:r>
              <w:rPr>
                <w:rFonts w:eastAsia="Times New Roman" w:cs="Arial"/>
                <w:sz w:val="18"/>
                <w:szCs w:val="22"/>
                <w:lang w:val="es-MX"/>
              </w:rPr>
              <w:t>2016</w:t>
            </w:r>
          </w:p>
        </w:tc>
      </w:tr>
      <w:tr w:rsidR="00B65D72" w:rsidRPr="00F30FD1" w14:paraId="786E7EA7"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3301F1D" w14:textId="2D2EC4E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82682A2" w14:textId="764492BA"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B65D72" w:rsidRPr="00F30FD1" w14:paraId="1071F426"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1FDCBF9" w14:textId="746D7AB6"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086DA50" w14:textId="270982AB"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17.17.- Fomentar y promover la constitución de alianzas eficaces en las esferas pública, público-privada y de la sociedad civil, aprovechando la experiencia y las estrategias de obtención de recursos de las alianzas</w:t>
            </w:r>
          </w:p>
        </w:tc>
      </w:tr>
      <w:tr w:rsidR="00E66F7B" w:rsidRPr="00F30FD1" w14:paraId="582E17F2"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EB01B6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188188" w14:textId="05FAAC81"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74C0AC17" w14:textId="77777777" w:rsidTr="00457A62">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B597B1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2D371C7" w14:textId="068FD3EB"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20560999"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E96F58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lastRenderedPageBreak/>
              <w:t>Meta Total</w:t>
            </w:r>
          </w:p>
        </w:tc>
      </w:tr>
      <w:tr w:rsidR="00E66F7B" w:rsidRPr="00F30FD1" w14:paraId="1EB5EF8F"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FBAE5F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015BF4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D56D7C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7A021B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539529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321B1F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65D72" w:rsidRPr="00F30FD1" w14:paraId="3AA8EB85"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054629E" w14:textId="1E250F11"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0583384" w14:textId="0EBFC8C2"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75%</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2BD535B" w14:textId="6E857C30"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80%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4337C09" w14:textId="11FA22BE"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85%</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62A4508" w14:textId="44139CAE"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90%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EA713A2" w14:textId="3F6E87E4"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r>
    </w:tbl>
    <w:p w14:paraId="3F382237"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3"/>
        <w:gridCol w:w="739"/>
        <w:gridCol w:w="490"/>
        <w:gridCol w:w="1202"/>
        <w:gridCol w:w="433"/>
        <w:gridCol w:w="848"/>
        <w:gridCol w:w="620"/>
        <w:gridCol w:w="1664"/>
        <w:gridCol w:w="366"/>
        <w:gridCol w:w="2050"/>
      </w:tblGrid>
      <w:tr w:rsidR="00E66F7B" w:rsidRPr="00F30FD1" w14:paraId="4602C586"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4B400B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88C360F" w14:textId="69DCBCF4"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500E26A5"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73608AF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9C0AF33" w14:textId="1AEE364F"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10. Efectuar anualmente un análisis de atención a las líneas de acción del Plan Estatal de Desarrollo. </w:t>
            </w:r>
          </w:p>
        </w:tc>
      </w:tr>
      <w:tr w:rsidR="00E66F7B" w:rsidRPr="00F30FD1" w14:paraId="4527FC06" w14:textId="77777777" w:rsidTr="00100B8B">
        <w:trPr>
          <w:trHeight w:val="20"/>
          <w:jc w:val="right"/>
        </w:trPr>
        <w:tc>
          <w:tcPr>
            <w:tcW w:w="1960"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9ED701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34F20EA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B65D72" w:rsidRPr="00F30FD1" w14:paraId="1847EF21"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9FC3B3D" w14:textId="23113A12"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C794A75" w14:textId="40A331CC"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Porcentaje de líneas de acción del PED Actualizado impactadas a través de los Programas de Desarrollo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42A464A" w14:textId="33D1AEDA"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4D77247" w14:textId="0E2DA16A"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B65D72" w:rsidRPr="00F30FD1" w14:paraId="48E0A60A"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AAD7698" w14:textId="21779556"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AB6224" w14:textId="03A8C56F"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 xml:space="preserve">Efectuar anualmente un análisis de atención del Plan Estatal de Desarrollo, a fin de garantizar que las líneas con metas en el ejercicio en curso sean impactadas e instrumentadas a través de </w:t>
            </w:r>
            <w:proofErr w:type="gramStart"/>
            <w:r w:rsidRPr="00F30FD1">
              <w:rPr>
                <w:rFonts w:eastAsia="Times New Roman" w:cs="Arial"/>
                <w:sz w:val="18"/>
                <w:szCs w:val="22"/>
                <w:lang w:val="es-MX"/>
              </w:rPr>
              <w:t>un programas presupuestario</w:t>
            </w:r>
            <w:proofErr w:type="gramEnd"/>
            <w:r w:rsidRPr="00F30FD1">
              <w:rPr>
                <w:rFonts w:eastAsia="Times New Roman" w:cs="Arial"/>
                <w:sz w:val="18"/>
                <w:szCs w:val="22"/>
                <w:lang w:val="es-MX"/>
              </w:rPr>
              <w:t>.</w:t>
            </w:r>
          </w:p>
        </w:tc>
      </w:tr>
      <w:tr w:rsidR="00B65D72" w:rsidRPr="00F30FD1" w14:paraId="7A515682"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D4EB8DA" w14:textId="438D5656"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01680A1" w14:textId="2035E74D"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Reporte del Sistema de Planeación Estratégica.</w:t>
            </w:r>
          </w:p>
        </w:tc>
      </w:tr>
      <w:tr w:rsidR="00B65D72" w:rsidRPr="00F30FD1" w14:paraId="1307FC79"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D70B802" w14:textId="7FA2FE39"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84FF2BB" w14:textId="26A62337" w:rsidR="00B65D72" w:rsidRPr="00F30FD1" w:rsidRDefault="009964FA" w:rsidP="00B65D72">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E1FA6C7" w14:textId="2789D426"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F4E1F00" w14:textId="4C98EE43" w:rsidR="00B65D72" w:rsidRPr="00F30FD1" w:rsidRDefault="00BA6964" w:rsidP="00B65D72">
            <w:pPr>
              <w:spacing w:after="0" w:line="240" w:lineRule="auto"/>
              <w:rPr>
                <w:rFonts w:eastAsia="Times New Roman" w:cs="Arial"/>
                <w:sz w:val="18"/>
                <w:szCs w:val="22"/>
                <w:lang w:val="es-MX"/>
              </w:rPr>
            </w:pPr>
            <w:r>
              <w:rPr>
                <w:rFonts w:eastAsia="Times New Roman" w:cs="Arial"/>
                <w:sz w:val="18"/>
                <w:szCs w:val="22"/>
                <w:lang w:val="es-MX"/>
              </w:rPr>
              <w:t>2016</w:t>
            </w:r>
          </w:p>
        </w:tc>
      </w:tr>
      <w:tr w:rsidR="00B65D72" w:rsidRPr="00F30FD1" w14:paraId="544B6C34"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46D6DA6" w14:textId="71576A00"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5143BEA" w14:textId="418A886C"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B65D72" w:rsidRPr="00F30FD1" w14:paraId="3BBB4684"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82EBD1" w14:textId="775B405E"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59DA476" w14:textId="02C13B61"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17.14.- Mejorar la coherencia  de las políticas para el  desarrollo sostenible</w:t>
            </w:r>
          </w:p>
        </w:tc>
      </w:tr>
      <w:tr w:rsidR="00E66F7B" w:rsidRPr="00F30FD1" w14:paraId="730E6E2B"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A8D155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17866D9" w14:textId="5EF63F68"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3E15FF04" w14:textId="77777777" w:rsidTr="00100B8B">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A5519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03721BB" w14:textId="38018370"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2A6A1A5F"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CE50E7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15D570B7" w14:textId="77777777" w:rsidTr="00100B8B">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382682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CE1ADF9"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8DC308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23F7E3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8DAF57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307305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65D72" w:rsidRPr="00F30FD1" w14:paraId="6A782AEE" w14:textId="77777777" w:rsidTr="00100B8B">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1D39B81" w14:textId="4C22219C"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95%</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E01680D" w14:textId="54704DD7"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95%</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7017972" w14:textId="736707B8"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95%</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E9CAFCD" w14:textId="52A01D25"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95%</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C113DD0" w14:textId="638B05A8"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95%</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C7D3571" w14:textId="6764E97A" w:rsidR="00B65D72" w:rsidRPr="00F30FD1" w:rsidRDefault="00B65D72" w:rsidP="00B65D72">
            <w:pPr>
              <w:spacing w:after="0" w:line="240" w:lineRule="auto"/>
              <w:jc w:val="center"/>
              <w:rPr>
                <w:rFonts w:eastAsia="Times New Roman" w:cs="Arial"/>
                <w:sz w:val="18"/>
                <w:szCs w:val="22"/>
                <w:lang w:val="es-MX"/>
              </w:rPr>
            </w:pPr>
            <w:r w:rsidRPr="00F30FD1">
              <w:rPr>
                <w:rFonts w:eastAsia="Times New Roman" w:cs="Arial"/>
                <w:sz w:val="18"/>
                <w:szCs w:val="22"/>
                <w:lang w:val="es-MX"/>
              </w:rPr>
              <w:t>95%</w:t>
            </w:r>
          </w:p>
        </w:tc>
      </w:tr>
    </w:tbl>
    <w:p w14:paraId="2AE77328" w14:textId="77777777" w:rsidR="00100B8B" w:rsidRDefault="00100B8B">
      <w:r>
        <w:br w:type="page"/>
      </w:r>
    </w:p>
    <w:tbl>
      <w:tblPr>
        <w:tblW w:w="5000" w:type="pct"/>
        <w:jc w:val="right"/>
        <w:tblCellMar>
          <w:left w:w="0" w:type="dxa"/>
          <w:right w:w="0" w:type="dxa"/>
        </w:tblCellMar>
        <w:tblLook w:val="0420" w:firstRow="1" w:lastRow="0" w:firstColumn="0" w:lastColumn="0" w:noHBand="0" w:noVBand="1"/>
      </w:tblPr>
      <w:tblGrid>
        <w:gridCol w:w="1421"/>
        <w:gridCol w:w="739"/>
        <w:gridCol w:w="490"/>
        <w:gridCol w:w="1202"/>
        <w:gridCol w:w="433"/>
        <w:gridCol w:w="848"/>
        <w:gridCol w:w="620"/>
        <w:gridCol w:w="1664"/>
        <w:gridCol w:w="366"/>
        <w:gridCol w:w="2052"/>
      </w:tblGrid>
      <w:tr w:rsidR="00E66F7B" w:rsidRPr="00F30FD1" w14:paraId="5777E741"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851D56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901"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675923C" w14:textId="59CA0EAC"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48807AFE"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DEF923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1"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AC812A7" w14:textId="39BA80A5"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11. Mejorar el proceso de integración y seguimiento del Programa Anual de Inversión Pública.</w:t>
            </w:r>
          </w:p>
        </w:tc>
      </w:tr>
      <w:tr w:rsidR="00E66F7B" w:rsidRPr="00F30FD1" w14:paraId="4A9FCCBF" w14:textId="77777777" w:rsidTr="00100B8B">
        <w:trPr>
          <w:trHeight w:val="20"/>
          <w:jc w:val="right"/>
        </w:trPr>
        <w:tc>
          <w:tcPr>
            <w:tcW w:w="1959"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3FB327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1" w:type="pct"/>
            <w:gridSpan w:val="6"/>
            <w:tcBorders>
              <w:top w:val="single" w:sz="4" w:space="0" w:color="auto"/>
              <w:left w:val="single" w:sz="4" w:space="0" w:color="auto"/>
              <w:bottom w:val="single" w:sz="4" w:space="0" w:color="auto"/>
              <w:right w:val="single" w:sz="4" w:space="0" w:color="auto"/>
            </w:tcBorders>
            <w:shd w:val="clear" w:color="auto" w:fill="A6A6A6"/>
          </w:tcPr>
          <w:p w14:paraId="56CB26E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15B2EBB5"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F7EA60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8B386C5" w14:textId="1FDD4844"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Proceso de integración y seguimiento del Programa Anual de Inversión instrumentado y operando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A4630E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1CFA328" w14:textId="4D0D0DB9"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Proceso sistematizado</w:t>
            </w:r>
          </w:p>
        </w:tc>
      </w:tr>
      <w:tr w:rsidR="00E66F7B" w:rsidRPr="00F30FD1" w14:paraId="2789183D"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C093EC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9B8F482" w14:textId="3B57F4C7"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Sistematización y mejora del proceso de integración y seguimiento del Programa de Inversión Pública, que considere el cumplimiento de los objetivos y estrategias establecidos en el Plan Estatal de Desarrollo.</w:t>
            </w:r>
          </w:p>
        </w:tc>
      </w:tr>
      <w:tr w:rsidR="00E66F7B" w:rsidRPr="00F30FD1" w14:paraId="0F74B549"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1739D0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B5CBABC" w14:textId="4201A086"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Guía de procesos para la integración y seguimiento de la Propuesta Anual de Inversión Pública</w:t>
            </w:r>
          </w:p>
        </w:tc>
      </w:tr>
      <w:tr w:rsidR="00E66F7B" w:rsidRPr="00F30FD1" w14:paraId="1A342C04"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B5B761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ECDBED2" w14:textId="7759C9EC"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61E6B2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2"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801DAD0" w14:textId="05DB4B09"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E66F7B" w:rsidRPr="00F30FD1" w14:paraId="2D1029CB"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894FB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4C5385D" w14:textId="2A28B8C8"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E66F7B" w:rsidRPr="00F30FD1" w14:paraId="702109D3"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0201AB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AAD2995" w14:textId="25989EB7"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17.14.- Mejorar la coherencia  de las políticas para el  desarrollo sostenible</w:t>
            </w:r>
          </w:p>
        </w:tc>
      </w:tr>
      <w:tr w:rsidR="00E66F7B" w:rsidRPr="00F30FD1" w14:paraId="0DAE21B6"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E82D58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C4712EF" w14:textId="093DD42E"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516BCF9F" w14:textId="77777777" w:rsidTr="00100B8B">
        <w:trPr>
          <w:trHeight w:val="20"/>
          <w:jc w:val="right"/>
        </w:trPr>
        <w:tc>
          <w:tcPr>
            <w:tcW w:w="1099"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4FF02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01"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1BCC203" w14:textId="5C455281"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5ECB6F0E"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008DB2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6A2E6E08" w14:textId="77777777" w:rsidTr="00100B8B">
        <w:trPr>
          <w:trHeight w:val="20"/>
          <w:jc w:val="right"/>
        </w:trPr>
        <w:tc>
          <w:tcPr>
            <w:tcW w:w="72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D7065C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BFD0FC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654387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807E76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2454C0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781D0A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6EBA2066" w14:textId="77777777" w:rsidTr="00100B8B">
        <w:trPr>
          <w:trHeight w:val="20"/>
          <w:jc w:val="right"/>
        </w:trPr>
        <w:tc>
          <w:tcPr>
            <w:tcW w:w="723"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20CA688" w14:textId="34EB7B91"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A5D82F3" w14:textId="48F04144"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075926D" w14:textId="4404B481"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97F1386" w14:textId="038D9ACC"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B1CD0CC" w14:textId="6A784718"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1228"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B831499" w14:textId="234C4C65"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r>
    </w:tbl>
    <w:p w14:paraId="03A90B45" w14:textId="040D876D" w:rsidR="00457A62" w:rsidRPr="00F30FD1" w:rsidRDefault="00457A62" w:rsidP="00952E57">
      <w:pPr>
        <w:spacing w:after="0" w:line="240" w:lineRule="auto"/>
        <w:contextualSpacing/>
        <w:rPr>
          <w:rFonts w:eastAsia="Times New Roman" w:cs="Arial"/>
          <w:sz w:val="20"/>
          <w:szCs w:val="22"/>
          <w:lang w:val="es-MX"/>
        </w:rPr>
      </w:pPr>
    </w:p>
    <w:p w14:paraId="16110F5B"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43FE0B8A"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174AA773"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240212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145368D" w14:textId="5EF0F200"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73A2DFD7"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2606B3A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A26F571" w14:textId="2B374DE1"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12. Sistematizar el proceso de planeación de inversiones para promover una adecuada y correcta integración, gestión y ejecución de los proyectos. </w:t>
            </w:r>
          </w:p>
        </w:tc>
      </w:tr>
      <w:tr w:rsidR="00E66F7B" w:rsidRPr="00F30FD1" w14:paraId="235BF856" w14:textId="77777777" w:rsidTr="003A4B38">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A723B9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1B6596E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2B72BF9B"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A52C6D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4A330DF" w14:textId="4CF635B4"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Proceso de planeación de inversiones instrumentado y operando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396C42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9EF468F" w14:textId="473C8CDC"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Proceso sistematizado</w:t>
            </w:r>
          </w:p>
        </w:tc>
      </w:tr>
      <w:tr w:rsidR="00E66F7B" w:rsidRPr="00F30FD1" w14:paraId="4AFBA31C"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C2D671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4D99A27" w14:textId="2A086840"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Sistematización de la planeación de inversiones a través del Sistema Estatal de Inversión Pública para promover una adecuada y correcta integración, gestión y ejecución de los proyectos.</w:t>
            </w:r>
          </w:p>
        </w:tc>
      </w:tr>
      <w:tr w:rsidR="00E66F7B" w:rsidRPr="00F30FD1" w14:paraId="034B3D36"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2AD33F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9AED5C2" w14:textId="1E04AF9F"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Sistema Estatal de Inversión Pública</w:t>
            </w:r>
          </w:p>
        </w:tc>
      </w:tr>
      <w:tr w:rsidR="00E66F7B" w:rsidRPr="00F30FD1" w14:paraId="573066A6"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877E9E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B551FFC" w14:textId="1000CF37"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BB8C18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9E4BCEA" w14:textId="00C09CB5"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B65D72" w:rsidRPr="00F30FD1" w14:paraId="3C492118"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6DEE211" w14:textId="7777777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F93985D" w14:textId="557A816F"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 Fin de la Pobreza</w:t>
            </w:r>
          </w:p>
        </w:tc>
      </w:tr>
      <w:tr w:rsidR="00B65D72" w:rsidRPr="00F30FD1" w14:paraId="4CF2D8E3"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C87727B" w14:textId="7777777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33FAD94" w14:textId="57C4727D"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1.a.- Garantizar una movilización significativa de recursos procedentes de diversas fuentes, incluso mediante la mejora de la cooperación para el desarrollo, a fin de proporcionar medios suficientes y previsibles a los países en desarrollo, en particular los países menos adelantados, para que implementen programas y políticas encaminados a poner  fin a la pobreza en todas  sus dimensiones</w:t>
            </w:r>
          </w:p>
        </w:tc>
      </w:tr>
      <w:tr w:rsidR="00E66F7B" w:rsidRPr="00F30FD1" w14:paraId="267171BF"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B77594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CA9BAD6" w14:textId="3628CA2A"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35369779"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925633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A5CCD23" w14:textId="5961001D"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4DCF58BA"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A5DDC0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2AA0B071"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68BC36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AD3BBC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7D7A31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697EB5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D2B4CF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13508D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1675BCD8"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74B0066" w14:textId="4FB70253"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35B370D" w14:textId="3AE109B0"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D5BBA14" w14:textId="663D6F1D"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2FE4843" w14:textId="5DDCA4FE"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027189E" w14:textId="74B28EF8"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6E83CEB" w14:textId="0123B31D" w:rsidR="00BA1EEE"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w:t>
            </w:r>
          </w:p>
        </w:tc>
      </w:tr>
    </w:tbl>
    <w:p w14:paraId="072203ED" w14:textId="3C12BB33" w:rsidR="00457A62" w:rsidRPr="00F30FD1" w:rsidRDefault="00457A62" w:rsidP="00952E57">
      <w:pPr>
        <w:spacing w:after="0" w:line="240" w:lineRule="auto"/>
        <w:contextualSpacing/>
        <w:rPr>
          <w:rFonts w:eastAsia="Times New Roman" w:cs="Arial"/>
          <w:sz w:val="20"/>
          <w:szCs w:val="22"/>
          <w:lang w:val="es-MX"/>
        </w:rPr>
      </w:pPr>
    </w:p>
    <w:p w14:paraId="35A4570A"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7AE847AD"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259DD66A"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19DA97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87AAF24" w14:textId="7F276981"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2CD5B95C"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33376E4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08EAED3" w14:textId="42BBA286"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13. Establecer en el Sistema Estatal de Inversión Pública las bases para una planeación de necesidades de infraestructura ordenada, técnicamente sustentada y con visión de largo plazo. </w:t>
            </w:r>
          </w:p>
        </w:tc>
      </w:tr>
      <w:tr w:rsidR="00E66F7B" w:rsidRPr="00F30FD1" w14:paraId="3EBF8176" w14:textId="77777777" w:rsidTr="003A4B38">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E34B6B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67518DF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2413FA6E"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3D6721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4E2ED16" w14:textId="3573DE1F"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Diagnósticos de necesidades de inversión pública estatal</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0AE48F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9315197" w14:textId="42047530"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 de diagnósticos elaborados</w:t>
            </w:r>
          </w:p>
        </w:tc>
      </w:tr>
      <w:tr w:rsidR="00E66F7B" w:rsidRPr="00F30FD1" w14:paraId="1FD024C5"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D7B090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4154A4C" w14:textId="55F5BCB7"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Planeación de las necesidades de infraestructura de las dependencias, entidades y organismos de la Administración Pública Estatal a través del Sistema Estatal de Inversión Pública</w:t>
            </w:r>
          </w:p>
        </w:tc>
      </w:tr>
      <w:tr w:rsidR="00E66F7B" w:rsidRPr="00F30FD1" w14:paraId="47C2EF3E"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F1F674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2C98367" w14:textId="7AAE84FC" w:rsidR="00E66F7B" w:rsidRPr="00F30FD1" w:rsidRDefault="00B20907" w:rsidP="00E66F7B">
            <w:pPr>
              <w:spacing w:after="0" w:line="240" w:lineRule="auto"/>
              <w:rPr>
                <w:rFonts w:eastAsia="Times New Roman" w:cs="Arial"/>
                <w:sz w:val="18"/>
                <w:szCs w:val="22"/>
                <w:lang w:val="es-MX"/>
              </w:rPr>
            </w:pPr>
            <w:r w:rsidRPr="00F30FD1">
              <w:rPr>
                <w:rFonts w:eastAsia="Times New Roman" w:cs="Arial"/>
                <w:sz w:val="18"/>
                <w:szCs w:val="22"/>
                <w:lang w:val="es-MX"/>
              </w:rPr>
              <w:t>Avances de resultados en la integración de diagnósticos de necesidades de inversión pública estatal</w:t>
            </w:r>
          </w:p>
        </w:tc>
      </w:tr>
      <w:tr w:rsidR="00E66F7B" w:rsidRPr="00F30FD1" w14:paraId="28364F79"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C60FBC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FA814D3" w14:textId="5970E16A" w:rsidR="00E66F7B" w:rsidRPr="00F30FD1" w:rsidRDefault="009964FA"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E33D57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5903462" w14:textId="42DC6D2C"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2016</w:t>
            </w:r>
          </w:p>
        </w:tc>
      </w:tr>
      <w:tr w:rsidR="00B65D72" w:rsidRPr="00F30FD1" w14:paraId="7DA355B2"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938D74" w14:textId="7777777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5A67355" w14:textId="53A511A8"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 Fin de la Pobreza</w:t>
            </w:r>
          </w:p>
        </w:tc>
      </w:tr>
      <w:tr w:rsidR="00B65D72" w:rsidRPr="00F30FD1" w14:paraId="695B2A71"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E1B9B5A" w14:textId="7777777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423B81F" w14:textId="7EA34241"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1.3.- Implementar a nivel nacional sistemas y medidas apropiados de protección social para todos, incluidos niveles mínimos, y, de aquí a 2030, lograr una amplia cobertura de las personas pobres y vulnerables</w:t>
            </w:r>
          </w:p>
        </w:tc>
      </w:tr>
      <w:tr w:rsidR="00E66F7B" w:rsidRPr="00F30FD1" w14:paraId="15C58643"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9781F3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0519B74" w14:textId="3265C44C"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18B64DBB" w14:textId="77777777" w:rsidTr="003A4B38">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5BC790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A7AEBD6" w14:textId="1A25E2EA" w:rsidR="00E66F7B" w:rsidRPr="00F30FD1" w:rsidRDefault="00BE2CD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77BD7C44"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4D0C25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2E9FC366"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B55410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0AC7AD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3F1670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F09E74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9FAA56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FA817A4"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20907" w:rsidRPr="00F30FD1" w14:paraId="5B516200" w14:textId="77777777" w:rsidTr="003A4B38">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DEC5AAB" w14:textId="63FCE647" w:rsidR="00B20907"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F5F1555" w14:textId="781B1452" w:rsidR="00B20907"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DC23519" w14:textId="41E78886" w:rsidR="00B20907"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7BC40A" w14:textId="6A6D4462" w:rsidR="00B20907"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91.67%</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D1CAA2B" w14:textId="7CE55D48" w:rsidR="00B20907"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92%</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FB91B18" w14:textId="063892C3" w:rsidR="00B20907" w:rsidRPr="00F30FD1" w:rsidRDefault="00B20907"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95%</w:t>
            </w:r>
          </w:p>
        </w:tc>
      </w:tr>
    </w:tbl>
    <w:p w14:paraId="3EFD54DE" w14:textId="0D797217" w:rsidR="00457A62" w:rsidRPr="00F30FD1" w:rsidRDefault="00457A62" w:rsidP="00952E57">
      <w:pPr>
        <w:spacing w:after="0" w:line="240" w:lineRule="auto"/>
        <w:contextualSpacing/>
        <w:rPr>
          <w:rFonts w:eastAsia="Times New Roman" w:cs="Arial"/>
          <w:sz w:val="20"/>
          <w:szCs w:val="22"/>
          <w:lang w:val="es-MX"/>
        </w:rPr>
      </w:pPr>
    </w:p>
    <w:p w14:paraId="071A965B"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69D78E42" w14:textId="77777777" w:rsidR="00C920BF" w:rsidRPr="00F30FD1" w:rsidRDefault="00C920BF"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3"/>
        <w:gridCol w:w="739"/>
        <w:gridCol w:w="490"/>
        <w:gridCol w:w="1202"/>
        <w:gridCol w:w="433"/>
        <w:gridCol w:w="848"/>
        <w:gridCol w:w="620"/>
        <w:gridCol w:w="1664"/>
        <w:gridCol w:w="366"/>
        <w:gridCol w:w="2050"/>
      </w:tblGrid>
      <w:tr w:rsidR="00E66F7B" w:rsidRPr="00F30FD1" w14:paraId="6B17C01A"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217EB35" w14:textId="47E56814" w:rsidR="00E66F7B" w:rsidRPr="00F30FD1" w:rsidRDefault="00C920BF" w:rsidP="00E66F7B">
            <w:pPr>
              <w:spacing w:after="0" w:line="240" w:lineRule="auto"/>
              <w:rPr>
                <w:rFonts w:eastAsia="Times New Roman" w:cs="Arial"/>
                <w:sz w:val="18"/>
                <w:szCs w:val="22"/>
                <w:lang w:val="es-MX"/>
              </w:rPr>
            </w:pPr>
            <w:r w:rsidRPr="00F30FD1">
              <w:rPr>
                <w:rFonts w:eastAsia="Times New Roman" w:cs="Arial"/>
                <w:sz w:val="20"/>
                <w:szCs w:val="22"/>
                <w:lang w:val="es-MX"/>
              </w:rPr>
              <w:br w:type="page"/>
            </w:r>
            <w:r w:rsidR="00E66F7B" w:rsidRPr="00F30FD1">
              <w:rPr>
                <w:rFonts w:eastAsia="Times New Roman" w:cs="Arial"/>
                <w:sz w:val="18"/>
                <w:szCs w:val="22"/>
                <w:lang w:val="es-MX"/>
              </w:rPr>
              <w:t>Programa PED</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AA73136" w14:textId="3FD1B3CF"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396D4059"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09319D5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F6D9155" w14:textId="0AB6AEA2"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14. Generar herramientas de programación, presupuestación, ejercicio y control que permitan la consolidación del Presupuesto basado en Resultados. </w:t>
            </w:r>
          </w:p>
        </w:tc>
      </w:tr>
      <w:tr w:rsidR="00E66F7B" w:rsidRPr="00F30FD1" w14:paraId="2E753512" w14:textId="77777777" w:rsidTr="009964FA">
        <w:trPr>
          <w:trHeight w:val="20"/>
          <w:jc w:val="right"/>
        </w:trPr>
        <w:tc>
          <w:tcPr>
            <w:tcW w:w="1960"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F4A615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5384F34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4789363E"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181C44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A55038F" w14:textId="1AA42232"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Sistemas Informáticos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765E4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A0B1DF5" w14:textId="272FC37A"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F86609" w:rsidRPr="00F30FD1" w14:paraId="270E39AB"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5F2B420"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F51407" w14:textId="2EE658E1"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Corresponde al diseño, actualización y mantenimiento de los distintos sistemas con los que cuenta la Subsecretaría de Política Hacendaria y Control Presupuestal para el registro y control del gasto público.</w:t>
            </w:r>
          </w:p>
        </w:tc>
      </w:tr>
      <w:tr w:rsidR="00F86609" w:rsidRPr="00F30FD1" w14:paraId="406CF2C5"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7C728F7"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7B6F62" w14:textId="55EC6E74"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Comprobantes de los sistemas implementados y funcionando, generados por la Subsecretaría de Política Hacendaria y Control Presupuestal de la SEFIPLAN.</w:t>
            </w:r>
          </w:p>
        </w:tc>
      </w:tr>
      <w:tr w:rsidR="00E66F7B" w:rsidRPr="00F30FD1" w14:paraId="40DEE7D0"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EAA462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535203" w14:textId="60734DA5" w:rsidR="00E66F7B" w:rsidRPr="00F30FD1" w:rsidRDefault="009964FA"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87E2E3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BC071EA" w14:textId="6EDAA0F2"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F86609" w:rsidRPr="00F30FD1" w14:paraId="7E398F71"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26FED2E"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AEAD6A6" w14:textId="367A432A" w:rsidR="00F86609" w:rsidRPr="00F30FD1" w:rsidRDefault="0033590E" w:rsidP="0033590E">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86609" w:rsidRPr="00F30FD1" w14:paraId="7760CB40"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40ECE6"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2CCD6FF" w14:textId="688EEA10"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17.19 De aquí a 2030, aprovechar las iniciativas existentes para elaborar indicadores que permitan medir los progresos en materia de desarrollo sostenible y complementen el producto interno bruto, y apoyar la creación de capacidad estadística en los países en desarrollo</w:t>
            </w:r>
          </w:p>
        </w:tc>
      </w:tr>
      <w:tr w:rsidR="00F86609" w:rsidRPr="00F30FD1" w14:paraId="4454298C"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762610E"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4322F79" w14:textId="0F1BB55E" w:rsidR="00F86609"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2 Austeridad</w:t>
            </w:r>
          </w:p>
        </w:tc>
      </w:tr>
      <w:tr w:rsidR="00E66F7B" w:rsidRPr="00F30FD1" w14:paraId="32F0BDF9"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BCAAB9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9267203" w14:textId="2797F54A" w:rsidR="00E66F7B" w:rsidRPr="00F30FD1" w:rsidRDefault="00B65D72" w:rsidP="00E66F7B">
            <w:pPr>
              <w:spacing w:after="0" w:line="240" w:lineRule="auto"/>
              <w:rPr>
                <w:rFonts w:eastAsia="Times New Roman" w:cs="Arial"/>
                <w:sz w:val="18"/>
                <w:szCs w:val="22"/>
                <w:lang w:val="es-MX"/>
              </w:rPr>
            </w:pPr>
            <w:r w:rsidRPr="00F30FD1">
              <w:rPr>
                <w:rFonts w:eastAsia="Times New Roman" w:cs="Arial"/>
                <w:sz w:val="18"/>
                <w:szCs w:val="22"/>
                <w:lang w:val="es-MX"/>
              </w:rPr>
              <w:t>2.3 Recursos Financieros</w:t>
            </w:r>
          </w:p>
        </w:tc>
      </w:tr>
      <w:tr w:rsidR="00E66F7B" w:rsidRPr="00F30FD1" w14:paraId="2B4EC577"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8B4CDF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31B40BA7"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7FA315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4427DB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5DCA88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D3AD40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4E41FB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EA10119"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964FA" w:rsidRPr="00F30FD1" w14:paraId="587BAD09"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2E698F" w14:textId="776C29F7" w:rsidR="009964FA" w:rsidRPr="00F30FD1" w:rsidRDefault="009964FA" w:rsidP="00E66F7B">
            <w:pPr>
              <w:spacing w:after="0" w:line="240" w:lineRule="auto"/>
              <w:jc w:val="center"/>
              <w:rPr>
                <w:rFonts w:eastAsia="Times New Roman" w:cs="Arial"/>
                <w:sz w:val="18"/>
                <w:szCs w:val="22"/>
                <w:lang w:val="es-MX"/>
              </w:rPr>
            </w:pPr>
            <w:r w:rsidRPr="00F9561A">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C944E84" w14:textId="1ADFCE87" w:rsidR="009964FA" w:rsidRPr="00F30FD1" w:rsidRDefault="009964FA" w:rsidP="00E66F7B">
            <w:pPr>
              <w:spacing w:after="0" w:line="240" w:lineRule="auto"/>
              <w:jc w:val="center"/>
              <w:rPr>
                <w:rFonts w:eastAsia="Times New Roman" w:cs="Arial"/>
                <w:sz w:val="18"/>
                <w:szCs w:val="22"/>
                <w:lang w:val="es-MX"/>
              </w:rPr>
            </w:pPr>
            <w:r w:rsidRPr="00F9561A">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095074F" w14:textId="606AD1CA" w:rsidR="009964FA" w:rsidRPr="00F30FD1" w:rsidRDefault="009964FA" w:rsidP="00E66F7B">
            <w:pPr>
              <w:spacing w:after="0" w:line="240" w:lineRule="auto"/>
              <w:jc w:val="center"/>
              <w:rPr>
                <w:rFonts w:eastAsia="Times New Roman" w:cs="Arial"/>
                <w:sz w:val="18"/>
                <w:szCs w:val="22"/>
                <w:lang w:val="es-MX"/>
              </w:rPr>
            </w:pPr>
            <w:r w:rsidRPr="00F9561A">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0460930" w14:textId="6403161D"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9DB45B6" w14:textId="657437DD"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C0E37B3" w14:textId="3690179D"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r>
    </w:tbl>
    <w:p w14:paraId="17ADA437" w14:textId="618EB466" w:rsidR="00457A62" w:rsidRPr="00F30FD1" w:rsidRDefault="00457A62" w:rsidP="00952E57">
      <w:pPr>
        <w:spacing w:after="0" w:line="240" w:lineRule="auto"/>
        <w:contextualSpacing/>
        <w:rPr>
          <w:rFonts w:eastAsia="Times New Roman" w:cs="Arial"/>
          <w:sz w:val="20"/>
          <w:szCs w:val="22"/>
          <w:lang w:val="es-MX"/>
        </w:rPr>
      </w:pPr>
    </w:p>
    <w:p w14:paraId="3AAB9FC5"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78B8B899"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3"/>
        <w:gridCol w:w="741"/>
        <w:gridCol w:w="488"/>
        <w:gridCol w:w="1204"/>
        <w:gridCol w:w="431"/>
        <w:gridCol w:w="850"/>
        <w:gridCol w:w="618"/>
        <w:gridCol w:w="1664"/>
        <w:gridCol w:w="368"/>
        <w:gridCol w:w="2048"/>
      </w:tblGrid>
      <w:tr w:rsidR="00E66F7B" w:rsidRPr="00F30FD1" w14:paraId="530EADE7"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32FCAF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B8AB356" w14:textId="6776CAA2"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47B9BC11"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7532519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67092BA" w14:textId="177CB580"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15. Sensibilizar mediante capacitación y asistencia técnica a los servidores públicos sobre la implementación y métodos del Presupuesto basado en Resultados.</w:t>
            </w:r>
          </w:p>
        </w:tc>
      </w:tr>
      <w:tr w:rsidR="00E66F7B" w:rsidRPr="00F30FD1" w14:paraId="15CC60C8" w14:textId="77777777" w:rsidTr="009964FA">
        <w:trPr>
          <w:trHeight w:val="20"/>
          <w:jc w:val="right"/>
        </w:trPr>
        <w:tc>
          <w:tcPr>
            <w:tcW w:w="196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B70B17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9" w:type="pct"/>
            <w:gridSpan w:val="6"/>
            <w:tcBorders>
              <w:top w:val="single" w:sz="4" w:space="0" w:color="auto"/>
              <w:left w:val="single" w:sz="4" w:space="0" w:color="auto"/>
              <w:bottom w:val="single" w:sz="4" w:space="0" w:color="auto"/>
              <w:right w:val="single" w:sz="4" w:space="0" w:color="auto"/>
            </w:tcBorders>
            <w:shd w:val="clear" w:color="auto" w:fill="A6A6A6"/>
          </w:tcPr>
          <w:p w14:paraId="6D55F60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19B32925"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CA9A44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30F5C61" w14:textId="0C4A9AF6"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Entes Públicos asesorados en materia de PbR.</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F57DE5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8FA69A1" w14:textId="5A6F1CA0"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F86609" w:rsidRPr="00F30FD1" w14:paraId="396F82CE"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93E3A40"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34D5981" w14:textId="55EDF43F"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Corresponde al total de Entes Públicos (Dependencias del Ejecutivo, Desconcentrados, Entidades, Poderes y Autónomos) que reciben asesoría y/o asistencia técnica en temas de Presupuesto basado en Resultados.</w:t>
            </w:r>
          </w:p>
        </w:tc>
      </w:tr>
      <w:tr w:rsidR="00F86609" w:rsidRPr="00F30FD1" w14:paraId="6A07ABAE"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5F9E39E"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E9DE283" w14:textId="24BFEE81"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“Informes Finales de Capacitación y Asistencia Técnica” del apartado de Publicaciones del Sistema de Integración Programática y Presupuestal de la SEFIPLAN. Liga de acceso: http://www.sefiplan.qroo.gob.mx/pbr/normatividad.php</w:t>
            </w:r>
          </w:p>
        </w:tc>
      </w:tr>
      <w:tr w:rsidR="00E66F7B" w:rsidRPr="00F30FD1" w14:paraId="1585B30E"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352283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1DDEFC5" w14:textId="769BA9F9" w:rsidR="00E66F7B" w:rsidRPr="00F30FD1" w:rsidRDefault="009964FA"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A4422F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2FE6C19" w14:textId="6A708471"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F86609" w:rsidRPr="00F30FD1" w14:paraId="0BE92890"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32EDDD"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DDBFF97" w14:textId="684F19C1" w:rsidR="00F86609" w:rsidRPr="00F30FD1" w:rsidRDefault="0033590E" w:rsidP="0033590E">
            <w:pPr>
              <w:spacing w:after="0" w:line="240" w:lineRule="auto"/>
              <w:rPr>
                <w:rFonts w:eastAsia="Times New Roman" w:cs="Arial"/>
                <w:sz w:val="18"/>
                <w:szCs w:val="22"/>
                <w:lang w:val="es-MX"/>
              </w:rPr>
            </w:pPr>
            <w:r w:rsidRPr="00F30FD1">
              <w:t xml:space="preserve"> </w:t>
            </w:r>
            <w:r w:rsidRPr="00F30FD1">
              <w:rPr>
                <w:rFonts w:eastAsia="Times New Roman" w:cs="Arial"/>
                <w:sz w:val="18"/>
                <w:szCs w:val="22"/>
                <w:lang w:val="es-MX"/>
              </w:rPr>
              <w:t>17. Alianza para lograr los objetivos</w:t>
            </w:r>
          </w:p>
        </w:tc>
      </w:tr>
      <w:tr w:rsidR="00F86609" w:rsidRPr="00F30FD1" w14:paraId="60DD4D7A"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AC5D496"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27941C7" w14:textId="0A1BDFF4"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17.19 De aquí a 2030, aprovechar las iniciativas existentes para elaborar indicadores que permitan medir los progresos en materia de desarrollo sostenible y complementen el producto interno bruto, y apoyar la creación de capacidad estadística en los países en desarrollo</w:t>
            </w:r>
          </w:p>
        </w:tc>
      </w:tr>
      <w:tr w:rsidR="00F86609" w:rsidRPr="00F30FD1" w14:paraId="39F26506"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4F22786"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8E31039" w14:textId="3A97F495" w:rsidR="00F86609"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2 Austeridad</w:t>
            </w:r>
          </w:p>
        </w:tc>
      </w:tr>
      <w:tr w:rsidR="00E66F7B" w:rsidRPr="00F30FD1" w14:paraId="66385586"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1A7CDC"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A34CA0E" w14:textId="6C4506D3" w:rsidR="00E66F7B" w:rsidRPr="00F30FD1" w:rsidRDefault="00B65D72" w:rsidP="00E66F7B">
            <w:pPr>
              <w:spacing w:after="0" w:line="240" w:lineRule="auto"/>
              <w:rPr>
                <w:rFonts w:eastAsia="Times New Roman" w:cs="Arial"/>
                <w:sz w:val="18"/>
                <w:szCs w:val="22"/>
                <w:lang w:val="es-MX"/>
              </w:rPr>
            </w:pPr>
            <w:r w:rsidRPr="00F30FD1">
              <w:rPr>
                <w:rFonts w:eastAsia="Times New Roman" w:cs="Arial"/>
                <w:sz w:val="18"/>
                <w:szCs w:val="22"/>
                <w:lang w:val="es-MX"/>
              </w:rPr>
              <w:t>2.3 Recursos Financieros</w:t>
            </w:r>
          </w:p>
        </w:tc>
      </w:tr>
      <w:tr w:rsidR="00E66F7B" w:rsidRPr="00F30FD1" w14:paraId="1EC88315"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A35D8B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45D9E834"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D598DD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FA3BA2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728B7A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01AE4A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2C1AF3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B6C53D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964FA" w:rsidRPr="00F30FD1" w14:paraId="2F985AAD"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37338E2" w14:textId="1AAB1E9A" w:rsidR="009964FA" w:rsidRPr="00F30FD1" w:rsidRDefault="009964FA" w:rsidP="00E66F7B">
            <w:pPr>
              <w:spacing w:after="0" w:line="240" w:lineRule="auto"/>
              <w:jc w:val="center"/>
              <w:rPr>
                <w:rFonts w:eastAsia="Times New Roman" w:cs="Arial"/>
                <w:sz w:val="18"/>
                <w:szCs w:val="22"/>
                <w:lang w:val="es-MX"/>
              </w:rPr>
            </w:pPr>
            <w:r w:rsidRPr="00AD29DA">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659DC50" w14:textId="700F83EB" w:rsidR="009964FA" w:rsidRPr="00F30FD1" w:rsidRDefault="009964FA" w:rsidP="00E66F7B">
            <w:pPr>
              <w:spacing w:after="0" w:line="240" w:lineRule="auto"/>
              <w:jc w:val="center"/>
              <w:rPr>
                <w:rFonts w:eastAsia="Times New Roman" w:cs="Arial"/>
                <w:sz w:val="18"/>
                <w:szCs w:val="22"/>
                <w:lang w:val="es-MX"/>
              </w:rPr>
            </w:pPr>
            <w:r w:rsidRPr="00AD29DA">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065DB53" w14:textId="4F234141" w:rsidR="009964FA" w:rsidRPr="00F30FD1" w:rsidRDefault="009964FA" w:rsidP="00E66F7B">
            <w:pPr>
              <w:spacing w:after="0" w:line="240" w:lineRule="auto"/>
              <w:jc w:val="center"/>
              <w:rPr>
                <w:rFonts w:eastAsia="Times New Roman" w:cs="Arial"/>
                <w:sz w:val="18"/>
                <w:szCs w:val="22"/>
                <w:lang w:val="es-MX"/>
              </w:rPr>
            </w:pPr>
            <w:r w:rsidRPr="00AD29DA">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E9BFF82" w14:textId="2F23B507"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80%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1A5D78D" w14:textId="07E4A86F"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80%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24AEDFA" w14:textId="6A1E6A76"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80%</w:t>
            </w:r>
          </w:p>
        </w:tc>
      </w:tr>
    </w:tbl>
    <w:p w14:paraId="7B81841B" w14:textId="2EA0C965" w:rsidR="00457A62" w:rsidRPr="00F30FD1" w:rsidRDefault="00457A62" w:rsidP="00952E57">
      <w:pPr>
        <w:spacing w:after="0" w:line="240" w:lineRule="auto"/>
        <w:contextualSpacing/>
        <w:rPr>
          <w:rFonts w:eastAsia="Times New Roman" w:cs="Arial"/>
          <w:sz w:val="20"/>
          <w:szCs w:val="22"/>
          <w:lang w:val="es-MX"/>
        </w:rPr>
      </w:pPr>
    </w:p>
    <w:p w14:paraId="695AE129"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2A44DB60"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3"/>
        <w:gridCol w:w="741"/>
        <w:gridCol w:w="488"/>
        <w:gridCol w:w="1204"/>
        <w:gridCol w:w="431"/>
        <w:gridCol w:w="850"/>
        <w:gridCol w:w="618"/>
        <w:gridCol w:w="1664"/>
        <w:gridCol w:w="368"/>
        <w:gridCol w:w="2048"/>
      </w:tblGrid>
      <w:tr w:rsidR="00E66F7B" w:rsidRPr="00F30FD1" w14:paraId="519F3299"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3ADDF1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0546B24" w14:textId="35958D6F"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789FE126"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6364EE5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218B336" w14:textId="30E7DFAE"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16. Validar las Matrices de Indicadores para Resultados de las dependencias, entidades y organismos autónomos en el proceso de programación y presupuestación de cada ejercicio fiscal. </w:t>
            </w:r>
          </w:p>
        </w:tc>
      </w:tr>
      <w:tr w:rsidR="00E66F7B" w:rsidRPr="00F30FD1" w14:paraId="6E24EEB1" w14:textId="77777777" w:rsidTr="009964FA">
        <w:trPr>
          <w:trHeight w:val="20"/>
          <w:jc w:val="right"/>
        </w:trPr>
        <w:tc>
          <w:tcPr>
            <w:tcW w:w="196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88D7A6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9" w:type="pct"/>
            <w:gridSpan w:val="6"/>
            <w:tcBorders>
              <w:top w:val="single" w:sz="4" w:space="0" w:color="auto"/>
              <w:left w:val="single" w:sz="4" w:space="0" w:color="auto"/>
              <w:bottom w:val="single" w:sz="4" w:space="0" w:color="auto"/>
              <w:right w:val="single" w:sz="4" w:space="0" w:color="auto"/>
            </w:tcBorders>
            <w:shd w:val="clear" w:color="auto" w:fill="A6A6A6"/>
          </w:tcPr>
          <w:p w14:paraId="569D5DD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357BA33D"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9E5FF5A"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781EDB3" w14:textId="388ACCA7"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Cédulas de Validación de Programas Presupuestarios admitidos.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E88A2E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ADD43B8" w14:textId="45B21D35"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F86609" w:rsidRPr="00F30FD1" w14:paraId="7BA21E38"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3323A3E"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8F1499F" w14:textId="78766B94"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Corresponde al total de programas presupuestarios de todos los entes públicos que son admitidos porque cumplen con la Metodología del Marco Lógico.</w:t>
            </w:r>
          </w:p>
        </w:tc>
      </w:tr>
      <w:tr w:rsidR="00F86609" w:rsidRPr="00F30FD1" w14:paraId="63B95174"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56E32CC"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F9F7787" w14:textId="720A082B"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“Cédulas de Validación” generados por la Dirección de Política y Programación Presupuestal de la SEFIPLAN.</w:t>
            </w:r>
          </w:p>
        </w:tc>
      </w:tr>
      <w:tr w:rsidR="00E66F7B" w:rsidRPr="00F30FD1" w14:paraId="64947544"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776C00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1B2CF07" w14:textId="6BBB9555" w:rsidR="00E66F7B" w:rsidRPr="00F30FD1" w:rsidRDefault="009964FA"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3BCEF4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2341EF5" w14:textId="45D18678" w:rsidR="00E66F7B" w:rsidRPr="00F30FD1" w:rsidRDefault="00A47215" w:rsidP="00E66F7B">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F86609" w:rsidRPr="00F30FD1" w14:paraId="18B1B990"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E63B0DC"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184A4C4" w14:textId="7DA531DF" w:rsidR="00F86609" w:rsidRPr="00F30FD1" w:rsidRDefault="0033590E" w:rsidP="0033590E">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86609" w:rsidRPr="00F30FD1" w14:paraId="6466602B"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528924A"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0811DF0" w14:textId="7BAFEB4C"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17.19 De aquí a 2030, aprovechar las iniciativas existentes para elaborar indicadores que permitan medir los progresos en materia de desarrollo sostenible y complementen el producto interno bruto, y apoyar la creación de capacidad estadística en los países en desarrollo</w:t>
            </w:r>
          </w:p>
        </w:tc>
      </w:tr>
      <w:tr w:rsidR="00F86609" w:rsidRPr="00F30FD1" w14:paraId="58B9265D"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684459C"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B6F5267" w14:textId="04663835" w:rsidR="00F86609"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2 Austeridad</w:t>
            </w:r>
          </w:p>
        </w:tc>
      </w:tr>
      <w:tr w:rsidR="00E66F7B" w:rsidRPr="00F30FD1" w14:paraId="69400F98"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2019BA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2BDDFD1" w14:textId="0D349B5F" w:rsidR="00E66F7B" w:rsidRPr="00F30FD1" w:rsidRDefault="00B65D72" w:rsidP="00E66F7B">
            <w:pPr>
              <w:spacing w:after="0" w:line="240" w:lineRule="auto"/>
              <w:rPr>
                <w:rFonts w:eastAsia="Times New Roman" w:cs="Arial"/>
                <w:sz w:val="18"/>
                <w:szCs w:val="22"/>
                <w:lang w:val="es-MX"/>
              </w:rPr>
            </w:pPr>
            <w:r w:rsidRPr="00F30FD1">
              <w:rPr>
                <w:rFonts w:eastAsia="Times New Roman" w:cs="Arial"/>
                <w:sz w:val="18"/>
                <w:szCs w:val="22"/>
                <w:lang w:val="es-MX"/>
              </w:rPr>
              <w:t>2.3 Recursos Financieros</w:t>
            </w:r>
          </w:p>
        </w:tc>
      </w:tr>
      <w:tr w:rsidR="00E66F7B" w:rsidRPr="00F30FD1" w14:paraId="618FE63F"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9A31CA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2279449C"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880F11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5AD5F36"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72A776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332992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7297F7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E0C21C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964FA" w:rsidRPr="00F30FD1" w14:paraId="2C669E5C"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3DADCB6" w14:textId="066B290F" w:rsidR="009964FA" w:rsidRPr="00F30FD1" w:rsidRDefault="009964FA" w:rsidP="00E66F7B">
            <w:pPr>
              <w:spacing w:after="0" w:line="240" w:lineRule="auto"/>
              <w:jc w:val="center"/>
              <w:rPr>
                <w:rFonts w:eastAsia="Times New Roman" w:cs="Arial"/>
                <w:sz w:val="18"/>
                <w:szCs w:val="22"/>
                <w:lang w:val="es-MX"/>
              </w:rPr>
            </w:pPr>
            <w:r w:rsidRPr="00F10E30">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E520EBB" w14:textId="6898D23F" w:rsidR="009964FA" w:rsidRPr="00F30FD1" w:rsidRDefault="009964FA" w:rsidP="00E66F7B">
            <w:pPr>
              <w:spacing w:after="0" w:line="240" w:lineRule="auto"/>
              <w:jc w:val="center"/>
              <w:rPr>
                <w:rFonts w:eastAsia="Times New Roman" w:cs="Arial"/>
                <w:sz w:val="18"/>
                <w:szCs w:val="22"/>
                <w:lang w:val="es-MX"/>
              </w:rPr>
            </w:pPr>
            <w:r w:rsidRPr="00F10E30">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D0BE2E3" w14:textId="65ED8B14" w:rsidR="009964FA" w:rsidRPr="00F30FD1" w:rsidRDefault="009964FA" w:rsidP="00E66F7B">
            <w:pPr>
              <w:spacing w:after="0" w:line="240" w:lineRule="auto"/>
              <w:jc w:val="center"/>
              <w:rPr>
                <w:rFonts w:eastAsia="Times New Roman" w:cs="Arial"/>
                <w:sz w:val="18"/>
                <w:szCs w:val="22"/>
                <w:lang w:val="es-MX"/>
              </w:rPr>
            </w:pPr>
            <w:r w:rsidRPr="00F10E30">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C0C1F31" w14:textId="6086F41C"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81576E4" w14:textId="344FD27B"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A7EC55F" w14:textId="754A7945"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r>
    </w:tbl>
    <w:p w14:paraId="32B5ED81" w14:textId="10772BAA" w:rsidR="00457A62" w:rsidRPr="00F30FD1" w:rsidRDefault="00457A62" w:rsidP="00952E57">
      <w:pPr>
        <w:spacing w:after="0" w:line="240" w:lineRule="auto"/>
        <w:contextualSpacing/>
        <w:rPr>
          <w:rFonts w:eastAsia="Times New Roman" w:cs="Arial"/>
          <w:sz w:val="20"/>
          <w:szCs w:val="22"/>
          <w:lang w:val="es-MX"/>
        </w:rPr>
      </w:pPr>
    </w:p>
    <w:p w14:paraId="46D2D753"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tbl>
      <w:tblPr>
        <w:tblW w:w="5000" w:type="pct"/>
        <w:jc w:val="right"/>
        <w:tblCellMar>
          <w:left w:w="0" w:type="dxa"/>
          <w:right w:w="0" w:type="dxa"/>
        </w:tblCellMar>
        <w:tblLook w:val="0420" w:firstRow="1" w:lastRow="0" w:firstColumn="0" w:lastColumn="0" w:noHBand="0" w:noVBand="1"/>
      </w:tblPr>
      <w:tblGrid>
        <w:gridCol w:w="1423"/>
        <w:gridCol w:w="739"/>
        <w:gridCol w:w="490"/>
        <w:gridCol w:w="1202"/>
        <w:gridCol w:w="433"/>
        <w:gridCol w:w="848"/>
        <w:gridCol w:w="620"/>
        <w:gridCol w:w="1664"/>
        <w:gridCol w:w="366"/>
        <w:gridCol w:w="2050"/>
      </w:tblGrid>
      <w:tr w:rsidR="00E66F7B" w:rsidRPr="00F30FD1" w14:paraId="013F2E02"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149E2A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lastRenderedPageBreak/>
              <w:t>Programa PED</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A89BDB2" w14:textId="691FC1A8"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2AE2B888"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6FD4BC1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4F41D059" w14:textId="4212222E"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17. Integrar en coordinación  con las dependencias, entidades y organismos el  control, seguimiento y análisis de las etapas del autorizado, comprometido y devengado de la Inversión Pública. </w:t>
            </w:r>
          </w:p>
        </w:tc>
      </w:tr>
      <w:tr w:rsidR="00E66F7B" w:rsidRPr="00F30FD1" w14:paraId="769967C6" w14:textId="77777777" w:rsidTr="009964FA">
        <w:trPr>
          <w:trHeight w:val="20"/>
          <w:jc w:val="right"/>
        </w:trPr>
        <w:tc>
          <w:tcPr>
            <w:tcW w:w="1960"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6CDF6D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3683BA93"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18A5EAD0"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62F16F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791855C" w14:textId="4287B5C5"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Proyectos de Inversión Pública comprometidos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4B5DCBB"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FE1E89E" w14:textId="2AE90801" w:rsidR="00E66F7B"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F86609" w:rsidRPr="00F30FD1" w14:paraId="3292A44D"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02DF951"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EC26467" w14:textId="0174ECCD"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Mide el porcentaje de los proyectos de inversión pública registrados en el sistema de la Dirección de Control y Seguimiento de Inversión Pública.</w:t>
            </w:r>
          </w:p>
        </w:tc>
      </w:tr>
      <w:tr w:rsidR="00F86609" w:rsidRPr="00F30FD1" w14:paraId="3797BAD7"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EB5F291"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5278149" w14:textId="7DAD1849"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"Reporte de los avances de proyectos comprometidos" de la Dirección de Control y Seguimiento de Inversión Pública de la SEFIPLAN.</w:t>
            </w:r>
          </w:p>
        </w:tc>
      </w:tr>
      <w:tr w:rsidR="00E66F7B" w:rsidRPr="00F30FD1" w14:paraId="580D68DA"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2E7A47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B9D6BAF" w14:textId="021170C7" w:rsidR="00E66F7B" w:rsidRPr="00F30FD1" w:rsidRDefault="009964FA"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138D51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C54B0BE" w14:textId="7A7BED7B"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2019</w:t>
            </w:r>
          </w:p>
        </w:tc>
      </w:tr>
      <w:tr w:rsidR="00F86609" w:rsidRPr="00F30FD1" w14:paraId="4151BBE2"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57C53EE"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DAC980B" w14:textId="2A1E40AB" w:rsidR="00F86609" w:rsidRPr="00F30FD1" w:rsidRDefault="0033590E" w:rsidP="0033590E">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F86609" w:rsidRPr="00F30FD1" w14:paraId="33DFEDCE"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7A1976D"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D3B37FF" w14:textId="7508BE9E"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17.19 De aquí a 2030, aprovechar las iniciativas existentes para elaborar indicadores que permitan medir los progresos en materia de desarrollo sostenible y complementen el producto interno bruto, y apoyar la creación de capacidad estadística en los países en desarrollo</w:t>
            </w:r>
          </w:p>
        </w:tc>
      </w:tr>
      <w:tr w:rsidR="00F86609" w:rsidRPr="00F30FD1" w14:paraId="7606B4AF"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0B2CC35" w14:textId="77777777" w:rsidR="00F86609" w:rsidRPr="00F30FD1" w:rsidRDefault="00F86609"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650D4F6" w14:textId="2E092C38" w:rsidR="00F86609"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2 Austeridad</w:t>
            </w:r>
          </w:p>
        </w:tc>
      </w:tr>
      <w:tr w:rsidR="00E66F7B" w:rsidRPr="00F30FD1" w14:paraId="1052E9F2"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A4E9D2D"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4F0AE13" w14:textId="5780F0D0" w:rsidR="00E66F7B" w:rsidRPr="00F30FD1" w:rsidRDefault="00B65D72" w:rsidP="00E66F7B">
            <w:pPr>
              <w:spacing w:after="0" w:line="240" w:lineRule="auto"/>
              <w:rPr>
                <w:rFonts w:eastAsia="Times New Roman" w:cs="Arial"/>
                <w:sz w:val="18"/>
                <w:szCs w:val="22"/>
                <w:lang w:val="es-MX"/>
              </w:rPr>
            </w:pPr>
            <w:r w:rsidRPr="00F30FD1">
              <w:rPr>
                <w:rFonts w:eastAsia="Times New Roman" w:cs="Arial"/>
                <w:sz w:val="18"/>
                <w:szCs w:val="22"/>
                <w:lang w:val="es-MX"/>
              </w:rPr>
              <w:t>2.3 Recursos Financieros</w:t>
            </w:r>
          </w:p>
        </w:tc>
      </w:tr>
      <w:tr w:rsidR="00E66F7B" w:rsidRPr="00F30FD1" w14:paraId="1CEA2E4E"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7E590A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6346DA53"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EFF3A8E"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07639B9"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2912368"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5082546"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48AC13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A239CE6"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964FA" w:rsidRPr="00F30FD1" w14:paraId="42E052C7"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9671820" w14:textId="0EC7CD3C" w:rsidR="009964FA" w:rsidRPr="00F30FD1" w:rsidRDefault="009964FA" w:rsidP="00E66F7B">
            <w:pPr>
              <w:spacing w:after="0" w:line="240" w:lineRule="auto"/>
              <w:jc w:val="center"/>
              <w:rPr>
                <w:rFonts w:eastAsia="Times New Roman" w:cs="Arial"/>
                <w:sz w:val="18"/>
                <w:szCs w:val="22"/>
                <w:lang w:val="es-MX"/>
              </w:rPr>
            </w:pPr>
            <w:r w:rsidRPr="00F2508C">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3157C90" w14:textId="38A8C5EC" w:rsidR="009964FA" w:rsidRPr="00F30FD1" w:rsidRDefault="009964FA" w:rsidP="00E66F7B">
            <w:pPr>
              <w:spacing w:after="0" w:line="240" w:lineRule="auto"/>
              <w:jc w:val="center"/>
              <w:rPr>
                <w:rFonts w:eastAsia="Times New Roman" w:cs="Arial"/>
                <w:sz w:val="18"/>
                <w:szCs w:val="22"/>
                <w:lang w:val="es-MX"/>
              </w:rPr>
            </w:pPr>
            <w:r w:rsidRPr="00F2508C">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A585A3B" w14:textId="36654E53" w:rsidR="009964FA" w:rsidRPr="00F30FD1" w:rsidRDefault="009964FA" w:rsidP="00E66F7B">
            <w:pPr>
              <w:spacing w:after="0" w:line="240" w:lineRule="auto"/>
              <w:jc w:val="center"/>
              <w:rPr>
                <w:rFonts w:eastAsia="Times New Roman" w:cs="Arial"/>
                <w:sz w:val="18"/>
                <w:szCs w:val="22"/>
                <w:lang w:val="es-MX"/>
              </w:rPr>
            </w:pPr>
            <w:r w:rsidRPr="00F2508C">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5A8A72EF" w14:textId="08A35087"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C682214" w14:textId="7C551345"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1F01849" w14:textId="66D1422A"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r>
    </w:tbl>
    <w:p w14:paraId="086544B5" w14:textId="756C76C7" w:rsidR="00457A62" w:rsidRPr="00F30FD1" w:rsidRDefault="00457A62" w:rsidP="00952E57">
      <w:pPr>
        <w:spacing w:after="0" w:line="240" w:lineRule="auto"/>
        <w:contextualSpacing/>
        <w:rPr>
          <w:rFonts w:eastAsia="Times New Roman" w:cs="Arial"/>
          <w:sz w:val="20"/>
          <w:szCs w:val="22"/>
          <w:lang w:val="es-MX"/>
        </w:rPr>
      </w:pPr>
    </w:p>
    <w:p w14:paraId="5D15B24B"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5F986BCD"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3"/>
        <w:gridCol w:w="741"/>
        <w:gridCol w:w="488"/>
        <w:gridCol w:w="1204"/>
        <w:gridCol w:w="431"/>
        <w:gridCol w:w="850"/>
        <w:gridCol w:w="618"/>
        <w:gridCol w:w="1664"/>
        <w:gridCol w:w="368"/>
        <w:gridCol w:w="2048"/>
      </w:tblGrid>
      <w:tr w:rsidR="00E66F7B" w:rsidRPr="00F30FD1" w14:paraId="4B4377AE"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03299E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0467D59" w14:textId="1A5610C5"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2B2D8ED3"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7653187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CDE674B" w14:textId="40B333A3"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18. Dar seguimiento a la ejecución de los recursos de los servicios personales de las entidades y  organismos con base al Decreto del Presupuesto autorizado por el Congreso del Estado de Quintana Roo, privilegiando así la eficacia y eficiencia de los recursos públicos. </w:t>
            </w:r>
          </w:p>
        </w:tc>
      </w:tr>
      <w:tr w:rsidR="00E66F7B" w:rsidRPr="00F30FD1" w14:paraId="1AC7A265" w14:textId="77777777" w:rsidTr="009964FA">
        <w:trPr>
          <w:trHeight w:val="20"/>
          <w:jc w:val="right"/>
        </w:trPr>
        <w:tc>
          <w:tcPr>
            <w:tcW w:w="196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DCD01C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9" w:type="pct"/>
            <w:gridSpan w:val="6"/>
            <w:tcBorders>
              <w:top w:val="single" w:sz="4" w:space="0" w:color="auto"/>
              <w:left w:val="single" w:sz="4" w:space="0" w:color="auto"/>
              <w:bottom w:val="single" w:sz="4" w:space="0" w:color="auto"/>
              <w:right w:val="single" w:sz="4" w:space="0" w:color="auto"/>
            </w:tcBorders>
            <w:shd w:val="clear" w:color="auto" w:fill="A6A6A6"/>
          </w:tcPr>
          <w:p w14:paraId="0CC91F6F"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4618D4B4"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7ADB19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D82D0D6" w14:textId="3FE2C43C" w:rsidR="00E66F7B" w:rsidRPr="00F30FD1" w:rsidRDefault="00B65D72" w:rsidP="00E66F7B">
            <w:pPr>
              <w:spacing w:after="0" w:line="240" w:lineRule="auto"/>
              <w:rPr>
                <w:rFonts w:eastAsia="Times New Roman" w:cs="Arial"/>
                <w:sz w:val="18"/>
                <w:szCs w:val="22"/>
                <w:lang w:val="es-MX"/>
              </w:rPr>
            </w:pPr>
            <w:r w:rsidRPr="00F30FD1">
              <w:rPr>
                <w:rFonts w:eastAsia="Times New Roman" w:cs="Arial"/>
                <w:sz w:val="18"/>
                <w:szCs w:val="22"/>
                <w:lang w:val="es-MX"/>
              </w:rPr>
              <w:t xml:space="preserve">Porcentaje del </w:t>
            </w:r>
            <w:r w:rsidR="00C86967" w:rsidRPr="00F30FD1">
              <w:rPr>
                <w:rFonts w:eastAsia="Times New Roman" w:cs="Arial"/>
                <w:sz w:val="18"/>
                <w:szCs w:val="22"/>
                <w:lang w:val="es-MX"/>
              </w:rPr>
              <w:t>Estado Analíticos del Gasto</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E9279A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451182A" w14:textId="5F6C8FEE" w:rsidR="00E66F7B"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C86967" w:rsidRPr="00F30FD1" w14:paraId="179CFE62"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1A4E83D" w14:textId="77777777"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E6E46BF" w14:textId="60DD0128"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Corresponde a la publicación de la información presupuestaria solicitada por la Ley General de Contabilidad Gubernamental trimestralmente en la página web de la Secretaría de Finanzas y Planeación.</w:t>
            </w:r>
          </w:p>
        </w:tc>
      </w:tr>
      <w:tr w:rsidR="00C86967" w:rsidRPr="00F30FD1" w14:paraId="28CDDE64"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CD7A5C7" w14:textId="77777777"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7FFBBA0" w14:textId="19823B4B"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 xml:space="preserve">“Cumplimiento a la Ley General de Contabilidad Gubernamental” Apartado “Información Financiera Gubernamental” en la Página de la Secretaría de Finanzas y Planeación. Liga de acceso: http://www.sefiplan.qroo.gob.mx/sistemas/FGob/ </w:t>
            </w:r>
          </w:p>
        </w:tc>
      </w:tr>
      <w:tr w:rsidR="00E66F7B" w:rsidRPr="00F30FD1" w14:paraId="02BD56CE"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CD96024"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A4A3FA9" w14:textId="19E2C024" w:rsidR="00E66F7B" w:rsidRPr="00F30FD1" w:rsidRDefault="009964FA"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D791687"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962149B" w14:textId="25D381DB" w:rsidR="00E66F7B" w:rsidRPr="00F30FD1" w:rsidRDefault="00BA6964" w:rsidP="00E66F7B">
            <w:pPr>
              <w:spacing w:after="0" w:line="240" w:lineRule="auto"/>
              <w:rPr>
                <w:rFonts w:eastAsia="Times New Roman" w:cs="Arial"/>
                <w:sz w:val="18"/>
                <w:szCs w:val="22"/>
                <w:lang w:val="es-MX"/>
              </w:rPr>
            </w:pPr>
            <w:r>
              <w:rPr>
                <w:rFonts w:eastAsia="Times New Roman" w:cs="Arial"/>
                <w:sz w:val="18"/>
                <w:szCs w:val="22"/>
                <w:lang w:val="es-MX"/>
              </w:rPr>
              <w:t>2019</w:t>
            </w:r>
          </w:p>
        </w:tc>
      </w:tr>
      <w:tr w:rsidR="00C86967" w:rsidRPr="00F30FD1" w14:paraId="04B217B3"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4B7BDCE" w14:textId="77777777"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7F95EAF" w14:textId="41CDC701" w:rsidR="00C86967" w:rsidRPr="00F30FD1" w:rsidRDefault="0033590E" w:rsidP="0033590E">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C86967" w:rsidRPr="00F30FD1" w14:paraId="28BC2F6D"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F43E360" w14:textId="77777777"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A76C04E" w14:textId="2D8467E4"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17.19 De aquí a 2030, aprovechar las iniciativas existentes para elaborar indicadores que permitan medir los progresos en materia de desarrollo sostenible y complementen el producto interno bruto, y apoyar la creación de capacidad estadística en los países en desarrollo</w:t>
            </w:r>
          </w:p>
        </w:tc>
      </w:tr>
      <w:tr w:rsidR="00B65D72" w:rsidRPr="00F30FD1" w14:paraId="6178FE17"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6744030" w14:textId="7777777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4CF583D" w14:textId="0638A25A"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 xml:space="preserve">2.- Austeridad </w:t>
            </w:r>
          </w:p>
        </w:tc>
      </w:tr>
      <w:tr w:rsidR="00B65D72" w:rsidRPr="00F30FD1" w14:paraId="63EBDF92"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9B8A1B4" w14:textId="7777777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B205F11" w14:textId="45B90201"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2.3.- Recursos Financieros</w:t>
            </w:r>
          </w:p>
        </w:tc>
      </w:tr>
      <w:tr w:rsidR="00E66F7B" w:rsidRPr="00F30FD1" w14:paraId="1C6A56CB"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AECE06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09BB97E3"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6906F3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5E07065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E8B196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959C66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41C41C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B14D85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964FA" w:rsidRPr="00F30FD1" w14:paraId="7595BEF6"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09EECBB" w14:textId="5159D72B" w:rsidR="009964FA" w:rsidRPr="00F30FD1" w:rsidRDefault="009964FA" w:rsidP="00E66F7B">
            <w:pPr>
              <w:spacing w:after="0" w:line="240" w:lineRule="auto"/>
              <w:jc w:val="center"/>
              <w:rPr>
                <w:rFonts w:eastAsia="Times New Roman" w:cs="Arial"/>
                <w:sz w:val="18"/>
                <w:szCs w:val="22"/>
                <w:lang w:val="es-MX"/>
              </w:rPr>
            </w:pPr>
            <w:r w:rsidRPr="00926498">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BEC9B40" w14:textId="68C442D7" w:rsidR="009964FA" w:rsidRPr="00F30FD1" w:rsidRDefault="009964FA" w:rsidP="00E66F7B">
            <w:pPr>
              <w:spacing w:after="0" w:line="240" w:lineRule="auto"/>
              <w:jc w:val="center"/>
              <w:rPr>
                <w:rFonts w:eastAsia="Times New Roman" w:cs="Arial"/>
                <w:sz w:val="18"/>
                <w:szCs w:val="22"/>
                <w:lang w:val="es-MX"/>
              </w:rPr>
            </w:pPr>
            <w:r w:rsidRPr="00926498">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F0CAD82" w14:textId="14D31BF2" w:rsidR="009964FA" w:rsidRPr="00F30FD1" w:rsidRDefault="009964FA" w:rsidP="00E66F7B">
            <w:pPr>
              <w:spacing w:after="0" w:line="240" w:lineRule="auto"/>
              <w:jc w:val="center"/>
              <w:rPr>
                <w:rFonts w:eastAsia="Times New Roman" w:cs="Arial"/>
                <w:sz w:val="18"/>
                <w:szCs w:val="22"/>
                <w:lang w:val="es-MX"/>
              </w:rPr>
            </w:pPr>
            <w:r w:rsidRPr="00926498">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1469241A" w14:textId="658EB9C0"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09AC50D" w14:textId="2F78EF57"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C8641C3" w14:textId="4D82A85C"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r>
    </w:tbl>
    <w:p w14:paraId="30099B3D" w14:textId="4397D4D6" w:rsidR="00457A62" w:rsidRPr="00F30FD1" w:rsidRDefault="00457A62" w:rsidP="00952E57">
      <w:pPr>
        <w:spacing w:after="0" w:line="240" w:lineRule="auto"/>
        <w:contextualSpacing/>
        <w:rPr>
          <w:rFonts w:eastAsia="Times New Roman" w:cs="Arial"/>
          <w:sz w:val="20"/>
          <w:szCs w:val="22"/>
          <w:lang w:val="es-MX"/>
        </w:rPr>
      </w:pPr>
    </w:p>
    <w:p w14:paraId="32CD0084"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6F87B0D5" w14:textId="77777777" w:rsidR="00C920BF" w:rsidRPr="00F30FD1" w:rsidRDefault="00C920BF"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3"/>
        <w:gridCol w:w="739"/>
        <w:gridCol w:w="490"/>
        <w:gridCol w:w="1202"/>
        <w:gridCol w:w="433"/>
        <w:gridCol w:w="848"/>
        <w:gridCol w:w="620"/>
        <w:gridCol w:w="1664"/>
        <w:gridCol w:w="366"/>
        <w:gridCol w:w="2050"/>
      </w:tblGrid>
      <w:tr w:rsidR="00E66F7B" w:rsidRPr="00F30FD1" w14:paraId="453863AE"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CBE879F" w14:textId="4E6F0879" w:rsidR="00E66F7B" w:rsidRPr="00F30FD1" w:rsidRDefault="00C920BF" w:rsidP="00E66F7B">
            <w:pPr>
              <w:spacing w:after="0" w:line="240" w:lineRule="auto"/>
              <w:rPr>
                <w:rFonts w:eastAsia="Times New Roman" w:cs="Arial"/>
                <w:sz w:val="18"/>
                <w:szCs w:val="22"/>
                <w:lang w:val="es-MX"/>
              </w:rPr>
            </w:pPr>
            <w:r w:rsidRPr="00F30FD1">
              <w:rPr>
                <w:rFonts w:eastAsia="Times New Roman" w:cs="Arial"/>
                <w:sz w:val="20"/>
                <w:szCs w:val="22"/>
                <w:lang w:val="es-MX"/>
              </w:rPr>
              <w:br w:type="page"/>
            </w:r>
            <w:r w:rsidR="00E66F7B" w:rsidRPr="00F30FD1">
              <w:rPr>
                <w:rFonts w:eastAsia="Times New Roman" w:cs="Arial"/>
                <w:sz w:val="18"/>
                <w:szCs w:val="22"/>
                <w:lang w:val="es-MX"/>
              </w:rPr>
              <w:t>Programa PED</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465ECC0" w14:textId="1E542A8A"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2D7BD373"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1F54F39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9109DA0" w14:textId="1FE45E8E"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19. Actualizar el marco normativo y de operación presupuestal-financiera de la administración pública estatal con base en los principios establecidos en la Ley de Disciplina Financiera de las Entidades y Municipios. </w:t>
            </w:r>
          </w:p>
        </w:tc>
      </w:tr>
      <w:tr w:rsidR="00E66F7B" w:rsidRPr="00F30FD1" w14:paraId="0EF2BAAE" w14:textId="77777777" w:rsidTr="009964FA">
        <w:trPr>
          <w:trHeight w:val="20"/>
          <w:jc w:val="right"/>
        </w:trPr>
        <w:tc>
          <w:tcPr>
            <w:tcW w:w="1960"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026BB1D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40" w:type="pct"/>
            <w:gridSpan w:val="6"/>
            <w:tcBorders>
              <w:top w:val="single" w:sz="4" w:space="0" w:color="auto"/>
              <w:left w:val="single" w:sz="4" w:space="0" w:color="auto"/>
              <w:bottom w:val="single" w:sz="4" w:space="0" w:color="auto"/>
              <w:right w:val="single" w:sz="4" w:space="0" w:color="auto"/>
            </w:tcBorders>
            <w:shd w:val="clear" w:color="auto" w:fill="A6A6A6"/>
          </w:tcPr>
          <w:p w14:paraId="7891DDB1"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E66F7B" w:rsidRPr="00F30FD1" w14:paraId="230F4998"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0F0547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EE630D9" w14:textId="4D8B7EBC" w:rsidR="00E66F7B"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Catálogos y Clasificadores actualizados</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FECF53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086EBC3" w14:textId="57A53658" w:rsidR="00E66F7B"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C86967" w:rsidRPr="00F30FD1" w14:paraId="0C38C786"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C871713" w14:textId="77777777"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58CF8FD" w14:textId="749F5054"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Corresponde al diseño, actualización y/o elaboración de los distintos catálogos y clasificadores que dan sentido y sostienen el apartado programático y presupuestal de cada ejercicio fiscal.</w:t>
            </w:r>
          </w:p>
        </w:tc>
      </w:tr>
      <w:tr w:rsidR="00C86967" w:rsidRPr="00F30FD1" w14:paraId="23BAEFAE"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94B0956" w14:textId="77777777"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EB22825" w14:textId="1ED99E2E"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Apartado de Publicaciones del Sistema de Integración Programática y Presupuestal de la SEFIPLAN. Liga de acceso: http://www.sefiplan.qroo.gob.mx/pbr/normatividad.php</w:t>
            </w:r>
          </w:p>
        </w:tc>
      </w:tr>
      <w:tr w:rsidR="00E66F7B" w:rsidRPr="00F30FD1" w14:paraId="5362DDBE"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89B0B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E4C3EE9" w14:textId="4E2F1DB4" w:rsidR="00E66F7B" w:rsidRPr="00F30FD1" w:rsidRDefault="009964FA" w:rsidP="00E66F7B">
            <w:pPr>
              <w:spacing w:after="0" w:line="240" w:lineRule="auto"/>
              <w:rPr>
                <w:rFonts w:eastAsia="Times New Roman" w:cs="Arial"/>
                <w:sz w:val="18"/>
                <w:szCs w:val="22"/>
                <w:lang w:val="es-MX"/>
              </w:rPr>
            </w:pPr>
            <w:r>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E16247E"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1"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282EA49" w14:textId="3871929F" w:rsidR="00E66F7B"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20</w:t>
            </w:r>
            <w:r w:rsidR="006029C5" w:rsidRPr="00F30FD1">
              <w:rPr>
                <w:rFonts w:eastAsia="Times New Roman" w:cs="Arial"/>
                <w:sz w:val="18"/>
                <w:szCs w:val="22"/>
                <w:lang w:val="es-MX"/>
              </w:rPr>
              <w:t>19</w:t>
            </w:r>
          </w:p>
        </w:tc>
      </w:tr>
      <w:tr w:rsidR="00C86967" w:rsidRPr="00F30FD1" w14:paraId="63BFC870"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2E19918" w14:textId="77777777"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3BAE3BD" w14:textId="7DAE510C" w:rsidR="00C86967" w:rsidRPr="00F30FD1" w:rsidRDefault="0033590E" w:rsidP="0033590E">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C86967" w:rsidRPr="00F30FD1" w14:paraId="1D1DE111"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F79576A" w14:textId="77777777"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D1B5878" w14:textId="12409828" w:rsidR="00C86967" w:rsidRPr="00F30FD1" w:rsidRDefault="00C86967" w:rsidP="00E66F7B">
            <w:pPr>
              <w:spacing w:after="0" w:line="240" w:lineRule="auto"/>
              <w:rPr>
                <w:rFonts w:eastAsia="Times New Roman" w:cs="Arial"/>
                <w:sz w:val="18"/>
                <w:szCs w:val="22"/>
                <w:lang w:val="es-MX"/>
              </w:rPr>
            </w:pPr>
            <w:r w:rsidRPr="00F30FD1">
              <w:rPr>
                <w:rFonts w:eastAsia="Times New Roman" w:cs="Arial"/>
                <w:sz w:val="18"/>
                <w:szCs w:val="22"/>
                <w:lang w:val="es-MX"/>
              </w:rPr>
              <w:t>17.19 De aquí a 2030, aprovechar las iniciativas existentes para elaborar indicadores que permitan medir los progresos en materia de desarrollo sostenible y complementen el producto interno bruto, y apoyar la creación de capacidad estadística en los países en desarrollo</w:t>
            </w:r>
          </w:p>
        </w:tc>
      </w:tr>
      <w:tr w:rsidR="00B65D72" w:rsidRPr="00F30FD1" w14:paraId="051E75CA"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E500B31" w14:textId="7777777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FCA0B3F" w14:textId="2FD05C5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 xml:space="preserve">2.- Austeridad </w:t>
            </w:r>
          </w:p>
        </w:tc>
      </w:tr>
      <w:tr w:rsidR="00B65D72" w:rsidRPr="00F30FD1" w14:paraId="173A9D5A" w14:textId="77777777" w:rsidTr="009964FA">
        <w:trPr>
          <w:trHeight w:val="20"/>
          <w:jc w:val="right"/>
        </w:trPr>
        <w:tc>
          <w:tcPr>
            <w:tcW w:w="1100"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C996A45" w14:textId="77777777"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900"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48ED97F" w14:textId="67735536" w:rsidR="00B65D72" w:rsidRPr="00F30FD1" w:rsidRDefault="00B65D72" w:rsidP="00B65D72">
            <w:pPr>
              <w:spacing w:after="0" w:line="240" w:lineRule="auto"/>
              <w:rPr>
                <w:rFonts w:eastAsia="Times New Roman" w:cs="Arial"/>
                <w:sz w:val="18"/>
                <w:szCs w:val="22"/>
                <w:lang w:val="es-MX"/>
              </w:rPr>
            </w:pPr>
            <w:r w:rsidRPr="00F30FD1">
              <w:rPr>
                <w:rFonts w:eastAsia="Times New Roman" w:cs="Arial"/>
                <w:sz w:val="18"/>
                <w:szCs w:val="22"/>
                <w:lang w:val="es-MX"/>
              </w:rPr>
              <w:t>2.3.- Recursos Financieros</w:t>
            </w:r>
          </w:p>
        </w:tc>
      </w:tr>
      <w:tr w:rsidR="00E66F7B" w:rsidRPr="00F30FD1" w14:paraId="0079528F" w14:textId="77777777" w:rsidTr="003A4B38">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EB352B9"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3329B51D"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960F92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8428E9B"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C659BE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11B1E0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85C9B7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3C5B7D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964FA" w:rsidRPr="00F30FD1" w14:paraId="6BA35A59"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BE469B7" w14:textId="08934DF2" w:rsidR="009964FA" w:rsidRPr="00F30FD1" w:rsidRDefault="009964FA" w:rsidP="00E66F7B">
            <w:pPr>
              <w:spacing w:after="0" w:line="240" w:lineRule="auto"/>
              <w:jc w:val="center"/>
              <w:rPr>
                <w:rFonts w:eastAsia="Times New Roman" w:cs="Arial"/>
                <w:sz w:val="18"/>
                <w:szCs w:val="22"/>
                <w:lang w:val="es-MX"/>
              </w:rPr>
            </w:pPr>
            <w:r w:rsidRPr="00055A15">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4B84FBF" w14:textId="2D01F5AB" w:rsidR="009964FA" w:rsidRPr="00F30FD1" w:rsidRDefault="009964FA" w:rsidP="00E66F7B">
            <w:pPr>
              <w:spacing w:after="0" w:line="240" w:lineRule="auto"/>
              <w:jc w:val="center"/>
              <w:rPr>
                <w:rFonts w:eastAsia="Times New Roman" w:cs="Arial"/>
                <w:sz w:val="18"/>
                <w:szCs w:val="22"/>
                <w:lang w:val="es-MX"/>
              </w:rPr>
            </w:pPr>
            <w:r w:rsidRPr="00055A15">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DD82A0E" w14:textId="3F83B873" w:rsidR="009964FA" w:rsidRPr="00F30FD1" w:rsidRDefault="009964FA" w:rsidP="00E66F7B">
            <w:pPr>
              <w:spacing w:after="0" w:line="240" w:lineRule="auto"/>
              <w:jc w:val="center"/>
              <w:rPr>
                <w:rFonts w:eastAsia="Times New Roman" w:cs="Arial"/>
                <w:sz w:val="18"/>
                <w:szCs w:val="22"/>
                <w:lang w:val="es-MX"/>
              </w:rPr>
            </w:pPr>
            <w:r w:rsidRPr="00055A15">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8D2227F" w14:textId="4E98F021"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0821996" w14:textId="5C40F0F6"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3A1C52DA" w14:textId="4268F871"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r>
    </w:tbl>
    <w:p w14:paraId="7B953192" w14:textId="4C881F69" w:rsidR="00457A62" w:rsidRPr="00F30FD1" w:rsidRDefault="00457A62" w:rsidP="00952E57">
      <w:pPr>
        <w:spacing w:after="0" w:line="240" w:lineRule="auto"/>
        <w:contextualSpacing/>
        <w:rPr>
          <w:rFonts w:eastAsia="Times New Roman" w:cs="Arial"/>
          <w:sz w:val="20"/>
          <w:szCs w:val="22"/>
          <w:lang w:val="es-MX"/>
        </w:rPr>
      </w:pPr>
    </w:p>
    <w:p w14:paraId="1D29DB9C"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08F22528" w14:textId="77777777" w:rsidR="00E66F7B" w:rsidRPr="00F30FD1" w:rsidRDefault="00E66F7B"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5"/>
        <w:gridCol w:w="741"/>
        <w:gridCol w:w="488"/>
        <w:gridCol w:w="1204"/>
        <w:gridCol w:w="431"/>
        <w:gridCol w:w="850"/>
        <w:gridCol w:w="618"/>
        <w:gridCol w:w="1664"/>
        <w:gridCol w:w="368"/>
        <w:gridCol w:w="2046"/>
      </w:tblGrid>
      <w:tr w:rsidR="00E66F7B" w:rsidRPr="00F30FD1" w14:paraId="728BD133"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215F625"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Programa PED</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7F90D6C2" w14:textId="1AA6B582"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0C73505E"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78E593F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1A6AC0CE" w14:textId="2AC4E294"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20. Desarrollar e implementar acciones para fortalecer el Modelo de Prevención Quintana Roo. </w:t>
            </w:r>
          </w:p>
        </w:tc>
      </w:tr>
      <w:tr w:rsidR="00E66F7B" w:rsidRPr="00F30FD1" w14:paraId="6EEC31E3" w14:textId="77777777" w:rsidTr="00084A73">
        <w:trPr>
          <w:trHeight w:val="20"/>
          <w:jc w:val="right"/>
        </w:trPr>
        <w:tc>
          <w:tcPr>
            <w:tcW w:w="1962"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3EDEDC1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8" w:type="pct"/>
            <w:gridSpan w:val="6"/>
            <w:tcBorders>
              <w:top w:val="single" w:sz="4" w:space="0" w:color="auto"/>
              <w:left w:val="single" w:sz="4" w:space="0" w:color="auto"/>
              <w:bottom w:val="single" w:sz="4" w:space="0" w:color="auto"/>
              <w:right w:val="single" w:sz="4" w:space="0" w:color="auto"/>
            </w:tcBorders>
            <w:shd w:val="clear" w:color="auto" w:fill="A6A6A6"/>
          </w:tcPr>
          <w:p w14:paraId="06AE7C88"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3101D4" w:rsidRPr="00F30FD1" w14:paraId="55FB4BF5"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642D26A"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C8F1D92" w14:textId="5A6A3676"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Información en sistemas de transparencia estatal y federal</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96E6DFE" w14:textId="329452AE"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C7E57CE" w14:textId="50367EF8" w:rsidR="003101D4" w:rsidRPr="00F30FD1" w:rsidRDefault="0033590E" w:rsidP="003101D4">
            <w:pPr>
              <w:spacing w:after="0" w:line="240" w:lineRule="auto"/>
              <w:rPr>
                <w:rFonts w:eastAsia="Times New Roman" w:cs="Arial"/>
                <w:sz w:val="18"/>
                <w:szCs w:val="22"/>
                <w:lang w:val="es-MX"/>
              </w:rPr>
            </w:pPr>
            <w:r w:rsidRPr="00F30FD1">
              <w:rPr>
                <w:rFonts w:eastAsia="Times New Roman" w:cs="Arial"/>
                <w:sz w:val="18"/>
                <w:szCs w:val="22"/>
                <w:lang w:val="es-MX"/>
              </w:rPr>
              <w:t>Información Generada</w:t>
            </w:r>
          </w:p>
        </w:tc>
      </w:tr>
      <w:tr w:rsidR="003101D4" w:rsidRPr="00F30FD1" w14:paraId="1D57C119"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249DD2D8"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5AE5DF7" w14:textId="2356CB4B"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 xml:space="preserve">Cumplir con la entrega en tiempo y forma de la información solicitada en las plataformas de transparencia tanto federal como estatal </w:t>
            </w:r>
          </w:p>
        </w:tc>
      </w:tr>
      <w:tr w:rsidR="003101D4" w:rsidRPr="00F30FD1" w14:paraId="14E2743C"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A9792EE"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3EC8CCD" w14:textId="7489D5A4" w:rsidR="003101D4" w:rsidRPr="00F30FD1" w:rsidRDefault="0033590E" w:rsidP="003101D4">
            <w:pPr>
              <w:spacing w:after="0" w:line="240" w:lineRule="auto"/>
              <w:rPr>
                <w:rFonts w:eastAsia="Times New Roman" w:cs="Arial"/>
                <w:sz w:val="18"/>
                <w:szCs w:val="22"/>
                <w:lang w:val="es-MX"/>
              </w:rPr>
            </w:pPr>
            <w:r w:rsidRPr="00F30FD1">
              <w:rPr>
                <w:rFonts w:eastAsia="Times New Roman" w:cs="Arial"/>
                <w:sz w:val="18"/>
                <w:szCs w:val="22"/>
                <w:lang w:val="es-MX"/>
              </w:rPr>
              <w:t>Reporte generado por el Sistema de Transparencia</w:t>
            </w:r>
          </w:p>
        </w:tc>
      </w:tr>
      <w:tr w:rsidR="003101D4" w:rsidRPr="00F30FD1" w14:paraId="1DED7AAE"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E91DA84"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C78E70C" w14:textId="0D533D29" w:rsidR="003101D4" w:rsidRPr="00F30FD1" w:rsidRDefault="0033590E" w:rsidP="003101D4">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544A32E" w14:textId="11458D0E"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5350429" w14:textId="330F2F2B" w:rsidR="003101D4" w:rsidRPr="00F30FD1" w:rsidRDefault="0033590E" w:rsidP="003101D4">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3101D4" w:rsidRPr="00F30FD1" w14:paraId="2C008EC4"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A881A43"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126446E6" w14:textId="617346A9" w:rsidR="003101D4" w:rsidRPr="00F30FD1" w:rsidRDefault="0033590E" w:rsidP="003101D4">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3101D4" w:rsidRPr="00F30FD1" w14:paraId="677F8CFA"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C71CB4C"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E697925" w14:textId="77777777" w:rsidR="0033590E" w:rsidRPr="00F30FD1" w:rsidRDefault="0033590E" w:rsidP="0033590E">
            <w:pPr>
              <w:spacing w:after="0" w:line="240" w:lineRule="auto"/>
              <w:rPr>
                <w:rFonts w:eastAsia="Times New Roman" w:cs="Arial"/>
                <w:sz w:val="18"/>
                <w:szCs w:val="22"/>
                <w:lang w:val="es-MX"/>
              </w:rPr>
            </w:pPr>
            <w:r w:rsidRPr="00F30FD1">
              <w:rPr>
                <w:rFonts w:eastAsia="Times New Roman" w:cs="Arial"/>
                <w:sz w:val="18"/>
                <w:szCs w:val="22"/>
                <w:lang w:val="es-MX"/>
              </w:rPr>
              <w:t>17.13 Aumentar la estabilidad macroeconómica mundial, incluso mediante la coordinación y coherencia de las políticas</w:t>
            </w:r>
          </w:p>
          <w:p w14:paraId="2490F123" w14:textId="2C85AF31" w:rsidR="003101D4" w:rsidRPr="00F30FD1" w:rsidRDefault="003101D4" w:rsidP="003101D4">
            <w:pPr>
              <w:spacing w:after="0" w:line="240" w:lineRule="auto"/>
              <w:rPr>
                <w:rFonts w:eastAsia="Times New Roman" w:cs="Arial"/>
                <w:sz w:val="18"/>
                <w:szCs w:val="22"/>
                <w:lang w:val="es-MX"/>
              </w:rPr>
            </w:pPr>
          </w:p>
        </w:tc>
      </w:tr>
      <w:tr w:rsidR="003101D4" w:rsidRPr="00F30FD1" w14:paraId="7745A4DD"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35034AE"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701B33A" w14:textId="6C8D6DCA" w:rsidR="003101D4" w:rsidRPr="00F30FD1" w:rsidRDefault="0055725A" w:rsidP="003101D4">
            <w:pPr>
              <w:spacing w:after="0" w:line="240" w:lineRule="auto"/>
              <w:rPr>
                <w:rFonts w:eastAsia="Times New Roman" w:cs="Arial"/>
                <w:sz w:val="18"/>
                <w:szCs w:val="22"/>
                <w:lang w:val="es-MX"/>
              </w:rPr>
            </w:pPr>
            <w:r w:rsidRPr="00F30FD1">
              <w:rPr>
                <w:rFonts w:eastAsia="Times New Roman" w:cs="Arial"/>
                <w:sz w:val="18"/>
                <w:szCs w:val="22"/>
                <w:lang w:val="es-MX"/>
              </w:rPr>
              <w:t>28.- Prevención del Delito</w:t>
            </w:r>
          </w:p>
        </w:tc>
      </w:tr>
      <w:tr w:rsidR="00E66F7B" w:rsidRPr="00F30FD1" w14:paraId="76004052" w14:textId="77777777" w:rsidTr="00084A73">
        <w:trPr>
          <w:trHeight w:val="20"/>
          <w:jc w:val="right"/>
        </w:trPr>
        <w:tc>
          <w:tcPr>
            <w:tcW w:w="1102"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5D2A89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8"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D9AC83A" w14:textId="790D529C" w:rsidR="00E66F7B" w:rsidRPr="00F30FD1" w:rsidRDefault="0055725A" w:rsidP="00E66F7B">
            <w:pPr>
              <w:spacing w:after="0" w:line="240" w:lineRule="auto"/>
              <w:rPr>
                <w:rFonts w:eastAsia="Times New Roman" w:cs="Arial"/>
                <w:sz w:val="18"/>
                <w:szCs w:val="22"/>
                <w:lang w:val="es-MX"/>
              </w:rPr>
            </w:pPr>
            <w:r w:rsidRPr="00F30FD1">
              <w:rPr>
                <w:rFonts w:eastAsia="Times New Roman" w:cs="Arial"/>
                <w:sz w:val="18"/>
                <w:szCs w:val="22"/>
                <w:lang w:val="es-MX"/>
              </w:rPr>
              <w:t>28.1.- Atención a factores de riesgo social.</w:t>
            </w:r>
          </w:p>
        </w:tc>
      </w:tr>
      <w:tr w:rsidR="00E66F7B" w:rsidRPr="00F30FD1" w14:paraId="45A59552" w14:textId="77777777" w:rsidTr="00084A73">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2B06F2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5A966ABE" w14:textId="77777777" w:rsidTr="00084A73">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C5E3651"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556B5D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A8BC377"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4ED68073"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60A9BEA"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300C1535"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BA1EEE" w:rsidRPr="00F30FD1" w14:paraId="5B8DDDC3" w14:textId="77777777" w:rsidTr="00084A73">
        <w:trPr>
          <w:trHeight w:val="20"/>
          <w:jc w:val="right"/>
        </w:trPr>
        <w:tc>
          <w:tcPr>
            <w:tcW w:w="725"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DB64CEF" w14:textId="20F85091"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65B2532D" w14:textId="71379886"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52DC3D6" w14:textId="7CE34250" w:rsidR="00BA1EEE"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7BE9E17" w14:textId="3F94BB78" w:rsidR="00BA1EEE" w:rsidRPr="00F30FD1" w:rsidRDefault="003101D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76C3BEC8" w14:textId="47E8B23A" w:rsidR="00BA1EEE" w:rsidRPr="00F30FD1" w:rsidRDefault="003101D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E7AE41C" w14:textId="450A276C" w:rsidR="00BA1EEE" w:rsidRPr="00F30FD1" w:rsidRDefault="003101D4"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100</w:t>
            </w:r>
          </w:p>
        </w:tc>
      </w:tr>
    </w:tbl>
    <w:p w14:paraId="259BBA02" w14:textId="34A64F9F" w:rsidR="00457A62" w:rsidRPr="00F30FD1" w:rsidRDefault="00457A62" w:rsidP="00952E57">
      <w:pPr>
        <w:spacing w:after="0" w:line="240" w:lineRule="auto"/>
        <w:contextualSpacing/>
        <w:rPr>
          <w:rFonts w:eastAsia="Times New Roman" w:cs="Arial"/>
          <w:sz w:val="20"/>
          <w:szCs w:val="22"/>
          <w:lang w:val="es-MX"/>
        </w:rPr>
      </w:pPr>
    </w:p>
    <w:p w14:paraId="6B494A58" w14:textId="77777777" w:rsidR="00457A62" w:rsidRPr="00F30FD1" w:rsidRDefault="00457A62">
      <w:pPr>
        <w:spacing w:after="0" w:line="240" w:lineRule="auto"/>
        <w:jc w:val="left"/>
        <w:rPr>
          <w:rFonts w:eastAsia="Times New Roman" w:cs="Arial"/>
          <w:sz w:val="20"/>
          <w:szCs w:val="22"/>
          <w:lang w:val="es-MX"/>
        </w:rPr>
      </w:pPr>
      <w:r w:rsidRPr="00F30FD1">
        <w:rPr>
          <w:rFonts w:eastAsia="Times New Roman" w:cs="Arial"/>
          <w:sz w:val="20"/>
          <w:szCs w:val="22"/>
          <w:lang w:val="es-MX"/>
        </w:rPr>
        <w:br w:type="page"/>
      </w:r>
    </w:p>
    <w:p w14:paraId="048670E9" w14:textId="77777777" w:rsidR="008B6800" w:rsidRPr="00F30FD1" w:rsidRDefault="008B6800" w:rsidP="00952E57">
      <w:pPr>
        <w:spacing w:after="0" w:line="240" w:lineRule="auto"/>
        <w:contextualSpacing/>
        <w:rPr>
          <w:rFonts w:eastAsia="Times New Roman" w:cs="Arial"/>
          <w:sz w:val="20"/>
          <w:szCs w:val="22"/>
          <w:lang w:val="es-MX"/>
        </w:rPr>
      </w:pPr>
    </w:p>
    <w:tbl>
      <w:tblPr>
        <w:tblW w:w="5000" w:type="pct"/>
        <w:jc w:val="right"/>
        <w:tblCellMar>
          <w:left w:w="0" w:type="dxa"/>
          <w:right w:w="0" w:type="dxa"/>
        </w:tblCellMar>
        <w:tblLook w:val="0420" w:firstRow="1" w:lastRow="0" w:firstColumn="0" w:lastColumn="0" w:noHBand="0" w:noVBand="1"/>
      </w:tblPr>
      <w:tblGrid>
        <w:gridCol w:w="1423"/>
        <w:gridCol w:w="741"/>
        <w:gridCol w:w="488"/>
        <w:gridCol w:w="1204"/>
        <w:gridCol w:w="431"/>
        <w:gridCol w:w="850"/>
        <w:gridCol w:w="618"/>
        <w:gridCol w:w="1664"/>
        <w:gridCol w:w="368"/>
        <w:gridCol w:w="2048"/>
      </w:tblGrid>
      <w:tr w:rsidR="00E66F7B" w:rsidRPr="00F30FD1" w14:paraId="1BFA746C"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789E8B8" w14:textId="27ABB33A" w:rsidR="00E66F7B" w:rsidRPr="00F30FD1" w:rsidRDefault="008B6800" w:rsidP="00E66F7B">
            <w:pPr>
              <w:spacing w:after="0" w:line="240" w:lineRule="auto"/>
              <w:rPr>
                <w:rFonts w:eastAsia="Times New Roman" w:cs="Arial"/>
                <w:sz w:val="18"/>
                <w:szCs w:val="22"/>
                <w:lang w:val="es-MX"/>
              </w:rPr>
            </w:pPr>
            <w:r w:rsidRPr="00F30FD1">
              <w:rPr>
                <w:rFonts w:eastAsia="Times New Roman" w:cs="Arial"/>
                <w:sz w:val="20"/>
                <w:szCs w:val="22"/>
                <w:lang w:val="es-MX"/>
              </w:rPr>
              <w:br w:type="page"/>
            </w:r>
            <w:r w:rsidR="00E66F7B" w:rsidRPr="00F30FD1">
              <w:rPr>
                <w:rFonts w:eastAsia="Times New Roman" w:cs="Arial"/>
                <w:sz w:val="18"/>
                <w:szCs w:val="22"/>
                <w:lang w:val="es-MX"/>
              </w:rPr>
              <w:t>Programa PED</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60B1B1AF" w14:textId="3B983D83" w:rsidR="00E66F7B" w:rsidRPr="00F30FD1" w:rsidRDefault="00BA1EEE" w:rsidP="00E66F7B">
            <w:pPr>
              <w:spacing w:after="0" w:line="240" w:lineRule="auto"/>
              <w:rPr>
                <w:rFonts w:eastAsia="Times New Roman" w:cs="Arial"/>
                <w:sz w:val="18"/>
                <w:szCs w:val="22"/>
                <w:lang w:val="es-MX"/>
              </w:rPr>
            </w:pPr>
            <w:r w:rsidRPr="00F30FD1">
              <w:rPr>
                <w:rFonts w:eastAsia="Times New Roman" w:cs="Arial"/>
                <w:sz w:val="18"/>
                <w:szCs w:val="22"/>
                <w:lang w:val="es-MX"/>
              </w:rPr>
              <w:t>19. Planeación y Evaluación Estratégica</w:t>
            </w:r>
          </w:p>
        </w:tc>
      </w:tr>
      <w:tr w:rsidR="00E66F7B" w:rsidRPr="00F30FD1" w14:paraId="5D5993CF"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hideMark/>
          </w:tcPr>
          <w:p w14:paraId="725111A6"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Línea de acción: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2B1EF2E9" w14:textId="2DFA9F30" w:rsidR="00E66F7B" w:rsidRPr="00F30FD1" w:rsidRDefault="00FF61B9" w:rsidP="00FF61B9">
            <w:pPr>
              <w:spacing w:after="0" w:line="240" w:lineRule="auto"/>
              <w:rPr>
                <w:rFonts w:eastAsia="Times New Roman" w:cs="Arial"/>
                <w:sz w:val="18"/>
                <w:szCs w:val="22"/>
                <w:lang w:val="es-MX"/>
              </w:rPr>
            </w:pPr>
            <w:r w:rsidRPr="00F30FD1">
              <w:rPr>
                <w:rFonts w:eastAsia="Times New Roman" w:cs="Arial"/>
                <w:sz w:val="18"/>
                <w:szCs w:val="22"/>
                <w:lang w:val="es-MX"/>
              </w:rPr>
              <w:t xml:space="preserve">21. Impulsar e implementar acciones permanentes en materia de promoción, protección y defensa de los Derechos Humanos, con la aplicación de planteamientos legales, estructurales, así como la constante formación de los Servidores Públicos fortaleciendo el ejercicio de los Derechos Humanos de los ciudadanos. </w:t>
            </w:r>
          </w:p>
        </w:tc>
      </w:tr>
      <w:tr w:rsidR="00E66F7B" w:rsidRPr="00F30FD1" w14:paraId="4352FBD6" w14:textId="77777777" w:rsidTr="009964FA">
        <w:trPr>
          <w:trHeight w:val="20"/>
          <w:jc w:val="right"/>
        </w:trPr>
        <w:tc>
          <w:tcPr>
            <w:tcW w:w="1961" w:type="pct"/>
            <w:gridSpan w:val="4"/>
            <w:tcBorders>
              <w:top w:val="single" w:sz="4" w:space="0" w:color="auto"/>
              <w:left w:val="single" w:sz="4" w:space="0" w:color="auto"/>
              <w:bottom w:val="single" w:sz="4" w:space="0" w:color="auto"/>
              <w:right w:val="single" w:sz="4" w:space="0" w:color="auto"/>
            </w:tcBorders>
            <w:shd w:val="clear" w:color="auto" w:fill="A6A6A6"/>
            <w:tcMar>
              <w:top w:w="72" w:type="dxa"/>
              <w:left w:w="144" w:type="dxa"/>
              <w:bottom w:w="72" w:type="dxa"/>
              <w:right w:w="144" w:type="dxa"/>
            </w:tcMar>
          </w:tcPr>
          <w:p w14:paraId="50884AC2"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Plan Estratégico Objetivo Especifico</w:t>
            </w:r>
          </w:p>
        </w:tc>
        <w:tc>
          <w:tcPr>
            <w:tcW w:w="3039" w:type="pct"/>
            <w:gridSpan w:val="6"/>
            <w:tcBorders>
              <w:top w:val="single" w:sz="4" w:space="0" w:color="auto"/>
              <w:left w:val="single" w:sz="4" w:space="0" w:color="auto"/>
              <w:bottom w:val="single" w:sz="4" w:space="0" w:color="auto"/>
              <w:right w:val="single" w:sz="4" w:space="0" w:color="auto"/>
            </w:tcBorders>
            <w:shd w:val="clear" w:color="auto" w:fill="A6A6A6"/>
          </w:tcPr>
          <w:p w14:paraId="17A8D72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3.2 Transparentar las acciones de gobierno y la rendición de cuentas/</w:t>
            </w:r>
          </w:p>
        </w:tc>
      </w:tr>
      <w:tr w:rsidR="003101D4" w:rsidRPr="00F30FD1" w14:paraId="1A969062"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1942691"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Entregable: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0B98831D" w14:textId="27525494" w:rsidR="003101D4" w:rsidRPr="00F30FD1" w:rsidRDefault="00BE246F" w:rsidP="003101D4">
            <w:pPr>
              <w:spacing w:after="0" w:line="240" w:lineRule="auto"/>
              <w:rPr>
                <w:rFonts w:eastAsia="Times New Roman" w:cs="Arial"/>
                <w:sz w:val="18"/>
                <w:szCs w:val="22"/>
                <w:lang w:val="es-MX"/>
              </w:rPr>
            </w:pPr>
            <w:r w:rsidRPr="00F30FD1">
              <w:rPr>
                <w:rFonts w:eastAsia="Times New Roman" w:cs="Arial"/>
                <w:sz w:val="18"/>
                <w:szCs w:val="22"/>
                <w:lang w:val="es-MX"/>
              </w:rPr>
              <w:t xml:space="preserve">Porcentaje de Constancias  entregadas al personal </w:t>
            </w:r>
            <w:r w:rsidR="003101D4" w:rsidRPr="00F30FD1">
              <w:rPr>
                <w:rFonts w:eastAsia="Times New Roman" w:cs="Arial"/>
                <w:sz w:val="18"/>
                <w:szCs w:val="22"/>
                <w:lang w:val="es-MX"/>
              </w:rPr>
              <w:t xml:space="preserve"> </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4EA9B5E" w14:textId="186B1199"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Unidad de Medida:</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675748F3" w14:textId="21A0296F" w:rsidR="003101D4" w:rsidRPr="00F30FD1" w:rsidRDefault="00BE246F" w:rsidP="003101D4">
            <w:pPr>
              <w:spacing w:after="0" w:line="240" w:lineRule="auto"/>
              <w:rPr>
                <w:rFonts w:eastAsia="Times New Roman" w:cs="Arial"/>
                <w:sz w:val="18"/>
                <w:szCs w:val="22"/>
                <w:lang w:val="es-MX"/>
              </w:rPr>
            </w:pPr>
            <w:r w:rsidRPr="00F30FD1">
              <w:rPr>
                <w:rFonts w:eastAsia="Times New Roman" w:cs="Arial"/>
                <w:sz w:val="18"/>
                <w:szCs w:val="22"/>
                <w:lang w:val="es-MX"/>
              </w:rPr>
              <w:t>Porcentaje</w:t>
            </w:r>
          </w:p>
        </w:tc>
      </w:tr>
      <w:tr w:rsidR="003101D4" w:rsidRPr="00F30FD1" w14:paraId="20966A54"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1D2DCDFB"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Descripción: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0143C983" w14:textId="52E207C3" w:rsidR="003101D4" w:rsidRPr="00F30FD1" w:rsidRDefault="00BE246F" w:rsidP="003101D4">
            <w:pPr>
              <w:spacing w:after="0" w:line="240" w:lineRule="auto"/>
              <w:rPr>
                <w:rFonts w:eastAsia="Times New Roman" w:cs="Arial"/>
                <w:sz w:val="18"/>
                <w:szCs w:val="22"/>
                <w:lang w:val="es-MX"/>
              </w:rPr>
            </w:pPr>
            <w:r w:rsidRPr="00F30FD1">
              <w:rPr>
                <w:rFonts w:eastAsia="Times New Roman" w:cs="Arial"/>
                <w:sz w:val="18"/>
                <w:szCs w:val="22"/>
                <w:lang w:val="es-MX"/>
              </w:rPr>
              <w:t>Constancias</w:t>
            </w:r>
            <w:r w:rsidR="003101D4" w:rsidRPr="00F30FD1">
              <w:rPr>
                <w:rFonts w:eastAsia="Times New Roman" w:cs="Arial"/>
                <w:sz w:val="18"/>
                <w:szCs w:val="22"/>
                <w:lang w:val="es-MX"/>
              </w:rPr>
              <w:t xml:space="preserve"> de </w:t>
            </w:r>
            <w:r w:rsidRPr="00F30FD1">
              <w:rPr>
                <w:rFonts w:eastAsia="Times New Roman" w:cs="Arial"/>
                <w:sz w:val="18"/>
                <w:szCs w:val="22"/>
                <w:lang w:val="es-MX"/>
              </w:rPr>
              <w:t>certificación</w:t>
            </w:r>
            <w:r w:rsidR="003101D4" w:rsidRPr="00F30FD1">
              <w:rPr>
                <w:rFonts w:eastAsia="Times New Roman" w:cs="Arial"/>
                <w:sz w:val="18"/>
                <w:szCs w:val="22"/>
                <w:lang w:val="es-MX"/>
              </w:rPr>
              <w:t xml:space="preserve"> del 100 % del personal que integra el IDEFIN</w:t>
            </w:r>
          </w:p>
        </w:tc>
      </w:tr>
      <w:tr w:rsidR="003101D4" w:rsidRPr="00F30FD1" w14:paraId="44E67E1E"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579D3C9"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Medio de verificación:</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DBE9EFF" w14:textId="6338C754"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Constancia</w:t>
            </w:r>
            <w:r w:rsidR="00BE246F" w:rsidRPr="00F30FD1">
              <w:rPr>
                <w:rFonts w:eastAsia="Times New Roman" w:cs="Arial"/>
                <w:sz w:val="18"/>
                <w:szCs w:val="22"/>
                <w:lang w:val="es-MX"/>
              </w:rPr>
              <w:t xml:space="preserve"> con validez</w:t>
            </w:r>
          </w:p>
        </w:tc>
      </w:tr>
      <w:tr w:rsidR="003101D4" w:rsidRPr="00F30FD1" w14:paraId="4604BBC7"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9812AE0"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Línea base:</w:t>
            </w:r>
          </w:p>
        </w:tc>
        <w:tc>
          <w:tcPr>
            <w:tcW w:w="1511" w:type="pct"/>
            <w:gridSpan w:val="4"/>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4B56B561" w14:textId="4F2FB7E1" w:rsidR="003101D4" w:rsidRPr="00F30FD1" w:rsidRDefault="00BE246F" w:rsidP="003101D4">
            <w:pPr>
              <w:spacing w:after="0" w:line="240" w:lineRule="auto"/>
              <w:rPr>
                <w:rFonts w:eastAsia="Times New Roman" w:cs="Arial"/>
                <w:sz w:val="18"/>
                <w:szCs w:val="22"/>
                <w:lang w:val="es-MX"/>
              </w:rPr>
            </w:pPr>
            <w:r w:rsidRPr="00F30FD1">
              <w:rPr>
                <w:rFonts w:eastAsia="Times New Roman" w:cs="Arial"/>
                <w:sz w:val="18"/>
                <w:szCs w:val="22"/>
                <w:lang w:val="es-MX"/>
              </w:rPr>
              <w:t>0</w:t>
            </w:r>
          </w:p>
        </w:tc>
        <w:tc>
          <w:tcPr>
            <w:tcW w:w="1347" w:type="pct"/>
            <w:gridSpan w:val="3"/>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58793A8E" w14:textId="4EDCB9E9"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Año de línea base:</w:t>
            </w:r>
          </w:p>
        </w:tc>
        <w:tc>
          <w:tcPr>
            <w:tcW w:w="1040"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3DC83E24" w14:textId="13FA1300" w:rsidR="003101D4" w:rsidRPr="00F30FD1" w:rsidRDefault="00BE246F" w:rsidP="003101D4">
            <w:pPr>
              <w:spacing w:after="0" w:line="240" w:lineRule="auto"/>
              <w:rPr>
                <w:rFonts w:eastAsia="Times New Roman" w:cs="Arial"/>
                <w:sz w:val="18"/>
                <w:szCs w:val="22"/>
                <w:lang w:val="es-MX"/>
              </w:rPr>
            </w:pPr>
            <w:r w:rsidRPr="00F30FD1">
              <w:rPr>
                <w:rFonts w:eastAsia="Times New Roman" w:cs="Arial"/>
                <w:sz w:val="18"/>
                <w:szCs w:val="22"/>
                <w:lang w:val="es-MX"/>
              </w:rPr>
              <w:t>2019</w:t>
            </w:r>
          </w:p>
        </w:tc>
      </w:tr>
      <w:tr w:rsidR="003101D4" w:rsidRPr="00F30FD1" w14:paraId="2D6F7374"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EA48CD2"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Contribución Directa al Objetivo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9BB31B9" w14:textId="7BDDAEA9" w:rsidR="003101D4" w:rsidRPr="00F30FD1" w:rsidRDefault="00BE246F" w:rsidP="003101D4">
            <w:pPr>
              <w:spacing w:after="0" w:line="240" w:lineRule="auto"/>
              <w:rPr>
                <w:rFonts w:eastAsia="Times New Roman" w:cs="Arial"/>
                <w:sz w:val="18"/>
                <w:szCs w:val="22"/>
                <w:lang w:val="es-MX"/>
              </w:rPr>
            </w:pPr>
            <w:r w:rsidRPr="00F30FD1">
              <w:rPr>
                <w:rFonts w:eastAsia="Times New Roman" w:cs="Arial"/>
                <w:sz w:val="18"/>
                <w:szCs w:val="22"/>
                <w:lang w:val="es-MX"/>
              </w:rPr>
              <w:t>17. Alianza para lograr los objetivos</w:t>
            </w:r>
          </w:p>
        </w:tc>
      </w:tr>
      <w:tr w:rsidR="003101D4" w:rsidRPr="00F30FD1" w14:paraId="4C7CA05A"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27ACFC8A" w14:textId="77777777" w:rsidR="003101D4" w:rsidRPr="00F30FD1" w:rsidRDefault="003101D4" w:rsidP="003101D4">
            <w:pPr>
              <w:spacing w:after="0" w:line="240" w:lineRule="auto"/>
              <w:rPr>
                <w:rFonts w:eastAsia="Times New Roman" w:cs="Arial"/>
                <w:sz w:val="18"/>
                <w:szCs w:val="22"/>
                <w:lang w:val="es-MX"/>
              </w:rPr>
            </w:pPr>
            <w:r w:rsidRPr="00F30FD1">
              <w:rPr>
                <w:rFonts w:eastAsia="Times New Roman" w:cs="Arial"/>
                <w:sz w:val="18"/>
                <w:szCs w:val="22"/>
                <w:lang w:val="es-MX"/>
              </w:rPr>
              <w:t>Contribución Directa  a la Meta de la Agenda 2030</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44D2539" w14:textId="77777777" w:rsidR="00BE246F" w:rsidRPr="00F30FD1" w:rsidRDefault="00BE246F" w:rsidP="00BE246F">
            <w:pPr>
              <w:spacing w:after="0" w:line="240" w:lineRule="auto"/>
              <w:rPr>
                <w:rFonts w:eastAsia="Times New Roman" w:cs="Arial"/>
                <w:sz w:val="18"/>
                <w:szCs w:val="22"/>
                <w:lang w:val="es-MX"/>
              </w:rPr>
            </w:pPr>
            <w:r w:rsidRPr="00F30FD1">
              <w:rPr>
                <w:rFonts w:eastAsia="Times New Roman" w:cs="Arial"/>
                <w:sz w:val="18"/>
                <w:szCs w:val="22"/>
                <w:lang w:val="es-MX"/>
              </w:rPr>
              <w:t>17.13 Aumentar la estabilidad macroeconómica mundial, incluso mediante la coordinación y coherencia de las políticas</w:t>
            </w:r>
          </w:p>
          <w:p w14:paraId="3260F3FB" w14:textId="1889AD61" w:rsidR="003101D4" w:rsidRPr="00F30FD1" w:rsidRDefault="003101D4" w:rsidP="003101D4">
            <w:pPr>
              <w:spacing w:after="0" w:line="240" w:lineRule="auto"/>
              <w:rPr>
                <w:rFonts w:eastAsia="Times New Roman" w:cs="Arial"/>
                <w:sz w:val="18"/>
                <w:szCs w:val="22"/>
                <w:lang w:val="es-MX"/>
              </w:rPr>
            </w:pPr>
          </w:p>
        </w:tc>
      </w:tr>
      <w:tr w:rsidR="00E66F7B" w:rsidRPr="00F30FD1" w14:paraId="15F7916D"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64207110"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4B9E60E2" w14:textId="3D8BB431" w:rsidR="00E66F7B" w:rsidRPr="00F30FD1" w:rsidRDefault="00BE246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1B6B39AB" w14:textId="77777777" w:rsidTr="009964FA">
        <w:trPr>
          <w:trHeight w:val="20"/>
          <w:jc w:val="right"/>
        </w:trPr>
        <w:tc>
          <w:tcPr>
            <w:tcW w:w="110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592B579" w14:textId="77777777" w:rsidR="00E66F7B" w:rsidRPr="00F30FD1" w:rsidRDefault="00E66F7B" w:rsidP="00E66F7B">
            <w:pPr>
              <w:spacing w:after="0" w:line="240" w:lineRule="auto"/>
              <w:rPr>
                <w:rFonts w:eastAsia="Times New Roman" w:cs="Arial"/>
                <w:sz w:val="18"/>
                <w:szCs w:val="22"/>
                <w:lang w:val="es-MX"/>
              </w:rPr>
            </w:pPr>
            <w:r w:rsidRPr="00F30FD1">
              <w:rPr>
                <w:rFonts w:eastAsia="Times New Roman" w:cs="Arial"/>
                <w:sz w:val="18"/>
                <w:szCs w:val="22"/>
                <w:lang w:val="es-MX"/>
              </w:rPr>
              <w:t>Subtema Prioritario de Quintana Roo</w:t>
            </w:r>
          </w:p>
        </w:tc>
        <w:tc>
          <w:tcPr>
            <w:tcW w:w="3899" w:type="pct"/>
            <w:gridSpan w:val="8"/>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848C99B" w14:textId="2DDC6E57" w:rsidR="00E66F7B" w:rsidRPr="00F30FD1" w:rsidRDefault="00BE246F" w:rsidP="00E66F7B">
            <w:pPr>
              <w:spacing w:after="0" w:line="240" w:lineRule="auto"/>
              <w:rPr>
                <w:rFonts w:eastAsia="Times New Roman" w:cs="Arial"/>
                <w:sz w:val="18"/>
                <w:szCs w:val="22"/>
                <w:lang w:val="es-MX"/>
              </w:rPr>
            </w:pPr>
            <w:r w:rsidRPr="00F30FD1">
              <w:rPr>
                <w:rFonts w:eastAsia="Times New Roman" w:cs="Arial"/>
                <w:sz w:val="18"/>
                <w:szCs w:val="22"/>
                <w:lang w:val="es-MX"/>
              </w:rPr>
              <w:t>N/A</w:t>
            </w:r>
          </w:p>
        </w:tc>
      </w:tr>
      <w:tr w:rsidR="00E66F7B" w:rsidRPr="00F30FD1" w14:paraId="6338BE20" w14:textId="77777777" w:rsidTr="00084A73">
        <w:trPr>
          <w:trHeight w:val="20"/>
          <w:jc w:val="right"/>
        </w:trPr>
        <w:tc>
          <w:tcPr>
            <w:tcW w:w="5000" w:type="pct"/>
            <w:gridSpan w:val="10"/>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14:paraId="7B90206C"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Meta Total</w:t>
            </w:r>
          </w:p>
        </w:tc>
      </w:tr>
      <w:tr w:rsidR="00E66F7B" w:rsidRPr="00F30FD1" w14:paraId="7277B85B"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12E2CB3D"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2017</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19B8F1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2018</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67CC69F2"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2019</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280962E6"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0B23E04F"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2021</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hideMark/>
          </w:tcPr>
          <w:p w14:paraId="7A60E680" w14:textId="77777777" w:rsidR="00E66F7B" w:rsidRPr="00F30FD1" w:rsidRDefault="00E66F7B"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2022</w:t>
            </w:r>
          </w:p>
        </w:tc>
      </w:tr>
      <w:tr w:rsidR="009964FA" w:rsidRPr="00F30FD1" w14:paraId="38C36280" w14:textId="77777777" w:rsidTr="009964FA">
        <w:trPr>
          <w:trHeight w:val="20"/>
          <w:jc w:val="right"/>
        </w:trPr>
        <w:tc>
          <w:tcPr>
            <w:tcW w:w="724"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3766983D" w14:textId="3242F440" w:rsidR="009964FA" w:rsidRPr="00F30FD1" w:rsidRDefault="009964FA" w:rsidP="00E66F7B">
            <w:pPr>
              <w:spacing w:after="0" w:line="240" w:lineRule="auto"/>
              <w:jc w:val="center"/>
              <w:rPr>
                <w:rFonts w:eastAsia="Times New Roman" w:cs="Arial"/>
                <w:sz w:val="18"/>
                <w:szCs w:val="22"/>
                <w:lang w:val="es-MX"/>
              </w:rPr>
            </w:pPr>
            <w:r w:rsidRPr="00823049">
              <w:rPr>
                <w:rFonts w:eastAsia="Times New Roman" w:cs="Arial"/>
                <w:sz w:val="18"/>
                <w:szCs w:val="22"/>
                <w:lang w:val="es-MX"/>
              </w:rPr>
              <w:t>0%</w:t>
            </w:r>
          </w:p>
        </w:tc>
        <w:tc>
          <w:tcPr>
            <w:tcW w:w="625"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75EB1B2C" w14:textId="3490E91C" w:rsidR="009964FA" w:rsidRPr="00F30FD1" w:rsidRDefault="009964FA" w:rsidP="00E66F7B">
            <w:pPr>
              <w:spacing w:after="0" w:line="240" w:lineRule="auto"/>
              <w:jc w:val="center"/>
              <w:rPr>
                <w:rFonts w:eastAsia="Times New Roman" w:cs="Arial"/>
                <w:sz w:val="18"/>
                <w:szCs w:val="22"/>
                <w:lang w:val="es-MX"/>
              </w:rPr>
            </w:pPr>
            <w:r w:rsidRPr="00823049">
              <w:rPr>
                <w:rFonts w:eastAsia="Times New Roman" w:cs="Arial"/>
                <w:sz w:val="18"/>
                <w:szCs w:val="22"/>
                <w:lang w:val="es-MX"/>
              </w:rPr>
              <w:t>0%</w:t>
            </w:r>
          </w:p>
        </w:tc>
        <w:tc>
          <w:tcPr>
            <w:tcW w:w="831"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14:paraId="577E5DF8" w14:textId="1096347B" w:rsidR="009964FA" w:rsidRPr="00F30FD1" w:rsidRDefault="009964FA" w:rsidP="00E66F7B">
            <w:pPr>
              <w:spacing w:after="0" w:line="240" w:lineRule="auto"/>
              <w:jc w:val="center"/>
              <w:rPr>
                <w:rFonts w:eastAsia="Times New Roman" w:cs="Arial"/>
                <w:sz w:val="18"/>
                <w:szCs w:val="22"/>
                <w:lang w:val="es-MX"/>
              </w:rPr>
            </w:pPr>
            <w:r w:rsidRPr="00823049">
              <w:rPr>
                <w:rFonts w:eastAsia="Times New Roman" w:cs="Arial"/>
                <w:sz w:val="18"/>
                <w:szCs w:val="22"/>
                <w:lang w:val="es-MX"/>
              </w:rPr>
              <w:t>0%</w:t>
            </w:r>
          </w:p>
        </w:tc>
        <w:tc>
          <w:tcPr>
            <w:tcW w:w="746"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25E7DE05" w14:textId="4BD4ED5D"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50%</w:t>
            </w:r>
          </w:p>
        </w:tc>
        <w:tc>
          <w:tcPr>
            <w:tcW w:w="846" w:type="pct"/>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4B3D2102" w14:textId="7FFF0D39" w:rsidR="009964FA" w:rsidRPr="00F30FD1" w:rsidRDefault="009964FA" w:rsidP="00E66F7B">
            <w:pPr>
              <w:spacing w:after="0" w:line="240" w:lineRule="auto"/>
              <w:jc w:val="center"/>
              <w:rPr>
                <w:rFonts w:eastAsia="Times New Roman" w:cs="Arial"/>
                <w:sz w:val="18"/>
                <w:szCs w:val="22"/>
                <w:lang w:val="es-MX"/>
              </w:rPr>
            </w:pPr>
            <w:r w:rsidRPr="00F30FD1">
              <w:rPr>
                <w:rFonts w:eastAsia="Times New Roman" w:cs="Arial"/>
                <w:sz w:val="18"/>
                <w:szCs w:val="22"/>
                <w:lang w:val="es-MX"/>
              </w:rPr>
              <w:t>50%</w:t>
            </w:r>
          </w:p>
        </w:tc>
        <w:tc>
          <w:tcPr>
            <w:tcW w:w="1227" w:type="pct"/>
            <w:gridSpan w:val="2"/>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vAlign w:val="center"/>
          </w:tcPr>
          <w:p w14:paraId="0328369A" w14:textId="2ED590B4" w:rsidR="009964FA" w:rsidRPr="00F30FD1" w:rsidRDefault="009964FA" w:rsidP="00E66F7B">
            <w:pPr>
              <w:spacing w:after="0" w:line="240" w:lineRule="auto"/>
              <w:jc w:val="center"/>
              <w:rPr>
                <w:rFonts w:eastAsia="Times New Roman" w:cs="Arial"/>
                <w:sz w:val="18"/>
                <w:szCs w:val="22"/>
                <w:lang w:val="es-MX"/>
              </w:rPr>
            </w:pPr>
            <w:r>
              <w:rPr>
                <w:rFonts w:eastAsia="Times New Roman" w:cs="Arial"/>
                <w:sz w:val="18"/>
                <w:szCs w:val="22"/>
                <w:lang w:val="es-MX"/>
              </w:rPr>
              <w:t>0%</w:t>
            </w:r>
          </w:p>
        </w:tc>
      </w:tr>
    </w:tbl>
    <w:p w14:paraId="1DB3AB58" w14:textId="62AFF361" w:rsidR="00C920BF" w:rsidRPr="00F30FD1" w:rsidRDefault="00C920BF">
      <w:pPr>
        <w:spacing w:after="0" w:line="240" w:lineRule="auto"/>
        <w:jc w:val="left"/>
        <w:rPr>
          <w:rFonts w:eastAsia="Times New Roman" w:cs="Times New Roman"/>
          <w:b/>
          <w:color w:val="4BACC6"/>
          <w:sz w:val="44"/>
          <w:szCs w:val="20"/>
          <w:lang w:val="es-MX"/>
        </w:rPr>
      </w:pPr>
      <w:r w:rsidRPr="00F30FD1">
        <w:rPr>
          <w:rFonts w:eastAsia="Times New Roman" w:cs="Times New Roman"/>
          <w:b/>
          <w:color w:val="4BACC6"/>
          <w:sz w:val="44"/>
          <w:szCs w:val="20"/>
          <w:lang w:val="es-MX"/>
        </w:rPr>
        <w:br w:type="page"/>
      </w:r>
    </w:p>
    <w:p w14:paraId="208AC794" w14:textId="77777777" w:rsidR="00E45C0C" w:rsidRPr="00F30FD1" w:rsidRDefault="00E45C0C" w:rsidP="00422373">
      <w:pPr>
        <w:pStyle w:val="Ttulo"/>
        <w:rPr>
          <w:color w:val="4BACC6"/>
        </w:rPr>
      </w:pPr>
    </w:p>
    <w:p w14:paraId="07173AB5" w14:textId="77777777" w:rsidR="00E45C0C" w:rsidRPr="00F30FD1" w:rsidRDefault="00E45C0C" w:rsidP="00422373">
      <w:pPr>
        <w:pStyle w:val="Ttulo"/>
        <w:rPr>
          <w:color w:val="4BACC6"/>
        </w:rPr>
      </w:pPr>
    </w:p>
    <w:p w14:paraId="39EEE16E" w14:textId="77777777" w:rsidR="00C920BF" w:rsidRPr="00F30FD1" w:rsidRDefault="00C920BF" w:rsidP="00422373">
      <w:pPr>
        <w:pStyle w:val="Ttulo"/>
        <w:rPr>
          <w:color w:val="4BACC6"/>
        </w:rPr>
      </w:pPr>
    </w:p>
    <w:p w14:paraId="1C4AFB20" w14:textId="77777777" w:rsidR="00C920BF" w:rsidRPr="00F30FD1" w:rsidRDefault="00C920BF" w:rsidP="00422373">
      <w:pPr>
        <w:pStyle w:val="Ttulo"/>
        <w:rPr>
          <w:color w:val="4BACC6"/>
        </w:rPr>
      </w:pPr>
    </w:p>
    <w:p w14:paraId="0390BD04" w14:textId="77777777" w:rsidR="00C920BF" w:rsidRPr="00F30FD1" w:rsidRDefault="00C920BF" w:rsidP="00422373">
      <w:pPr>
        <w:pStyle w:val="Ttulo"/>
        <w:rPr>
          <w:color w:val="4BACC6"/>
        </w:rPr>
      </w:pPr>
    </w:p>
    <w:p w14:paraId="2133DF3D" w14:textId="77777777" w:rsidR="00422373" w:rsidRPr="00F30FD1" w:rsidRDefault="00695E2D" w:rsidP="00422373">
      <w:pPr>
        <w:pStyle w:val="Ttulo"/>
        <w:rPr>
          <w:color w:val="4BACC6"/>
        </w:rPr>
      </w:pPr>
      <w:r w:rsidRPr="00F30FD1">
        <w:rPr>
          <w:color w:val="4BACC6"/>
        </w:rPr>
        <w:t>MISIÓ</w:t>
      </w:r>
      <w:bookmarkStart w:id="29" w:name="_Toc477971054"/>
      <w:r w:rsidR="00422373" w:rsidRPr="00F30FD1">
        <w:rPr>
          <w:color w:val="4BACC6"/>
        </w:rPr>
        <w:t>N</w:t>
      </w:r>
    </w:p>
    <w:p w14:paraId="5E07E473" w14:textId="77777777" w:rsidR="00C22364" w:rsidRPr="00F30FD1" w:rsidRDefault="00C22364">
      <w:pPr>
        <w:spacing w:after="0" w:line="240" w:lineRule="auto"/>
        <w:jc w:val="left"/>
        <w:rPr>
          <w:rFonts w:eastAsia="Times New Roman" w:cs="Times New Roman"/>
          <w:b/>
          <w:color w:val="0D0D0D" w:themeColor="text1" w:themeTint="F2"/>
          <w:sz w:val="44"/>
          <w:szCs w:val="20"/>
        </w:rPr>
      </w:pPr>
      <w:r w:rsidRPr="00F30FD1">
        <w:br w:type="page"/>
      </w:r>
    </w:p>
    <w:p w14:paraId="394F4EA7" w14:textId="77777777" w:rsidR="005F7240" w:rsidRPr="00F30FD1" w:rsidRDefault="0035377A" w:rsidP="00422373">
      <w:pPr>
        <w:pStyle w:val="Ttulo"/>
        <w:rPr>
          <w:color w:val="4BACC6"/>
        </w:rPr>
      </w:pPr>
      <w:r w:rsidRPr="00F30FD1">
        <w:lastRenderedPageBreak/>
        <w:t xml:space="preserve">VII. </w:t>
      </w:r>
      <w:r w:rsidR="005F7240" w:rsidRPr="00F30FD1">
        <w:t>MISIÓN</w:t>
      </w:r>
      <w:bookmarkEnd w:id="29"/>
    </w:p>
    <w:p w14:paraId="32892666" w14:textId="77777777" w:rsidR="0035377A" w:rsidRPr="00F30FD1" w:rsidRDefault="0035377A" w:rsidP="0035377A">
      <w:pPr>
        <w:rPr>
          <w:lang w:val="es-MX" w:eastAsia="en-US"/>
        </w:rPr>
      </w:pPr>
    </w:p>
    <w:p w14:paraId="02B57528" w14:textId="1D3893F8" w:rsidR="008C192E" w:rsidRPr="00F30FD1" w:rsidRDefault="008C192E" w:rsidP="005D4C2A">
      <w:pPr>
        <w:pStyle w:val="Prrafodelista"/>
        <w:numPr>
          <w:ilvl w:val="0"/>
          <w:numId w:val="3"/>
        </w:numPr>
        <w:rPr>
          <w:rFonts w:eastAsia="Times New Roman" w:cs="Futura"/>
          <w:color w:val="595959"/>
        </w:rPr>
      </w:pPr>
      <w:r w:rsidRPr="00F30FD1">
        <w:rPr>
          <w:rFonts w:eastAsia="Times New Roman" w:cs="Futura"/>
          <w:color w:val="595959"/>
        </w:rPr>
        <w:t>Normar e impulsar programas y acciones con la finalidad de regular políticas fiscales que promuevan la obtención de los ingresos y otorgar estímulos fiscales a través de subsidios en beneficio de la sociedad.</w:t>
      </w:r>
    </w:p>
    <w:p w14:paraId="23F01239" w14:textId="42EA0833" w:rsidR="00B41AAC" w:rsidRPr="00F30FD1" w:rsidRDefault="00B41AAC" w:rsidP="005D4C2A">
      <w:pPr>
        <w:pStyle w:val="Prrafodelista"/>
        <w:numPr>
          <w:ilvl w:val="0"/>
          <w:numId w:val="3"/>
        </w:numPr>
        <w:rPr>
          <w:rFonts w:eastAsia="Times New Roman" w:cs="Futura"/>
          <w:color w:val="595959"/>
        </w:rPr>
      </w:pPr>
      <w:r w:rsidRPr="00F30FD1">
        <w:rPr>
          <w:rFonts w:eastAsia="Times New Roman" w:cs="Futura"/>
          <w:color w:val="595959"/>
        </w:rPr>
        <w:t>Consolidar el Sistema Estatal de Planeación y las Finanzas de una forma participativa y Estratégica del Estado de Quintana Roo, mediante la ejecución, seguimiento y evaluación de los objetivos, estrategias y proyectos del presente Programa Sectorial, considerando a los diversos sectores en el proceso, con la meta de impulsar el desarrollo estatal, metropolitano, regional y municipal de manera integral, sostenida y sustentable.</w:t>
      </w:r>
    </w:p>
    <w:p w14:paraId="76ED2034" w14:textId="4BF7E40E" w:rsidR="00B41AAC" w:rsidRPr="00F30FD1" w:rsidRDefault="00B41AAC" w:rsidP="005D4C2A">
      <w:pPr>
        <w:pStyle w:val="Prrafodelista"/>
        <w:numPr>
          <w:ilvl w:val="0"/>
          <w:numId w:val="3"/>
        </w:numPr>
        <w:rPr>
          <w:rFonts w:eastAsia="Times New Roman" w:cs="Futura"/>
          <w:color w:val="595959"/>
        </w:rPr>
      </w:pPr>
      <w:r w:rsidRPr="00F30FD1">
        <w:rPr>
          <w:rFonts w:eastAsia="Times New Roman" w:cs="Futura"/>
          <w:color w:val="595959"/>
        </w:rPr>
        <w:t>Garantizar la actualización permanente de los registros y padrones de la información territorial con el propósito de coadyuvar al ordenamiento eficiente del suelo para elevar la competitividad económica y para el fortalecimiento del mercado inmobiliario.</w:t>
      </w:r>
    </w:p>
    <w:p w14:paraId="457F808B" w14:textId="5634176A" w:rsidR="00B93233" w:rsidRPr="00F30FD1" w:rsidRDefault="00B41AAC" w:rsidP="005D4C2A">
      <w:pPr>
        <w:pStyle w:val="Prrafodelista"/>
        <w:numPr>
          <w:ilvl w:val="0"/>
          <w:numId w:val="3"/>
        </w:numPr>
        <w:rPr>
          <w:rFonts w:eastAsia="Times New Roman" w:cs="Futura"/>
          <w:color w:val="595959"/>
        </w:rPr>
      </w:pPr>
      <w:r w:rsidRPr="00F30FD1">
        <w:rPr>
          <w:rFonts w:eastAsia="Times New Roman" w:cs="Futura"/>
          <w:color w:val="595959"/>
        </w:rPr>
        <w:t>Gestionar la atracción de proyectos productivos, financiamiento de instituciones, así como el acceso a capital y fondos de inversión para proyectos rentables.</w:t>
      </w:r>
    </w:p>
    <w:p w14:paraId="47733C7F" w14:textId="77777777" w:rsidR="00695E2D" w:rsidRPr="00F30FD1" w:rsidRDefault="005F7240" w:rsidP="00422373">
      <w:pPr>
        <w:rPr>
          <w:rFonts w:eastAsia="Times New Roman" w:cs="Futura"/>
          <w:b/>
          <w:color w:val="595959"/>
        </w:rPr>
      </w:pPr>
      <w:r w:rsidRPr="00F30FD1">
        <w:rPr>
          <w:rFonts w:eastAsia="Times New Roman" w:cs="Futura"/>
          <w:b/>
          <w:color w:val="595959"/>
        </w:rPr>
        <w:br w:type="page"/>
      </w:r>
    </w:p>
    <w:p w14:paraId="2AE4B279" w14:textId="77777777" w:rsidR="009E39F3" w:rsidRPr="00F30FD1" w:rsidRDefault="009E39F3" w:rsidP="00422373">
      <w:pPr>
        <w:pStyle w:val="Ttulo"/>
        <w:rPr>
          <w:color w:val="4BACC6"/>
        </w:rPr>
      </w:pPr>
    </w:p>
    <w:p w14:paraId="229F99BC" w14:textId="77777777" w:rsidR="009E39F3" w:rsidRPr="00F30FD1" w:rsidRDefault="009E39F3" w:rsidP="00422373">
      <w:pPr>
        <w:pStyle w:val="Ttulo"/>
        <w:rPr>
          <w:color w:val="4BACC6"/>
        </w:rPr>
      </w:pPr>
    </w:p>
    <w:p w14:paraId="5FD9899A" w14:textId="77777777" w:rsidR="009E39F3" w:rsidRPr="00F30FD1" w:rsidRDefault="009E39F3" w:rsidP="00422373">
      <w:pPr>
        <w:pStyle w:val="Ttulo"/>
        <w:rPr>
          <w:color w:val="4BACC6"/>
        </w:rPr>
      </w:pPr>
    </w:p>
    <w:p w14:paraId="3780BDA6" w14:textId="77777777" w:rsidR="009E39F3" w:rsidRPr="00F30FD1" w:rsidRDefault="009E39F3" w:rsidP="00422373">
      <w:pPr>
        <w:pStyle w:val="Ttulo"/>
        <w:rPr>
          <w:color w:val="4BACC6"/>
        </w:rPr>
      </w:pPr>
    </w:p>
    <w:p w14:paraId="60F867F0" w14:textId="77777777" w:rsidR="00422373" w:rsidRPr="00F30FD1" w:rsidRDefault="00695E2D" w:rsidP="00422373">
      <w:pPr>
        <w:pStyle w:val="Ttulo"/>
        <w:rPr>
          <w:color w:val="4BACC6"/>
        </w:rPr>
      </w:pPr>
      <w:r w:rsidRPr="00F30FD1">
        <w:rPr>
          <w:color w:val="4BACC6"/>
        </w:rPr>
        <w:t>VISIÓ</w:t>
      </w:r>
      <w:bookmarkStart w:id="30" w:name="_Toc477971055"/>
      <w:r w:rsidR="00422373" w:rsidRPr="00F30FD1">
        <w:rPr>
          <w:color w:val="4BACC6"/>
        </w:rPr>
        <w:t>N</w:t>
      </w:r>
    </w:p>
    <w:p w14:paraId="34B84BD6" w14:textId="77777777" w:rsidR="009E39F3" w:rsidRPr="00F30FD1" w:rsidRDefault="009E39F3">
      <w:pPr>
        <w:spacing w:after="0" w:line="240" w:lineRule="auto"/>
        <w:jc w:val="left"/>
        <w:rPr>
          <w:rFonts w:eastAsia="Times New Roman" w:cs="Times New Roman"/>
          <w:b/>
          <w:color w:val="0D0D0D" w:themeColor="text1" w:themeTint="F2"/>
          <w:sz w:val="44"/>
          <w:szCs w:val="20"/>
        </w:rPr>
      </w:pPr>
      <w:r w:rsidRPr="00F30FD1">
        <w:br w:type="page"/>
      </w:r>
    </w:p>
    <w:p w14:paraId="3853F598" w14:textId="77777777" w:rsidR="005F7240" w:rsidRPr="00F30FD1" w:rsidRDefault="0035377A" w:rsidP="00422373">
      <w:pPr>
        <w:pStyle w:val="Ttulo"/>
        <w:rPr>
          <w:color w:val="4BACC6"/>
        </w:rPr>
      </w:pPr>
      <w:r w:rsidRPr="00F30FD1">
        <w:lastRenderedPageBreak/>
        <w:t xml:space="preserve">VIII. </w:t>
      </w:r>
      <w:r w:rsidR="005F7240" w:rsidRPr="00F30FD1">
        <w:t>VISIÓN</w:t>
      </w:r>
      <w:bookmarkEnd w:id="30"/>
    </w:p>
    <w:p w14:paraId="5479C60C" w14:textId="31254160" w:rsidR="000252CF" w:rsidRPr="00F30FD1" w:rsidRDefault="000252CF" w:rsidP="005D4C2A">
      <w:pPr>
        <w:pStyle w:val="Prrafodelista"/>
        <w:numPr>
          <w:ilvl w:val="0"/>
          <w:numId w:val="3"/>
        </w:numPr>
        <w:rPr>
          <w:color w:val="595959" w:themeColor="text1" w:themeTint="A6"/>
        </w:rPr>
      </w:pPr>
      <w:r w:rsidRPr="00F30FD1">
        <w:rPr>
          <w:color w:val="595959" w:themeColor="text1" w:themeTint="A6"/>
        </w:rPr>
        <w:t>Fomentar una administración transparente con finanzas públicas sanas que coadyuven al desarrollo del Estado.</w:t>
      </w:r>
    </w:p>
    <w:p w14:paraId="09BAA49D" w14:textId="0A2C0F34" w:rsidR="00B93233" w:rsidRPr="00F30FD1" w:rsidRDefault="000252CF" w:rsidP="005D4C2A">
      <w:pPr>
        <w:pStyle w:val="Prrafodelista"/>
        <w:numPr>
          <w:ilvl w:val="0"/>
          <w:numId w:val="3"/>
        </w:numPr>
        <w:rPr>
          <w:color w:val="595959" w:themeColor="text1" w:themeTint="A6"/>
        </w:rPr>
      </w:pPr>
      <w:r w:rsidRPr="00F30FD1">
        <w:rPr>
          <w:color w:val="595959" w:themeColor="text1" w:themeTint="A6"/>
        </w:rPr>
        <w:t>Ser un instrumento que impulse cultura fiscal y un sistema de planeación que promueva el cumplimiento equitativo de las obligaciones, proporcionando un desarrollo integral para Quintana Roo; logrando un gasto público basado en resultados, brindando seguridad jurídica al suelo e impulsando la inversión pública y promoviendo una cultura de austeridad; y que asegure a la población transparencia en el uso de recursos públicos y una implementación de una Gestión basada en Resultados.</w:t>
      </w:r>
    </w:p>
    <w:p w14:paraId="696E2386" w14:textId="20A30A47" w:rsidR="000252CF" w:rsidRPr="00F30FD1" w:rsidRDefault="000252CF" w:rsidP="005D4C2A">
      <w:pPr>
        <w:pStyle w:val="Prrafodelista"/>
        <w:numPr>
          <w:ilvl w:val="0"/>
          <w:numId w:val="3"/>
        </w:numPr>
        <w:rPr>
          <w:color w:val="595959" w:themeColor="text1" w:themeTint="A6"/>
        </w:rPr>
      </w:pPr>
      <w:r w:rsidRPr="00F30FD1">
        <w:rPr>
          <w:color w:val="595959" w:themeColor="text1" w:themeTint="A6"/>
        </w:rPr>
        <w:t>Lograr estrategias de promoción, implementar mecanismos de inteligencia para la generación de negocios y atraer capitales nacionales e internacionales al Estado. </w:t>
      </w:r>
    </w:p>
    <w:p w14:paraId="5849C25F" w14:textId="77777777" w:rsidR="005F7240" w:rsidRPr="00F30FD1" w:rsidRDefault="005F7240" w:rsidP="00B545F3">
      <w:pPr>
        <w:rPr>
          <w:rFonts w:eastAsia="Times New Roman" w:cs="Futura"/>
          <w:color w:val="595959"/>
        </w:rPr>
      </w:pPr>
    </w:p>
    <w:p w14:paraId="7CA2DB4F" w14:textId="64A9C9E9" w:rsidR="00C812E9" w:rsidRPr="00F30FD1" w:rsidRDefault="00C812E9">
      <w:pPr>
        <w:spacing w:after="0" w:line="240" w:lineRule="auto"/>
        <w:jc w:val="left"/>
        <w:rPr>
          <w:rFonts w:eastAsia="Times New Roman" w:cs="Times New Roman"/>
          <w:b/>
          <w:color w:val="4BACC6"/>
          <w:sz w:val="44"/>
          <w:szCs w:val="20"/>
        </w:rPr>
      </w:pPr>
      <w:r w:rsidRPr="00F30FD1">
        <w:rPr>
          <w:color w:val="4BACC6"/>
        </w:rPr>
        <w:br w:type="page"/>
      </w:r>
    </w:p>
    <w:p w14:paraId="60B3CB94" w14:textId="77777777" w:rsidR="00E45C0C" w:rsidRPr="00F30FD1" w:rsidRDefault="00E45C0C" w:rsidP="00695E2D">
      <w:pPr>
        <w:pStyle w:val="Ttulo"/>
        <w:rPr>
          <w:color w:val="4BACC6"/>
        </w:rPr>
      </w:pPr>
    </w:p>
    <w:p w14:paraId="6C95E818" w14:textId="77777777" w:rsidR="00C812E9" w:rsidRPr="00F30FD1" w:rsidRDefault="00C812E9" w:rsidP="00695E2D">
      <w:pPr>
        <w:pStyle w:val="Ttulo"/>
        <w:rPr>
          <w:color w:val="4BACC6"/>
        </w:rPr>
      </w:pPr>
    </w:p>
    <w:p w14:paraId="4DF5E02C" w14:textId="77777777" w:rsidR="00C812E9" w:rsidRPr="00F30FD1" w:rsidRDefault="00C812E9" w:rsidP="00695E2D">
      <w:pPr>
        <w:pStyle w:val="Ttulo"/>
        <w:rPr>
          <w:color w:val="4BACC6"/>
        </w:rPr>
      </w:pPr>
    </w:p>
    <w:p w14:paraId="6CA5D0C6" w14:textId="77777777" w:rsidR="00C812E9" w:rsidRPr="00F30FD1" w:rsidRDefault="00C812E9" w:rsidP="00695E2D">
      <w:pPr>
        <w:pStyle w:val="Ttulo"/>
        <w:rPr>
          <w:color w:val="4BACC6"/>
        </w:rPr>
      </w:pPr>
    </w:p>
    <w:p w14:paraId="0EC45306" w14:textId="77777777" w:rsidR="00E45C0C" w:rsidRPr="00F30FD1" w:rsidRDefault="00E45C0C" w:rsidP="00695E2D">
      <w:pPr>
        <w:pStyle w:val="Ttulo"/>
        <w:rPr>
          <w:color w:val="4BACC6"/>
        </w:rPr>
      </w:pPr>
    </w:p>
    <w:p w14:paraId="1CB1C142" w14:textId="77777777" w:rsidR="00E45C0C" w:rsidRPr="00F30FD1" w:rsidRDefault="00E45C0C" w:rsidP="00695E2D">
      <w:pPr>
        <w:pStyle w:val="Ttulo"/>
        <w:rPr>
          <w:color w:val="4BACC6"/>
        </w:rPr>
      </w:pPr>
    </w:p>
    <w:p w14:paraId="6A4FBDAB" w14:textId="77777777" w:rsidR="00695E2D" w:rsidRPr="00F30FD1" w:rsidRDefault="00695E2D" w:rsidP="00695E2D">
      <w:pPr>
        <w:pStyle w:val="Ttulo"/>
        <w:rPr>
          <w:color w:val="4BACC6"/>
        </w:rPr>
      </w:pPr>
      <w:r w:rsidRPr="00F30FD1">
        <w:rPr>
          <w:color w:val="4BACC6"/>
        </w:rPr>
        <w:t>POLÍTICAS</w:t>
      </w:r>
    </w:p>
    <w:p w14:paraId="102C27E9" w14:textId="77777777" w:rsidR="00695E2D" w:rsidRPr="00F30FD1" w:rsidRDefault="00695E2D" w:rsidP="00695E2D">
      <w:pPr>
        <w:spacing w:after="0" w:line="240" w:lineRule="auto"/>
        <w:jc w:val="left"/>
        <w:rPr>
          <w:rFonts w:eastAsia="Times New Roman" w:cs="Times New Roman"/>
          <w:b/>
          <w:bCs/>
          <w:caps/>
          <w:color w:val="4BACC6"/>
          <w:sz w:val="32"/>
          <w:szCs w:val="28"/>
          <w:lang w:val="es-MX" w:eastAsia="en-US"/>
        </w:rPr>
      </w:pPr>
      <w:r w:rsidRPr="00F30FD1">
        <w:rPr>
          <w:color w:val="4BACC6"/>
        </w:rPr>
        <w:br w:type="page"/>
      </w:r>
    </w:p>
    <w:p w14:paraId="0903C082" w14:textId="77777777" w:rsidR="005F7240" w:rsidRPr="00F30FD1" w:rsidRDefault="0035377A" w:rsidP="0035377A">
      <w:pPr>
        <w:pStyle w:val="Ttulo1"/>
      </w:pPr>
      <w:bookmarkStart w:id="31" w:name="_Toc477971056"/>
      <w:r w:rsidRPr="00F30FD1">
        <w:lastRenderedPageBreak/>
        <w:t xml:space="preserve">IX. </w:t>
      </w:r>
      <w:r w:rsidR="005F7240" w:rsidRPr="00F30FD1">
        <w:t>POLÍTICAS</w:t>
      </w:r>
      <w:bookmarkEnd w:id="31"/>
    </w:p>
    <w:p w14:paraId="6A98E1A8" w14:textId="77777777" w:rsidR="00D118F1" w:rsidRPr="00F30FD1" w:rsidRDefault="00D118F1" w:rsidP="00D118F1">
      <w:pPr>
        <w:rPr>
          <w:rFonts w:eastAsia="Times New Roman" w:cs="Futura"/>
          <w:color w:val="595959"/>
        </w:rPr>
      </w:pPr>
      <w:r w:rsidRPr="00F30FD1">
        <w:rPr>
          <w:rFonts w:eastAsia="Times New Roman" w:cs="Futura"/>
          <w:color w:val="595959"/>
        </w:rPr>
        <w:t>I.- Conducir al Estado mediante un manejo eficiente, ordenado y transparente de las finanzas públicas en materia de administración tributaria, planeación, ingresos, gasto, deuda pública, procuración fiscal y registro público.</w:t>
      </w:r>
    </w:p>
    <w:p w14:paraId="0615D0C3" w14:textId="77777777" w:rsidR="00D118F1" w:rsidRPr="00F30FD1" w:rsidRDefault="00D118F1" w:rsidP="00D118F1">
      <w:pPr>
        <w:rPr>
          <w:rFonts w:eastAsia="Times New Roman" w:cs="Futura"/>
          <w:color w:val="595959"/>
        </w:rPr>
      </w:pPr>
      <w:r w:rsidRPr="00F30FD1">
        <w:rPr>
          <w:rFonts w:eastAsia="Times New Roman" w:cs="Futura"/>
          <w:color w:val="595959"/>
        </w:rPr>
        <w:t>II.- Establecer y vigilar las normas y procedimientos de recaudación, concentración y situación de fondos derivados de la Ley de Ingresos del Estado de Quintana Roo y demás provenientes de los acuerdos y convenios con la Federación.</w:t>
      </w:r>
    </w:p>
    <w:p w14:paraId="0DF67D71" w14:textId="77777777" w:rsidR="00D118F1" w:rsidRPr="00F30FD1" w:rsidRDefault="00D118F1" w:rsidP="00D118F1">
      <w:pPr>
        <w:rPr>
          <w:rFonts w:eastAsia="Times New Roman" w:cs="Futura"/>
          <w:color w:val="595959"/>
        </w:rPr>
      </w:pPr>
      <w:r w:rsidRPr="00F30FD1">
        <w:rPr>
          <w:rFonts w:eastAsia="Times New Roman" w:cs="Futura"/>
          <w:color w:val="595959"/>
        </w:rPr>
        <w:t>III.- Implementar acciones que garanticen el cumplimiento de los compromisos adquiridos a través de la deuda pública estatal.</w:t>
      </w:r>
    </w:p>
    <w:p w14:paraId="44371F28" w14:textId="77777777" w:rsidR="00D118F1" w:rsidRPr="00F30FD1" w:rsidRDefault="00D118F1" w:rsidP="00D118F1">
      <w:pPr>
        <w:rPr>
          <w:rFonts w:eastAsia="Times New Roman" w:cs="Futura"/>
          <w:color w:val="595959"/>
        </w:rPr>
      </w:pPr>
      <w:r w:rsidRPr="00F30FD1">
        <w:rPr>
          <w:rFonts w:eastAsia="Times New Roman" w:cs="Futura"/>
          <w:color w:val="595959"/>
        </w:rPr>
        <w:t>IV.-Promover el Desarrollo del Estado de Quintana Roo mediante la elaboración de diagnósticos que identifiquen problemáticas consensuadas en los diferentes sectores con el fin de integrar una cartera estatal de proyectos de inversión ordenada y priorizada que conlleve a una debida gestión de los recursos públicos.</w:t>
      </w:r>
    </w:p>
    <w:p w14:paraId="11B329D6" w14:textId="77777777" w:rsidR="00D118F1" w:rsidRPr="00F30FD1" w:rsidRDefault="00D118F1" w:rsidP="00D118F1">
      <w:pPr>
        <w:rPr>
          <w:rFonts w:eastAsia="Times New Roman" w:cs="Futura"/>
          <w:color w:val="595959"/>
        </w:rPr>
      </w:pPr>
      <w:r w:rsidRPr="00F30FD1">
        <w:rPr>
          <w:rFonts w:eastAsia="Times New Roman" w:cs="Futura"/>
          <w:color w:val="595959"/>
        </w:rPr>
        <w:t xml:space="preserve">V.-Integrar la política fiscal y hacendaria de la administración estatal con austeridad y privilegiando el gasto de inversión. </w:t>
      </w:r>
    </w:p>
    <w:p w14:paraId="2158A43A" w14:textId="77777777" w:rsidR="00D118F1" w:rsidRPr="00F30FD1" w:rsidRDefault="00D118F1" w:rsidP="00D118F1">
      <w:pPr>
        <w:rPr>
          <w:rFonts w:eastAsia="Times New Roman" w:cs="Futura"/>
          <w:color w:val="595959"/>
        </w:rPr>
      </w:pPr>
      <w:r w:rsidRPr="00F30FD1">
        <w:rPr>
          <w:rFonts w:eastAsia="Times New Roman" w:cs="Futura"/>
          <w:color w:val="595959"/>
        </w:rPr>
        <w:t>VI.- Vigorizar los modelos contables mediante su revisión, reestructuración y compatibilización, con la finalidad de emplear de manera efectiva el sistema interno de contabilidad gubernamental aplicando los principios establecidos en la Ley de Disciplina Financiera de las Entidades y Municipios.</w:t>
      </w:r>
    </w:p>
    <w:p w14:paraId="348F93B1" w14:textId="38AD2E7F" w:rsidR="00B1600D" w:rsidRPr="00F30FD1" w:rsidRDefault="00D118F1" w:rsidP="00B1600D">
      <w:pPr>
        <w:rPr>
          <w:rFonts w:eastAsia="Times New Roman" w:cs="Futura"/>
          <w:color w:val="595959"/>
        </w:rPr>
      </w:pPr>
      <w:r w:rsidRPr="00F30FD1">
        <w:rPr>
          <w:rFonts w:eastAsia="Times New Roman" w:cs="Futura"/>
          <w:color w:val="595959"/>
        </w:rPr>
        <w:t>VII.- Evaluar antes, durante y después del ejercicio de los recursos presupuestales, el desempeño, resultados e impactos de los programas y políticas públicas, los servicios e inversiones gubernamentales, así como los recursos empleados por las instancias responsables de la ejecución de los mismos.</w:t>
      </w:r>
    </w:p>
    <w:p w14:paraId="0321C5F2" w14:textId="77777777" w:rsidR="005F7240" w:rsidRPr="00F30FD1" w:rsidRDefault="005F7240" w:rsidP="00B545F3">
      <w:pPr>
        <w:rPr>
          <w:rFonts w:eastAsia="Times New Roman" w:cs="Futura"/>
          <w:color w:val="595959"/>
        </w:rPr>
      </w:pPr>
      <w:r w:rsidRPr="00F30FD1">
        <w:rPr>
          <w:rFonts w:eastAsia="Times New Roman" w:cs="Futura"/>
          <w:color w:val="595959"/>
        </w:rPr>
        <w:br w:type="page"/>
      </w:r>
    </w:p>
    <w:p w14:paraId="41B383D2" w14:textId="77777777" w:rsidR="00695E2D" w:rsidRPr="00F30FD1" w:rsidRDefault="00695E2D" w:rsidP="00695E2D">
      <w:pPr>
        <w:pStyle w:val="Ttulo"/>
      </w:pPr>
    </w:p>
    <w:p w14:paraId="30471F23" w14:textId="77777777" w:rsidR="00C812E9" w:rsidRPr="00F30FD1" w:rsidRDefault="00C812E9" w:rsidP="00695E2D">
      <w:pPr>
        <w:pStyle w:val="Ttulo"/>
      </w:pPr>
    </w:p>
    <w:p w14:paraId="33824813" w14:textId="77777777" w:rsidR="00C812E9" w:rsidRPr="00F30FD1" w:rsidRDefault="00C812E9" w:rsidP="00695E2D">
      <w:pPr>
        <w:pStyle w:val="Ttulo"/>
      </w:pPr>
    </w:p>
    <w:p w14:paraId="1ED4DDE5" w14:textId="77777777" w:rsidR="00695E2D" w:rsidRPr="00F30FD1" w:rsidRDefault="00695E2D" w:rsidP="00695E2D">
      <w:pPr>
        <w:pStyle w:val="Ttulo"/>
      </w:pPr>
    </w:p>
    <w:p w14:paraId="6751530F" w14:textId="77777777" w:rsidR="00695E2D" w:rsidRPr="00F30FD1" w:rsidRDefault="00695E2D" w:rsidP="00695E2D">
      <w:pPr>
        <w:pStyle w:val="Ttulo"/>
      </w:pPr>
    </w:p>
    <w:p w14:paraId="48648F43" w14:textId="77777777" w:rsidR="00695E2D" w:rsidRPr="00F30FD1" w:rsidRDefault="00695E2D" w:rsidP="00695E2D">
      <w:pPr>
        <w:pStyle w:val="Ttulo"/>
        <w:rPr>
          <w:color w:val="4BACC6"/>
        </w:rPr>
      </w:pPr>
      <w:r w:rsidRPr="00F30FD1">
        <w:rPr>
          <w:color w:val="4BACC6"/>
        </w:rPr>
        <w:t>APARTADO ESTRATÉGICO</w:t>
      </w:r>
    </w:p>
    <w:p w14:paraId="54D8E68A" w14:textId="77777777" w:rsidR="00695E2D" w:rsidRPr="00F30FD1" w:rsidRDefault="00695E2D" w:rsidP="00695E2D">
      <w:pPr>
        <w:spacing w:after="0" w:line="240" w:lineRule="auto"/>
        <w:jc w:val="left"/>
        <w:rPr>
          <w:rFonts w:eastAsia="Times New Roman" w:cs="Times New Roman"/>
          <w:b/>
          <w:bCs/>
          <w:caps/>
          <w:color w:val="4BACC6"/>
          <w:sz w:val="32"/>
          <w:szCs w:val="28"/>
          <w:lang w:val="es-MX" w:eastAsia="en-US"/>
        </w:rPr>
      </w:pPr>
      <w:r w:rsidRPr="00F30FD1">
        <w:rPr>
          <w:color w:val="4BACC6"/>
        </w:rPr>
        <w:br w:type="page"/>
      </w:r>
    </w:p>
    <w:p w14:paraId="201116E0" w14:textId="77777777" w:rsidR="00E45C0C" w:rsidRPr="00F30FD1" w:rsidRDefault="00E45C0C" w:rsidP="0035377A">
      <w:pPr>
        <w:pStyle w:val="Ttulo1"/>
      </w:pPr>
      <w:bookmarkStart w:id="32" w:name="_Toc477971057"/>
    </w:p>
    <w:p w14:paraId="4AA74194" w14:textId="77777777" w:rsidR="00E45C0C" w:rsidRPr="00F30FD1" w:rsidRDefault="00E45C0C" w:rsidP="0035377A">
      <w:pPr>
        <w:pStyle w:val="Ttulo1"/>
      </w:pPr>
    </w:p>
    <w:p w14:paraId="0D8B9912" w14:textId="77777777" w:rsidR="00E45C0C" w:rsidRPr="00F30FD1" w:rsidRDefault="00E45C0C" w:rsidP="0035377A">
      <w:pPr>
        <w:pStyle w:val="Ttulo1"/>
      </w:pPr>
    </w:p>
    <w:p w14:paraId="3F7BF3E6" w14:textId="77777777" w:rsidR="00E45C0C" w:rsidRPr="00F30FD1" w:rsidRDefault="00E45C0C" w:rsidP="0035377A">
      <w:pPr>
        <w:pStyle w:val="Ttulo1"/>
      </w:pPr>
    </w:p>
    <w:p w14:paraId="1148866A" w14:textId="77777777" w:rsidR="005F7240" w:rsidRPr="00F30FD1" w:rsidRDefault="0035377A" w:rsidP="0035377A">
      <w:pPr>
        <w:pStyle w:val="Ttulo1"/>
      </w:pPr>
      <w:r w:rsidRPr="00F30FD1">
        <w:t xml:space="preserve">X. </w:t>
      </w:r>
      <w:r w:rsidR="005F7240" w:rsidRPr="00F30FD1">
        <w:t>APARTADO ESTRATÉGICO</w:t>
      </w:r>
      <w:bookmarkEnd w:id="32"/>
    </w:p>
    <w:p w14:paraId="26594B67" w14:textId="77777777" w:rsidR="00C2741A" w:rsidRPr="00F30FD1" w:rsidRDefault="00C2741A" w:rsidP="005441E8">
      <w:pPr>
        <w:pStyle w:val="Ttulo2"/>
      </w:pPr>
    </w:p>
    <w:p w14:paraId="4AAE7F6A" w14:textId="77777777" w:rsidR="005F7240" w:rsidRPr="00F30FD1" w:rsidRDefault="005F7240" w:rsidP="005441E8">
      <w:pPr>
        <w:pStyle w:val="Ttulo2"/>
        <w:rPr>
          <w:color w:val="auto"/>
        </w:rPr>
      </w:pPr>
      <w:bookmarkStart w:id="33" w:name="_Toc477971058"/>
      <w:r w:rsidRPr="00F30FD1">
        <w:rPr>
          <w:color w:val="auto"/>
        </w:rPr>
        <w:t>Objetivos, estrategias y líneas de acción</w:t>
      </w:r>
      <w:bookmarkEnd w:id="33"/>
    </w:p>
    <w:p w14:paraId="235AECE9" w14:textId="77777777" w:rsidR="005E4216" w:rsidRPr="00F30FD1" w:rsidRDefault="005E4216" w:rsidP="0035779A">
      <w:pPr>
        <w:pStyle w:val="Ttulo2"/>
        <w:rPr>
          <w:color w:val="auto"/>
        </w:rPr>
      </w:pPr>
    </w:p>
    <w:p w14:paraId="723F7398" w14:textId="15E9EE64" w:rsidR="00F94218" w:rsidRPr="00F30FD1" w:rsidRDefault="00F94218" w:rsidP="00F94218">
      <w:pPr>
        <w:pStyle w:val="Ttulo2"/>
        <w:rPr>
          <w:color w:val="auto"/>
        </w:rPr>
      </w:pPr>
      <w:bookmarkStart w:id="34" w:name="_Toc477971059"/>
      <w:r w:rsidRPr="00F30FD1">
        <w:rPr>
          <w:color w:val="auto"/>
        </w:rPr>
        <w:t>Tema 1.</w:t>
      </w:r>
      <w:r w:rsidR="008B4966" w:rsidRPr="00F30FD1">
        <w:rPr>
          <w:color w:val="auto"/>
        </w:rPr>
        <w:t xml:space="preserve"> Fortalecimiento del Ingreso</w:t>
      </w:r>
      <w:r w:rsidRPr="00F30FD1">
        <w:rPr>
          <w:color w:val="auto"/>
        </w:rPr>
        <w:t xml:space="preserve"> </w:t>
      </w:r>
      <w:bookmarkEnd w:id="34"/>
    </w:p>
    <w:p w14:paraId="48D69675" w14:textId="77777777" w:rsidR="00457A62" w:rsidRPr="00F30FD1" w:rsidRDefault="00457A62" w:rsidP="00457A62">
      <w:pPr>
        <w:rPr>
          <w:lang w:val="es-MX" w:eastAsia="en-US"/>
        </w:rPr>
      </w:pPr>
    </w:p>
    <w:p w14:paraId="07427CF7" w14:textId="2C884B2D" w:rsidR="00F94218" w:rsidRPr="00F30FD1" w:rsidRDefault="00F94218" w:rsidP="00F94218">
      <w:pPr>
        <w:spacing w:before="120" w:after="120" w:line="360" w:lineRule="auto"/>
        <w:rPr>
          <w:szCs w:val="28"/>
        </w:rPr>
      </w:pPr>
      <w:r w:rsidRPr="00F30FD1">
        <w:rPr>
          <w:b/>
          <w:szCs w:val="28"/>
        </w:rPr>
        <w:t>Objetivo</w:t>
      </w:r>
      <w:r w:rsidR="008B4966" w:rsidRPr="00F30FD1">
        <w:rPr>
          <w:szCs w:val="28"/>
        </w:rPr>
        <w:t>: Aumentar los niveles de captación de ingresos propios y federales, así como renegociar las condiciones de la deuda.</w:t>
      </w:r>
    </w:p>
    <w:p w14:paraId="2CBF7AE4" w14:textId="77777777" w:rsidR="00232963" w:rsidRPr="00F30FD1" w:rsidRDefault="00232963" w:rsidP="00F94218">
      <w:pPr>
        <w:spacing w:before="120" w:after="120" w:line="360" w:lineRule="auto"/>
        <w:rPr>
          <w:szCs w:val="28"/>
        </w:rPr>
      </w:pPr>
    </w:p>
    <w:p w14:paraId="48DA383F" w14:textId="03B8C941" w:rsidR="00F94218" w:rsidRPr="00F30FD1" w:rsidRDefault="00F94218" w:rsidP="00F94218">
      <w:pPr>
        <w:spacing w:before="120" w:after="120" w:line="360" w:lineRule="auto"/>
        <w:rPr>
          <w:szCs w:val="28"/>
        </w:rPr>
      </w:pPr>
      <w:r w:rsidRPr="00F30FD1">
        <w:rPr>
          <w:b/>
          <w:szCs w:val="28"/>
        </w:rPr>
        <w:t>Estrategia</w:t>
      </w:r>
      <w:r w:rsidR="008B4966" w:rsidRPr="00F30FD1">
        <w:rPr>
          <w:szCs w:val="28"/>
        </w:rPr>
        <w:t>: Implementación de programas para incrementar el padrón de contribuyentes promoviendo la formalidad mediante estímulos y establecer acuerdos con la federación con el fin de mejorar las condiciones de los convenios existentes, así como la actualización de la plataforma estatal de información catastral y registral, así mismo la negociación permanente de mejores condiciones de financiamiento de la deuda.</w:t>
      </w:r>
    </w:p>
    <w:p w14:paraId="5B7314DB" w14:textId="68F3F70A" w:rsidR="003E6FEC" w:rsidRPr="00F30FD1" w:rsidRDefault="00232963" w:rsidP="003E6FEC">
      <w:pPr>
        <w:spacing w:before="120" w:after="120" w:line="360" w:lineRule="auto"/>
        <w:rPr>
          <w:b/>
          <w:szCs w:val="28"/>
        </w:rPr>
      </w:pPr>
      <w:r w:rsidRPr="00F30FD1">
        <w:rPr>
          <w:b/>
          <w:szCs w:val="28"/>
        </w:rPr>
        <w:t>Líneas de Acción</w:t>
      </w:r>
    </w:p>
    <w:p w14:paraId="0B21EBF5"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lastRenderedPageBreak/>
        <w:t xml:space="preserve">Actualizar y modernizar la cartografía y el registro de datos catastrales del Estado, mediante el uso de una Plataforma Estatal de Información Catastral, a efecto de ampliar y </w:t>
      </w:r>
      <w:proofErr w:type="spellStart"/>
      <w:r w:rsidRPr="00F30FD1">
        <w:rPr>
          <w:szCs w:val="28"/>
        </w:rPr>
        <w:t>eficientar</w:t>
      </w:r>
      <w:proofErr w:type="spellEnd"/>
      <w:r w:rsidRPr="00F30FD1">
        <w:rPr>
          <w:szCs w:val="28"/>
        </w:rPr>
        <w:t xml:space="preserve"> la base contributiva del catastro.</w:t>
      </w:r>
    </w:p>
    <w:p w14:paraId="2F65BB52"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Actualizar y complementar el Marco Jurídico del Catastro.</w:t>
      </w:r>
    </w:p>
    <w:p w14:paraId="6CCFFDCC"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Transparentar la deuda pública estatal mediante la publicación periódica de los informes correspondientes, con los criterios establecidos en la Ley de Disciplina Financiera y normatividad aplicable.</w:t>
      </w:r>
    </w:p>
    <w:p w14:paraId="0248601E"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Administrar el Registro Estatal de Obligaciones y Financiamientos.</w:t>
      </w:r>
    </w:p>
    <w:p w14:paraId="2D9C0CAE"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Cumplir con la formulación del presupuesto de endeudamiento anual. </w:t>
      </w:r>
    </w:p>
    <w:p w14:paraId="569F4860"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Dar seguimiento y atención de obligaciones, de los contratos financieros vigentes.</w:t>
      </w:r>
    </w:p>
    <w:p w14:paraId="37A88190"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Proporcionar información para mantener actualizado el Sistema de Alertas.</w:t>
      </w:r>
    </w:p>
    <w:p w14:paraId="567F405C"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Publicar informes trimestrales para transparentar los fideicomisos relacionados a la operatividad del Fondo General de Participaciones.</w:t>
      </w:r>
    </w:p>
    <w:p w14:paraId="4BD34931" w14:textId="77777777" w:rsidR="008D3354" w:rsidRPr="008D3354" w:rsidRDefault="00AB2769" w:rsidP="008D3354">
      <w:pPr>
        <w:pStyle w:val="Prrafodelista"/>
        <w:numPr>
          <w:ilvl w:val="0"/>
          <w:numId w:val="8"/>
        </w:numPr>
        <w:spacing w:before="120" w:after="120" w:line="360" w:lineRule="auto"/>
        <w:ind w:left="142"/>
        <w:rPr>
          <w:szCs w:val="28"/>
        </w:rPr>
      </w:pPr>
      <w:r w:rsidRPr="00F30FD1">
        <w:rPr>
          <w:szCs w:val="28"/>
        </w:rPr>
        <w:t xml:space="preserve"> </w:t>
      </w:r>
      <w:r w:rsidR="008D3354" w:rsidRPr="008D3354">
        <w:rPr>
          <w:szCs w:val="28"/>
        </w:rPr>
        <w:t>Fortalecer el marco normativo institucional para salvaguardar los intereses de la propia Secretaría bajo los principios de legalidad, honradez y transparencia.</w:t>
      </w:r>
    </w:p>
    <w:p w14:paraId="03ABBB4A" w14:textId="77777777" w:rsidR="008D3354" w:rsidRPr="008D3354" w:rsidRDefault="008D3354" w:rsidP="008D3354">
      <w:pPr>
        <w:pStyle w:val="Prrafodelista"/>
        <w:numPr>
          <w:ilvl w:val="0"/>
          <w:numId w:val="8"/>
        </w:numPr>
        <w:ind w:left="142"/>
        <w:rPr>
          <w:szCs w:val="28"/>
        </w:rPr>
      </w:pPr>
      <w:r w:rsidRPr="008D3354">
        <w:rPr>
          <w:szCs w:val="28"/>
        </w:rPr>
        <w:t xml:space="preserve">Garantizar la defensa legal y jurídica en toda clase de juicios y recursos en que la Secretaría de Finanzas y Planeación se parte mediante la atención de demandas administrativas interpuestas en contra de actos o resoluciones que emitan las autoridades competentes.  </w:t>
      </w:r>
    </w:p>
    <w:p w14:paraId="6E3CBB3B" w14:textId="77777777" w:rsidR="008D3354" w:rsidRPr="008D3354" w:rsidRDefault="008D3354" w:rsidP="008D3354">
      <w:pPr>
        <w:pStyle w:val="Prrafodelista"/>
        <w:numPr>
          <w:ilvl w:val="0"/>
          <w:numId w:val="8"/>
        </w:numPr>
        <w:ind w:left="142"/>
        <w:rPr>
          <w:szCs w:val="28"/>
        </w:rPr>
      </w:pPr>
      <w:r w:rsidRPr="008D3354">
        <w:rPr>
          <w:szCs w:val="28"/>
        </w:rPr>
        <w:t>Desarrollar, en coordinación con las dependencias, entidades y organismos, estrategias encaminadas a elevar los ingresos propios.</w:t>
      </w:r>
    </w:p>
    <w:p w14:paraId="2AE7ACDD" w14:textId="77777777" w:rsidR="008D3354" w:rsidRPr="008D3354" w:rsidRDefault="008D3354" w:rsidP="008D3354">
      <w:pPr>
        <w:pStyle w:val="Prrafodelista"/>
        <w:numPr>
          <w:ilvl w:val="0"/>
          <w:numId w:val="8"/>
        </w:numPr>
        <w:ind w:left="142"/>
        <w:rPr>
          <w:szCs w:val="28"/>
        </w:rPr>
      </w:pPr>
      <w:r w:rsidRPr="008D3354">
        <w:rPr>
          <w:szCs w:val="28"/>
        </w:rPr>
        <w:t xml:space="preserve"> Supervisar y verificar el cumplimiento de obligaciones fiscales de los contribuyentes.</w:t>
      </w:r>
    </w:p>
    <w:p w14:paraId="14DF5974" w14:textId="77777777" w:rsidR="008D3354" w:rsidRPr="008D3354" w:rsidRDefault="008D3354" w:rsidP="008D3354">
      <w:pPr>
        <w:pStyle w:val="Prrafodelista"/>
        <w:numPr>
          <w:ilvl w:val="0"/>
          <w:numId w:val="8"/>
        </w:numPr>
        <w:ind w:left="142"/>
        <w:rPr>
          <w:szCs w:val="28"/>
        </w:rPr>
      </w:pPr>
      <w:r w:rsidRPr="008D3354">
        <w:rPr>
          <w:szCs w:val="28"/>
        </w:rPr>
        <w:t>Analizar los Incentivos obtenidos por parte de la Federación derivado de estrategias de recaudación.</w:t>
      </w:r>
    </w:p>
    <w:p w14:paraId="57776F56" w14:textId="77777777" w:rsidR="008D3354" w:rsidRPr="008D3354" w:rsidRDefault="008D3354" w:rsidP="008D3354">
      <w:pPr>
        <w:pStyle w:val="Prrafodelista"/>
        <w:numPr>
          <w:ilvl w:val="0"/>
          <w:numId w:val="8"/>
        </w:numPr>
        <w:ind w:left="142"/>
        <w:rPr>
          <w:szCs w:val="28"/>
        </w:rPr>
      </w:pPr>
      <w:r w:rsidRPr="008D3354">
        <w:rPr>
          <w:szCs w:val="28"/>
        </w:rPr>
        <w:t xml:space="preserve"> Incrementar y facilitar el cumplimiento voluntario del contribuyente a través del desarrollo de herramientas tecnológicas, canales de servicio, formatos, instructivos y aplicaciones, orientándolos a brindar un servicio de alta calidad. </w:t>
      </w:r>
    </w:p>
    <w:p w14:paraId="27E79D4E" w14:textId="052732C4" w:rsidR="00AB2769" w:rsidRPr="00F30FD1" w:rsidRDefault="00AB2769" w:rsidP="008D3354">
      <w:pPr>
        <w:pStyle w:val="Prrafodelista"/>
        <w:numPr>
          <w:ilvl w:val="0"/>
          <w:numId w:val="8"/>
        </w:numPr>
        <w:spacing w:before="120" w:after="120" w:line="360" w:lineRule="auto"/>
        <w:ind w:left="142"/>
        <w:rPr>
          <w:szCs w:val="28"/>
        </w:rPr>
      </w:pPr>
      <w:r w:rsidRPr="00F30FD1">
        <w:rPr>
          <w:szCs w:val="28"/>
        </w:rPr>
        <w:t>Celebrar convenios con más instituciones bancarias</w:t>
      </w:r>
    </w:p>
    <w:p w14:paraId="7B8A725A"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lastRenderedPageBreak/>
        <w:t>Modernización de las herramientas tecnológicas (Software y Hardware) en las oficinas de recaudación.</w:t>
      </w:r>
    </w:p>
    <w:p w14:paraId="0951EFAB"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Depurar padrones para fortalecer, con apoyo de herramientas tecnológicas, las tareas efectuadas por las oficinas de recaudación.</w:t>
      </w:r>
    </w:p>
    <w:p w14:paraId="27642819"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Diseñar y simplificar los procesos de recaudación  de los ingresos estatales.</w:t>
      </w:r>
    </w:p>
    <w:p w14:paraId="48630AAB"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Sistematización de las actividades del barrido integral de calles.</w:t>
      </w:r>
    </w:p>
    <w:p w14:paraId="1A9D15D2"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Diseñar y elaborar un marco geográfico fiscal que permita georreferenciar cualquier tipo de información así como actualizar la información geográfica fiscal del Estado.</w:t>
      </w:r>
    </w:p>
    <w:p w14:paraId="175AC8A6"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Realizar actos de presencia fiscal por medio de cartas invitación y verificación de comprobantes fiscales.</w:t>
      </w:r>
    </w:p>
    <w:p w14:paraId="10D033FE"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Elaborar propuestas de casos de ejemplaridad, delitos en el federal de contribuyentes, cancelación del sello digital y delitos por defraudación fiscal.</w:t>
      </w:r>
    </w:p>
    <w:p w14:paraId="1E6746C8"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Realizar visitas domiciliarias y revisión de dictámenes y de gabinete.</w:t>
      </w:r>
    </w:p>
    <w:p w14:paraId="7B132046"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Mejorar en coordinación con la Secretaria de la contraloría del estado, trámites y servicios que presta el gobierno del Estado a través del Servicio de Administración Tributaria del Estado de Quintana Roo.</w:t>
      </w:r>
    </w:p>
    <w:p w14:paraId="27CA116C"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Proponer reformas a la Normatividad Fiscal de Estado que permitan la debida fundamentación y motivación de los actos de las autoridades fiscales del Servicio de Administración Tributaria del Estado de Quintana Roo.</w:t>
      </w:r>
    </w:p>
    <w:p w14:paraId="0E0B169B"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Formular y analizar anteproyectos de leyes o decretos competencia de la Secretaria para impulsar una mejor y adecuada recaudación de ingreso dentro del marco del derecho y apegada los principios de legalidad, certeza jurídica y respeto a ley, a los contribuyentes y a la dignidad propia de la institución.</w:t>
      </w:r>
    </w:p>
    <w:p w14:paraId="5A6EFEE4"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Mejorar en coordinación con las autoridades fiscales, las medidas para la adecuada elaboración de las multas, créditos fiscales infracciones y demás actos por incumplimiento de obligaciones </w:t>
      </w:r>
      <w:r w:rsidRPr="00F30FD1">
        <w:rPr>
          <w:szCs w:val="28"/>
        </w:rPr>
        <w:lastRenderedPageBreak/>
        <w:t xml:space="preserve">fiscales </w:t>
      </w:r>
      <w:proofErr w:type="spellStart"/>
      <w:r w:rsidRPr="00F30FD1">
        <w:rPr>
          <w:szCs w:val="28"/>
        </w:rPr>
        <w:t>asi</w:t>
      </w:r>
      <w:proofErr w:type="spellEnd"/>
      <w:r w:rsidRPr="00F30FD1">
        <w:rPr>
          <w:szCs w:val="28"/>
        </w:rPr>
        <w:t xml:space="preserve"> como su debida notificación. (Diseño de formatos de notificación debidamente fundados y motivados; citatorios, ordenes de clausura, ordenes de visita.</w:t>
      </w:r>
    </w:p>
    <w:p w14:paraId="6F354EB6"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Aumentar la base gravable para la obtención de recursos de contribuciones estatales mediante la aplicación de la legislación vigente</w:t>
      </w:r>
    </w:p>
    <w:p w14:paraId="6B198CCF" w14:textId="1FCED33D" w:rsidR="00AB2769" w:rsidRPr="00F30FD1" w:rsidRDefault="008B4F27" w:rsidP="00084A73">
      <w:pPr>
        <w:pStyle w:val="Prrafodelista"/>
        <w:numPr>
          <w:ilvl w:val="0"/>
          <w:numId w:val="8"/>
        </w:numPr>
        <w:spacing w:before="120" w:after="120" w:line="360" w:lineRule="auto"/>
        <w:ind w:left="142"/>
        <w:rPr>
          <w:szCs w:val="28"/>
        </w:rPr>
      </w:pPr>
      <w:r w:rsidRPr="00F30FD1">
        <w:rPr>
          <w:szCs w:val="28"/>
        </w:rPr>
        <w:t xml:space="preserve"> Generar </w:t>
      </w:r>
      <w:r w:rsidR="00AB2769" w:rsidRPr="00F30FD1">
        <w:rPr>
          <w:szCs w:val="28"/>
        </w:rPr>
        <w:t xml:space="preserve"> registro de licencias y permisos  para la venta y consumo de bebidas alcohólicas</w:t>
      </w:r>
    </w:p>
    <w:p w14:paraId="4E3BC23B"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Dar puntual seguimiento a las publicaciones del Diario Oficial de la Federación en materia de convenios y estímulos</w:t>
      </w:r>
    </w:p>
    <w:p w14:paraId="659733F6"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Establecer medidas que permitan facilitar los trámites y aminorar las cargas fiscales de los sectores vulnerables de la población.</w:t>
      </w:r>
    </w:p>
    <w:p w14:paraId="74B15F19"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Efectuar estimaciones presupuestales y de gasto con relación a las participaciones y aportaciones en conjunto con los gobiernos municipales y con sustento en el Sistema Nacional de Coordinación Fiscal.</w:t>
      </w:r>
    </w:p>
    <w:p w14:paraId="539A3027"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 xml:space="preserve"> Diseñar e implementar el Taller de la recaudación del impuesto predial</w:t>
      </w:r>
    </w:p>
    <w:p w14:paraId="5D361B90" w14:textId="77777777"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Impulsar estrategias encaminadas a obtener mayores recursos vía incentivos por parte de la federación</w:t>
      </w:r>
    </w:p>
    <w:p w14:paraId="3BD3DDA9" w14:textId="73E31BE1" w:rsidR="00AB2769" w:rsidRPr="00F30FD1" w:rsidRDefault="00AB2769" w:rsidP="00084A73">
      <w:pPr>
        <w:pStyle w:val="Prrafodelista"/>
        <w:numPr>
          <w:ilvl w:val="0"/>
          <w:numId w:val="8"/>
        </w:numPr>
        <w:spacing w:before="120" w:after="120" w:line="360" w:lineRule="auto"/>
        <w:ind w:left="142"/>
        <w:rPr>
          <w:szCs w:val="28"/>
        </w:rPr>
      </w:pPr>
      <w:r w:rsidRPr="00F30FD1">
        <w:rPr>
          <w:szCs w:val="28"/>
        </w:rPr>
        <w:t>Implementar acciones para fortalecer el Modelo de Prevención en Quintana Roo.</w:t>
      </w:r>
    </w:p>
    <w:p w14:paraId="382F4D7C" w14:textId="49EB6FDD" w:rsidR="00C812E9" w:rsidRPr="00F30FD1" w:rsidRDefault="00AB2769" w:rsidP="00084A73">
      <w:pPr>
        <w:pStyle w:val="Prrafodelista"/>
        <w:numPr>
          <w:ilvl w:val="0"/>
          <w:numId w:val="8"/>
        </w:numPr>
        <w:spacing w:before="120" w:after="120" w:line="360" w:lineRule="auto"/>
        <w:ind w:left="142"/>
        <w:rPr>
          <w:szCs w:val="28"/>
        </w:rPr>
      </w:pPr>
      <w:r w:rsidRPr="00F30FD1">
        <w:rPr>
          <w:szCs w:val="28"/>
        </w:rPr>
        <w:t>Implementar acciones permanentes en materia de los Derechos Humanos dirigido a los servidores públicos de la SEFIPLAN.</w:t>
      </w:r>
    </w:p>
    <w:p w14:paraId="6EB1F67D" w14:textId="788218BB" w:rsidR="002C2433" w:rsidRPr="00F30FD1" w:rsidRDefault="002C2433" w:rsidP="00084A73">
      <w:pPr>
        <w:pStyle w:val="Prrafodelista"/>
        <w:numPr>
          <w:ilvl w:val="0"/>
          <w:numId w:val="8"/>
        </w:numPr>
        <w:spacing w:before="120" w:after="120" w:line="360" w:lineRule="auto"/>
        <w:ind w:left="142"/>
        <w:rPr>
          <w:szCs w:val="28"/>
        </w:rPr>
      </w:pPr>
      <w:r w:rsidRPr="00F30FD1">
        <w:rPr>
          <w:szCs w:val="28"/>
        </w:rPr>
        <w:t>Atender las actividades administrativas, técnicas, jurídicas y de staff.</w:t>
      </w:r>
    </w:p>
    <w:p w14:paraId="44554FCE" w14:textId="75B60C06" w:rsidR="00232963" w:rsidRPr="00F30FD1" w:rsidRDefault="003D39BD" w:rsidP="00457A62">
      <w:pPr>
        <w:pStyle w:val="Ttulo2"/>
        <w:rPr>
          <w:color w:val="auto"/>
        </w:rPr>
      </w:pPr>
      <w:r w:rsidRPr="00F30FD1">
        <w:br w:type="page"/>
      </w:r>
      <w:r w:rsidR="00232963" w:rsidRPr="00F30FD1">
        <w:rPr>
          <w:color w:val="auto"/>
        </w:rPr>
        <w:lastRenderedPageBreak/>
        <w:t xml:space="preserve">Tema 2. </w:t>
      </w:r>
      <w:r w:rsidR="008B4966" w:rsidRPr="00F30FD1">
        <w:rPr>
          <w:color w:val="auto"/>
        </w:rPr>
        <w:t>Gestión del Gasto público orientado a resultados</w:t>
      </w:r>
    </w:p>
    <w:p w14:paraId="4B098F98" w14:textId="77777777" w:rsidR="00457A62" w:rsidRPr="00F30FD1" w:rsidRDefault="00457A62" w:rsidP="00457A62">
      <w:pPr>
        <w:rPr>
          <w:lang w:val="es-MX" w:eastAsia="en-US"/>
        </w:rPr>
      </w:pPr>
    </w:p>
    <w:p w14:paraId="1BBFC773" w14:textId="123B965F" w:rsidR="00047BB6" w:rsidRDefault="00047BB6" w:rsidP="00472C23">
      <w:pPr>
        <w:spacing w:before="120" w:after="120" w:line="360" w:lineRule="auto"/>
        <w:rPr>
          <w:szCs w:val="28"/>
        </w:rPr>
      </w:pPr>
      <w:r w:rsidRPr="00F30FD1">
        <w:rPr>
          <w:b/>
        </w:rPr>
        <w:t>Objetivo</w:t>
      </w:r>
      <w:r w:rsidR="008B4966" w:rsidRPr="00F30FD1">
        <w:t xml:space="preserve">: </w:t>
      </w:r>
      <w:r w:rsidR="00472C23" w:rsidRPr="00472C23">
        <w:rPr>
          <w:szCs w:val="28"/>
        </w:rPr>
        <w:t>Consolidar la Gestión para Resultados a través de su herramienta, el Presupuesto basado en Resultados, asegurando que el ciclo presupuestario se desarrolle de manera efectiva y que permita al gobierno mantener su estabilidad económica y sustentabilidad de las finanzas públicas.</w:t>
      </w:r>
    </w:p>
    <w:p w14:paraId="130487EA" w14:textId="77777777" w:rsidR="00472C23" w:rsidRPr="00F30FD1" w:rsidRDefault="00472C23" w:rsidP="00472C23">
      <w:pPr>
        <w:spacing w:before="120" w:after="120" w:line="360" w:lineRule="auto"/>
        <w:rPr>
          <w:rFonts w:eastAsia="Times New Roman" w:cs="Futura"/>
        </w:rPr>
      </w:pPr>
    </w:p>
    <w:p w14:paraId="74944A85" w14:textId="67AF44A2" w:rsidR="008B4966" w:rsidRPr="00F30FD1" w:rsidRDefault="00047BB6" w:rsidP="008B4966">
      <w:pPr>
        <w:spacing w:before="120" w:after="120" w:line="360" w:lineRule="auto"/>
        <w:rPr>
          <w:szCs w:val="28"/>
        </w:rPr>
      </w:pPr>
      <w:r w:rsidRPr="00F30FD1">
        <w:rPr>
          <w:b/>
          <w:szCs w:val="28"/>
        </w:rPr>
        <w:t>Estrategia</w:t>
      </w:r>
      <w:r w:rsidR="008B4966" w:rsidRPr="00F30FD1">
        <w:rPr>
          <w:szCs w:val="28"/>
        </w:rPr>
        <w:t>: Garantizar que las etapas del ciclo presupuestario se efectúen conforme a la metodología del P</w:t>
      </w:r>
      <w:r w:rsidR="00EE305D" w:rsidRPr="00F30FD1">
        <w:rPr>
          <w:szCs w:val="28"/>
        </w:rPr>
        <w:t>resupuesto basado en Resultados aplicando los postulados vigentes de las afectaciones presupuestales, circunscritos en la normatividad en la materia.</w:t>
      </w:r>
    </w:p>
    <w:p w14:paraId="275353CE" w14:textId="19EEADF5" w:rsidR="00047BB6" w:rsidRPr="00F30FD1" w:rsidRDefault="00047BB6" w:rsidP="00047BB6">
      <w:pPr>
        <w:spacing w:before="120" w:after="120" w:line="360" w:lineRule="auto"/>
        <w:rPr>
          <w:szCs w:val="28"/>
        </w:rPr>
      </w:pPr>
    </w:p>
    <w:p w14:paraId="45F01602" w14:textId="436D63A1" w:rsidR="008B4966" w:rsidRPr="00F30FD1" w:rsidRDefault="00232963" w:rsidP="00232963">
      <w:pPr>
        <w:spacing w:before="120" w:after="120" w:line="360" w:lineRule="auto"/>
        <w:rPr>
          <w:b/>
          <w:szCs w:val="28"/>
        </w:rPr>
      </w:pPr>
      <w:r w:rsidRPr="00F30FD1">
        <w:rPr>
          <w:b/>
          <w:szCs w:val="28"/>
        </w:rPr>
        <w:t>Líneas de Acción</w:t>
      </w:r>
    </w:p>
    <w:p w14:paraId="0CA993F7"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Integrar anualmente el Programa Estatal de Evaluación.</w:t>
      </w:r>
    </w:p>
    <w:p w14:paraId="609E2686"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Conformar en coordinación con las dependencias, entidades y organismos, la red de enlaces para la evaluación del desempeño de los programas presupuestarios.</w:t>
      </w:r>
    </w:p>
    <w:p w14:paraId="2E38BA92"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Operar un Sistema de Evaluación del Desempeño con enfoque a resultados.</w:t>
      </w:r>
    </w:p>
    <w:p w14:paraId="515A4F5A"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Evaluar anualmente  los programas presupuestarios de la administración estatal en el marco del Sistema Estatal de Evaluación del Desempeño.</w:t>
      </w:r>
    </w:p>
    <w:p w14:paraId="10A30125" w14:textId="5CA91318"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Efectuar, en coordinación con la Unidad de Transparencia y Acceso a la Información, la publicación de información en materia del Sistema de Evaluación del Desempeño.</w:t>
      </w:r>
    </w:p>
    <w:p w14:paraId="40134F32" w14:textId="77777777" w:rsidR="000D56D3" w:rsidRPr="00F30FD1" w:rsidRDefault="000D56D3" w:rsidP="00084A73">
      <w:pPr>
        <w:pStyle w:val="Prrafodelista"/>
        <w:numPr>
          <w:ilvl w:val="0"/>
          <w:numId w:val="22"/>
        </w:numPr>
        <w:spacing w:before="120" w:after="120" w:line="360" w:lineRule="auto"/>
        <w:ind w:left="284" w:hanging="426"/>
        <w:rPr>
          <w:szCs w:val="28"/>
        </w:rPr>
      </w:pPr>
      <w:r w:rsidRPr="00F30FD1">
        <w:rPr>
          <w:szCs w:val="28"/>
        </w:rPr>
        <w:t>Monitorear el desempeño de los indicadores estratégicos y de gestión, con la finalidad de contribuir a la transparencia presupuestaria y toma de decisiones con información de calidad.</w:t>
      </w:r>
    </w:p>
    <w:p w14:paraId="3FD20A08" w14:textId="77777777" w:rsidR="000D56D3" w:rsidRPr="00F30FD1" w:rsidRDefault="000D56D3" w:rsidP="00084A73">
      <w:pPr>
        <w:pStyle w:val="Prrafodelista"/>
        <w:numPr>
          <w:ilvl w:val="0"/>
          <w:numId w:val="22"/>
        </w:numPr>
        <w:spacing w:before="120" w:after="120" w:line="360" w:lineRule="auto"/>
        <w:ind w:left="284" w:hanging="426"/>
        <w:rPr>
          <w:szCs w:val="28"/>
        </w:rPr>
      </w:pPr>
      <w:r w:rsidRPr="00F30FD1">
        <w:rPr>
          <w:szCs w:val="28"/>
        </w:rPr>
        <w:t xml:space="preserve">  Fomentar una cultura de monitoreo y evaluación a través de cursos, talleres y asesorías al sector gubernamental del orden estatal y municipal.</w:t>
      </w:r>
    </w:p>
    <w:p w14:paraId="77D798B7" w14:textId="77777777" w:rsidR="000D56D3" w:rsidRPr="00F30FD1" w:rsidRDefault="000D56D3" w:rsidP="00084A73">
      <w:pPr>
        <w:pStyle w:val="Prrafodelista"/>
        <w:numPr>
          <w:ilvl w:val="0"/>
          <w:numId w:val="22"/>
        </w:numPr>
        <w:spacing w:before="120" w:after="120" w:line="360" w:lineRule="auto"/>
        <w:ind w:left="284" w:hanging="426"/>
        <w:rPr>
          <w:szCs w:val="28"/>
        </w:rPr>
      </w:pPr>
      <w:r w:rsidRPr="00F30FD1">
        <w:rPr>
          <w:szCs w:val="28"/>
        </w:rPr>
        <w:lastRenderedPageBreak/>
        <w:t xml:space="preserve">  Supervisar la aplicación del mecanismo para el seguimiento a los Aspectos Susceptibles de Mejora, ASM, para el perfeccionamiento de los programas presupuestarios del Estado.</w:t>
      </w:r>
    </w:p>
    <w:p w14:paraId="250A8D15" w14:textId="77777777" w:rsidR="000D56D3" w:rsidRPr="00F30FD1" w:rsidRDefault="000D56D3" w:rsidP="00084A73">
      <w:pPr>
        <w:pStyle w:val="Prrafodelista"/>
        <w:numPr>
          <w:ilvl w:val="0"/>
          <w:numId w:val="22"/>
        </w:numPr>
        <w:spacing w:before="120" w:after="120" w:line="360" w:lineRule="auto"/>
        <w:ind w:left="284" w:hanging="426"/>
        <w:rPr>
          <w:szCs w:val="28"/>
        </w:rPr>
      </w:pPr>
      <w:r w:rsidRPr="00F30FD1">
        <w:rPr>
          <w:szCs w:val="28"/>
        </w:rPr>
        <w:t xml:space="preserve"> Efectuar, en coordinación con los gobiernos municipales y con sustento en el Sistema Nacional de Coordinación Fiscal, y de gasto con relación a las participaciones y aportaciones.</w:t>
      </w:r>
    </w:p>
    <w:p w14:paraId="0462D89E" w14:textId="77777777" w:rsidR="001B22C0" w:rsidRPr="00F30FD1" w:rsidRDefault="001B22C0" w:rsidP="00084A73">
      <w:pPr>
        <w:pStyle w:val="Prrafodelista"/>
        <w:numPr>
          <w:ilvl w:val="0"/>
          <w:numId w:val="22"/>
        </w:numPr>
        <w:spacing w:before="120" w:after="120" w:line="360" w:lineRule="auto"/>
        <w:ind w:left="284" w:hanging="426"/>
        <w:rPr>
          <w:szCs w:val="28"/>
        </w:rPr>
      </w:pPr>
      <w:r w:rsidRPr="00F30FD1">
        <w:rPr>
          <w:szCs w:val="28"/>
        </w:rPr>
        <w:t>Administrar y optimizar la Cartera Estatal de Proyectos de Inversión Pública.</w:t>
      </w:r>
    </w:p>
    <w:p w14:paraId="5F1CD101" w14:textId="77777777" w:rsidR="001B22C0" w:rsidRPr="00F30FD1" w:rsidRDefault="001B22C0" w:rsidP="00084A73">
      <w:pPr>
        <w:pStyle w:val="Prrafodelista"/>
        <w:numPr>
          <w:ilvl w:val="0"/>
          <w:numId w:val="22"/>
        </w:numPr>
        <w:spacing w:before="120" w:after="120" w:line="360" w:lineRule="auto"/>
        <w:ind w:left="284" w:hanging="426"/>
        <w:rPr>
          <w:szCs w:val="28"/>
        </w:rPr>
      </w:pPr>
      <w:r w:rsidRPr="00F30FD1">
        <w:rPr>
          <w:szCs w:val="28"/>
        </w:rPr>
        <w:t>Crear la Unidad de Inversión Pública Estatal</w:t>
      </w:r>
    </w:p>
    <w:p w14:paraId="586FACED"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Instaurar Consejos Interinstitucionales de apoyo a la planeación del estado.</w:t>
      </w:r>
    </w:p>
    <w:p w14:paraId="4F49DAAF" w14:textId="5D2E941E"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Asesorar, en coordinación con la </w:t>
      </w:r>
      <w:r w:rsidR="00DC29FE" w:rsidRPr="00F30FD1">
        <w:rPr>
          <w:szCs w:val="28"/>
        </w:rPr>
        <w:t>Secretaría de la Contraloría del Estado</w:t>
      </w:r>
      <w:r w:rsidRPr="00F30FD1">
        <w:rPr>
          <w:szCs w:val="28"/>
        </w:rPr>
        <w:t>, a gobiernos municipales del estado para la integración de sus modelos de planeación en materia de administración, economía y urbanización.</w:t>
      </w:r>
    </w:p>
    <w:p w14:paraId="5F575C91" w14:textId="77777777" w:rsidR="00982331" w:rsidRPr="00F30FD1" w:rsidRDefault="00982331" w:rsidP="00084A73">
      <w:pPr>
        <w:pStyle w:val="Prrafodelista"/>
        <w:numPr>
          <w:ilvl w:val="0"/>
          <w:numId w:val="22"/>
        </w:numPr>
        <w:spacing w:before="120" w:after="120" w:line="360" w:lineRule="auto"/>
        <w:ind w:left="284" w:hanging="426"/>
        <w:rPr>
          <w:rFonts w:eastAsia="Times New Roman" w:cs="Futura"/>
        </w:rPr>
      </w:pPr>
      <w:r w:rsidRPr="00F30FD1">
        <w:rPr>
          <w:szCs w:val="28"/>
        </w:rPr>
        <w:t xml:space="preserve"> Emitir y Mantener Actualizado el Marco Normativo del Sistema</w:t>
      </w:r>
      <w:r w:rsidRPr="00F30FD1">
        <w:rPr>
          <w:rFonts w:eastAsia="Times New Roman" w:cs="Futura"/>
        </w:rPr>
        <w:t xml:space="preserve"> Estatal de Planeación.</w:t>
      </w:r>
    </w:p>
    <w:p w14:paraId="3586FD38"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Coordinar la Integración y dar seguimiento al Comité de Planeación  para el Desarrollo del Estado de Quintana Roo (COPLADE)</w:t>
      </w:r>
    </w:p>
    <w:p w14:paraId="16AD1F51" w14:textId="5BFCBF76"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Elaborar un Informe anual sobre el avance de </w:t>
      </w:r>
      <w:r w:rsidR="00AB2A7A" w:rsidRPr="00F30FD1">
        <w:rPr>
          <w:szCs w:val="28"/>
        </w:rPr>
        <w:t>atención de</w:t>
      </w:r>
      <w:r w:rsidRPr="00F30FD1">
        <w:rPr>
          <w:szCs w:val="28"/>
        </w:rPr>
        <w:t xml:space="preserve"> las líneas de acción  del Plan Estatal de Desarrollo.</w:t>
      </w:r>
    </w:p>
    <w:p w14:paraId="0A973554"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Mejorar el proceso de integración y seguimiento del Programa Anual de Inversión Pública.</w:t>
      </w:r>
    </w:p>
    <w:p w14:paraId="65E59541"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Sistematizar el proceso de planeación de inversiones para promover una adecuada y correcta integración, gestión y ejecución de los proyectos.</w:t>
      </w:r>
    </w:p>
    <w:p w14:paraId="339BD23B"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 xml:space="preserve">  Establecer en el Sistema Estatal de Inversión Pública las bases para una planeación de necesidades de infraestructura ordenada, técnicamente sustentada y con visión de largo plazo.</w:t>
      </w:r>
    </w:p>
    <w:p w14:paraId="7BDCDF52"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Generar herramientas de programación, presupuestación, ejercicio y control que permitan la consolidación del Presupuesto basado en Resultados.</w:t>
      </w:r>
    </w:p>
    <w:p w14:paraId="63704E57" w14:textId="1354BD9A"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Sensibilizar mediante capacitación y asistencia técnica a los servidores públicos sobre la implementación y métodos del Presupuesto basado en Resultados.</w:t>
      </w:r>
    </w:p>
    <w:p w14:paraId="667A3BB1"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lastRenderedPageBreak/>
        <w:t>Validar las Matrices de Indicadores para Resultados de las dependencias, entidades y organismos autónomos en el proceso de programación y presupuestación de cada ejercicio fiscal.</w:t>
      </w:r>
    </w:p>
    <w:p w14:paraId="7A50D834"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Integrar en coordinación con las dependencias, entidades y organismos el control, seguimiento y análisis de las etapas del autorizado, comprometido y devengado de la Inversión Pública.</w:t>
      </w:r>
    </w:p>
    <w:p w14:paraId="0A833A1B" w14:textId="77777777" w:rsidR="00982331" w:rsidRPr="00F30FD1" w:rsidRDefault="00982331" w:rsidP="00084A73">
      <w:pPr>
        <w:pStyle w:val="Prrafodelista"/>
        <w:numPr>
          <w:ilvl w:val="0"/>
          <w:numId w:val="22"/>
        </w:numPr>
        <w:spacing w:before="120" w:after="120" w:line="360" w:lineRule="auto"/>
        <w:ind w:left="284" w:hanging="426"/>
        <w:rPr>
          <w:szCs w:val="28"/>
        </w:rPr>
      </w:pPr>
      <w:r w:rsidRPr="00F30FD1">
        <w:rPr>
          <w:szCs w:val="28"/>
        </w:rPr>
        <w:t>Dar seguimiento a la ejecución de los recursos de los servicios personales de las entidades y organismos con base al Decreto del Presupuesto autorizado por el Congreso del Estado de Quintana Roo, privilegiando así la eficacia y eficiencia de los recursos públicos.</w:t>
      </w:r>
    </w:p>
    <w:p w14:paraId="4E574142" w14:textId="77777777" w:rsidR="00BA7D00" w:rsidRPr="00F30FD1" w:rsidRDefault="00982331" w:rsidP="00084A73">
      <w:pPr>
        <w:pStyle w:val="Prrafodelista"/>
        <w:numPr>
          <w:ilvl w:val="0"/>
          <w:numId w:val="22"/>
        </w:numPr>
        <w:spacing w:before="120" w:after="120" w:line="360" w:lineRule="auto"/>
        <w:ind w:left="284" w:hanging="426"/>
        <w:rPr>
          <w:szCs w:val="28"/>
        </w:rPr>
      </w:pPr>
      <w:r w:rsidRPr="00F30FD1">
        <w:rPr>
          <w:szCs w:val="28"/>
        </w:rPr>
        <w:t>Actualizar el marco normativo y de operación presupuestal-financiera de la administración pública estatal con base en los principios establecidos en la Ley de Disciplina Financiera de las Entidades y Municipios.</w:t>
      </w:r>
    </w:p>
    <w:p w14:paraId="3155E219" w14:textId="77777777" w:rsidR="00BA7D00" w:rsidRPr="00F30FD1" w:rsidRDefault="00BA7D00" w:rsidP="00084A73">
      <w:pPr>
        <w:pStyle w:val="Prrafodelista"/>
        <w:numPr>
          <w:ilvl w:val="0"/>
          <w:numId w:val="22"/>
        </w:numPr>
        <w:spacing w:before="120" w:after="120" w:line="360" w:lineRule="auto"/>
        <w:ind w:left="284" w:hanging="426"/>
        <w:rPr>
          <w:szCs w:val="28"/>
        </w:rPr>
      </w:pPr>
      <w:r w:rsidRPr="00F30FD1">
        <w:rPr>
          <w:szCs w:val="28"/>
        </w:rPr>
        <w:t>Autorizar todas las erogaciones con cargo al presupuesto de Egresos turnados por la Dirección de Egresos en su reporte de propuesta de pagos de acuerdo con el análisis de antigüedad de saldos, fuente de financiamiento y grado de exigibilidad de las obligaciones a favor de los proveedores, contratistas y acreedores del Estado, los cuales estarán sujetos en todo momento a la disponibilidad financiera emitida de forma diaria por la dirección de Caja.</w:t>
      </w:r>
    </w:p>
    <w:p w14:paraId="46CF9B3E" w14:textId="77777777" w:rsidR="00BA7D00" w:rsidRPr="00F30FD1" w:rsidRDefault="00BA7D00" w:rsidP="00084A73">
      <w:pPr>
        <w:pStyle w:val="Prrafodelista"/>
        <w:numPr>
          <w:ilvl w:val="0"/>
          <w:numId w:val="22"/>
        </w:numPr>
        <w:spacing w:before="120" w:after="120" w:line="360" w:lineRule="auto"/>
        <w:ind w:left="284" w:hanging="426"/>
        <w:rPr>
          <w:szCs w:val="28"/>
        </w:rPr>
      </w:pPr>
      <w:r w:rsidRPr="00F30FD1">
        <w:rPr>
          <w:szCs w:val="28"/>
        </w:rPr>
        <w:t>Aplicar el gasto público de manera correcta en base a los requisitos y a la normatividad vigente, para la atención de las necesidades sociales, con la calidad y en orientación a resultados medibles.</w:t>
      </w:r>
    </w:p>
    <w:p w14:paraId="25838246" w14:textId="77777777" w:rsidR="00BA7D00" w:rsidRPr="00F30FD1" w:rsidRDefault="00BA7D00" w:rsidP="00084A73">
      <w:pPr>
        <w:pStyle w:val="Prrafodelista"/>
        <w:numPr>
          <w:ilvl w:val="0"/>
          <w:numId w:val="22"/>
        </w:numPr>
        <w:spacing w:before="120" w:after="120" w:line="360" w:lineRule="auto"/>
        <w:ind w:left="284" w:hanging="426"/>
        <w:rPr>
          <w:szCs w:val="28"/>
        </w:rPr>
      </w:pPr>
      <w:r w:rsidRPr="00F30FD1">
        <w:rPr>
          <w:szCs w:val="28"/>
        </w:rPr>
        <w:t>Efectuar el pago de los documentos autorizados, previa programación de la dirección de egresos y que los mismos cumplan con los lineamientos establecidos para la correcta integración de la cuenta pública.</w:t>
      </w:r>
    </w:p>
    <w:p w14:paraId="41298EB9" w14:textId="6C41118D" w:rsidR="00BA7D00" w:rsidRPr="00F30FD1" w:rsidRDefault="008D3354" w:rsidP="00084A73">
      <w:pPr>
        <w:pStyle w:val="Prrafodelista"/>
        <w:numPr>
          <w:ilvl w:val="0"/>
          <w:numId w:val="22"/>
        </w:numPr>
        <w:spacing w:before="120" w:after="120" w:line="360" w:lineRule="auto"/>
        <w:ind w:left="284" w:hanging="426"/>
        <w:rPr>
          <w:szCs w:val="28"/>
        </w:rPr>
      </w:pPr>
      <w:r w:rsidRPr="008D3354">
        <w:rPr>
          <w:szCs w:val="28"/>
        </w:rPr>
        <w:t>Fortalecer la contabilidad gubernamental armonizada, de conformidad con las disposiciones establecidas por el Consejo Nacional de Armonización Contable (CONAC) y otras disposiciones relacionadas con la finalidad de mejorar la transparencia y la rendición de cuentas</w:t>
      </w:r>
    </w:p>
    <w:p w14:paraId="27C692DB" w14:textId="3F9E2C4E" w:rsidR="001B22C0" w:rsidRPr="00F30FD1" w:rsidRDefault="001B22C0" w:rsidP="00084A73">
      <w:pPr>
        <w:pStyle w:val="Prrafodelista"/>
        <w:numPr>
          <w:ilvl w:val="0"/>
          <w:numId w:val="22"/>
        </w:numPr>
        <w:spacing w:before="120" w:after="120" w:line="360" w:lineRule="auto"/>
        <w:ind w:left="284" w:hanging="426"/>
        <w:rPr>
          <w:szCs w:val="28"/>
        </w:rPr>
      </w:pPr>
      <w:r w:rsidRPr="00F30FD1">
        <w:rPr>
          <w:szCs w:val="28"/>
        </w:rPr>
        <w:lastRenderedPageBreak/>
        <w:t>Determinar el comportamiento del ejercicio presupuestal de los recursos asignados a los entes públicos, en términos del manejo eficiente, transparente y de rendición de cuentas de las finanzas públicas, en atención a lo establecido e</w:t>
      </w:r>
      <w:r w:rsidR="00EE305D" w:rsidRPr="00F30FD1">
        <w:rPr>
          <w:szCs w:val="28"/>
        </w:rPr>
        <w:t>n el Plan Estatal de Desarrollo y la normatividad vigente en materia Presupuestal.</w:t>
      </w:r>
    </w:p>
    <w:p w14:paraId="07FC9555" w14:textId="77777777" w:rsidR="001B22C0" w:rsidRPr="00F30FD1" w:rsidRDefault="001B22C0" w:rsidP="00084A73">
      <w:pPr>
        <w:pStyle w:val="Prrafodelista"/>
        <w:numPr>
          <w:ilvl w:val="0"/>
          <w:numId w:val="22"/>
        </w:numPr>
        <w:spacing w:before="120" w:after="120" w:line="360" w:lineRule="auto"/>
        <w:ind w:left="284" w:hanging="426"/>
        <w:rPr>
          <w:szCs w:val="28"/>
        </w:rPr>
      </w:pPr>
      <w:r w:rsidRPr="00F30FD1">
        <w:rPr>
          <w:szCs w:val="28"/>
        </w:rPr>
        <w:t xml:space="preserve"> Impulsar mecanismos de participación ciudadana para el análisis de las finanzas públicas.</w:t>
      </w:r>
    </w:p>
    <w:p w14:paraId="7FF99313" w14:textId="77777777" w:rsidR="001B22C0" w:rsidRPr="00F30FD1" w:rsidRDefault="001B22C0" w:rsidP="00084A73">
      <w:pPr>
        <w:pStyle w:val="Prrafodelista"/>
        <w:numPr>
          <w:ilvl w:val="0"/>
          <w:numId w:val="22"/>
        </w:numPr>
        <w:spacing w:before="120" w:after="120" w:line="360" w:lineRule="auto"/>
        <w:ind w:left="284" w:hanging="426"/>
        <w:rPr>
          <w:szCs w:val="28"/>
        </w:rPr>
      </w:pPr>
      <w:r w:rsidRPr="00F30FD1">
        <w:rPr>
          <w:szCs w:val="28"/>
        </w:rPr>
        <w:t xml:space="preserve"> Vincular a los usuarios del módulo de la CONDUSEF Chetumal que requieran realizar trámites, aclaraciones o dudas relacionadas con servicios financieros ante las instancias correspondientes.</w:t>
      </w:r>
    </w:p>
    <w:p w14:paraId="248C3EC2" w14:textId="0BF0DE76" w:rsidR="00457A62" w:rsidRDefault="001B22C0" w:rsidP="00084A73">
      <w:pPr>
        <w:pStyle w:val="Prrafodelista"/>
        <w:numPr>
          <w:ilvl w:val="0"/>
          <w:numId w:val="22"/>
        </w:numPr>
        <w:spacing w:before="120" w:after="120" w:line="360" w:lineRule="auto"/>
        <w:ind w:left="284" w:hanging="426"/>
        <w:rPr>
          <w:szCs w:val="28"/>
        </w:rPr>
      </w:pPr>
      <w:r w:rsidRPr="00F30FD1">
        <w:rPr>
          <w:szCs w:val="28"/>
        </w:rPr>
        <w:t>Implementar el Sistema Estatal de Información, Geografía y Estadística para lograr la integración de los subsistemas de información que sirvan para la elaboración, instrumentación y evaluación de los programas a cargo de la Administración Pública del Estado.</w:t>
      </w:r>
    </w:p>
    <w:p w14:paraId="20280CA9" w14:textId="7320DC11" w:rsidR="008D3354" w:rsidRPr="00F30FD1" w:rsidRDefault="008D3354" w:rsidP="00084A73">
      <w:pPr>
        <w:pStyle w:val="Prrafodelista"/>
        <w:numPr>
          <w:ilvl w:val="0"/>
          <w:numId w:val="22"/>
        </w:numPr>
        <w:spacing w:before="120" w:after="120" w:line="360" w:lineRule="auto"/>
        <w:ind w:left="284" w:hanging="426"/>
        <w:rPr>
          <w:szCs w:val="28"/>
        </w:rPr>
      </w:pPr>
      <w:r w:rsidRPr="008D3354">
        <w:rPr>
          <w:szCs w:val="28"/>
        </w:rPr>
        <w:t>Dar seguimiento a la ejecución, transparencia y rendición de cuentas, de los recursos públicos de las Entidades Paraestatales y Fideicomisos, mediante el análisis administrativo, financiero y presupuestal, en apego a la normatividad aplicable</w:t>
      </w:r>
      <w:r>
        <w:rPr>
          <w:szCs w:val="28"/>
        </w:rPr>
        <w:t>.</w:t>
      </w:r>
    </w:p>
    <w:p w14:paraId="329303B3" w14:textId="77777777" w:rsidR="00457A62" w:rsidRPr="00F30FD1" w:rsidRDefault="00457A62">
      <w:pPr>
        <w:spacing w:after="0" w:line="240" w:lineRule="auto"/>
        <w:jc w:val="left"/>
        <w:rPr>
          <w:szCs w:val="28"/>
        </w:rPr>
      </w:pPr>
      <w:r w:rsidRPr="00F30FD1">
        <w:rPr>
          <w:szCs w:val="28"/>
        </w:rPr>
        <w:br w:type="page"/>
      </w:r>
    </w:p>
    <w:p w14:paraId="7DDD658B" w14:textId="205C500F" w:rsidR="00232963" w:rsidRPr="00F30FD1" w:rsidRDefault="00232963" w:rsidP="00232963">
      <w:pPr>
        <w:pStyle w:val="Ttulo2"/>
        <w:rPr>
          <w:color w:val="auto"/>
        </w:rPr>
      </w:pPr>
      <w:r w:rsidRPr="00F30FD1">
        <w:rPr>
          <w:color w:val="auto"/>
        </w:rPr>
        <w:lastRenderedPageBreak/>
        <w:t xml:space="preserve">Tema 3. </w:t>
      </w:r>
      <w:r w:rsidR="008B4966" w:rsidRPr="00F30FD1">
        <w:rPr>
          <w:color w:val="auto"/>
        </w:rPr>
        <w:t>Gestión de fondos de financiamiento y atracción de capitales.</w:t>
      </w:r>
    </w:p>
    <w:p w14:paraId="39A7CF44" w14:textId="77777777" w:rsidR="00457A62" w:rsidRPr="00F30FD1" w:rsidRDefault="00457A62" w:rsidP="00457A62">
      <w:pPr>
        <w:rPr>
          <w:lang w:val="es-MX" w:eastAsia="en-US"/>
        </w:rPr>
      </w:pPr>
    </w:p>
    <w:p w14:paraId="318D89E5" w14:textId="5A84449E" w:rsidR="00232963" w:rsidRPr="00F30FD1" w:rsidRDefault="00232963" w:rsidP="00D118F1">
      <w:pPr>
        <w:spacing w:before="120" w:after="120" w:line="360" w:lineRule="auto"/>
      </w:pPr>
      <w:r w:rsidRPr="00F30FD1">
        <w:rPr>
          <w:b/>
        </w:rPr>
        <w:t>Objetivo</w:t>
      </w:r>
      <w:r w:rsidR="00D118F1" w:rsidRPr="00F30FD1">
        <w:t>: Brindar acompañamiento y atención a los inversionistas que detecten oportunidades de negocio en Quintana Roo; fungiendo como soporte para la vinculación con entes públicos y privados que abonen a la concreción de proyectos de inversión en la entidad.</w:t>
      </w:r>
    </w:p>
    <w:p w14:paraId="189EB72B" w14:textId="77777777" w:rsidR="00232963" w:rsidRPr="00F30FD1" w:rsidRDefault="00232963" w:rsidP="00232963">
      <w:pPr>
        <w:rPr>
          <w:rFonts w:eastAsia="Times New Roman" w:cs="Futura"/>
        </w:rPr>
      </w:pPr>
    </w:p>
    <w:p w14:paraId="1BE5A558" w14:textId="250A1EDD" w:rsidR="00232963" w:rsidRPr="00F30FD1" w:rsidRDefault="00232963" w:rsidP="00232963">
      <w:pPr>
        <w:spacing w:before="120" w:after="120" w:line="360" w:lineRule="auto"/>
      </w:pPr>
      <w:r w:rsidRPr="00F30FD1">
        <w:rPr>
          <w:b/>
          <w:szCs w:val="28"/>
        </w:rPr>
        <w:t>Estrategia</w:t>
      </w:r>
      <w:proofErr w:type="gramStart"/>
      <w:r w:rsidR="0092675A" w:rsidRPr="00F30FD1">
        <w:rPr>
          <w:szCs w:val="28"/>
        </w:rPr>
        <w:t>:</w:t>
      </w:r>
      <w:r w:rsidR="0092675A" w:rsidRPr="00F30FD1">
        <w:t xml:space="preserve">  </w:t>
      </w:r>
      <w:r w:rsidR="002C2433" w:rsidRPr="00F30FD1">
        <w:t>Crear</w:t>
      </w:r>
      <w:proofErr w:type="gramEnd"/>
      <w:r w:rsidR="002C2433" w:rsidRPr="00F30FD1">
        <w:t xml:space="preserve"> estrategias de promoción, comunicación y difusión que fomenten la atracción de capitales e inversión a la entidad.</w:t>
      </w:r>
    </w:p>
    <w:p w14:paraId="5B39A9D9" w14:textId="77777777" w:rsidR="00232963" w:rsidRPr="00F30FD1" w:rsidRDefault="00232963" w:rsidP="00232963">
      <w:pPr>
        <w:rPr>
          <w:rFonts w:eastAsia="Times New Roman" w:cs="Futura"/>
        </w:rPr>
      </w:pPr>
    </w:p>
    <w:p w14:paraId="4E35D248" w14:textId="77777777" w:rsidR="00232963" w:rsidRPr="00F30FD1" w:rsidRDefault="00232963" w:rsidP="00232963">
      <w:pPr>
        <w:spacing w:before="120" w:after="120" w:line="360" w:lineRule="auto"/>
        <w:rPr>
          <w:b/>
          <w:szCs w:val="28"/>
        </w:rPr>
      </w:pPr>
      <w:r w:rsidRPr="00F30FD1">
        <w:rPr>
          <w:b/>
          <w:szCs w:val="28"/>
        </w:rPr>
        <w:t>Líneas de Acción</w:t>
      </w:r>
    </w:p>
    <w:p w14:paraId="5817EED1" w14:textId="77777777" w:rsidR="00982331" w:rsidRPr="00F30FD1" w:rsidRDefault="00982331" w:rsidP="00084A73">
      <w:pPr>
        <w:pStyle w:val="Prrafodelista"/>
        <w:numPr>
          <w:ilvl w:val="0"/>
          <w:numId w:val="26"/>
        </w:numPr>
        <w:spacing w:before="120" w:after="120" w:line="360" w:lineRule="auto"/>
        <w:ind w:left="142"/>
        <w:rPr>
          <w:szCs w:val="28"/>
        </w:rPr>
      </w:pPr>
      <w:r w:rsidRPr="00F30FD1">
        <w:rPr>
          <w:szCs w:val="28"/>
        </w:rPr>
        <w:t>Crear estrategias de promoción, comunicación y difusión que fomenten la atracción de capitales e inversión a la entidad.</w:t>
      </w:r>
    </w:p>
    <w:p w14:paraId="2931AE6E" w14:textId="77777777" w:rsidR="00982331" w:rsidRPr="00F30FD1" w:rsidRDefault="00982331" w:rsidP="00084A73">
      <w:pPr>
        <w:pStyle w:val="Prrafodelista"/>
        <w:numPr>
          <w:ilvl w:val="0"/>
          <w:numId w:val="26"/>
        </w:numPr>
        <w:spacing w:before="120" w:after="120" w:line="360" w:lineRule="auto"/>
        <w:ind w:left="142"/>
        <w:rPr>
          <w:szCs w:val="28"/>
        </w:rPr>
      </w:pPr>
      <w:r w:rsidRPr="00F30FD1">
        <w:rPr>
          <w:szCs w:val="28"/>
        </w:rPr>
        <w:t>Desarrollar agendas de negocio y mesas de trabajo para el establecimiento de inversiones en sectores estratégicos. Participación en ferias, reuniones y foros de discusión.</w:t>
      </w:r>
    </w:p>
    <w:p w14:paraId="71FD7804" w14:textId="77777777" w:rsidR="00982331" w:rsidRPr="00F30FD1" w:rsidRDefault="00982331" w:rsidP="00084A73">
      <w:pPr>
        <w:pStyle w:val="Prrafodelista"/>
        <w:numPr>
          <w:ilvl w:val="0"/>
          <w:numId w:val="26"/>
        </w:numPr>
        <w:spacing w:before="120" w:after="120" w:line="360" w:lineRule="auto"/>
        <w:ind w:left="142"/>
        <w:rPr>
          <w:szCs w:val="28"/>
        </w:rPr>
      </w:pPr>
      <w:r w:rsidRPr="00F30FD1">
        <w:rPr>
          <w:szCs w:val="28"/>
        </w:rPr>
        <w:t>Generar acuerdos de colaboración y alianzas estratégicas con instituciones públicas y privadas. Involucramiento en programas y políticas públicas en favor del desarrollo de inversión en sectores productivos para la entidad.</w:t>
      </w:r>
    </w:p>
    <w:p w14:paraId="23F22B4A" w14:textId="776AE223" w:rsidR="00982331" w:rsidRPr="00F30FD1" w:rsidRDefault="00AB2A7A" w:rsidP="00084A73">
      <w:pPr>
        <w:pStyle w:val="Prrafodelista"/>
        <w:numPr>
          <w:ilvl w:val="0"/>
          <w:numId w:val="26"/>
        </w:numPr>
        <w:spacing w:before="120" w:after="120" w:line="360" w:lineRule="auto"/>
        <w:ind w:left="142"/>
        <w:rPr>
          <w:szCs w:val="28"/>
        </w:rPr>
      </w:pPr>
      <w:r w:rsidRPr="00F30FD1">
        <w:rPr>
          <w:szCs w:val="28"/>
        </w:rPr>
        <w:t>Gestionar fuentes</w:t>
      </w:r>
      <w:r w:rsidR="00982331" w:rsidRPr="00F30FD1">
        <w:rPr>
          <w:szCs w:val="28"/>
        </w:rPr>
        <w:t xml:space="preserve"> de financiamiento público y privado para proyectos de inversión en el Estado.</w:t>
      </w:r>
    </w:p>
    <w:p w14:paraId="1C1FB627" w14:textId="77777777" w:rsidR="00084A73" w:rsidRPr="00F30FD1" w:rsidRDefault="00982331" w:rsidP="00084A73">
      <w:pPr>
        <w:pStyle w:val="Prrafodelista"/>
        <w:numPr>
          <w:ilvl w:val="0"/>
          <w:numId w:val="26"/>
        </w:numPr>
        <w:spacing w:before="120" w:after="120" w:line="360" w:lineRule="auto"/>
        <w:ind w:left="142"/>
        <w:rPr>
          <w:szCs w:val="28"/>
        </w:rPr>
      </w:pPr>
      <w:r w:rsidRPr="00F30FD1">
        <w:rPr>
          <w:szCs w:val="28"/>
        </w:rPr>
        <w:t>Establecer acciones conjuntas con la</w:t>
      </w:r>
      <w:r w:rsidR="00AB2A7A" w:rsidRPr="00F30FD1">
        <w:rPr>
          <w:szCs w:val="28"/>
        </w:rPr>
        <w:t>s</w:t>
      </w:r>
      <w:r w:rsidRPr="00F30FD1">
        <w:rPr>
          <w:szCs w:val="28"/>
        </w:rPr>
        <w:t xml:space="preserve"> dependencias del gobierno estatal que permitan el agilizar y concretar los proyectos de inversión en los sectores que ofrezca el estado. </w:t>
      </w:r>
    </w:p>
    <w:p w14:paraId="05C6EE9B" w14:textId="079BA7D9" w:rsidR="00084A73" w:rsidRPr="00F30FD1" w:rsidRDefault="00982331" w:rsidP="00084A73">
      <w:pPr>
        <w:pStyle w:val="Prrafodelista"/>
        <w:numPr>
          <w:ilvl w:val="0"/>
          <w:numId w:val="26"/>
        </w:numPr>
        <w:spacing w:before="120" w:after="120" w:line="360" w:lineRule="auto"/>
        <w:ind w:left="142"/>
        <w:rPr>
          <w:szCs w:val="28"/>
        </w:rPr>
      </w:pPr>
      <w:r w:rsidRPr="00F30FD1">
        <w:rPr>
          <w:szCs w:val="28"/>
        </w:rPr>
        <w:t xml:space="preserve">Establecer esquemas de capacitación del personal del IDEFIN en sus 2 sedes (Chetumal y </w:t>
      </w:r>
      <w:r w:rsidR="00AB2A7A" w:rsidRPr="00F30FD1">
        <w:rPr>
          <w:szCs w:val="28"/>
        </w:rPr>
        <w:t>Cancún</w:t>
      </w:r>
      <w:r w:rsidRPr="00F30FD1">
        <w:rPr>
          <w:szCs w:val="28"/>
        </w:rPr>
        <w:t>)</w:t>
      </w:r>
      <w:r w:rsidR="00AB2A7A" w:rsidRPr="00F30FD1">
        <w:rPr>
          <w:szCs w:val="28"/>
        </w:rPr>
        <w:t xml:space="preserve">, </w:t>
      </w:r>
      <w:r w:rsidRPr="00F30FD1">
        <w:rPr>
          <w:szCs w:val="28"/>
        </w:rPr>
        <w:t>bajo la supervisión de la Secretaria de Gobernación.</w:t>
      </w:r>
    </w:p>
    <w:p w14:paraId="43C271BE" w14:textId="3BBC68E1" w:rsidR="002C2433" w:rsidRPr="00F30FD1" w:rsidRDefault="002C2433" w:rsidP="00084A73">
      <w:pPr>
        <w:pStyle w:val="Prrafodelista"/>
        <w:numPr>
          <w:ilvl w:val="0"/>
          <w:numId w:val="26"/>
        </w:numPr>
        <w:spacing w:before="120" w:after="120" w:line="360" w:lineRule="auto"/>
        <w:ind w:left="142"/>
        <w:rPr>
          <w:szCs w:val="28"/>
        </w:rPr>
      </w:pPr>
      <w:r w:rsidRPr="00F30FD1">
        <w:rPr>
          <w:szCs w:val="28"/>
        </w:rPr>
        <w:lastRenderedPageBreak/>
        <w:t>Atender las actividades administrativas, técnicas, jurídicas y de staff.</w:t>
      </w:r>
    </w:p>
    <w:p w14:paraId="2D660516" w14:textId="5995130A" w:rsidR="00084A73" w:rsidRPr="00F30FD1" w:rsidRDefault="00084A73">
      <w:pPr>
        <w:spacing w:after="0" w:line="240" w:lineRule="auto"/>
        <w:jc w:val="left"/>
        <w:rPr>
          <w:rFonts w:eastAsia="Times New Roman" w:cs="Times New Roman"/>
          <w:b/>
          <w:color w:val="4BACC6"/>
          <w:sz w:val="44"/>
          <w:szCs w:val="20"/>
        </w:rPr>
      </w:pPr>
      <w:r w:rsidRPr="00F30FD1">
        <w:rPr>
          <w:rFonts w:eastAsia="Times New Roman" w:cs="Times New Roman"/>
          <w:b/>
          <w:color w:val="4BACC6"/>
          <w:sz w:val="44"/>
          <w:szCs w:val="20"/>
        </w:rPr>
        <w:br w:type="page"/>
      </w:r>
    </w:p>
    <w:p w14:paraId="47084DCE" w14:textId="77777777" w:rsidR="006B7557" w:rsidRPr="00F30FD1" w:rsidRDefault="006B7557">
      <w:pPr>
        <w:spacing w:after="0" w:line="240" w:lineRule="auto"/>
        <w:jc w:val="left"/>
        <w:rPr>
          <w:rFonts w:eastAsia="Times New Roman" w:cs="Times New Roman"/>
          <w:b/>
          <w:color w:val="4BACC6"/>
          <w:sz w:val="44"/>
          <w:szCs w:val="20"/>
        </w:rPr>
      </w:pPr>
    </w:p>
    <w:p w14:paraId="51E7712F" w14:textId="77777777" w:rsidR="0021248D" w:rsidRPr="00F30FD1" w:rsidRDefault="0021248D" w:rsidP="00695E2D">
      <w:pPr>
        <w:pStyle w:val="Ttulo"/>
        <w:rPr>
          <w:color w:val="4BACC6"/>
        </w:rPr>
      </w:pPr>
    </w:p>
    <w:p w14:paraId="3DDDEB84" w14:textId="77777777" w:rsidR="0021248D" w:rsidRPr="00F30FD1" w:rsidRDefault="0021248D" w:rsidP="00695E2D">
      <w:pPr>
        <w:pStyle w:val="Ttulo"/>
        <w:rPr>
          <w:color w:val="4BACC6"/>
        </w:rPr>
      </w:pPr>
    </w:p>
    <w:p w14:paraId="05A10E95" w14:textId="77777777" w:rsidR="0021248D" w:rsidRPr="00F30FD1" w:rsidRDefault="0021248D" w:rsidP="00695E2D">
      <w:pPr>
        <w:pStyle w:val="Ttulo"/>
        <w:rPr>
          <w:color w:val="4BACC6"/>
        </w:rPr>
      </w:pPr>
    </w:p>
    <w:p w14:paraId="0EB925A0" w14:textId="77777777" w:rsidR="0021248D" w:rsidRPr="00F30FD1" w:rsidRDefault="0021248D" w:rsidP="00695E2D">
      <w:pPr>
        <w:pStyle w:val="Ttulo"/>
        <w:rPr>
          <w:color w:val="4BACC6"/>
        </w:rPr>
      </w:pPr>
    </w:p>
    <w:p w14:paraId="36EDF549" w14:textId="77777777" w:rsidR="006B7557" w:rsidRPr="00F30FD1" w:rsidRDefault="006B7557" w:rsidP="00695E2D">
      <w:pPr>
        <w:pStyle w:val="Ttulo"/>
        <w:rPr>
          <w:color w:val="4BACC6"/>
        </w:rPr>
      </w:pPr>
    </w:p>
    <w:p w14:paraId="6FE52724" w14:textId="77777777" w:rsidR="00695E2D" w:rsidRPr="00F30FD1" w:rsidRDefault="00695E2D" w:rsidP="00695E2D">
      <w:pPr>
        <w:pStyle w:val="Ttulo"/>
        <w:rPr>
          <w:color w:val="4BACC6"/>
        </w:rPr>
      </w:pPr>
      <w:r w:rsidRPr="00F30FD1">
        <w:rPr>
          <w:color w:val="4BACC6"/>
        </w:rPr>
        <w:t xml:space="preserve">BASES PARA SU COORDINACIÓN </w:t>
      </w:r>
    </w:p>
    <w:p w14:paraId="451B7CE0" w14:textId="77777777" w:rsidR="00695E2D" w:rsidRPr="00F30FD1" w:rsidRDefault="00695E2D" w:rsidP="00695E2D">
      <w:pPr>
        <w:pStyle w:val="Ttulo"/>
        <w:rPr>
          <w:b w:val="0"/>
          <w:bCs/>
          <w:caps/>
          <w:color w:val="4BACC6"/>
          <w:sz w:val="32"/>
          <w:szCs w:val="28"/>
          <w:lang w:val="es-MX" w:eastAsia="en-US"/>
        </w:rPr>
      </w:pPr>
      <w:r w:rsidRPr="00F30FD1">
        <w:rPr>
          <w:color w:val="4BACC6"/>
        </w:rPr>
        <w:t xml:space="preserve">Y CONCERTACIÓN </w:t>
      </w:r>
      <w:r w:rsidRPr="00F30FD1">
        <w:rPr>
          <w:color w:val="4BACC6"/>
        </w:rPr>
        <w:br w:type="page"/>
      </w:r>
    </w:p>
    <w:p w14:paraId="4A926D53" w14:textId="77777777" w:rsidR="005F7240" w:rsidRPr="00F30FD1" w:rsidRDefault="0035377A" w:rsidP="0035377A">
      <w:pPr>
        <w:pStyle w:val="Ttulo1"/>
      </w:pPr>
      <w:bookmarkStart w:id="35" w:name="_Toc477971060"/>
      <w:r w:rsidRPr="00F30FD1">
        <w:lastRenderedPageBreak/>
        <w:t xml:space="preserve">XI. </w:t>
      </w:r>
      <w:r w:rsidR="005F7240" w:rsidRPr="00F30FD1">
        <w:t>BASES PARA SU COORDINACIÓN Y CONCERTACIÓN</w:t>
      </w:r>
      <w:bookmarkEnd w:id="35"/>
    </w:p>
    <w:p w14:paraId="464BC0F0" w14:textId="77777777" w:rsidR="00D07335" w:rsidRPr="00F30FD1" w:rsidRDefault="00D07335" w:rsidP="00D07335">
      <w:pPr>
        <w:rPr>
          <w:rFonts w:eastAsia="Times New Roman" w:cs="Futura"/>
          <w:color w:val="595959"/>
        </w:rPr>
      </w:pPr>
      <w:r w:rsidRPr="00F30FD1">
        <w:rPr>
          <w:rFonts w:eastAsia="Times New Roman" w:cs="Futura"/>
          <w:color w:val="595959"/>
        </w:rPr>
        <w:t>Con la finalidad alcanzar de manera eficiente y eficaz los objetivos establecidos en los Planes Nacional, Estatal y Municipal es necesaria la coordinación de las diferentes dependencias del gobierno federal, estatal y municipal, así como de las entidades y organismos del ejecutivo estatal. De igual forma se requiere la concertación con los sectores social y privado para el logro de mejores resultados ya que de esta forma serán detectadas y atendidas las necesidades de la sociedad quintanarroense.</w:t>
      </w:r>
    </w:p>
    <w:p w14:paraId="63357F0B" w14:textId="77777777" w:rsidR="00D07335" w:rsidRPr="00F30FD1" w:rsidRDefault="00D07335" w:rsidP="00D07335">
      <w:pPr>
        <w:rPr>
          <w:rFonts w:eastAsia="Times New Roman" w:cs="Futura"/>
          <w:color w:val="595959"/>
        </w:rPr>
      </w:pPr>
      <w:r w:rsidRPr="00F30FD1">
        <w:rPr>
          <w:rFonts w:eastAsia="Times New Roman" w:cs="Futura"/>
          <w:color w:val="595959"/>
        </w:rPr>
        <w:t>Para su logro, se demanda  una participación muy bien articulada de todos los actores, tanto los oficiales como el público en general:</w:t>
      </w:r>
    </w:p>
    <w:p w14:paraId="2CBC153A" w14:textId="39F5F54F" w:rsidR="00695E2D" w:rsidRPr="00F30FD1" w:rsidRDefault="00084A73" w:rsidP="00084A73">
      <w:pPr>
        <w:pStyle w:val="Ttulo"/>
        <w:jc w:val="center"/>
        <w:rPr>
          <w:rFonts w:cs="Futura"/>
          <w:b w:val="0"/>
          <w:color w:val="595959"/>
          <w:sz w:val="24"/>
          <w:szCs w:val="24"/>
        </w:rPr>
      </w:pPr>
      <w:r w:rsidRPr="00F30FD1">
        <w:rPr>
          <w:rFonts w:eastAsiaTheme="minorEastAsia" w:cstheme="minorBidi"/>
          <w:b w:val="0"/>
          <w:bCs/>
          <w:color w:val="4BACC6" w:themeColor="accent5"/>
          <w:sz w:val="24"/>
          <w:szCs w:val="24"/>
        </w:rPr>
        <w:t>Cuadro</w:t>
      </w:r>
      <w:r w:rsidRPr="00F30FD1">
        <w:rPr>
          <w:rFonts w:cs="Futura"/>
          <w:b w:val="0"/>
          <w:color w:val="595959"/>
          <w:sz w:val="24"/>
          <w:szCs w:val="24"/>
        </w:rPr>
        <w:t xml:space="preserve"> </w:t>
      </w:r>
      <w:r w:rsidRPr="00F30FD1">
        <w:rPr>
          <w:rFonts w:eastAsiaTheme="minorEastAsia" w:cstheme="minorBidi"/>
          <w:b w:val="0"/>
          <w:bCs/>
          <w:color w:val="4BACC6" w:themeColor="accent5"/>
          <w:sz w:val="24"/>
          <w:szCs w:val="24"/>
        </w:rPr>
        <w:t>XI.1 Base de Coordinación y Concertación</w:t>
      </w:r>
    </w:p>
    <w:tbl>
      <w:tblPr>
        <w:tblStyle w:val="Tablaconcuadrcula"/>
        <w:tblW w:w="0" w:type="auto"/>
        <w:tblLook w:val="04A0" w:firstRow="1" w:lastRow="0" w:firstColumn="1" w:lastColumn="0" w:noHBand="0" w:noVBand="1"/>
      </w:tblPr>
      <w:tblGrid>
        <w:gridCol w:w="2384"/>
        <w:gridCol w:w="2384"/>
        <w:gridCol w:w="2384"/>
        <w:gridCol w:w="2385"/>
      </w:tblGrid>
      <w:tr w:rsidR="00084A73" w:rsidRPr="00F30FD1" w14:paraId="178BD6E1" w14:textId="77777777" w:rsidTr="00084A73">
        <w:tc>
          <w:tcPr>
            <w:tcW w:w="2384" w:type="dxa"/>
            <w:shd w:val="clear" w:color="auto" w:fill="D9D9D9" w:themeFill="background1" w:themeFillShade="D9"/>
            <w:vAlign w:val="center"/>
          </w:tcPr>
          <w:p w14:paraId="0030AAFC" w14:textId="135DB03B" w:rsidR="00084A73" w:rsidRPr="00F30FD1" w:rsidRDefault="00084A73" w:rsidP="00084A73">
            <w:pPr>
              <w:pStyle w:val="Ttulo"/>
              <w:jc w:val="center"/>
              <w:rPr>
                <w:rFonts w:cs="Futura"/>
                <w:color w:val="595959"/>
                <w:sz w:val="24"/>
                <w:szCs w:val="24"/>
              </w:rPr>
            </w:pPr>
            <w:r w:rsidRPr="00F30FD1">
              <w:rPr>
                <w:rFonts w:eastAsia="Calibri" w:cs="Calibri"/>
                <w:color w:val="595959"/>
                <w:sz w:val="20"/>
              </w:rPr>
              <w:t>Asunto</w:t>
            </w:r>
          </w:p>
        </w:tc>
        <w:tc>
          <w:tcPr>
            <w:tcW w:w="2384" w:type="dxa"/>
            <w:shd w:val="clear" w:color="auto" w:fill="D9D9D9" w:themeFill="background1" w:themeFillShade="D9"/>
            <w:vAlign w:val="center"/>
          </w:tcPr>
          <w:p w14:paraId="661C3A4C" w14:textId="0C3E7751" w:rsidR="00084A73" w:rsidRPr="00F30FD1" w:rsidRDefault="00084A73" w:rsidP="00084A73">
            <w:pPr>
              <w:pStyle w:val="Ttulo"/>
              <w:jc w:val="center"/>
              <w:rPr>
                <w:rFonts w:cs="Futura"/>
                <w:color w:val="595959"/>
                <w:sz w:val="24"/>
                <w:szCs w:val="24"/>
              </w:rPr>
            </w:pPr>
            <w:r w:rsidRPr="00F30FD1">
              <w:rPr>
                <w:rFonts w:eastAsia="Calibri" w:cs="Calibri"/>
                <w:color w:val="595959"/>
                <w:sz w:val="20"/>
              </w:rPr>
              <w:t>Dependencias y Entidades Públicas</w:t>
            </w:r>
          </w:p>
        </w:tc>
        <w:tc>
          <w:tcPr>
            <w:tcW w:w="2384" w:type="dxa"/>
            <w:shd w:val="clear" w:color="auto" w:fill="D9D9D9" w:themeFill="background1" w:themeFillShade="D9"/>
            <w:vAlign w:val="center"/>
          </w:tcPr>
          <w:p w14:paraId="63F561A6" w14:textId="53741486" w:rsidR="00084A73" w:rsidRPr="00F30FD1" w:rsidRDefault="00084A73" w:rsidP="00084A73">
            <w:pPr>
              <w:pStyle w:val="Ttulo"/>
              <w:jc w:val="center"/>
              <w:rPr>
                <w:rFonts w:cs="Futura"/>
                <w:color w:val="595959"/>
                <w:sz w:val="24"/>
                <w:szCs w:val="24"/>
              </w:rPr>
            </w:pPr>
            <w:r w:rsidRPr="00F30FD1">
              <w:rPr>
                <w:rFonts w:eastAsia="Calibri" w:cs="Calibri"/>
                <w:color w:val="595959"/>
                <w:sz w:val="20"/>
              </w:rPr>
              <w:t>Grupos del Sector Social y Privado</w:t>
            </w:r>
          </w:p>
        </w:tc>
        <w:tc>
          <w:tcPr>
            <w:tcW w:w="2385" w:type="dxa"/>
            <w:shd w:val="clear" w:color="auto" w:fill="D9D9D9" w:themeFill="background1" w:themeFillShade="D9"/>
            <w:vAlign w:val="center"/>
          </w:tcPr>
          <w:p w14:paraId="57B00A66" w14:textId="27443811" w:rsidR="00084A73" w:rsidRPr="00F30FD1" w:rsidRDefault="00084A73" w:rsidP="00084A73">
            <w:pPr>
              <w:pStyle w:val="Ttulo"/>
              <w:jc w:val="center"/>
              <w:rPr>
                <w:rFonts w:cs="Futura"/>
                <w:color w:val="595959"/>
                <w:sz w:val="24"/>
                <w:szCs w:val="24"/>
              </w:rPr>
            </w:pPr>
            <w:r w:rsidRPr="00F30FD1">
              <w:rPr>
                <w:rFonts w:eastAsia="Calibri" w:cs="Calibri"/>
                <w:color w:val="595959"/>
                <w:sz w:val="20"/>
              </w:rPr>
              <w:t>Mecanismos de Coordinación y Concertación</w:t>
            </w:r>
          </w:p>
        </w:tc>
      </w:tr>
      <w:tr w:rsidR="00084A73" w:rsidRPr="00F30FD1" w14:paraId="26DE228E" w14:textId="77777777" w:rsidTr="00D37DCB">
        <w:tc>
          <w:tcPr>
            <w:tcW w:w="2384" w:type="dxa"/>
            <w:vAlign w:val="center"/>
          </w:tcPr>
          <w:p w14:paraId="6ABF37D3" w14:textId="77856677"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1.- Planeación Estratégica</w:t>
            </w:r>
          </w:p>
        </w:tc>
        <w:tc>
          <w:tcPr>
            <w:tcW w:w="2384" w:type="dxa"/>
            <w:vAlign w:val="center"/>
          </w:tcPr>
          <w:p w14:paraId="44CD7B6F" w14:textId="53B8EDEC"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Dependencias,  entidades y organismos del Ejecutivo</w:t>
            </w:r>
          </w:p>
        </w:tc>
        <w:tc>
          <w:tcPr>
            <w:tcW w:w="2384" w:type="dxa"/>
            <w:vAlign w:val="center"/>
          </w:tcPr>
          <w:p w14:paraId="1A052CBD" w14:textId="788C58F6" w:rsidR="00084A73" w:rsidRPr="00F30FD1" w:rsidRDefault="00084A73" w:rsidP="00084A73">
            <w:pPr>
              <w:pStyle w:val="Ttulo"/>
              <w:rPr>
                <w:rFonts w:cs="Futura"/>
                <w:b w:val="0"/>
                <w:color w:val="595959"/>
                <w:sz w:val="24"/>
                <w:szCs w:val="24"/>
              </w:rPr>
            </w:pPr>
            <w:r w:rsidRPr="00F30FD1">
              <w:rPr>
                <w:rFonts w:eastAsia="Calibri" w:cs="Calibri"/>
                <w:b w:val="0"/>
                <w:color w:val="595959"/>
                <w:sz w:val="20"/>
                <w:lang w:val="es-ES_tradnl"/>
              </w:rPr>
              <w:t>Asociaciones y Sociedad Civil en general que participa en las reuniones del COPLADE</w:t>
            </w:r>
          </w:p>
        </w:tc>
        <w:tc>
          <w:tcPr>
            <w:tcW w:w="2385" w:type="dxa"/>
            <w:vAlign w:val="center"/>
          </w:tcPr>
          <w:p w14:paraId="53921937" w14:textId="3B3DDA97"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Convenios y Acuerdos</w:t>
            </w:r>
          </w:p>
        </w:tc>
      </w:tr>
      <w:tr w:rsidR="00084A73" w:rsidRPr="00F30FD1" w14:paraId="0BF7DD3D" w14:textId="77777777" w:rsidTr="00D37DCB">
        <w:tc>
          <w:tcPr>
            <w:tcW w:w="2384" w:type="dxa"/>
            <w:vAlign w:val="center"/>
          </w:tcPr>
          <w:p w14:paraId="32E077AE" w14:textId="4EF7AB32"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2.- Programación y Presupuestación</w:t>
            </w:r>
          </w:p>
        </w:tc>
        <w:tc>
          <w:tcPr>
            <w:tcW w:w="2384" w:type="dxa"/>
            <w:vAlign w:val="center"/>
          </w:tcPr>
          <w:p w14:paraId="685C1CBC" w14:textId="0E6F7CED"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SHCP, Dependencias,  entidades y organismos del Ejecutivo, Municipios, el CONAC</w:t>
            </w:r>
          </w:p>
        </w:tc>
        <w:tc>
          <w:tcPr>
            <w:tcW w:w="2384" w:type="dxa"/>
            <w:vAlign w:val="center"/>
          </w:tcPr>
          <w:p w14:paraId="30C73FED" w14:textId="661848D1"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Colegio de Contadores, Abogados, Notarios</w:t>
            </w:r>
          </w:p>
        </w:tc>
        <w:tc>
          <w:tcPr>
            <w:tcW w:w="2385" w:type="dxa"/>
            <w:vAlign w:val="center"/>
          </w:tcPr>
          <w:p w14:paraId="4CAE6705" w14:textId="77777777" w:rsidR="00084A73" w:rsidRPr="00F30FD1" w:rsidRDefault="00084A73" w:rsidP="00084A73">
            <w:pPr>
              <w:spacing w:after="0" w:line="240" w:lineRule="auto"/>
              <w:jc w:val="center"/>
              <w:rPr>
                <w:rFonts w:eastAsia="Calibri" w:cs="Calibri"/>
                <w:color w:val="595959"/>
                <w:sz w:val="20"/>
                <w:szCs w:val="20"/>
              </w:rPr>
            </w:pPr>
            <w:r w:rsidRPr="00F30FD1">
              <w:rPr>
                <w:rFonts w:eastAsia="Calibri" w:cs="Calibri"/>
                <w:color w:val="595959"/>
                <w:sz w:val="20"/>
                <w:szCs w:val="20"/>
              </w:rPr>
              <w:t>Acuerdos y</w:t>
            </w:r>
          </w:p>
          <w:p w14:paraId="66EC2297" w14:textId="59B316A3"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Convenios</w:t>
            </w:r>
          </w:p>
        </w:tc>
      </w:tr>
      <w:tr w:rsidR="00084A73" w:rsidRPr="00F30FD1" w14:paraId="728A20DE" w14:textId="77777777" w:rsidTr="00D37DCB">
        <w:tc>
          <w:tcPr>
            <w:tcW w:w="2384" w:type="dxa"/>
            <w:vAlign w:val="center"/>
          </w:tcPr>
          <w:p w14:paraId="3EEF3398" w14:textId="467853AA"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3.- Evaluación del Desempeño</w:t>
            </w:r>
          </w:p>
        </w:tc>
        <w:tc>
          <w:tcPr>
            <w:tcW w:w="2384" w:type="dxa"/>
            <w:vAlign w:val="center"/>
          </w:tcPr>
          <w:p w14:paraId="799B1E2A" w14:textId="112E828B"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SHCP, Dependencias,  entidades y organismos del Ejecutivo que realizan Evaluación del Desempeño</w:t>
            </w:r>
          </w:p>
        </w:tc>
        <w:tc>
          <w:tcPr>
            <w:tcW w:w="2384" w:type="dxa"/>
            <w:vAlign w:val="center"/>
          </w:tcPr>
          <w:p w14:paraId="4EE12A31" w14:textId="4052C38C"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Entes evaluadores externos del Estado</w:t>
            </w:r>
          </w:p>
        </w:tc>
        <w:tc>
          <w:tcPr>
            <w:tcW w:w="2385" w:type="dxa"/>
            <w:vAlign w:val="center"/>
          </w:tcPr>
          <w:p w14:paraId="42249C6A" w14:textId="77777777" w:rsidR="00084A73" w:rsidRPr="00F30FD1" w:rsidRDefault="00084A73" w:rsidP="00084A73">
            <w:pPr>
              <w:spacing w:after="0" w:line="240" w:lineRule="auto"/>
              <w:jc w:val="center"/>
              <w:rPr>
                <w:rFonts w:eastAsia="Calibri" w:cs="Calibri"/>
                <w:color w:val="595959"/>
                <w:sz w:val="20"/>
                <w:szCs w:val="20"/>
              </w:rPr>
            </w:pPr>
            <w:r w:rsidRPr="00F30FD1">
              <w:rPr>
                <w:rFonts w:eastAsia="Calibri" w:cs="Calibri"/>
                <w:color w:val="595959"/>
                <w:sz w:val="20"/>
                <w:szCs w:val="20"/>
              </w:rPr>
              <w:t>Acuerdos y</w:t>
            </w:r>
          </w:p>
          <w:p w14:paraId="2F1C7A3C" w14:textId="11915E16"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Convenios</w:t>
            </w:r>
          </w:p>
        </w:tc>
      </w:tr>
      <w:tr w:rsidR="00084A73" w:rsidRPr="00F30FD1" w14:paraId="7A31F121" w14:textId="77777777" w:rsidTr="00D37DCB">
        <w:tc>
          <w:tcPr>
            <w:tcW w:w="2384" w:type="dxa"/>
            <w:vAlign w:val="center"/>
          </w:tcPr>
          <w:p w14:paraId="381BD305" w14:textId="10D321BA"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4.- Armonización Contable</w:t>
            </w:r>
          </w:p>
        </w:tc>
        <w:tc>
          <w:tcPr>
            <w:tcW w:w="2384" w:type="dxa"/>
            <w:vAlign w:val="center"/>
          </w:tcPr>
          <w:p w14:paraId="1E7B2FB9" w14:textId="0EC184BC"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Dependencias,  entidades y organismos del Ejecutivo</w:t>
            </w:r>
          </w:p>
        </w:tc>
        <w:tc>
          <w:tcPr>
            <w:tcW w:w="2384" w:type="dxa"/>
            <w:vAlign w:val="center"/>
          </w:tcPr>
          <w:p w14:paraId="76E29BED" w14:textId="310DE190"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Colegio de Contadores</w:t>
            </w:r>
          </w:p>
        </w:tc>
        <w:tc>
          <w:tcPr>
            <w:tcW w:w="2385" w:type="dxa"/>
            <w:vAlign w:val="center"/>
          </w:tcPr>
          <w:p w14:paraId="7C930CCD" w14:textId="77777777" w:rsidR="00084A73" w:rsidRPr="00F30FD1" w:rsidRDefault="00084A73" w:rsidP="00084A73">
            <w:pPr>
              <w:spacing w:after="0" w:line="240" w:lineRule="auto"/>
              <w:jc w:val="center"/>
              <w:rPr>
                <w:rFonts w:eastAsia="Calibri" w:cs="Calibri"/>
                <w:color w:val="595959"/>
                <w:sz w:val="20"/>
                <w:szCs w:val="20"/>
              </w:rPr>
            </w:pPr>
            <w:r w:rsidRPr="00F30FD1">
              <w:rPr>
                <w:rFonts w:eastAsia="Calibri" w:cs="Calibri"/>
                <w:color w:val="595959"/>
                <w:sz w:val="20"/>
                <w:szCs w:val="20"/>
              </w:rPr>
              <w:t>Acuerdos y</w:t>
            </w:r>
          </w:p>
          <w:p w14:paraId="6E84DD7D" w14:textId="305F1D38"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Convenios</w:t>
            </w:r>
          </w:p>
        </w:tc>
      </w:tr>
      <w:tr w:rsidR="00084A73" w:rsidRPr="00F30FD1" w14:paraId="3AD4BA40" w14:textId="77777777" w:rsidTr="00D37DCB">
        <w:tc>
          <w:tcPr>
            <w:tcW w:w="2384" w:type="dxa"/>
            <w:vAlign w:val="center"/>
          </w:tcPr>
          <w:p w14:paraId="68FC6E68" w14:textId="4BF0B3DA"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5.- Recaudación y Fiscalización de Ingresos</w:t>
            </w:r>
          </w:p>
        </w:tc>
        <w:tc>
          <w:tcPr>
            <w:tcW w:w="2384" w:type="dxa"/>
            <w:vAlign w:val="center"/>
          </w:tcPr>
          <w:p w14:paraId="37246984" w14:textId="6C30891C"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Dependencias,  entidades y organismos del Ejecutivo</w:t>
            </w:r>
          </w:p>
        </w:tc>
        <w:tc>
          <w:tcPr>
            <w:tcW w:w="2384" w:type="dxa"/>
            <w:vAlign w:val="center"/>
          </w:tcPr>
          <w:p w14:paraId="0AF0CFB6" w14:textId="77777777" w:rsidR="00084A73" w:rsidRPr="00F30FD1" w:rsidRDefault="00084A73" w:rsidP="00084A73">
            <w:pPr>
              <w:pStyle w:val="Ttulo"/>
              <w:rPr>
                <w:rFonts w:cs="Futura"/>
                <w:b w:val="0"/>
                <w:color w:val="595959"/>
                <w:sz w:val="24"/>
                <w:szCs w:val="24"/>
              </w:rPr>
            </w:pPr>
          </w:p>
        </w:tc>
        <w:tc>
          <w:tcPr>
            <w:tcW w:w="2385" w:type="dxa"/>
            <w:vAlign w:val="center"/>
          </w:tcPr>
          <w:p w14:paraId="1D08EBFD" w14:textId="77777777" w:rsidR="00084A73" w:rsidRPr="00F30FD1" w:rsidRDefault="00084A73" w:rsidP="00084A73">
            <w:pPr>
              <w:spacing w:after="0" w:line="240" w:lineRule="auto"/>
              <w:jc w:val="center"/>
              <w:rPr>
                <w:rFonts w:eastAsia="Calibri" w:cs="Calibri"/>
                <w:color w:val="595959"/>
                <w:sz w:val="20"/>
                <w:szCs w:val="20"/>
              </w:rPr>
            </w:pPr>
            <w:r w:rsidRPr="00F30FD1">
              <w:rPr>
                <w:rFonts w:eastAsia="Calibri" w:cs="Calibri"/>
                <w:color w:val="595959"/>
                <w:sz w:val="20"/>
                <w:szCs w:val="20"/>
              </w:rPr>
              <w:t>Acuerdos y</w:t>
            </w:r>
          </w:p>
          <w:p w14:paraId="535D3C07" w14:textId="7A520347"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Convenios</w:t>
            </w:r>
          </w:p>
        </w:tc>
      </w:tr>
      <w:tr w:rsidR="00084A73" w:rsidRPr="00F30FD1" w14:paraId="59D282E8" w14:textId="77777777" w:rsidTr="00D37DCB">
        <w:tc>
          <w:tcPr>
            <w:tcW w:w="2384" w:type="dxa"/>
            <w:vAlign w:val="center"/>
          </w:tcPr>
          <w:p w14:paraId="0DF9FDB3" w14:textId="3754A7BD"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lastRenderedPageBreak/>
              <w:t>6.- Política Fiscal y Hacendaria</w:t>
            </w:r>
          </w:p>
        </w:tc>
        <w:tc>
          <w:tcPr>
            <w:tcW w:w="2384" w:type="dxa"/>
            <w:vAlign w:val="center"/>
          </w:tcPr>
          <w:p w14:paraId="4A866457" w14:textId="45B3DBB2"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Dependencias,  entidades y organismos del Ejecutivo</w:t>
            </w:r>
          </w:p>
        </w:tc>
        <w:tc>
          <w:tcPr>
            <w:tcW w:w="2384" w:type="dxa"/>
            <w:vAlign w:val="center"/>
          </w:tcPr>
          <w:p w14:paraId="20C42CCF" w14:textId="77777777" w:rsidR="00084A73" w:rsidRPr="00F30FD1" w:rsidRDefault="00084A73" w:rsidP="00084A73">
            <w:pPr>
              <w:pStyle w:val="Ttulo"/>
              <w:rPr>
                <w:rFonts w:cs="Futura"/>
                <w:b w:val="0"/>
                <w:color w:val="595959"/>
                <w:sz w:val="24"/>
                <w:szCs w:val="24"/>
              </w:rPr>
            </w:pPr>
          </w:p>
        </w:tc>
        <w:tc>
          <w:tcPr>
            <w:tcW w:w="2385" w:type="dxa"/>
            <w:vAlign w:val="center"/>
          </w:tcPr>
          <w:p w14:paraId="200013EF" w14:textId="77777777" w:rsidR="00084A73" w:rsidRPr="00F30FD1" w:rsidRDefault="00084A73" w:rsidP="00084A73">
            <w:pPr>
              <w:spacing w:after="0" w:line="240" w:lineRule="auto"/>
              <w:jc w:val="center"/>
              <w:rPr>
                <w:rFonts w:eastAsia="Calibri" w:cs="Calibri"/>
                <w:color w:val="595959"/>
                <w:sz w:val="20"/>
                <w:szCs w:val="20"/>
              </w:rPr>
            </w:pPr>
            <w:r w:rsidRPr="00F30FD1">
              <w:rPr>
                <w:rFonts w:eastAsia="Calibri" w:cs="Calibri"/>
                <w:color w:val="595959"/>
                <w:sz w:val="20"/>
                <w:szCs w:val="20"/>
              </w:rPr>
              <w:t>Acuerdos y</w:t>
            </w:r>
          </w:p>
          <w:p w14:paraId="20F7B474" w14:textId="3E096A40"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Convenios</w:t>
            </w:r>
          </w:p>
        </w:tc>
      </w:tr>
      <w:tr w:rsidR="00084A73" w:rsidRPr="00F30FD1" w14:paraId="5DBC4670" w14:textId="77777777" w:rsidTr="00D37DCB">
        <w:tc>
          <w:tcPr>
            <w:tcW w:w="2384" w:type="dxa"/>
            <w:vAlign w:val="center"/>
          </w:tcPr>
          <w:p w14:paraId="7BF4E408" w14:textId="0A3DFC75"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7.- Financiamiento Gubernamental</w:t>
            </w:r>
          </w:p>
        </w:tc>
        <w:tc>
          <w:tcPr>
            <w:tcW w:w="2384" w:type="dxa"/>
            <w:vAlign w:val="center"/>
          </w:tcPr>
          <w:p w14:paraId="7CDCFA5E" w14:textId="070ADADE"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Congreso del Estado, Dependencias,  entidades y organismos del Ejecutivo, Agencia de Proyectos Estratégicos</w:t>
            </w:r>
          </w:p>
        </w:tc>
        <w:tc>
          <w:tcPr>
            <w:tcW w:w="2384" w:type="dxa"/>
            <w:vAlign w:val="center"/>
          </w:tcPr>
          <w:p w14:paraId="447DE4E7" w14:textId="467B1944"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Instituciones Bancarias, Instituciones Calificadoras</w:t>
            </w:r>
          </w:p>
        </w:tc>
        <w:tc>
          <w:tcPr>
            <w:tcW w:w="2385" w:type="dxa"/>
            <w:vAlign w:val="center"/>
          </w:tcPr>
          <w:p w14:paraId="2CC35C64" w14:textId="7B851C64"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Decretos, Acuerdos, Contratos  y Convenios</w:t>
            </w:r>
          </w:p>
        </w:tc>
      </w:tr>
      <w:tr w:rsidR="00084A73" w:rsidRPr="00F30FD1" w14:paraId="415DB2C5" w14:textId="77777777" w:rsidTr="00D37DCB">
        <w:tc>
          <w:tcPr>
            <w:tcW w:w="2384" w:type="dxa"/>
            <w:vAlign w:val="center"/>
          </w:tcPr>
          <w:p w14:paraId="683BB07A" w14:textId="3C9F2E9A"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8.- Seguimiento de la Inversión Pública</w:t>
            </w:r>
          </w:p>
        </w:tc>
        <w:tc>
          <w:tcPr>
            <w:tcW w:w="2384" w:type="dxa"/>
            <w:vAlign w:val="center"/>
          </w:tcPr>
          <w:p w14:paraId="54EE373F" w14:textId="41CB909A"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Dependencias y Municipios Ejecutores</w:t>
            </w:r>
          </w:p>
        </w:tc>
        <w:tc>
          <w:tcPr>
            <w:tcW w:w="2384" w:type="dxa"/>
            <w:vAlign w:val="center"/>
          </w:tcPr>
          <w:p w14:paraId="51CA608D" w14:textId="77777777" w:rsidR="00084A73" w:rsidRPr="00F30FD1" w:rsidRDefault="00084A73" w:rsidP="00084A73">
            <w:pPr>
              <w:pStyle w:val="Ttulo"/>
              <w:rPr>
                <w:rFonts w:cs="Futura"/>
                <w:b w:val="0"/>
                <w:color w:val="595959"/>
                <w:sz w:val="24"/>
                <w:szCs w:val="24"/>
              </w:rPr>
            </w:pPr>
          </w:p>
        </w:tc>
        <w:tc>
          <w:tcPr>
            <w:tcW w:w="2385" w:type="dxa"/>
            <w:vAlign w:val="center"/>
          </w:tcPr>
          <w:p w14:paraId="397748CD" w14:textId="77777777" w:rsidR="00084A73" w:rsidRPr="00F30FD1" w:rsidRDefault="00084A73" w:rsidP="00084A73">
            <w:pPr>
              <w:spacing w:after="0" w:line="240" w:lineRule="auto"/>
              <w:jc w:val="center"/>
              <w:rPr>
                <w:rFonts w:eastAsia="Calibri" w:cs="Calibri"/>
                <w:color w:val="595959"/>
                <w:sz w:val="20"/>
                <w:szCs w:val="20"/>
              </w:rPr>
            </w:pPr>
            <w:r w:rsidRPr="00F30FD1">
              <w:rPr>
                <w:rFonts w:eastAsia="Calibri" w:cs="Calibri"/>
                <w:color w:val="595959"/>
                <w:sz w:val="20"/>
                <w:szCs w:val="20"/>
              </w:rPr>
              <w:t>Acuerdos y</w:t>
            </w:r>
          </w:p>
          <w:p w14:paraId="5BE6D3F1" w14:textId="3030A6AF"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Convenios</w:t>
            </w:r>
          </w:p>
        </w:tc>
      </w:tr>
      <w:tr w:rsidR="00084A73" w:rsidRPr="00F30FD1" w14:paraId="2C562430" w14:textId="77777777" w:rsidTr="00084A73">
        <w:tc>
          <w:tcPr>
            <w:tcW w:w="2384" w:type="dxa"/>
          </w:tcPr>
          <w:p w14:paraId="19F81E36" w14:textId="5577429E"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9.- Catastro Estatal</w:t>
            </w:r>
          </w:p>
        </w:tc>
        <w:tc>
          <w:tcPr>
            <w:tcW w:w="2384" w:type="dxa"/>
          </w:tcPr>
          <w:p w14:paraId="5EABC9E5" w14:textId="1570CFB1" w:rsidR="00084A73" w:rsidRPr="00F30FD1" w:rsidRDefault="00472C23" w:rsidP="00084A73">
            <w:pPr>
              <w:pStyle w:val="Ttulo"/>
              <w:rPr>
                <w:rFonts w:cs="Futura"/>
                <w:b w:val="0"/>
                <w:color w:val="595959"/>
                <w:sz w:val="24"/>
                <w:szCs w:val="24"/>
              </w:rPr>
            </w:pPr>
            <w:r w:rsidRPr="00F30FD1">
              <w:rPr>
                <w:rFonts w:eastAsia="Calibri" w:cs="Calibri"/>
                <w:b w:val="0"/>
                <w:color w:val="595959"/>
                <w:sz w:val="20"/>
              </w:rPr>
              <w:t>Instituto</w:t>
            </w:r>
            <w:r w:rsidR="00084A73" w:rsidRPr="00F30FD1">
              <w:rPr>
                <w:rFonts w:eastAsia="Calibri" w:cs="Calibri"/>
                <w:b w:val="0"/>
                <w:color w:val="595959"/>
                <w:sz w:val="20"/>
              </w:rPr>
              <w:t xml:space="preserve"> Geográfico y Catastral y Catastros Municipales</w:t>
            </w:r>
          </w:p>
        </w:tc>
        <w:tc>
          <w:tcPr>
            <w:tcW w:w="2384" w:type="dxa"/>
          </w:tcPr>
          <w:p w14:paraId="7F6D2C95" w14:textId="48854A0A"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Población que hace uso de los servicios catastrales</w:t>
            </w:r>
          </w:p>
        </w:tc>
        <w:tc>
          <w:tcPr>
            <w:tcW w:w="2385" w:type="dxa"/>
          </w:tcPr>
          <w:p w14:paraId="1A543A88" w14:textId="3C762F56"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Convenios</w:t>
            </w:r>
          </w:p>
        </w:tc>
      </w:tr>
      <w:tr w:rsidR="00084A73" w:rsidRPr="00F30FD1" w14:paraId="12AA5FF1" w14:textId="77777777" w:rsidTr="00084A73">
        <w:tc>
          <w:tcPr>
            <w:tcW w:w="2384" w:type="dxa"/>
          </w:tcPr>
          <w:p w14:paraId="3D2CED7E" w14:textId="1D02B795"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10.- Coordinación de la generación de información estadística y geográfica</w:t>
            </w:r>
          </w:p>
        </w:tc>
        <w:tc>
          <w:tcPr>
            <w:tcW w:w="2384" w:type="dxa"/>
          </w:tcPr>
          <w:p w14:paraId="7F9FBEF4" w14:textId="0C499198"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Dependencias, entidades y municipios.</w:t>
            </w:r>
          </w:p>
        </w:tc>
        <w:tc>
          <w:tcPr>
            <w:tcW w:w="2384" w:type="dxa"/>
          </w:tcPr>
          <w:p w14:paraId="2E6DA215" w14:textId="77777777" w:rsidR="00084A73" w:rsidRPr="00F30FD1" w:rsidRDefault="00084A73" w:rsidP="00084A73">
            <w:pPr>
              <w:pStyle w:val="Ttulo"/>
              <w:rPr>
                <w:rFonts w:cs="Futura"/>
                <w:b w:val="0"/>
                <w:color w:val="595959"/>
                <w:sz w:val="24"/>
                <w:szCs w:val="24"/>
              </w:rPr>
            </w:pPr>
          </w:p>
        </w:tc>
        <w:tc>
          <w:tcPr>
            <w:tcW w:w="2385" w:type="dxa"/>
          </w:tcPr>
          <w:p w14:paraId="3EEFDAD1" w14:textId="7D632C1D" w:rsidR="00084A73" w:rsidRPr="00F30FD1" w:rsidRDefault="00084A73" w:rsidP="00084A73">
            <w:pPr>
              <w:pStyle w:val="Ttulo"/>
              <w:rPr>
                <w:rFonts w:cs="Futura"/>
                <w:b w:val="0"/>
                <w:color w:val="595959"/>
                <w:sz w:val="24"/>
                <w:szCs w:val="24"/>
              </w:rPr>
            </w:pPr>
            <w:r w:rsidRPr="00F30FD1">
              <w:rPr>
                <w:rFonts w:eastAsia="Calibri" w:cs="Calibri"/>
                <w:b w:val="0"/>
                <w:color w:val="595959"/>
                <w:sz w:val="20"/>
              </w:rPr>
              <w:t>Convenios y acuerdos.</w:t>
            </w:r>
          </w:p>
        </w:tc>
      </w:tr>
    </w:tbl>
    <w:p w14:paraId="2BD0AEC4" w14:textId="77777777" w:rsidR="00084A73" w:rsidRPr="00F30FD1" w:rsidRDefault="00084A73" w:rsidP="00695E2D">
      <w:pPr>
        <w:pStyle w:val="Ttulo"/>
        <w:rPr>
          <w:rFonts w:cs="Futura"/>
          <w:b w:val="0"/>
          <w:color w:val="595959"/>
          <w:sz w:val="24"/>
          <w:szCs w:val="24"/>
        </w:rPr>
      </w:pPr>
    </w:p>
    <w:p w14:paraId="34B4C141" w14:textId="77777777" w:rsidR="00084A73" w:rsidRPr="00F30FD1" w:rsidRDefault="00084A73" w:rsidP="00695E2D">
      <w:pPr>
        <w:pStyle w:val="Ttulo"/>
        <w:rPr>
          <w:rFonts w:cs="Futura"/>
          <w:b w:val="0"/>
          <w:color w:val="595959"/>
          <w:sz w:val="24"/>
          <w:szCs w:val="24"/>
        </w:rPr>
      </w:pPr>
    </w:p>
    <w:p w14:paraId="1566B594" w14:textId="2050B5E0" w:rsidR="00084A73" w:rsidRPr="00F30FD1" w:rsidRDefault="00084A73">
      <w:pPr>
        <w:spacing w:after="0" w:line="240" w:lineRule="auto"/>
        <w:jc w:val="left"/>
        <w:rPr>
          <w:rFonts w:eastAsia="Times New Roman" w:cs="Futura"/>
          <w:color w:val="595959"/>
        </w:rPr>
      </w:pPr>
      <w:r w:rsidRPr="00F30FD1">
        <w:rPr>
          <w:rFonts w:eastAsia="Times New Roman" w:cs="Futura"/>
          <w:color w:val="595959"/>
        </w:rPr>
        <w:br w:type="page"/>
      </w:r>
    </w:p>
    <w:p w14:paraId="535E1450" w14:textId="77777777" w:rsidR="00084A73" w:rsidRPr="00F30FD1" w:rsidRDefault="00084A73" w:rsidP="00695E2D">
      <w:pPr>
        <w:pStyle w:val="Ttulo"/>
      </w:pPr>
    </w:p>
    <w:p w14:paraId="46872564" w14:textId="77777777" w:rsidR="00695E2D" w:rsidRPr="00F30FD1" w:rsidRDefault="00695E2D" w:rsidP="00695E2D">
      <w:pPr>
        <w:pStyle w:val="Ttulo"/>
      </w:pPr>
    </w:p>
    <w:p w14:paraId="49B24691" w14:textId="77777777" w:rsidR="00695E2D" w:rsidRPr="00F30FD1" w:rsidRDefault="00695E2D" w:rsidP="00695E2D">
      <w:pPr>
        <w:pStyle w:val="Ttulo"/>
      </w:pPr>
    </w:p>
    <w:p w14:paraId="574A0F54" w14:textId="77777777" w:rsidR="00017938" w:rsidRPr="00F30FD1" w:rsidRDefault="00017938" w:rsidP="00695E2D">
      <w:pPr>
        <w:pStyle w:val="Ttulo"/>
      </w:pPr>
    </w:p>
    <w:p w14:paraId="4F3ADD82" w14:textId="77777777" w:rsidR="00695E2D" w:rsidRPr="00F30FD1" w:rsidRDefault="00695E2D" w:rsidP="00695E2D">
      <w:pPr>
        <w:pStyle w:val="Ttulo"/>
      </w:pPr>
    </w:p>
    <w:p w14:paraId="2050B5D2" w14:textId="77777777" w:rsidR="00695E2D" w:rsidRPr="00F30FD1" w:rsidRDefault="0069403A" w:rsidP="00695E2D">
      <w:pPr>
        <w:pStyle w:val="Ttulo"/>
        <w:rPr>
          <w:color w:val="4BACC6"/>
        </w:rPr>
      </w:pPr>
      <w:r w:rsidRPr="00F30FD1">
        <w:rPr>
          <w:color w:val="4BACC6"/>
        </w:rPr>
        <w:t>CONTROL, SEGUIMIENTO, EVALUACIÓN Y ACTUALIZACIÓN</w:t>
      </w:r>
    </w:p>
    <w:p w14:paraId="535BFADA" w14:textId="77777777" w:rsidR="00C2741A" w:rsidRPr="00F30FD1" w:rsidRDefault="00C2741A" w:rsidP="0069403A">
      <w:pPr>
        <w:pStyle w:val="Ttulo"/>
        <w:rPr>
          <w:color w:val="4BACC6"/>
        </w:rPr>
      </w:pPr>
    </w:p>
    <w:p w14:paraId="0AB35491" w14:textId="77777777" w:rsidR="00C2741A" w:rsidRPr="00F30FD1" w:rsidRDefault="00C2741A" w:rsidP="0035377A">
      <w:pPr>
        <w:pStyle w:val="Ttulo1"/>
      </w:pPr>
    </w:p>
    <w:p w14:paraId="1CBFEA36" w14:textId="77777777" w:rsidR="00E0460C" w:rsidRPr="00F30FD1" w:rsidRDefault="00E0460C" w:rsidP="00E0460C">
      <w:pPr>
        <w:rPr>
          <w:lang w:val="es-MX" w:eastAsia="en-US"/>
        </w:rPr>
      </w:pPr>
    </w:p>
    <w:p w14:paraId="0988E18D" w14:textId="77777777" w:rsidR="00E0460C" w:rsidRPr="00F30FD1" w:rsidRDefault="00E0460C" w:rsidP="00E0460C">
      <w:pPr>
        <w:rPr>
          <w:lang w:val="es-MX" w:eastAsia="en-US"/>
        </w:rPr>
      </w:pPr>
    </w:p>
    <w:p w14:paraId="6341A015" w14:textId="77777777" w:rsidR="00C2741A" w:rsidRPr="00F30FD1" w:rsidRDefault="00C2741A" w:rsidP="0035377A">
      <w:pPr>
        <w:pStyle w:val="Ttulo1"/>
      </w:pPr>
    </w:p>
    <w:p w14:paraId="67A738DE" w14:textId="77777777" w:rsidR="00C2741A" w:rsidRPr="00F30FD1" w:rsidRDefault="00C2741A" w:rsidP="0035377A">
      <w:pPr>
        <w:pStyle w:val="Ttulo1"/>
      </w:pPr>
    </w:p>
    <w:p w14:paraId="153D846D" w14:textId="77777777" w:rsidR="00695E2D" w:rsidRPr="00F30FD1" w:rsidRDefault="00695E2D">
      <w:pPr>
        <w:spacing w:after="0" w:line="240" w:lineRule="auto"/>
        <w:jc w:val="left"/>
        <w:rPr>
          <w:rFonts w:eastAsia="Times New Roman" w:cs="Times New Roman"/>
          <w:b/>
          <w:bCs/>
          <w:caps/>
          <w:sz w:val="32"/>
          <w:szCs w:val="28"/>
          <w:lang w:val="es-MX" w:eastAsia="en-US"/>
        </w:rPr>
      </w:pPr>
      <w:bookmarkStart w:id="36" w:name="_Toc477971061"/>
      <w:r w:rsidRPr="00F30FD1">
        <w:br w:type="page"/>
      </w:r>
    </w:p>
    <w:p w14:paraId="630FF3B9" w14:textId="77777777" w:rsidR="005F7240" w:rsidRPr="00F30FD1" w:rsidRDefault="0035377A" w:rsidP="0035377A">
      <w:pPr>
        <w:pStyle w:val="Ttulo1"/>
      </w:pPr>
      <w:r w:rsidRPr="00F30FD1">
        <w:lastRenderedPageBreak/>
        <w:t xml:space="preserve">XII. </w:t>
      </w:r>
      <w:r w:rsidR="005F7240" w:rsidRPr="00F30FD1">
        <w:t xml:space="preserve">CONTROL, SEGUIMIENTO, EVALUACIÓN Y </w:t>
      </w:r>
      <w:r w:rsidR="00416E1E" w:rsidRPr="00F30FD1">
        <w:t>A</w:t>
      </w:r>
      <w:r w:rsidR="005F7240" w:rsidRPr="00F30FD1">
        <w:t>CTUALIZACIÓN</w:t>
      </w:r>
      <w:bookmarkEnd w:id="36"/>
    </w:p>
    <w:p w14:paraId="48822909" w14:textId="77777777" w:rsidR="00E668AF" w:rsidRPr="00F30FD1" w:rsidRDefault="00E668AF" w:rsidP="00E668AF">
      <w:pPr>
        <w:rPr>
          <w:rFonts w:eastAsia="Times New Roman" w:cs="Futura"/>
          <w:color w:val="595959"/>
        </w:rPr>
      </w:pPr>
      <w:r w:rsidRPr="00F30FD1">
        <w:rPr>
          <w:rFonts w:eastAsia="Times New Roman" w:cs="Futura"/>
          <w:color w:val="595959"/>
        </w:rPr>
        <w:t>La etapa de control y seguimiento, evaluación y actualización, comprende el conjunto de actividades encaminadas a la verificación, prevención, medición, detección y corrección de desviaciones de carácter cualitativo y cuantitativo con la finalidad de establecer diagnósticos acerca del avance, seguimiento y cumplimiento de los objetivos de los Planes Estatal y Municipales y los Programas que de ellos se deriven, aportando los resultados necesarios para la toma de decisiones, dirigidos en su caso, a la reorientación de los objetivos y prioridades de los Planes Estatal y Municipales y los Programas que de ellos se deriven</w:t>
      </w:r>
    </w:p>
    <w:p w14:paraId="446D2033" w14:textId="77777777" w:rsidR="00E668AF" w:rsidRPr="00F30FD1" w:rsidRDefault="00E668AF" w:rsidP="00E668AF">
      <w:pPr>
        <w:rPr>
          <w:rFonts w:eastAsia="Times New Roman" w:cs="Futura"/>
          <w:color w:val="595959"/>
        </w:rPr>
      </w:pPr>
      <w:r w:rsidRPr="00F30FD1">
        <w:rPr>
          <w:rFonts w:eastAsia="Times New Roman" w:cs="Futura"/>
          <w:color w:val="595959"/>
        </w:rPr>
        <w:t>En este sentido a través de la fase de control y seguimiento se vigilará que se logren los objetivos de los Planes y Programas Estatales y Municipales en cumplimiento con las disposiciones en materia de planeación, programación, presupuestación y ejercicio del gasto.</w:t>
      </w:r>
    </w:p>
    <w:p w14:paraId="29792DE1" w14:textId="77777777" w:rsidR="00E668AF" w:rsidRPr="00F30FD1" w:rsidRDefault="00E668AF" w:rsidP="00E668AF">
      <w:pPr>
        <w:rPr>
          <w:rFonts w:eastAsia="Times New Roman" w:cs="Futura"/>
          <w:color w:val="595959"/>
        </w:rPr>
      </w:pPr>
      <w:r w:rsidRPr="00F30FD1">
        <w:rPr>
          <w:rFonts w:eastAsia="Times New Roman" w:cs="Futura"/>
          <w:color w:val="595959"/>
        </w:rPr>
        <w:t>Mediante la evaluación se obtendrán las conclusiones cualitativas y cuantitativas sobre el cumplimiento de los objetivos de los Planes y Programas Estatales y Municipales.</w:t>
      </w:r>
    </w:p>
    <w:p w14:paraId="28E1D30D" w14:textId="77777777" w:rsidR="00E668AF" w:rsidRPr="00F30FD1" w:rsidRDefault="00E668AF" w:rsidP="00E668AF">
      <w:pPr>
        <w:rPr>
          <w:rFonts w:eastAsia="Times New Roman" w:cs="Futura"/>
          <w:color w:val="595959"/>
        </w:rPr>
      </w:pPr>
      <w:r w:rsidRPr="00F30FD1">
        <w:rPr>
          <w:rFonts w:eastAsia="Times New Roman" w:cs="Futura"/>
          <w:color w:val="595959"/>
        </w:rPr>
        <w:t>En la fase de actualización se adecuarán los Planes y Programas Estatales y Municipales a las transformaciones del entorno político, social, ambiental, cultural, económico, educativo y deportivo del Estado y Municipios, según corresponda.</w:t>
      </w:r>
    </w:p>
    <w:p w14:paraId="7605FA56" w14:textId="77777777" w:rsidR="00A4327D" w:rsidRPr="00F30FD1" w:rsidRDefault="00A4327D" w:rsidP="00B545F3">
      <w:pPr>
        <w:rPr>
          <w:rFonts w:eastAsia="Times New Roman" w:cs="Futura"/>
          <w:color w:val="595959"/>
        </w:rPr>
      </w:pPr>
    </w:p>
    <w:p w14:paraId="506FC6EE" w14:textId="77777777" w:rsidR="00E668AF" w:rsidRPr="00F30FD1" w:rsidRDefault="00E668AF" w:rsidP="00E668AF">
      <w:pPr>
        <w:pStyle w:val="Epgrafe"/>
        <w:keepNext/>
        <w:rPr>
          <w:rFonts w:ascii="Futura T OT" w:eastAsiaTheme="minorEastAsia" w:hAnsi="Futura T OT" w:cstheme="minorBidi"/>
          <w:bCs w:val="0"/>
          <w:lang w:val="es-ES_tradnl" w:eastAsia="es-ES"/>
        </w:rPr>
      </w:pPr>
      <w:r w:rsidRPr="00F30FD1">
        <w:rPr>
          <w:rFonts w:ascii="Futura T OT" w:eastAsiaTheme="minorEastAsia" w:hAnsi="Futura T OT" w:cstheme="minorBidi"/>
          <w:bCs w:val="0"/>
          <w:lang w:val="es-ES_tradnl" w:eastAsia="es-ES"/>
        </w:rPr>
        <w:t>Cuadro XII.1. Indicadores y Metas del Programa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499"/>
        <w:gridCol w:w="1282"/>
        <w:gridCol w:w="1017"/>
        <w:gridCol w:w="911"/>
        <w:gridCol w:w="846"/>
        <w:gridCol w:w="706"/>
        <w:gridCol w:w="716"/>
        <w:gridCol w:w="716"/>
        <w:gridCol w:w="716"/>
        <w:gridCol w:w="716"/>
        <w:gridCol w:w="710"/>
      </w:tblGrid>
      <w:tr w:rsidR="00E668AF" w:rsidRPr="00F30FD1" w14:paraId="1BEBF9F8" w14:textId="77777777" w:rsidTr="004E75FD">
        <w:trPr>
          <w:trHeight w:val="283"/>
          <w:tblHeader/>
          <w:jc w:val="center"/>
        </w:trPr>
        <w:tc>
          <w:tcPr>
            <w:tcW w:w="762" w:type="pct"/>
            <w:shd w:val="clear" w:color="auto" w:fill="A6A6A6" w:themeFill="background1" w:themeFillShade="A6"/>
            <w:tcMar>
              <w:top w:w="72" w:type="dxa"/>
              <w:left w:w="144" w:type="dxa"/>
              <w:bottom w:w="72" w:type="dxa"/>
              <w:right w:w="144" w:type="dxa"/>
            </w:tcMar>
            <w:vAlign w:val="center"/>
            <w:hideMark/>
          </w:tcPr>
          <w:p w14:paraId="6B2F8062"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Objetivo/ Estrategia</w:t>
            </w:r>
          </w:p>
        </w:tc>
        <w:tc>
          <w:tcPr>
            <w:tcW w:w="652" w:type="pct"/>
            <w:shd w:val="clear" w:color="auto" w:fill="A6A6A6" w:themeFill="background1" w:themeFillShade="A6"/>
            <w:tcMar>
              <w:top w:w="72" w:type="dxa"/>
              <w:left w:w="144" w:type="dxa"/>
              <w:bottom w:w="72" w:type="dxa"/>
              <w:right w:w="144" w:type="dxa"/>
            </w:tcMar>
            <w:vAlign w:val="center"/>
            <w:hideMark/>
          </w:tcPr>
          <w:p w14:paraId="185D2D56"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Indicador</w:t>
            </w:r>
          </w:p>
        </w:tc>
        <w:tc>
          <w:tcPr>
            <w:tcW w:w="517" w:type="pct"/>
            <w:shd w:val="clear" w:color="auto" w:fill="A6A6A6" w:themeFill="background1" w:themeFillShade="A6"/>
            <w:tcMar>
              <w:top w:w="72" w:type="dxa"/>
              <w:left w:w="144" w:type="dxa"/>
              <w:bottom w:w="72" w:type="dxa"/>
              <w:right w:w="144" w:type="dxa"/>
            </w:tcMar>
            <w:vAlign w:val="center"/>
            <w:hideMark/>
          </w:tcPr>
          <w:p w14:paraId="49A0E7ED"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Fuente</w:t>
            </w:r>
          </w:p>
        </w:tc>
        <w:tc>
          <w:tcPr>
            <w:tcW w:w="463" w:type="pct"/>
            <w:shd w:val="clear" w:color="auto" w:fill="A6A6A6" w:themeFill="background1" w:themeFillShade="A6"/>
            <w:tcMar>
              <w:top w:w="72" w:type="dxa"/>
              <w:left w:w="144" w:type="dxa"/>
              <w:bottom w:w="72" w:type="dxa"/>
              <w:right w:w="144" w:type="dxa"/>
            </w:tcMar>
            <w:vAlign w:val="center"/>
            <w:hideMark/>
          </w:tcPr>
          <w:p w14:paraId="3CEE44F7"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Unidad de Medida</w:t>
            </w:r>
          </w:p>
        </w:tc>
        <w:tc>
          <w:tcPr>
            <w:tcW w:w="430" w:type="pct"/>
            <w:shd w:val="clear" w:color="auto" w:fill="A6A6A6" w:themeFill="background1" w:themeFillShade="A6"/>
            <w:tcMar>
              <w:top w:w="72" w:type="dxa"/>
              <w:left w:w="144" w:type="dxa"/>
              <w:bottom w:w="72" w:type="dxa"/>
              <w:right w:w="144" w:type="dxa"/>
            </w:tcMar>
            <w:vAlign w:val="center"/>
            <w:hideMark/>
          </w:tcPr>
          <w:p w14:paraId="1BD897B7"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Línea Base</w:t>
            </w:r>
          </w:p>
        </w:tc>
        <w:tc>
          <w:tcPr>
            <w:tcW w:w="359" w:type="pct"/>
            <w:shd w:val="clear" w:color="auto" w:fill="A6A6A6" w:themeFill="background1" w:themeFillShade="A6"/>
            <w:tcMar>
              <w:top w:w="72" w:type="dxa"/>
              <w:left w:w="144" w:type="dxa"/>
              <w:bottom w:w="72" w:type="dxa"/>
              <w:right w:w="144" w:type="dxa"/>
            </w:tcMar>
            <w:vAlign w:val="center"/>
            <w:hideMark/>
          </w:tcPr>
          <w:p w14:paraId="5F41151B"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2017</w:t>
            </w:r>
          </w:p>
        </w:tc>
        <w:tc>
          <w:tcPr>
            <w:tcW w:w="364" w:type="pct"/>
            <w:shd w:val="clear" w:color="auto" w:fill="A6A6A6" w:themeFill="background1" w:themeFillShade="A6"/>
            <w:tcMar>
              <w:top w:w="72" w:type="dxa"/>
              <w:left w:w="144" w:type="dxa"/>
              <w:bottom w:w="72" w:type="dxa"/>
              <w:right w:w="144" w:type="dxa"/>
            </w:tcMar>
            <w:vAlign w:val="center"/>
            <w:hideMark/>
          </w:tcPr>
          <w:p w14:paraId="5ED38D8A"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2018</w:t>
            </w:r>
          </w:p>
        </w:tc>
        <w:tc>
          <w:tcPr>
            <w:tcW w:w="364" w:type="pct"/>
            <w:shd w:val="clear" w:color="auto" w:fill="A6A6A6" w:themeFill="background1" w:themeFillShade="A6"/>
            <w:tcMar>
              <w:top w:w="72" w:type="dxa"/>
              <w:left w:w="144" w:type="dxa"/>
              <w:bottom w:w="72" w:type="dxa"/>
              <w:right w:w="144" w:type="dxa"/>
            </w:tcMar>
            <w:vAlign w:val="center"/>
            <w:hideMark/>
          </w:tcPr>
          <w:p w14:paraId="74E9D413"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2019</w:t>
            </w:r>
          </w:p>
        </w:tc>
        <w:tc>
          <w:tcPr>
            <w:tcW w:w="364" w:type="pct"/>
            <w:shd w:val="clear" w:color="auto" w:fill="A6A6A6" w:themeFill="background1" w:themeFillShade="A6"/>
            <w:tcMar>
              <w:top w:w="72" w:type="dxa"/>
              <w:left w:w="144" w:type="dxa"/>
              <w:bottom w:w="72" w:type="dxa"/>
              <w:right w:w="144" w:type="dxa"/>
            </w:tcMar>
            <w:vAlign w:val="center"/>
            <w:hideMark/>
          </w:tcPr>
          <w:p w14:paraId="4979E127"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2020</w:t>
            </w:r>
          </w:p>
        </w:tc>
        <w:tc>
          <w:tcPr>
            <w:tcW w:w="364" w:type="pct"/>
            <w:shd w:val="clear" w:color="auto" w:fill="A6A6A6" w:themeFill="background1" w:themeFillShade="A6"/>
            <w:tcMar>
              <w:top w:w="72" w:type="dxa"/>
              <w:left w:w="144" w:type="dxa"/>
              <w:bottom w:w="72" w:type="dxa"/>
              <w:right w:w="144" w:type="dxa"/>
            </w:tcMar>
            <w:vAlign w:val="center"/>
            <w:hideMark/>
          </w:tcPr>
          <w:p w14:paraId="63BF5F92"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2021</w:t>
            </w:r>
          </w:p>
        </w:tc>
        <w:tc>
          <w:tcPr>
            <w:tcW w:w="361" w:type="pct"/>
            <w:shd w:val="clear" w:color="auto" w:fill="A6A6A6" w:themeFill="background1" w:themeFillShade="A6"/>
            <w:tcMar>
              <w:top w:w="72" w:type="dxa"/>
              <w:left w:w="144" w:type="dxa"/>
              <w:bottom w:w="72" w:type="dxa"/>
              <w:right w:w="144" w:type="dxa"/>
            </w:tcMar>
            <w:vAlign w:val="center"/>
            <w:hideMark/>
          </w:tcPr>
          <w:p w14:paraId="3FC24C0A" w14:textId="77777777" w:rsidR="00E668AF" w:rsidRPr="00F30FD1" w:rsidRDefault="00E668AF" w:rsidP="00E668AF">
            <w:pPr>
              <w:spacing w:after="0" w:line="240" w:lineRule="auto"/>
              <w:jc w:val="center"/>
              <w:rPr>
                <w:rFonts w:eastAsia="Calibri" w:cs="Calibri"/>
                <w:color w:val="595959"/>
                <w:sz w:val="16"/>
                <w:szCs w:val="16"/>
              </w:rPr>
            </w:pPr>
            <w:r w:rsidRPr="00F30FD1">
              <w:rPr>
                <w:rFonts w:eastAsia="Calibri" w:cs="Calibri"/>
                <w:color w:val="595959"/>
                <w:sz w:val="16"/>
                <w:szCs w:val="16"/>
              </w:rPr>
              <w:t>2022</w:t>
            </w:r>
          </w:p>
        </w:tc>
      </w:tr>
      <w:tr w:rsidR="00E27F34" w:rsidRPr="00F30FD1" w14:paraId="0DC8FD47" w14:textId="77777777" w:rsidTr="004E75FD">
        <w:trPr>
          <w:trHeight w:val="283"/>
          <w:jc w:val="center"/>
        </w:trPr>
        <w:tc>
          <w:tcPr>
            <w:tcW w:w="762" w:type="pct"/>
            <w:shd w:val="clear" w:color="auto" w:fill="FFFFFF" w:themeFill="background1"/>
            <w:tcMar>
              <w:top w:w="72" w:type="dxa"/>
              <w:left w:w="144" w:type="dxa"/>
              <w:bottom w:w="72" w:type="dxa"/>
              <w:right w:w="144" w:type="dxa"/>
            </w:tcMar>
            <w:vAlign w:val="center"/>
          </w:tcPr>
          <w:p w14:paraId="46E16CDF" w14:textId="6E96ECA6"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Objetivo.1 Aumentar los niveles de captación de ingresos propios y federales, así como renegociar las condiciones de la deuda</w:t>
            </w:r>
          </w:p>
        </w:tc>
        <w:tc>
          <w:tcPr>
            <w:tcW w:w="652" w:type="pct"/>
            <w:shd w:val="clear" w:color="auto" w:fill="FFFFFF" w:themeFill="background1"/>
            <w:tcMar>
              <w:top w:w="72" w:type="dxa"/>
              <w:left w:w="144" w:type="dxa"/>
              <w:bottom w:w="72" w:type="dxa"/>
              <w:right w:w="144" w:type="dxa"/>
            </w:tcMar>
            <w:vAlign w:val="center"/>
          </w:tcPr>
          <w:p w14:paraId="511A6F51" w14:textId="0A8F734C"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Índice de Capacidad de Generar Ingresos</w:t>
            </w:r>
          </w:p>
        </w:tc>
        <w:tc>
          <w:tcPr>
            <w:tcW w:w="517" w:type="pct"/>
            <w:shd w:val="clear" w:color="auto" w:fill="FFFFFF" w:themeFill="background1"/>
            <w:tcMar>
              <w:top w:w="72" w:type="dxa"/>
              <w:left w:w="144" w:type="dxa"/>
              <w:bottom w:w="72" w:type="dxa"/>
              <w:right w:w="144" w:type="dxa"/>
            </w:tcMar>
            <w:vAlign w:val="center"/>
          </w:tcPr>
          <w:p w14:paraId="7E2D5B20" w14:textId="3C46E893"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Aregional</w:t>
            </w:r>
          </w:p>
        </w:tc>
        <w:tc>
          <w:tcPr>
            <w:tcW w:w="463" w:type="pct"/>
            <w:shd w:val="clear" w:color="auto" w:fill="FFFFFF" w:themeFill="background1"/>
            <w:tcMar>
              <w:top w:w="72" w:type="dxa"/>
              <w:left w:w="144" w:type="dxa"/>
              <w:bottom w:w="72" w:type="dxa"/>
              <w:right w:w="144" w:type="dxa"/>
            </w:tcMar>
            <w:vAlign w:val="center"/>
          </w:tcPr>
          <w:p w14:paraId="2D0DDFA0" w14:textId="07553190" w:rsidR="00E27F34" w:rsidRPr="00F30FD1" w:rsidRDefault="00E27F34" w:rsidP="00E27F34">
            <w:pPr>
              <w:spacing w:after="0" w:line="240" w:lineRule="auto"/>
              <w:jc w:val="center"/>
              <w:rPr>
                <w:rFonts w:eastAsia="Calibri" w:cs="Calibri"/>
                <w:color w:val="595959"/>
                <w:sz w:val="14"/>
                <w:szCs w:val="16"/>
              </w:rPr>
            </w:pPr>
            <w:r w:rsidRPr="00F30FD1">
              <w:rPr>
                <w:rFonts w:eastAsia="Calibri" w:cs="Calibri"/>
                <w:color w:val="595959"/>
                <w:sz w:val="16"/>
                <w:szCs w:val="16"/>
              </w:rPr>
              <w:t>Índice</w:t>
            </w:r>
          </w:p>
        </w:tc>
        <w:tc>
          <w:tcPr>
            <w:tcW w:w="430" w:type="pct"/>
            <w:shd w:val="clear" w:color="auto" w:fill="FFFFFF" w:themeFill="background1"/>
            <w:tcMar>
              <w:top w:w="72" w:type="dxa"/>
              <w:left w:w="144" w:type="dxa"/>
              <w:bottom w:w="72" w:type="dxa"/>
              <w:right w:w="144" w:type="dxa"/>
            </w:tcMar>
            <w:vAlign w:val="center"/>
          </w:tcPr>
          <w:p w14:paraId="6A5B12D6" w14:textId="77777777"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 xml:space="preserve">59.5 </w:t>
            </w:r>
          </w:p>
          <w:p w14:paraId="6A0D3A33" w14:textId="42EE9E6B"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(2012-2014)</w:t>
            </w:r>
          </w:p>
        </w:tc>
        <w:tc>
          <w:tcPr>
            <w:tcW w:w="359" w:type="pct"/>
            <w:shd w:val="clear" w:color="auto" w:fill="FFFFFF" w:themeFill="background1"/>
            <w:tcMar>
              <w:top w:w="72" w:type="dxa"/>
              <w:left w:w="144" w:type="dxa"/>
              <w:bottom w:w="72" w:type="dxa"/>
              <w:right w:w="144" w:type="dxa"/>
            </w:tcMar>
            <w:vAlign w:val="center"/>
          </w:tcPr>
          <w:p w14:paraId="187E989C" w14:textId="22E3FECC"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60</w:t>
            </w:r>
          </w:p>
        </w:tc>
        <w:tc>
          <w:tcPr>
            <w:tcW w:w="364" w:type="pct"/>
            <w:shd w:val="clear" w:color="auto" w:fill="FFFFFF" w:themeFill="background1"/>
            <w:tcMar>
              <w:top w:w="72" w:type="dxa"/>
              <w:left w:w="144" w:type="dxa"/>
              <w:bottom w:w="72" w:type="dxa"/>
              <w:right w:w="144" w:type="dxa"/>
            </w:tcMar>
            <w:vAlign w:val="center"/>
          </w:tcPr>
          <w:p w14:paraId="4BB16998" w14:textId="20EF3C2A"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62</w:t>
            </w:r>
          </w:p>
        </w:tc>
        <w:tc>
          <w:tcPr>
            <w:tcW w:w="364" w:type="pct"/>
            <w:shd w:val="clear" w:color="auto" w:fill="FFFFFF" w:themeFill="background1"/>
            <w:tcMar>
              <w:top w:w="72" w:type="dxa"/>
              <w:left w:w="144" w:type="dxa"/>
              <w:bottom w:w="72" w:type="dxa"/>
              <w:right w:w="144" w:type="dxa"/>
            </w:tcMar>
            <w:vAlign w:val="center"/>
          </w:tcPr>
          <w:p w14:paraId="702CCCA6" w14:textId="04ED7D0E"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64.5</w:t>
            </w:r>
          </w:p>
        </w:tc>
        <w:tc>
          <w:tcPr>
            <w:tcW w:w="364" w:type="pct"/>
            <w:shd w:val="clear" w:color="auto" w:fill="FFFFFF" w:themeFill="background1"/>
            <w:tcMar>
              <w:top w:w="72" w:type="dxa"/>
              <w:left w:w="144" w:type="dxa"/>
              <w:bottom w:w="72" w:type="dxa"/>
              <w:right w:w="144" w:type="dxa"/>
            </w:tcMar>
            <w:vAlign w:val="center"/>
          </w:tcPr>
          <w:p w14:paraId="01B3F3BF" w14:textId="1873A806"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66.8</w:t>
            </w:r>
          </w:p>
        </w:tc>
        <w:tc>
          <w:tcPr>
            <w:tcW w:w="364" w:type="pct"/>
            <w:shd w:val="clear" w:color="auto" w:fill="FFFFFF" w:themeFill="background1"/>
            <w:tcMar>
              <w:top w:w="72" w:type="dxa"/>
              <w:left w:w="144" w:type="dxa"/>
              <w:bottom w:w="72" w:type="dxa"/>
              <w:right w:w="144" w:type="dxa"/>
            </w:tcMar>
            <w:vAlign w:val="center"/>
          </w:tcPr>
          <w:p w14:paraId="6F9A882D" w14:textId="60C345CA"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70.2</w:t>
            </w:r>
          </w:p>
        </w:tc>
        <w:tc>
          <w:tcPr>
            <w:tcW w:w="361" w:type="pct"/>
            <w:shd w:val="clear" w:color="auto" w:fill="FFFFFF" w:themeFill="background1"/>
            <w:tcMar>
              <w:top w:w="72" w:type="dxa"/>
              <w:left w:w="144" w:type="dxa"/>
              <w:bottom w:w="72" w:type="dxa"/>
              <w:right w:w="144" w:type="dxa"/>
            </w:tcMar>
            <w:vAlign w:val="center"/>
          </w:tcPr>
          <w:p w14:paraId="1667237C" w14:textId="00B83412"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71.5</w:t>
            </w:r>
          </w:p>
        </w:tc>
      </w:tr>
      <w:tr w:rsidR="004E75FD" w:rsidRPr="00F30FD1" w14:paraId="040D202A" w14:textId="77777777" w:rsidTr="004E75FD">
        <w:trPr>
          <w:trHeight w:val="283"/>
          <w:jc w:val="center"/>
        </w:trPr>
        <w:tc>
          <w:tcPr>
            <w:tcW w:w="762" w:type="pct"/>
            <w:shd w:val="clear" w:color="auto" w:fill="FFFFFF" w:themeFill="background1"/>
            <w:tcMar>
              <w:top w:w="72" w:type="dxa"/>
              <w:left w:w="144" w:type="dxa"/>
              <w:bottom w:w="72" w:type="dxa"/>
              <w:right w:w="144" w:type="dxa"/>
            </w:tcMar>
            <w:vAlign w:val="center"/>
          </w:tcPr>
          <w:p w14:paraId="3933E0A4" w14:textId="6806E533"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t xml:space="preserve">Objetivo. 1 Aumentar los niveles de </w:t>
            </w:r>
            <w:r w:rsidRPr="00F30FD1">
              <w:rPr>
                <w:rFonts w:eastAsia="Calibri" w:cs="Calibri"/>
                <w:color w:val="595959"/>
                <w:sz w:val="16"/>
                <w:szCs w:val="16"/>
              </w:rPr>
              <w:lastRenderedPageBreak/>
              <w:t>captación de ingresos propios y federales, así como renegociar las condiciones de la deuda</w:t>
            </w:r>
          </w:p>
        </w:tc>
        <w:tc>
          <w:tcPr>
            <w:tcW w:w="652" w:type="pct"/>
            <w:shd w:val="clear" w:color="auto" w:fill="FFFFFF" w:themeFill="background1"/>
            <w:tcMar>
              <w:top w:w="72" w:type="dxa"/>
              <w:left w:w="144" w:type="dxa"/>
              <w:bottom w:w="72" w:type="dxa"/>
              <w:right w:w="144" w:type="dxa"/>
            </w:tcMar>
            <w:vAlign w:val="center"/>
          </w:tcPr>
          <w:p w14:paraId="163DC687" w14:textId="339B735A" w:rsidR="004E75FD" w:rsidRPr="00F30FD1" w:rsidRDefault="004E75FD" w:rsidP="004E75FD">
            <w:pPr>
              <w:spacing w:after="0" w:line="240" w:lineRule="auto"/>
              <w:jc w:val="center"/>
              <w:rPr>
                <w:rFonts w:eastAsia="Calibri" w:cs="Calibri"/>
                <w:color w:val="595959"/>
                <w:sz w:val="16"/>
                <w:szCs w:val="16"/>
                <w:highlight w:val="green"/>
              </w:rPr>
            </w:pPr>
            <w:r w:rsidRPr="00F30FD1">
              <w:rPr>
                <w:rFonts w:eastAsia="Calibri" w:cs="Calibri"/>
                <w:color w:val="595959"/>
                <w:sz w:val="16"/>
                <w:szCs w:val="16"/>
              </w:rPr>
              <w:lastRenderedPageBreak/>
              <w:t xml:space="preserve">Porcentaje de intereses pagados por </w:t>
            </w:r>
            <w:r w:rsidRPr="00F30FD1">
              <w:rPr>
                <w:rFonts w:eastAsia="Calibri" w:cs="Calibri"/>
                <w:color w:val="595959"/>
                <w:sz w:val="16"/>
                <w:szCs w:val="16"/>
              </w:rPr>
              <w:lastRenderedPageBreak/>
              <w:t>concepto de servicio de la deuda</w:t>
            </w:r>
          </w:p>
        </w:tc>
        <w:tc>
          <w:tcPr>
            <w:tcW w:w="517" w:type="pct"/>
            <w:shd w:val="clear" w:color="auto" w:fill="FFFFFF" w:themeFill="background1"/>
            <w:tcMar>
              <w:top w:w="72" w:type="dxa"/>
              <w:left w:w="144" w:type="dxa"/>
              <w:bottom w:w="72" w:type="dxa"/>
              <w:right w:w="144" w:type="dxa"/>
            </w:tcMar>
            <w:vAlign w:val="center"/>
          </w:tcPr>
          <w:p w14:paraId="5AF5DF71" w14:textId="6DA50EB2"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lastRenderedPageBreak/>
              <w:t>SEFIPLAN</w:t>
            </w:r>
          </w:p>
        </w:tc>
        <w:tc>
          <w:tcPr>
            <w:tcW w:w="463" w:type="pct"/>
            <w:shd w:val="clear" w:color="auto" w:fill="FFFFFF" w:themeFill="background1"/>
            <w:tcMar>
              <w:top w:w="72" w:type="dxa"/>
              <w:left w:w="144" w:type="dxa"/>
              <w:bottom w:w="72" w:type="dxa"/>
              <w:right w:w="144" w:type="dxa"/>
            </w:tcMar>
            <w:vAlign w:val="center"/>
          </w:tcPr>
          <w:p w14:paraId="2589C6F2" w14:textId="7031BC0C"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4"/>
                <w:szCs w:val="16"/>
              </w:rPr>
              <w:t>Porcentaje</w:t>
            </w:r>
          </w:p>
        </w:tc>
        <w:tc>
          <w:tcPr>
            <w:tcW w:w="430" w:type="pct"/>
            <w:shd w:val="clear" w:color="auto" w:fill="FFFFFF" w:themeFill="background1"/>
            <w:tcMar>
              <w:top w:w="72" w:type="dxa"/>
              <w:left w:w="144" w:type="dxa"/>
              <w:bottom w:w="72" w:type="dxa"/>
              <w:right w:w="144" w:type="dxa"/>
            </w:tcMar>
            <w:vAlign w:val="center"/>
          </w:tcPr>
          <w:p w14:paraId="31A20409" w14:textId="3F07FC17"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t>2017</w:t>
            </w:r>
          </w:p>
        </w:tc>
        <w:tc>
          <w:tcPr>
            <w:tcW w:w="359" w:type="pct"/>
            <w:shd w:val="clear" w:color="auto" w:fill="FFFFFF" w:themeFill="background1"/>
            <w:tcMar>
              <w:top w:w="72" w:type="dxa"/>
              <w:left w:w="144" w:type="dxa"/>
              <w:bottom w:w="72" w:type="dxa"/>
              <w:right w:w="144" w:type="dxa"/>
            </w:tcMar>
            <w:vAlign w:val="center"/>
          </w:tcPr>
          <w:p w14:paraId="2F81AA1B" w14:textId="305ECF34"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t>100%</w:t>
            </w:r>
          </w:p>
        </w:tc>
        <w:tc>
          <w:tcPr>
            <w:tcW w:w="364" w:type="pct"/>
            <w:shd w:val="clear" w:color="auto" w:fill="FFFFFF" w:themeFill="background1"/>
            <w:tcMar>
              <w:top w:w="72" w:type="dxa"/>
              <w:left w:w="144" w:type="dxa"/>
              <w:bottom w:w="72" w:type="dxa"/>
              <w:right w:w="144" w:type="dxa"/>
            </w:tcMar>
            <w:vAlign w:val="center"/>
          </w:tcPr>
          <w:p w14:paraId="1C67A9AC" w14:textId="403FD75B"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t>100%</w:t>
            </w:r>
          </w:p>
        </w:tc>
        <w:tc>
          <w:tcPr>
            <w:tcW w:w="364" w:type="pct"/>
            <w:shd w:val="clear" w:color="auto" w:fill="FFFFFF" w:themeFill="background1"/>
            <w:tcMar>
              <w:top w:w="72" w:type="dxa"/>
              <w:left w:w="144" w:type="dxa"/>
              <w:bottom w:w="72" w:type="dxa"/>
              <w:right w:w="144" w:type="dxa"/>
            </w:tcMar>
            <w:vAlign w:val="center"/>
          </w:tcPr>
          <w:p w14:paraId="4FE4F97C" w14:textId="6C359340"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t>100%</w:t>
            </w:r>
          </w:p>
        </w:tc>
        <w:tc>
          <w:tcPr>
            <w:tcW w:w="364" w:type="pct"/>
            <w:shd w:val="clear" w:color="auto" w:fill="FFFFFF" w:themeFill="background1"/>
            <w:tcMar>
              <w:top w:w="72" w:type="dxa"/>
              <w:left w:w="144" w:type="dxa"/>
              <w:bottom w:w="72" w:type="dxa"/>
              <w:right w:w="144" w:type="dxa"/>
            </w:tcMar>
            <w:vAlign w:val="center"/>
          </w:tcPr>
          <w:p w14:paraId="1E43E743" w14:textId="5E5EEC3E"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t>100%</w:t>
            </w:r>
          </w:p>
        </w:tc>
        <w:tc>
          <w:tcPr>
            <w:tcW w:w="364" w:type="pct"/>
            <w:shd w:val="clear" w:color="auto" w:fill="FFFFFF" w:themeFill="background1"/>
            <w:tcMar>
              <w:top w:w="72" w:type="dxa"/>
              <w:left w:w="144" w:type="dxa"/>
              <w:bottom w:w="72" w:type="dxa"/>
              <w:right w:w="144" w:type="dxa"/>
            </w:tcMar>
            <w:vAlign w:val="center"/>
          </w:tcPr>
          <w:p w14:paraId="2E0BA752" w14:textId="7A99F93C"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t>100%</w:t>
            </w:r>
          </w:p>
        </w:tc>
        <w:tc>
          <w:tcPr>
            <w:tcW w:w="361" w:type="pct"/>
            <w:shd w:val="clear" w:color="auto" w:fill="FFFFFF" w:themeFill="background1"/>
            <w:tcMar>
              <w:top w:w="72" w:type="dxa"/>
              <w:left w:w="144" w:type="dxa"/>
              <w:bottom w:w="72" w:type="dxa"/>
              <w:right w:w="144" w:type="dxa"/>
            </w:tcMar>
            <w:vAlign w:val="center"/>
          </w:tcPr>
          <w:p w14:paraId="101EAE30" w14:textId="7FFB7684"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t>100%</w:t>
            </w:r>
          </w:p>
        </w:tc>
      </w:tr>
      <w:tr w:rsidR="00E27F34" w:rsidRPr="00F30FD1" w14:paraId="4B15B6AB" w14:textId="77777777" w:rsidTr="004E75FD">
        <w:trPr>
          <w:trHeight w:val="283"/>
          <w:jc w:val="center"/>
        </w:trPr>
        <w:tc>
          <w:tcPr>
            <w:tcW w:w="762" w:type="pct"/>
            <w:shd w:val="clear" w:color="auto" w:fill="FFFFFF" w:themeFill="background1"/>
            <w:tcMar>
              <w:top w:w="72" w:type="dxa"/>
              <w:left w:w="144" w:type="dxa"/>
              <w:bottom w:w="72" w:type="dxa"/>
              <w:right w:w="144" w:type="dxa"/>
            </w:tcMar>
            <w:vAlign w:val="center"/>
          </w:tcPr>
          <w:p w14:paraId="72A94D3B" w14:textId="6B93D235"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lastRenderedPageBreak/>
              <w:t>Estrategia.1 Implementación de programas para incrementar el padrón de contribuyentes promoviendo la formalidad mediante estímulos y establecer acuerdos con la federación con el fin de mejorar las condiciones de los convenios existentes, así como la actualización de la plataforma estatal de información catastral y registral, así mismo la negociación permanente de mejores condiciones de financiamiento de la deuda.</w:t>
            </w:r>
          </w:p>
        </w:tc>
        <w:tc>
          <w:tcPr>
            <w:tcW w:w="652" w:type="pct"/>
            <w:shd w:val="clear" w:color="auto" w:fill="FFFFFF" w:themeFill="background1"/>
            <w:tcMar>
              <w:top w:w="72" w:type="dxa"/>
              <w:left w:w="144" w:type="dxa"/>
              <w:bottom w:w="72" w:type="dxa"/>
              <w:right w:w="144" w:type="dxa"/>
            </w:tcMar>
            <w:vAlign w:val="center"/>
          </w:tcPr>
          <w:p w14:paraId="6404B25D" w14:textId="7F704347"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Índice de desempeño Financiero de las Entidades Federativas</w:t>
            </w:r>
          </w:p>
        </w:tc>
        <w:tc>
          <w:tcPr>
            <w:tcW w:w="517" w:type="pct"/>
            <w:shd w:val="clear" w:color="auto" w:fill="FFFFFF" w:themeFill="background1"/>
            <w:tcMar>
              <w:top w:w="72" w:type="dxa"/>
              <w:left w:w="144" w:type="dxa"/>
              <w:bottom w:w="72" w:type="dxa"/>
              <w:right w:w="144" w:type="dxa"/>
            </w:tcMar>
            <w:vAlign w:val="center"/>
          </w:tcPr>
          <w:p w14:paraId="233B8336" w14:textId="70320CE7" w:rsidR="00E27F34" w:rsidRPr="00F30FD1" w:rsidRDefault="00E27F34" w:rsidP="00E27F34">
            <w:pPr>
              <w:spacing w:after="0" w:line="240" w:lineRule="auto"/>
              <w:jc w:val="center"/>
              <w:rPr>
                <w:rFonts w:eastAsia="Calibri" w:cs="Calibri"/>
                <w:color w:val="595959"/>
                <w:sz w:val="16"/>
                <w:szCs w:val="16"/>
              </w:rPr>
            </w:pPr>
            <w:proofErr w:type="spellStart"/>
            <w:r w:rsidRPr="00F30FD1">
              <w:rPr>
                <w:rFonts w:eastAsia="Calibri" w:cs="Calibri"/>
                <w:color w:val="595959"/>
                <w:sz w:val="16"/>
                <w:szCs w:val="16"/>
              </w:rPr>
              <w:t>ARegional</w:t>
            </w:r>
            <w:proofErr w:type="spellEnd"/>
          </w:p>
        </w:tc>
        <w:tc>
          <w:tcPr>
            <w:tcW w:w="463" w:type="pct"/>
            <w:shd w:val="clear" w:color="auto" w:fill="FFFFFF" w:themeFill="background1"/>
            <w:tcMar>
              <w:top w:w="72" w:type="dxa"/>
              <w:left w:w="144" w:type="dxa"/>
              <w:bottom w:w="72" w:type="dxa"/>
              <w:right w:w="144" w:type="dxa"/>
            </w:tcMar>
            <w:vAlign w:val="center"/>
          </w:tcPr>
          <w:p w14:paraId="3D2577E6" w14:textId="094FDC27" w:rsidR="00E27F34" w:rsidRPr="00F30FD1" w:rsidRDefault="00E27F34" w:rsidP="00E27F34">
            <w:pPr>
              <w:spacing w:after="0" w:line="240" w:lineRule="auto"/>
              <w:jc w:val="center"/>
              <w:rPr>
                <w:rFonts w:eastAsia="Calibri" w:cs="Calibri"/>
                <w:color w:val="595959"/>
                <w:sz w:val="14"/>
                <w:szCs w:val="14"/>
              </w:rPr>
            </w:pPr>
            <w:r w:rsidRPr="00F30FD1">
              <w:rPr>
                <w:rFonts w:eastAsia="Calibri" w:cs="Calibri"/>
                <w:color w:val="595959"/>
                <w:sz w:val="14"/>
                <w:szCs w:val="14"/>
              </w:rPr>
              <w:t>Índice</w:t>
            </w:r>
          </w:p>
        </w:tc>
        <w:tc>
          <w:tcPr>
            <w:tcW w:w="430" w:type="pct"/>
            <w:shd w:val="clear" w:color="auto" w:fill="FFFFFF" w:themeFill="background1"/>
            <w:tcMar>
              <w:top w:w="72" w:type="dxa"/>
              <w:left w:w="144" w:type="dxa"/>
              <w:bottom w:w="72" w:type="dxa"/>
              <w:right w:w="144" w:type="dxa"/>
            </w:tcMar>
            <w:vAlign w:val="center"/>
          </w:tcPr>
          <w:p w14:paraId="738CA7E6" w14:textId="57BD7A44"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2017</w:t>
            </w:r>
          </w:p>
        </w:tc>
        <w:tc>
          <w:tcPr>
            <w:tcW w:w="359" w:type="pct"/>
            <w:shd w:val="clear" w:color="auto" w:fill="FFFFFF" w:themeFill="background1"/>
            <w:tcMar>
              <w:top w:w="72" w:type="dxa"/>
              <w:left w:w="144" w:type="dxa"/>
              <w:bottom w:w="72" w:type="dxa"/>
              <w:right w:w="144" w:type="dxa"/>
            </w:tcMar>
            <w:vAlign w:val="center"/>
          </w:tcPr>
          <w:p w14:paraId="76121112" w14:textId="1B086217"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36.5</w:t>
            </w:r>
          </w:p>
        </w:tc>
        <w:tc>
          <w:tcPr>
            <w:tcW w:w="364" w:type="pct"/>
            <w:shd w:val="clear" w:color="auto" w:fill="FFFFFF" w:themeFill="background1"/>
            <w:tcMar>
              <w:top w:w="72" w:type="dxa"/>
              <w:left w:w="144" w:type="dxa"/>
              <w:bottom w:w="72" w:type="dxa"/>
              <w:right w:w="144" w:type="dxa"/>
            </w:tcMar>
            <w:vAlign w:val="center"/>
          </w:tcPr>
          <w:p w14:paraId="2E25DCBF" w14:textId="2BA7C899"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41.2</w:t>
            </w:r>
          </w:p>
        </w:tc>
        <w:tc>
          <w:tcPr>
            <w:tcW w:w="364" w:type="pct"/>
            <w:shd w:val="clear" w:color="auto" w:fill="FFFFFF" w:themeFill="background1"/>
            <w:tcMar>
              <w:top w:w="72" w:type="dxa"/>
              <w:left w:w="144" w:type="dxa"/>
              <w:bottom w:w="72" w:type="dxa"/>
              <w:right w:w="144" w:type="dxa"/>
            </w:tcMar>
            <w:vAlign w:val="center"/>
          </w:tcPr>
          <w:p w14:paraId="7D9252F1" w14:textId="5EC770EB"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46.4</w:t>
            </w:r>
          </w:p>
        </w:tc>
        <w:tc>
          <w:tcPr>
            <w:tcW w:w="364" w:type="pct"/>
            <w:shd w:val="clear" w:color="auto" w:fill="FFFFFF" w:themeFill="background1"/>
            <w:tcMar>
              <w:top w:w="72" w:type="dxa"/>
              <w:left w:w="144" w:type="dxa"/>
              <w:bottom w:w="72" w:type="dxa"/>
              <w:right w:w="144" w:type="dxa"/>
            </w:tcMar>
            <w:vAlign w:val="center"/>
          </w:tcPr>
          <w:p w14:paraId="7184D34C" w14:textId="2443D152"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51.2</w:t>
            </w:r>
          </w:p>
        </w:tc>
        <w:tc>
          <w:tcPr>
            <w:tcW w:w="364" w:type="pct"/>
            <w:shd w:val="clear" w:color="auto" w:fill="FFFFFF" w:themeFill="background1"/>
            <w:tcMar>
              <w:top w:w="72" w:type="dxa"/>
              <w:left w:w="144" w:type="dxa"/>
              <w:bottom w:w="72" w:type="dxa"/>
              <w:right w:w="144" w:type="dxa"/>
            </w:tcMar>
            <w:vAlign w:val="center"/>
          </w:tcPr>
          <w:p w14:paraId="0FAAEC3F" w14:textId="58C20A7C"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55.8</w:t>
            </w:r>
          </w:p>
        </w:tc>
        <w:tc>
          <w:tcPr>
            <w:tcW w:w="361" w:type="pct"/>
            <w:shd w:val="clear" w:color="auto" w:fill="FFFFFF" w:themeFill="background1"/>
            <w:tcMar>
              <w:top w:w="72" w:type="dxa"/>
              <w:left w:w="144" w:type="dxa"/>
              <w:bottom w:w="72" w:type="dxa"/>
              <w:right w:w="144" w:type="dxa"/>
            </w:tcMar>
            <w:vAlign w:val="center"/>
          </w:tcPr>
          <w:p w14:paraId="2B35D413" w14:textId="27190CC4" w:rsidR="00E27F34" w:rsidRPr="00F30FD1" w:rsidRDefault="00E27F34" w:rsidP="00E27F34">
            <w:pPr>
              <w:spacing w:after="0" w:line="240" w:lineRule="auto"/>
              <w:jc w:val="center"/>
              <w:rPr>
                <w:rFonts w:eastAsia="Calibri" w:cs="Calibri"/>
                <w:color w:val="595959"/>
                <w:sz w:val="16"/>
                <w:szCs w:val="16"/>
              </w:rPr>
            </w:pPr>
            <w:r w:rsidRPr="00F30FD1">
              <w:rPr>
                <w:rFonts w:eastAsia="Calibri" w:cs="Calibri"/>
                <w:color w:val="595959"/>
                <w:sz w:val="16"/>
                <w:szCs w:val="16"/>
              </w:rPr>
              <w:t>60.3</w:t>
            </w:r>
          </w:p>
        </w:tc>
      </w:tr>
      <w:tr w:rsidR="00A800CF" w:rsidRPr="00F30FD1" w14:paraId="2CB65FA5" w14:textId="77777777" w:rsidTr="00A800CF">
        <w:trPr>
          <w:trHeight w:val="283"/>
          <w:jc w:val="center"/>
        </w:trPr>
        <w:tc>
          <w:tcPr>
            <w:tcW w:w="762" w:type="pct"/>
            <w:shd w:val="clear" w:color="auto" w:fill="FFFFFF" w:themeFill="background1"/>
            <w:tcMar>
              <w:top w:w="72" w:type="dxa"/>
              <w:left w:w="144" w:type="dxa"/>
              <w:bottom w:w="72" w:type="dxa"/>
              <w:right w:w="144" w:type="dxa"/>
            </w:tcMar>
            <w:vAlign w:val="center"/>
          </w:tcPr>
          <w:p w14:paraId="1B0D88D4" w14:textId="592E7CC8" w:rsidR="00A800CF" w:rsidRPr="00F30FD1" w:rsidRDefault="00A800CF" w:rsidP="00472C23">
            <w:pPr>
              <w:spacing w:after="0" w:line="240" w:lineRule="auto"/>
              <w:jc w:val="center"/>
              <w:rPr>
                <w:rFonts w:eastAsia="Calibri" w:cs="Calibri"/>
                <w:color w:val="595959"/>
                <w:sz w:val="16"/>
                <w:szCs w:val="16"/>
              </w:rPr>
            </w:pPr>
            <w:r w:rsidRPr="00F30FD1">
              <w:rPr>
                <w:rFonts w:eastAsia="Calibri" w:cs="Calibri"/>
                <w:color w:val="595959"/>
                <w:sz w:val="16"/>
                <w:szCs w:val="16"/>
              </w:rPr>
              <w:t xml:space="preserve">Objetivo 2. </w:t>
            </w:r>
            <w:r w:rsidRPr="00472C23">
              <w:rPr>
                <w:rFonts w:eastAsia="Calibri" w:cs="Calibri"/>
                <w:color w:val="595959"/>
                <w:sz w:val="16"/>
                <w:szCs w:val="16"/>
              </w:rPr>
              <w:t xml:space="preserve">Consolidar la Gestión para Resultados a través de su herramienta, el Presupuesto basado en Resultados, asegurando que el ciclo presupuestario se desarrolle de manera efectiva y que permita al gobierno mantener su estabilidad </w:t>
            </w:r>
            <w:r w:rsidRPr="00472C23">
              <w:rPr>
                <w:rFonts w:eastAsia="Calibri" w:cs="Calibri"/>
                <w:color w:val="595959"/>
                <w:sz w:val="16"/>
                <w:szCs w:val="16"/>
              </w:rPr>
              <w:lastRenderedPageBreak/>
              <w:t>económica y sustentabilidad de las finanzas públicas.</w:t>
            </w:r>
          </w:p>
        </w:tc>
        <w:tc>
          <w:tcPr>
            <w:tcW w:w="652" w:type="pct"/>
            <w:shd w:val="clear" w:color="auto" w:fill="FFFFFF" w:themeFill="background1"/>
            <w:tcMar>
              <w:top w:w="72" w:type="dxa"/>
              <w:left w:w="144" w:type="dxa"/>
              <w:bottom w:w="72" w:type="dxa"/>
              <w:right w:w="144" w:type="dxa"/>
            </w:tcMar>
            <w:vAlign w:val="center"/>
          </w:tcPr>
          <w:p w14:paraId="7146E429" w14:textId="1A4233C6" w:rsidR="00A800CF" w:rsidRPr="00F30FD1" w:rsidRDefault="00A800CF" w:rsidP="00CA2CB8">
            <w:pPr>
              <w:spacing w:after="0" w:line="240" w:lineRule="auto"/>
              <w:jc w:val="center"/>
              <w:rPr>
                <w:rFonts w:eastAsia="Calibri" w:cs="Calibri"/>
                <w:color w:val="595959"/>
                <w:sz w:val="16"/>
                <w:szCs w:val="16"/>
              </w:rPr>
            </w:pPr>
            <w:r w:rsidRPr="00A800CF">
              <w:rPr>
                <w:rFonts w:eastAsia="Calibri" w:cs="Calibri"/>
                <w:color w:val="595959"/>
                <w:sz w:val="16"/>
                <w:szCs w:val="16"/>
              </w:rPr>
              <w:lastRenderedPageBreak/>
              <w:t>Diagnóstico PbR-SED Sección Presupuestación</w:t>
            </w:r>
          </w:p>
        </w:tc>
        <w:tc>
          <w:tcPr>
            <w:tcW w:w="517" w:type="pct"/>
            <w:shd w:val="clear" w:color="auto" w:fill="FFFFFF" w:themeFill="background1"/>
            <w:tcMar>
              <w:top w:w="72" w:type="dxa"/>
              <w:left w:w="144" w:type="dxa"/>
              <w:bottom w:w="72" w:type="dxa"/>
              <w:right w:w="144" w:type="dxa"/>
            </w:tcMar>
            <w:vAlign w:val="center"/>
          </w:tcPr>
          <w:p w14:paraId="47ABED1C" w14:textId="65BC2E83" w:rsidR="00A800CF" w:rsidRPr="00F30FD1" w:rsidRDefault="00A800CF" w:rsidP="00CA2CB8">
            <w:pPr>
              <w:spacing w:after="0" w:line="240" w:lineRule="auto"/>
              <w:jc w:val="center"/>
              <w:rPr>
                <w:rFonts w:eastAsia="Calibri" w:cs="Calibri"/>
                <w:color w:val="595959"/>
                <w:sz w:val="16"/>
                <w:szCs w:val="16"/>
              </w:rPr>
            </w:pPr>
            <w:r w:rsidRPr="00A800CF">
              <w:rPr>
                <w:rFonts w:eastAsia="Calibri" w:cs="Calibri"/>
                <w:color w:val="595959"/>
                <w:sz w:val="16"/>
                <w:szCs w:val="16"/>
              </w:rPr>
              <w:t>Transparencia Presupuestaria (SHCP)</w:t>
            </w:r>
          </w:p>
        </w:tc>
        <w:tc>
          <w:tcPr>
            <w:tcW w:w="463" w:type="pct"/>
            <w:shd w:val="clear" w:color="auto" w:fill="FFFFFF" w:themeFill="background1"/>
            <w:tcMar>
              <w:top w:w="72" w:type="dxa"/>
              <w:left w:w="144" w:type="dxa"/>
              <w:bottom w:w="72" w:type="dxa"/>
              <w:right w:w="144" w:type="dxa"/>
            </w:tcMar>
            <w:vAlign w:val="center"/>
          </w:tcPr>
          <w:p w14:paraId="29B41A86" w14:textId="0B544140" w:rsidR="00A800CF" w:rsidRPr="00F30FD1" w:rsidRDefault="00A800CF" w:rsidP="00CA2CB8">
            <w:pPr>
              <w:spacing w:after="0" w:line="240" w:lineRule="auto"/>
              <w:jc w:val="center"/>
              <w:rPr>
                <w:rFonts w:eastAsia="Calibri" w:cs="Calibri"/>
                <w:color w:val="595959"/>
                <w:sz w:val="14"/>
                <w:szCs w:val="16"/>
              </w:rPr>
            </w:pPr>
            <w:r w:rsidRPr="00F30FD1">
              <w:rPr>
                <w:rFonts w:eastAsia="Calibri" w:cs="Calibri"/>
                <w:color w:val="595959"/>
                <w:sz w:val="14"/>
                <w:szCs w:val="16"/>
              </w:rPr>
              <w:t>Porcentaje</w:t>
            </w:r>
          </w:p>
        </w:tc>
        <w:tc>
          <w:tcPr>
            <w:tcW w:w="430" w:type="pct"/>
            <w:shd w:val="clear" w:color="auto" w:fill="FFFFFF" w:themeFill="background1"/>
            <w:tcMar>
              <w:top w:w="72" w:type="dxa"/>
              <w:left w:w="144" w:type="dxa"/>
              <w:bottom w:w="72" w:type="dxa"/>
              <w:right w:w="144" w:type="dxa"/>
            </w:tcMar>
            <w:vAlign w:val="center"/>
          </w:tcPr>
          <w:p w14:paraId="7153EA89" w14:textId="3A57F98F" w:rsidR="00A800CF" w:rsidRPr="00F30FD1" w:rsidRDefault="00A800CF" w:rsidP="00CA2CB8">
            <w:pPr>
              <w:spacing w:after="0" w:line="240" w:lineRule="auto"/>
              <w:jc w:val="center"/>
              <w:rPr>
                <w:rFonts w:eastAsia="Calibri" w:cs="Calibri"/>
                <w:color w:val="595959"/>
                <w:sz w:val="16"/>
                <w:szCs w:val="16"/>
              </w:rPr>
            </w:pPr>
            <w:r w:rsidRPr="00F30FD1">
              <w:rPr>
                <w:rFonts w:eastAsia="Calibri" w:cs="Calibri"/>
                <w:color w:val="595959"/>
                <w:sz w:val="16"/>
                <w:szCs w:val="16"/>
              </w:rPr>
              <w:t>2017</w:t>
            </w:r>
          </w:p>
        </w:tc>
        <w:tc>
          <w:tcPr>
            <w:tcW w:w="359" w:type="pct"/>
            <w:shd w:val="clear" w:color="auto" w:fill="FFFFFF" w:themeFill="background1"/>
            <w:tcMar>
              <w:top w:w="72" w:type="dxa"/>
              <w:left w:w="144" w:type="dxa"/>
              <w:bottom w:w="72" w:type="dxa"/>
              <w:right w:w="144" w:type="dxa"/>
            </w:tcMar>
            <w:vAlign w:val="center"/>
          </w:tcPr>
          <w:p w14:paraId="3B597059" w14:textId="1D37064B" w:rsidR="00A800CF" w:rsidRPr="00F30FD1" w:rsidRDefault="00A800CF" w:rsidP="00A800CF">
            <w:pPr>
              <w:spacing w:after="0" w:line="240" w:lineRule="auto"/>
              <w:jc w:val="center"/>
              <w:rPr>
                <w:rFonts w:eastAsia="Calibri" w:cs="Calibri"/>
                <w:color w:val="595959"/>
                <w:sz w:val="16"/>
                <w:szCs w:val="16"/>
              </w:rPr>
            </w:pPr>
            <w:r w:rsidRPr="00A800CF">
              <w:rPr>
                <w:rFonts w:eastAsia="Calibri" w:cs="Calibri"/>
                <w:color w:val="595959"/>
                <w:sz w:val="16"/>
                <w:szCs w:val="16"/>
              </w:rPr>
              <w:t>79.97</w:t>
            </w:r>
          </w:p>
        </w:tc>
        <w:tc>
          <w:tcPr>
            <w:tcW w:w="364" w:type="pct"/>
            <w:shd w:val="clear" w:color="auto" w:fill="FFFFFF" w:themeFill="background1"/>
            <w:tcMar>
              <w:top w:w="72" w:type="dxa"/>
              <w:left w:w="144" w:type="dxa"/>
              <w:bottom w:w="72" w:type="dxa"/>
              <w:right w:w="144" w:type="dxa"/>
            </w:tcMar>
            <w:vAlign w:val="center"/>
          </w:tcPr>
          <w:p w14:paraId="7137D36E" w14:textId="62F91BF3" w:rsidR="00A800CF" w:rsidRPr="00F30FD1" w:rsidRDefault="00A800CF" w:rsidP="00A800CF">
            <w:pPr>
              <w:spacing w:after="0" w:line="240" w:lineRule="auto"/>
              <w:jc w:val="center"/>
              <w:rPr>
                <w:rFonts w:eastAsia="Calibri" w:cs="Calibri"/>
                <w:color w:val="595959"/>
                <w:sz w:val="16"/>
                <w:szCs w:val="16"/>
              </w:rPr>
            </w:pPr>
            <w:r w:rsidRPr="00A800CF">
              <w:rPr>
                <w:rFonts w:eastAsia="Calibri" w:cs="Calibri"/>
                <w:color w:val="595959"/>
                <w:sz w:val="16"/>
                <w:szCs w:val="16"/>
              </w:rPr>
              <w:t>88.4</w:t>
            </w:r>
          </w:p>
        </w:tc>
        <w:tc>
          <w:tcPr>
            <w:tcW w:w="364" w:type="pct"/>
            <w:shd w:val="clear" w:color="auto" w:fill="FFFFFF" w:themeFill="background1"/>
            <w:tcMar>
              <w:top w:w="72" w:type="dxa"/>
              <w:left w:w="144" w:type="dxa"/>
              <w:bottom w:w="72" w:type="dxa"/>
              <w:right w:w="144" w:type="dxa"/>
            </w:tcMar>
            <w:vAlign w:val="center"/>
          </w:tcPr>
          <w:p w14:paraId="05B71FA5" w14:textId="09B215AB" w:rsidR="00A800CF" w:rsidRPr="00F30FD1" w:rsidRDefault="00A800CF" w:rsidP="00A800CF">
            <w:pPr>
              <w:spacing w:after="0" w:line="240" w:lineRule="auto"/>
              <w:jc w:val="center"/>
              <w:rPr>
                <w:rFonts w:eastAsia="Calibri" w:cs="Calibri"/>
                <w:color w:val="595959"/>
                <w:sz w:val="16"/>
                <w:szCs w:val="16"/>
              </w:rPr>
            </w:pPr>
            <w:r w:rsidRPr="00A800CF">
              <w:rPr>
                <w:rFonts w:eastAsia="Calibri" w:cs="Calibri"/>
                <w:color w:val="595959"/>
                <w:sz w:val="16"/>
                <w:szCs w:val="16"/>
              </w:rPr>
              <w:t>88.4</w:t>
            </w:r>
          </w:p>
        </w:tc>
        <w:tc>
          <w:tcPr>
            <w:tcW w:w="364" w:type="pct"/>
            <w:shd w:val="clear" w:color="auto" w:fill="FFFFFF" w:themeFill="background1"/>
            <w:tcMar>
              <w:top w:w="72" w:type="dxa"/>
              <w:left w:w="144" w:type="dxa"/>
              <w:bottom w:w="72" w:type="dxa"/>
              <w:right w:w="144" w:type="dxa"/>
            </w:tcMar>
            <w:vAlign w:val="center"/>
          </w:tcPr>
          <w:p w14:paraId="5D45BA02" w14:textId="0FF5F32D" w:rsidR="00A800CF" w:rsidRPr="00F30FD1" w:rsidRDefault="00A800CF" w:rsidP="00A800CF">
            <w:pPr>
              <w:spacing w:after="0" w:line="240" w:lineRule="auto"/>
              <w:jc w:val="center"/>
              <w:rPr>
                <w:rFonts w:eastAsia="Calibri" w:cs="Calibri"/>
                <w:color w:val="595959"/>
                <w:sz w:val="16"/>
                <w:szCs w:val="16"/>
              </w:rPr>
            </w:pPr>
            <w:r w:rsidRPr="00A800CF">
              <w:rPr>
                <w:rFonts w:eastAsia="Calibri" w:cs="Calibri"/>
                <w:color w:val="595959"/>
                <w:sz w:val="16"/>
                <w:szCs w:val="16"/>
              </w:rPr>
              <w:t>95</w:t>
            </w:r>
          </w:p>
        </w:tc>
        <w:tc>
          <w:tcPr>
            <w:tcW w:w="364" w:type="pct"/>
            <w:shd w:val="clear" w:color="auto" w:fill="FFFFFF" w:themeFill="background1"/>
            <w:tcMar>
              <w:top w:w="72" w:type="dxa"/>
              <w:left w:w="144" w:type="dxa"/>
              <w:bottom w:w="72" w:type="dxa"/>
              <w:right w:w="144" w:type="dxa"/>
            </w:tcMar>
            <w:vAlign w:val="center"/>
          </w:tcPr>
          <w:p w14:paraId="56FDB9FD" w14:textId="697EC5B5" w:rsidR="00A800CF" w:rsidRPr="00F30FD1" w:rsidRDefault="00A800CF" w:rsidP="00A800CF">
            <w:pPr>
              <w:spacing w:after="0" w:line="240" w:lineRule="auto"/>
              <w:jc w:val="center"/>
              <w:rPr>
                <w:rFonts w:eastAsia="Calibri" w:cs="Calibri"/>
                <w:color w:val="595959"/>
                <w:sz w:val="16"/>
                <w:szCs w:val="16"/>
              </w:rPr>
            </w:pPr>
            <w:r w:rsidRPr="00A800CF">
              <w:rPr>
                <w:rFonts w:eastAsia="Calibri" w:cs="Calibri"/>
                <w:color w:val="595959"/>
                <w:sz w:val="16"/>
                <w:szCs w:val="16"/>
              </w:rPr>
              <w:t>95</w:t>
            </w:r>
          </w:p>
        </w:tc>
        <w:tc>
          <w:tcPr>
            <w:tcW w:w="361" w:type="pct"/>
            <w:shd w:val="clear" w:color="auto" w:fill="FFFFFF" w:themeFill="background1"/>
            <w:tcMar>
              <w:top w:w="72" w:type="dxa"/>
              <w:left w:w="144" w:type="dxa"/>
              <w:bottom w:w="72" w:type="dxa"/>
              <w:right w:w="144" w:type="dxa"/>
            </w:tcMar>
            <w:vAlign w:val="center"/>
          </w:tcPr>
          <w:p w14:paraId="5ED501E4" w14:textId="3F73B215" w:rsidR="00A800CF" w:rsidRPr="00F30FD1" w:rsidRDefault="00A800CF" w:rsidP="00A800CF">
            <w:pPr>
              <w:spacing w:after="0" w:line="240" w:lineRule="auto"/>
              <w:jc w:val="center"/>
              <w:rPr>
                <w:rFonts w:eastAsia="Calibri" w:cs="Calibri"/>
                <w:color w:val="595959"/>
                <w:sz w:val="16"/>
                <w:szCs w:val="16"/>
              </w:rPr>
            </w:pPr>
            <w:r w:rsidRPr="00A800CF">
              <w:rPr>
                <w:rFonts w:eastAsia="Calibri" w:cs="Calibri"/>
                <w:color w:val="595959"/>
                <w:sz w:val="16"/>
                <w:szCs w:val="16"/>
              </w:rPr>
              <w:t>95</w:t>
            </w:r>
          </w:p>
        </w:tc>
      </w:tr>
      <w:tr w:rsidR="00CA2CB8" w:rsidRPr="00F30FD1" w14:paraId="6842514D" w14:textId="77777777" w:rsidTr="004E75FD">
        <w:trPr>
          <w:trHeight w:val="283"/>
          <w:jc w:val="center"/>
        </w:trPr>
        <w:tc>
          <w:tcPr>
            <w:tcW w:w="762" w:type="pct"/>
            <w:shd w:val="clear" w:color="auto" w:fill="FFFFFF" w:themeFill="background1"/>
            <w:tcMar>
              <w:top w:w="72" w:type="dxa"/>
              <w:left w:w="144" w:type="dxa"/>
              <w:bottom w:w="72" w:type="dxa"/>
              <w:right w:w="144" w:type="dxa"/>
            </w:tcMar>
            <w:vAlign w:val="center"/>
          </w:tcPr>
          <w:p w14:paraId="5CEF469D" w14:textId="52FFA87D"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lastRenderedPageBreak/>
              <w:t>Estrategia 2. Garantizar que las etapas del ciclo presupuestario se efectúen conforme a la metodología del Presupuesto basado en Resultados</w:t>
            </w:r>
          </w:p>
        </w:tc>
        <w:tc>
          <w:tcPr>
            <w:tcW w:w="652" w:type="pct"/>
            <w:shd w:val="clear" w:color="auto" w:fill="FFFFFF" w:themeFill="background1"/>
            <w:tcMar>
              <w:top w:w="72" w:type="dxa"/>
              <w:left w:w="144" w:type="dxa"/>
              <w:bottom w:w="72" w:type="dxa"/>
              <w:right w:w="144" w:type="dxa"/>
            </w:tcMar>
            <w:vAlign w:val="center"/>
          </w:tcPr>
          <w:p w14:paraId="6274E114" w14:textId="032375FA" w:rsidR="00CA2CB8" w:rsidRPr="00F30FD1" w:rsidRDefault="00CA2CB8" w:rsidP="00CA2CB8">
            <w:pPr>
              <w:rPr>
                <w:rFonts w:eastAsia="Calibri" w:cs="Calibri"/>
                <w:color w:val="595959"/>
                <w:sz w:val="16"/>
                <w:szCs w:val="16"/>
              </w:rPr>
            </w:pPr>
            <w:r w:rsidRPr="00F30FD1">
              <w:rPr>
                <w:rFonts w:eastAsia="Calibri" w:cs="Calibri"/>
                <w:color w:val="595959"/>
                <w:sz w:val="16"/>
                <w:szCs w:val="16"/>
              </w:rPr>
              <w:t>Posición Estatal en el Índice General de Avance en PbR-SED, Entidades</w:t>
            </w:r>
          </w:p>
        </w:tc>
        <w:tc>
          <w:tcPr>
            <w:tcW w:w="517" w:type="pct"/>
            <w:shd w:val="clear" w:color="auto" w:fill="FFFFFF" w:themeFill="background1"/>
            <w:tcMar>
              <w:top w:w="72" w:type="dxa"/>
              <w:left w:w="144" w:type="dxa"/>
              <w:bottom w:w="72" w:type="dxa"/>
              <w:right w:w="144" w:type="dxa"/>
            </w:tcMar>
            <w:vAlign w:val="center"/>
          </w:tcPr>
          <w:p w14:paraId="38EBB99F" w14:textId="6ABF6A99"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SHCP</w:t>
            </w:r>
          </w:p>
        </w:tc>
        <w:tc>
          <w:tcPr>
            <w:tcW w:w="463" w:type="pct"/>
            <w:shd w:val="clear" w:color="auto" w:fill="FFFFFF" w:themeFill="background1"/>
            <w:tcMar>
              <w:top w:w="72" w:type="dxa"/>
              <w:left w:w="144" w:type="dxa"/>
              <w:bottom w:w="72" w:type="dxa"/>
              <w:right w:w="144" w:type="dxa"/>
            </w:tcMar>
            <w:vAlign w:val="center"/>
          </w:tcPr>
          <w:p w14:paraId="463CDE2E" w14:textId="0453FF4C"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porcentaje</w:t>
            </w:r>
          </w:p>
        </w:tc>
        <w:tc>
          <w:tcPr>
            <w:tcW w:w="430" w:type="pct"/>
            <w:shd w:val="clear" w:color="auto" w:fill="FFFFFF" w:themeFill="background1"/>
            <w:tcMar>
              <w:top w:w="72" w:type="dxa"/>
              <w:left w:w="144" w:type="dxa"/>
              <w:bottom w:w="72" w:type="dxa"/>
              <w:right w:w="144" w:type="dxa"/>
            </w:tcMar>
            <w:vAlign w:val="center"/>
          </w:tcPr>
          <w:p w14:paraId="2575C6FA" w14:textId="77777777"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22</w:t>
            </w:r>
          </w:p>
          <w:p w14:paraId="1799C23E" w14:textId="325F196C"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(2016)</w:t>
            </w:r>
          </w:p>
        </w:tc>
        <w:tc>
          <w:tcPr>
            <w:tcW w:w="359" w:type="pct"/>
            <w:shd w:val="clear" w:color="auto" w:fill="FFFFFF" w:themeFill="background1"/>
            <w:tcMar>
              <w:top w:w="72" w:type="dxa"/>
              <w:left w:w="144" w:type="dxa"/>
              <w:bottom w:w="72" w:type="dxa"/>
              <w:right w:w="144" w:type="dxa"/>
            </w:tcMar>
            <w:vAlign w:val="center"/>
          </w:tcPr>
          <w:p w14:paraId="00BD7CA6" w14:textId="055F0B58"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22</w:t>
            </w:r>
          </w:p>
        </w:tc>
        <w:tc>
          <w:tcPr>
            <w:tcW w:w="364" w:type="pct"/>
            <w:shd w:val="clear" w:color="auto" w:fill="FFFFFF" w:themeFill="background1"/>
            <w:tcMar>
              <w:top w:w="72" w:type="dxa"/>
              <w:left w:w="144" w:type="dxa"/>
              <w:bottom w:w="72" w:type="dxa"/>
              <w:right w:w="144" w:type="dxa"/>
            </w:tcMar>
            <w:vAlign w:val="center"/>
          </w:tcPr>
          <w:p w14:paraId="0063A1A8" w14:textId="2A42F0E8"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15</w:t>
            </w:r>
          </w:p>
        </w:tc>
        <w:tc>
          <w:tcPr>
            <w:tcW w:w="364" w:type="pct"/>
            <w:shd w:val="clear" w:color="auto" w:fill="FFFFFF" w:themeFill="background1"/>
            <w:tcMar>
              <w:top w:w="72" w:type="dxa"/>
              <w:left w:w="144" w:type="dxa"/>
              <w:bottom w:w="72" w:type="dxa"/>
              <w:right w:w="144" w:type="dxa"/>
            </w:tcMar>
            <w:vAlign w:val="center"/>
          </w:tcPr>
          <w:p w14:paraId="093D6A1A" w14:textId="6520C820"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15</w:t>
            </w:r>
          </w:p>
        </w:tc>
        <w:tc>
          <w:tcPr>
            <w:tcW w:w="364" w:type="pct"/>
            <w:shd w:val="clear" w:color="auto" w:fill="FFFFFF" w:themeFill="background1"/>
            <w:tcMar>
              <w:top w:w="72" w:type="dxa"/>
              <w:left w:w="144" w:type="dxa"/>
              <w:bottom w:w="72" w:type="dxa"/>
              <w:right w:w="144" w:type="dxa"/>
            </w:tcMar>
            <w:vAlign w:val="center"/>
          </w:tcPr>
          <w:p w14:paraId="141C0BAD" w14:textId="35AA5748"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13</w:t>
            </w:r>
          </w:p>
        </w:tc>
        <w:tc>
          <w:tcPr>
            <w:tcW w:w="364" w:type="pct"/>
            <w:shd w:val="clear" w:color="auto" w:fill="FFFFFF" w:themeFill="background1"/>
            <w:tcMar>
              <w:top w:w="72" w:type="dxa"/>
              <w:left w:w="144" w:type="dxa"/>
              <w:bottom w:w="72" w:type="dxa"/>
              <w:right w:w="144" w:type="dxa"/>
            </w:tcMar>
            <w:vAlign w:val="center"/>
          </w:tcPr>
          <w:p w14:paraId="12F8979C" w14:textId="62E32EF5"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13</w:t>
            </w:r>
          </w:p>
        </w:tc>
        <w:tc>
          <w:tcPr>
            <w:tcW w:w="361" w:type="pct"/>
            <w:shd w:val="clear" w:color="auto" w:fill="FFFFFF" w:themeFill="background1"/>
            <w:tcMar>
              <w:top w:w="72" w:type="dxa"/>
              <w:left w:w="144" w:type="dxa"/>
              <w:bottom w:w="72" w:type="dxa"/>
              <w:right w:w="144" w:type="dxa"/>
            </w:tcMar>
            <w:vAlign w:val="center"/>
          </w:tcPr>
          <w:p w14:paraId="65DCF225" w14:textId="408D69FC" w:rsidR="00CA2CB8" w:rsidRPr="00F30FD1" w:rsidRDefault="00CA2CB8" w:rsidP="00CA2CB8">
            <w:pPr>
              <w:spacing w:after="0" w:line="240" w:lineRule="auto"/>
              <w:jc w:val="center"/>
              <w:rPr>
                <w:rFonts w:eastAsia="Calibri" w:cs="Calibri"/>
                <w:color w:val="595959"/>
                <w:sz w:val="16"/>
                <w:szCs w:val="16"/>
              </w:rPr>
            </w:pPr>
            <w:r w:rsidRPr="00F30FD1">
              <w:rPr>
                <w:rFonts w:eastAsia="Calibri" w:cs="Calibri"/>
                <w:color w:val="595959"/>
                <w:sz w:val="16"/>
                <w:szCs w:val="16"/>
              </w:rPr>
              <w:t>13</w:t>
            </w:r>
          </w:p>
        </w:tc>
      </w:tr>
      <w:tr w:rsidR="004E75FD" w:rsidRPr="00F30FD1" w14:paraId="6E2B0D7E" w14:textId="77777777" w:rsidTr="004E75FD">
        <w:trPr>
          <w:trHeight w:val="283"/>
          <w:jc w:val="center"/>
        </w:trPr>
        <w:tc>
          <w:tcPr>
            <w:tcW w:w="762" w:type="pct"/>
            <w:shd w:val="clear" w:color="auto" w:fill="FFFFFF" w:themeFill="background1"/>
            <w:tcMar>
              <w:top w:w="72" w:type="dxa"/>
              <w:left w:w="144" w:type="dxa"/>
              <w:bottom w:w="72" w:type="dxa"/>
              <w:right w:w="144" w:type="dxa"/>
            </w:tcMar>
            <w:vAlign w:val="center"/>
          </w:tcPr>
          <w:p w14:paraId="67A4ECFC" w14:textId="2CEC00D3" w:rsidR="004E75FD" w:rsidRPr="00F30FD1" w:rsidRDefault="004E75FD" w:rsidP="004E75FD">
            <w:pPr>
              <w:spacing w:after="0" w:line="240" w:lineRule="auto"/>
              <w:jc w:val="center"/>
              <w:rPr>
                <w:rFonts w:eastAsia="Calibri" w:cs="Calibri"/>
                <w:color w:val="595959"/>
                <w:sz w:val="16"/>
                <w:szCs w:val="16"/>
              </w:rPr>
            </w:pPr>
            <w:r w:rsidRPr="00F30FD1">
              <w:rPr>
                <w:rFonts w:eastAsia="Calibri" w:cs="Calibri"/>
                <w:color w:val="595959"/>
                <w:sz w:val="16"/>
                <w:szCs w:val="16"/>
              </w:rPr>
              <w:t>Objetivo 3. Brindar acompañamiento y atención a los inversionistas que detecten oportunidades de negocio en Quintana Roo; fungiendo como soporte para la vinculación con entes públicos y privados que abonen a la concreción de proyectos de inversión en la entidad</w:t>
            </w:r>
          </w:p>
        </w:tc>
        <w:tc>
          <w:tcPr>
            <w:tcW w:w="652" w:type="pct"/>
            <w:shd w:val="clear" w:color="auto" w:fill="FFFFFF" w:themeFill="background1"/>
            <w:tcMar>
              <w:top w:w="72" w:type="dxa"/>
              <w:left w:w="144" w:type="dxa"/>
              <w:bottom w:w="72" w:type="dxa"/>
              <w:right w:w="144" w:type="dxa"/>
            </w:tcMar>
            <w:vAlign w:val="center"/>
          </w:tcPr>
          <w:p w14:paraId="3D24726A" w14:textId="00DC036D" w:rsidR="004E75FD" w:rsidRPr="00F30FD1" w:rsidRDefault="006851C6" w:rsidP="004E75FD">
            <w:pPr>
              <w:spacing w:after="0" w:line="240" w:lineRule="auto"/>
              <w:jc w:val="center"/>
              <w:rPr>
                <w:rFonts w:eastAsia="Calibri" w:cs="Calibri"/>
                <w:color w:val="595959"/>
                <w:sz w:val="16"/>
                <w:szCs w:val="16"/>
              </w:rPr>
            </w:pPr>
            <w:r w:rsidRPr="00F30FD1">
              <w:rPr>
                <w:rFonts w:eastAsia="Calibri" w:cs="Calibri"/>
                <w:color w:val="595959"/>
                <w:sz w:val="16"/>
                <w:szCs w:val="16"/>
              </w:rPr>
              <w:t>Número de acciones Concretadas</w:t>
            </w:r>
          </w:p>
        </w:tc>
        <w:tc>
          <w:tcPr>
            <w:tcW w:w="517" w:type="pct"/>
            <w:shd w:val="clear" w:color="auto" w:fill="FFFFFF" w:themeFill="background1"/>
            <w:tcMar>
              <w:top w:w="72" w:type="dxa"/>
              <w:left w:w="144" w:type="dxa"/>
              <w:bottom w:w="72" w:type="dxa"/>
              <w:right w:w="144" w:type="dxa"/>
            </w:tcMar>
            <w:vAlign w:val="center"/>
          </w:tcPr>
          <w:p w14:paraId="3A461171" w14:textId="4BC48CCF" w:rsidR="004E75FD" w:rsidRPr="00F30FD1" w:rsidRDefault="006851C6" w:rsidP="004E75FD">
            <w:pPr>
              <w:spacing w:after="0" w:line="240" w:lineRule="auto"/>
              <w:jc w:val="center"/>
              <w:rPr>
                <w:rFonts w:eastAsia="Calibri" w:cs="Calibri"/>
                <w:color w:val="595959"/>
                <w:sz w:val="16"/>
                <w:szCs w:val="16"/>
              </w:rPr>
            </w:pPr>
            <w:r w:rsidRPr="00F30FD1">
              <w:rPr>
                <w:rFonts w:eastAsia="Calibri" w:cs="Calibri"/>
                <w:color w:val="595959"/>
                <w:sz w:val="16"/>
                <w:szCs w:val="16"/>
              </w:rPr>
              <w:t>IDEFN</w:t>
            </w:r>
          </w:p>
        </w:tc>
        <w:tc>
          <w:tcPr>
            <w:tcW w:w="463" w:type="pct"/>
            <w:shd w:val="clear" w:color="auto" w:fill="FFFFFF" w:themeFill="background1"/>
            <w:tcMar>
              <w:top w:w="72" w:type="dxa"/>
              <w:left w:w="144" w:type="dxa"/>
              <w:bottom w:w="72" w:type="dxa"/>
              <w:right w:w="144" w:type="dxa"/>
            </w:tcMar>
            <w:vAlign w:val="center"/>
          </w:tcPr>
          <w:p w14:paraId="2D17FA16" w14:textId="09CB645A" w:rsidR="004E75FD" w:rsidRPr="00F30FD1" w:rsidRDefault="006851C6" w:rsidP="006851C6">
            <w:pPr>
              <w:spacing w:after="0" w:line="240" w:lineRule="auto"/>
              <w:rPr>
                <w:rFonts w:eastAsia="Calibri" w:cs="Calibri"/>
                <w:color w:val="595959"/>
                <w:sz w:val="14"/>
                <w:szCs w:val="16"/>
              </w:rPr>
            </w:pPr>
            <w:r w:rsidRPr="00F30FD1">
              <w:rPr>
                <w:rFonts w:eastAsia="Calibri" w:cs="Calibri"/>
                <w:color w:val="595959"/>
                <w:sz w:val="14"/>
                <w:szCs w:val="16"/>
              </w:rPr>
              <w:t>Número de Proyectos</w:t>
            </w:r>
          </w:p>
        </w:tc>
        <w:tc>
          <w:tcPr>
            <w:tcW w:w="430" w:type="pct"/>
            <w:shd w:val="clear" w:color="auto" w:fill="FFFFFF" w:themeFill="background1"/>
            <w:tcMar>
              <w:top w:w="72" w:type="dxa"/>
              <w:left w:w="144" w:type="dxa"/>
              <w:bottom w:w="72" w:type="dxa"/>
              <w:right w:w="144" w:type="dxa"/>
            </w:tcMar>
            <w:vAlign w:val="center"/>
          </w:tcPr>
          <w:p w14:paraId="0BE1F643" w14:textId="6C725A6B" w:rsidR="004E75FD" w:rsidRPr="00F30FD1" w:rsidRDefault="006851C6" w:rsidP="004E75FD">
            <w:pPr>
              <w:spacing w:after="0" w:line="240" w:lineRule="auto"/>
              <w:jc w:val="center"/>
              <w:rPr>
                <w:rFonts w:eastAsia="Calibri" w:cs="Calibri"/>
                <w:color w:val="595959"/>
                <w:sz w:val="16"/>
                <w:szCs w:val="16"/>
              </w:rPr>
            </w:pPr>
            <w:r w:rsidRPr="00F30FD1">
              <w:rPr>
                <w:rFonts w:eastAsia="Calibri" w:cs="Calibri"/>
                <w:color w:val="595959"/>
                <w:sz w:val="16"/>
                <w:szCs w:val="16"/>
              </w:rPr>
              <w:t>0</w:t>
            </w:r>
          </w:p>
        </w:tc>
        <w:tc>
          <w:tcPr>
            <w:tcW w:w="359" w:type="pct"/>
            <w:shd w:val="clear" w:color="auto" w:fill="FFFFFF" w:themeFill="background1"/>
            <w:tcMar>
              <w:top w:w="72" w:type="dxa"/>
              <w:left w:w="144" w:type="dxa"/>
              <w:bottom w:w="72" w:type="dxa"/>
              <w:right w:w="144" w:type="dxa"/>
            </w:tcMar>
            <w:vAlign w:val="center"/>
          </w:tcPr>
          <w:p w14:paraId="76B11AC3" w14:textId="205DE72C" w:rsidR="004E75FD" w:rsidRPr="00F30FD1" w:rsidRDefault="006851C6" w:rsidP="004E75FD">
            <w:pPr>
              <w:spacing w:after="0" w:line="240" w:lineRule="auto"/>
              <w:jc w:val="center"/>
              <w:rPr>
                <w:rFonts w:eastAsia="Calibri" w:cs="Calibri"/>
                <w:color w:val="595959"/>
                <w:sz w:val="16"/>
                <w:szCs w:val="16"/>
              </w:rPr>
            </w:pPr>
            <w:r w:rsidRPr="00F30FD1">
              <w:rPr>
                <w:rFonts w:eastAsia="Calibri" w:cs="Calibri"/>
                <w:color w:val="595959"/>
                <w:sz w:val="16"/>
                <w:szCs w:val="16"/>
              </w:rPr>
              <w:t>0</w:t>
            </w:r>
          </w:p>
        </w:tc>
        <w:tc>
          <w:tcPr>
            <w:tcW w:w="364" w:type="pct"/>
            <w:shd w:val="clear" w:color="auto" w:fill="FFFFFF" w:themeFill="background1"/>
            <w:tcMar>
              <w:top w:w="72" w:type="dxa"/>
              <w:left w:w="144" w:type="dxa"/>
              <w:bottom w:w="72" w:type="dxa"/>
              <w:right w:w="144" w:type="dxa"/>
            </w:tcMar>
            <w:vAlign w:val="center"/>
          </w:tcPr>
          <w:p w14:paraId="035CB46A" w14:textId="7C1F1CE6" w:rsidR="004E75FD" w:rsidRPr="00F30FD1" w:rsidRDefault="006851C6" w:rsidP="004E75FD">
            <w:pPr>
              <w:spacing w:after="0" w:line="240" w:lineRule="auto"/>
              <w:jc w:val="center"/>
              <w:rPr>
                <w:rFonts w:eastAsia="Calibri" w:cs="Calibri"/>
                <w:color w:val="595959"/>
                <w:sz w:val="16"/>
                <w:szCs w:val="16"/>
              </w:rPr>
            </w:pPr>
            <w:r w:rsidRPr="00F30FD1">
              <w:rPr>
                <w:rFonts w:eastAsia="Calibri" w:cs="Calibri"/>
                <w:color w:val="595959"/>
                <w:sz w:val="16"/>
                <w:szCs w:val="16"/>
              </w:rPr>
              <w:t>2</w:t>
            </w:r>
          </w:p>
        </w:tc>
        <w:tc>
          <w:tcPr>
            <w:tcW w:w="364" w:type="pct"/>
            <w:shd w:val="clear" w:color="auto" w:fill="FFFFFF" w:themeFill="background1"/>
            <w:tcMar>
              <w:top w:w="72" w:type="dxa"/>
              <w:left w:w="144" w:type="dxa"/>
              <w:bottom w:w="72" w:type="dxa"/>
              <w:right w:w="144" w:type="dxa"/>
            </w:tcMar>
            <w:vAlign w:val="center"/>
          </w:tcPr>
          <w:p w14:paraId="1681E681" w14:textId="53863ED8" w:rsidR="004E75FD" w:rsidRPr="00F30FD1" w:rsidRDefault="006851C6" w:rsidP="004E75FD">
            <w:pPr>
              <w:spacing w:after="0" w:line="240" w:lineRule="auto"/>
              <w:jc w:val="center"/>
              <w:rPr>
                <w:rFonts w:eastAsia="Calibri" w:cs="Calibri"/>
                <w:color w:val="595959"/>
                <w:sz w:val="16"/>
                <w:szCs w:val="16"/>
              </w:rPr>
            </w:pPr>
            <w:r w:rsidRPr="00F30FD1">
              <w:rPr>
                <w:rFonts w:eastAsia="Calibri" w:cs="Calibri"/>
                <w:color w:val="595959"/>
                <w:sz w:val="16"/>
                <w:szCs w:val="16"/>
              </w:rPr>
              <w:t>1</w:t>
            </w:r>
          </w:p>
        </w:tc>
        <w:tc>
          <w:tcPr>
            <w:tcW w:w="364" w:type="pct"/>
            <w:shd w:val="clear" w:color="auto" w:fill="FFFFFF" w:themeFill="background1"/>
            <w:tcMar>
              <w:top w:w="72" w:type="dxa"/>
              <w:left w:w="144" w:type="dxa"/>
              <w:bottom w:w="72" w:type="dxa"/>
              <w:right w:w="144" w:type="dxa"/>
            </w:tcMar>
            <w:vAlign w:val="center"/>
          </w:tcPr>
          <w:p w14:paraId="1074ABD9" w14:textId="642B8E3C" w:rsidR="004E75FD" w:rsidRPr="00F30FD1" w:rsidRDefault="006851C6" w:rsidP="004E75FD">
            <w:pPr>
              <w:spacing w:after="0" w:line="240" w:lineRule="auto"/>
              <w:jc w:val="center"/>
              <w:rPr>
                <w:rFonts w:eastAsia="Calibri" w:cs="Calibri"/>
                <w:color w:val="595959"/>
                <w:sz w:val="16"/>
                <w:szCs w:val="16"/>
              </w:rPr>
            </w:pPr>
            <w:r w:rsidRPr="00F30FD1">
              <w:rPr>
                <w:rFonts w:eastAsia="Calibri" w:cs="Calibri"/>
                <w:color w:val="595959"/>
                <w:sz w:val="16"/>
                <w:szCs w:val="16"/>
              </w:rPr>
              <w:t>5</w:t>
            </w:r>
          </w:p>
        </w:tc>
        <w:tc>
          <w:tcPr>
            <w:tcW w:w="364" w:type="pct"/>
            <w:shd w:val="clear" w:color="auto" w:fill="FFFFFF" w:themeFill="background1"/>
            <w:tcMar>
              <w:top w:w="72" w:type="dxa"/>
              <w:left w:w="144" w:type="dxa"/>
              <w:bottom w:w="72" w:type="dxa"/>
              <w:right w:w="144" w:type="dxa"/>
            </w:tcMar>
            <w:vAlign w:val="center"/>
          </w:tcPr>
          <w:p w14:paraId="66F15429" w14:textId="235A615E" w:rsidR="004E75FD" w:rsidRPr="00F30FD1" w:rsidRDefault="006851C6" w:rsidP="004E75FD">
            <w:pPr>
              <w:spacing w:after="0" w:line="240" w:lineRule="auto"/>
              <w:jc w:val="center"/>
              <w:rPr>
                <w:rFonts w:eastAsia="Calibri" w:cs="Calibri"/>
                <w:color w:val="595959"/>
                <w:sz w:val="16"/>
                <w:szCs w:val="16"/>
              </w:rPr>
            </w:pPr>
            <w:r w:rsidRPr="00F30FD1">
              <w:rPr>
                <w:rFonts w:eastAsia="Calibri" w:cs="Calibri"/>
                <w:color w:val="595959"/>
                <w:sz w:val="16"/>
                <w:szCs w:val="16"/>
              </w:rPr>
              <w:t>5</w:t>
            </w:r>
          </w:p>
        </w:tc>
        <w:tc>
          <w:tcPr>
            <w:tcW w:w="361" w:type="pct"/>
            <w:shd w:val="clear" w:color="auto" w:fill="FFFFFF" w:themeFill="background1"/>
            <w:tcMar>
              <w:top w:w="72" w:type="dxa"/>
              <w:left w:w="144" w:type="dxa"/>
              <w:bottom w:w="72" w:type="dxa"/>
              <w:right w:w="144" w:type="dxa"/>
            </w:tcMar>
            <w:vAlign w:val="center"/>
          </w:tcPr>
          <w:p w14:paraId="533688CD" w14:textId="489F2089" w:rsidR="004E75FD" w:rsidRPr="00F30FD1" w:rsidRDefault="006851C6" w:rsidP="004E75FD">
            <w:pPr>
              <w:spacing w:after="0" w:line="240" w:lineRule="auto"/>
              <w:jc w:val="center"/>
              <w:rPr>
                <w:rFonts w:eastAsia="Calibri" w:cs="Calibri"/>
                <w:color w:val="595959"/>
                <w:sz w:val="16"/>
                <w:szCs w:val="16"/>
              </w:rPr>
            </w:pPr>
            <w:r w:rsidRPr="00F30FD1">
              <w:rPr>
                <w:rFonts w:eastAsia="Calibri" w:cs="Calibri"/>
                <w:color w:val="595959"/>
                <w:sz w:val="16"/>
                <w:szCs w:val="16"/>
              </w:rPr>
              <w:t>3</w:t>
            </w:r>
          </w:p>
        </w:tc>
      </w:tr>
      <w:tr w:rsidR="00204F48" w:rsidRPr="00F30FD1" w14:paraId="6B365BF2" w14:textId="77777777" w:rsidTr="004E75FD">
        <w:trPr>
          <w:trHeight w:val="283"/>
          <w:jc w:val="center"/>
        </w:trPr>
        <w:tc>
          <w:tcPr>
            <w:tcW w:w="762" w:type="pct"/>
            <w:shd w:val="clear" w:color="auto" w:fill="FFFFFF" w:themeFill="background1"/>
            <w:tcMar>
              <w:top w:w="72" w:type="dxa"/>
              <w:left w:w="144" w:type="dxa"/>
              <w:bottom w:w="72" w:type="dxa"/>
              <w:right w:w="144" w:type="dxa"/>
            </w:tcMar>
            <w:vAlign w:val="center"/>
          </w:tcPr>
          <w:p w14:paraId="287A09D9" w14:textId="2EB5955F" w:rsidR="00204F48" w:rsidRPr="00F30FD1" w:rsidRDefault="00204F48" w:rsidP="004E75FD">
            <w:pPr>
              <w:spacing w:after="0" w:line="240" w:lineRule="auto"/>
              <w:jc w:val="center"/>
              <w:rPr>
                <w:rFonts w:eastAsia="Calibri" w:cs="Calibri"/>
                <w:color w:val="595959"/>
                <w:sz w:val="16"/>
                <w:szCs w:val="16"/>
              </w:rPr>
            </w:pPr>
            <w:r w:rsidRPr="00F30FD1">
              <w:rPr>
                <w:rFonts w:eastAsia="Calibri" w:cs="Calibri"/>
                <w:color w:val="595959"/>
                <w:sz w:val="16"/>
                <w:szCs w:val="16"/>
              </w:rPr>
              <w:t xml:space="preserve">Estrategia 3. </w:t>
            </w:r>
            <w:r w:rsidR="002C2433" w:rsidRPr="00F30FD1">
              <w:rPr>
                <w:rFonts w:eastAsia="Calibri" w:cs="Calibri"/>
                <w:color w:val="595959"/>
                <w:sz w:val="16"/>
                <w:szCs w:val="16"/>
              </w:rPr>
              <w:t>Crear estrategias de promoción, comunicación y difusión que fomenten la atracción de capitales e inversión a la entidad</w:t>
            </w:r>
            <w:r w:rsidRPr="00F30FD1">
              <w:rPr>
                <w:rFonts w:eastAsia="Calibri" w:cs="Calibri"/>
                <w:color w:val="595959"/>
                <w:sz w:val="16"/>
                <w:szCs w:val="16"/>
              </w:rPr>
              <w:t>.</w:t>
            </w:r>
          </w:p>
        </w:tc>
        <w:tc>
          <w:tcPr>
            <w:tcW w:w="652" w:type="pct"/>
            <w:shd w:val="clear" w:color="auto" w:fill="FFFFFF" w:themeFill="background1"/>
            <w:tcMar>
              <w:top w:w="72" w:type="dxa"/>
              <w:left w:w="144" w:type="dxa"/>
              <w:bottom w:w="72" w:type="dxa"/>
              <w:right w:w="144" w:type="dxa"/>
            </w:tcMar>
            <w:vAlign w:val="center"/>
          </w:tcPr>
          <w:p w14:paraId="5B245E91" w14:textId="77777777" w:rsidR="00204F48" w:rsidRPr="00F30FD1" w:rsidRDefault="00204F48" w:rsidP="00204F48">
            <w:pPr>
              <w:spacing w:after="0" w:line="240" w:lineRule="auto"/>
              <w:rPr>
                <w:rFonts w:eastAsia="Calibri" w:cs="Calibri"/>
                <w:color w:val="595959"/>
                <w:sz w:val="16"/>
                <w:szCs w:val="16"/>
              </w:rPr>
            </w:pPr>
            <w:r w:rsidRPr="00F30FD1">
              <w:rPr>
                <w:rFonts w:eastAsia="Calibri" w:cs="Calibri"/>
                <w:color w:val="595959"/>
                <w:sz w:val="16"/>
                <w:szCs w:val="16"/>
              </w:rPr>
              <w:t>Personas impactadas</w:t>
            </w:r>
          </w:p>
          <w:p w14:paraId="6CD892CF" w14:textId="16E138AF" w:rsidR="00204F48" w:rsidRPr="00F30FD1" w:rsidRDefault="00204F48" w:rsidP="004E75FD">
            <w:pPr>
              <w:spacing w:after="0" w:line="240" w:lineRule="auto"/>
              <w:jc w:val="center"/>
              <w:rPr>
                <w:rFonts w:eastAsia="Calibri" w:cs="Calibri"/>
                <w:color w:val="595959"/>
                <w:sz w:val="16"/>
                <w:szCs w:val="16"/>
              </w:rPr>
            </w:pPr>
          </w:p>
        </w:tc>
        <w:tc>
          <w:tcPr>
            <w:tcW w:w="517" w:type="pct"/>
            <w:shd w:val="clear" w:color="auto" w:fill="FFFFFF" w:themeFill="background1"/>
            <w:tcMar>
              <w:top w:w="72" w:type="dxa"/>
              <w:left w:w="144" w:type="dxa"/>
              <w:bottom w:w="72" w:type="dxa"/>
              <w:right w:w="144" w:type="dxa"/>
            </w:tcMar>
            <w:vAlign w:val="center"/>
          </w:tcPr>
          <w:p w14:paraId="4B850C41" w14:textId="25D831E4" w:rsidR="00204F48" w:rsidRPr="00F30FD1" w:rsidRDefault="00204F48" w:rsidP="004E75FD">
            <w:pPr>
              <w:spacing w:after="0" w:line="240" w:lineRule="auto"/>
              <w:jc w:val="center"/>
              <w:rPr>
                <w:rFonts w:eastAsia="Calibri" w:cs="Calibri"/>
                <w:color w:val="595959"/>
                <w:sz w:val="16"/>
                <w:szCs w:val="16"/>
              </w:rPr>
            </w:pPr>
            <w:r w:rsidRPr="00F30FD1">
              <w:rPr>
                <w:rFonts w:eastAsia="Calibri" w:cs="Calibri"/>
                <w:color w:val="595959"/>
                <w:sz w:val="16"/>
                <w:szCs w:val="16"/>
              </w:rPr>
              <w:t>IDEFIN</w:t>
            </w:r>
          </w:p>
        </w:tc>
        <w:tc>
          <w:tcPr>
            <w:tcW w:w="463" w:type="pct"/>
            <w:shd w:val="clear" w:color="auto" w:fill="FFFFFF" w:themeFill="background1"/>
            <w:tcMar>
              <w:top w:w="72" w:type="dxa"/>
              <w:left w:w="144" w:type="dxa"/>
              <w:bottom w:w="72" w:type="dxa"/>
              <w:right w:w="144" w:type="dxa"/>
            </w:tcMar>
            <w:vAlign w:val="center"/>
          </w:tcPr>
          <w:p w14:paraId="4A33F999" w14:textId="55825887" w:rsidR="00204F48" w:rsidRPr="00F30FD1" w:rsidRDefault="00204F48" w:rsidP="004E75FD">
            <w:pPr>
              <w:spacing w:after="0" w:line="240" w:lineRule="auto"/>
              <w:jc w:val="center"/>
              <w:rPr>
                <w:rFonts w:eastAsia="Calibri" w:cs="Calibri"/>
                <w:color w:val="595959"/>
                <w:sz w:val="16"/>
                <w:szCs w:val="16"/>
              </w:rPr>
            </w:pPr>
            <w:r w:rsidRPr="00F30FD1">
              <w:rPr>
                <w:rFonts w:eastAsia="Calibri" w:cs="Calibri"/>
                <w:color w:val="595959"/>
                <w:sz w:val="14"/>
                <w:szCs w:val="16"/>
              </w:rPr>
              <w:t>Personas impactadas</w:t>
            </w:r>
          </w:p>
        </w:tc>
        <w:tc>
          <w:tcPr>
            <w:tcW w:w="430" w:type="pct"/>
            <w:shd w:val="clear" w:color="auto" w:fill="FFFFFF" w:themeFill="background1"/>
            <w:tcMar>
              <w:top w:w="72" w:type="dxa"/>
              <w:left w:w="144" w:type="dxa"/>
              <w:bottom w:w="72" w:type="dxa"/>
              <w:right w:w="144" w:type="dxa"/>
            </w:tcMar>
            <w:vAlign w:val="center"/>
          </w:tcPr>
          <w:p w14:paraId="46FB3035" w14:textId="67967375" w:rsidR="00204F48" w:rsidRPr="00F30FD1" w:rsidRDefault="00204F48" w:rsidP="004E75FD">
            <w:pPr>
              <w:spacing w:after="0" w:line="240" w:lineRule="auto"/>
              <w:jc w:val="center"/>
              <w:rPr>
                <w:rFonts w:eastAsia="Calibri" w:cs="Calibri"/>
                <w:color w:val="595959"/>
                <w:sz w:val="16"/>
                <w:szCs w:val="16"/>
              </w:rPr>
            </w:pPr>
            <w:r w:rsidRPr="00F30FD1">
              <w:rPr>
                <w:rFonts w:eastAsia="Calibri" w:cs="Calibri"/>
                <w:color w:val="595959"/>
                <w:sz w:val="16"/>
                <w:szCs w:val="16"/>
              </w:rPr>
              <w:t>0</w:t>
            </w:r>
          </w:p>
        </w:tc>
        <w:tc>
          <w:tcPr>
            <w:tcW w:w="359" w:type="pct"/>
            <w:shd w:val="clear" w:color="auto" w:fill="FFFFFF" w:themeFill="background1"/>
            <w:tcMar>
              <w:top w:w="72" w:type="dxa"/>
              <w:left w:w="144" w:type="dxa"/>
              <w:bottom w:w="72" w:type="dxa"/>
              <w:right w:w="144" w:type="dxa"/>
            </w:tcMar>
            <w:vAlign w:val="center"/>
          </w:tcPr>
          <w:p w14:paraId="2D7541FD" w14:textId="3145F223" w:rsidR="00204F48" w:rsidRPr="00F30FD1" w:rsidRDefault="00204F48" w:rsidP="004E75FD">
            <w:pPr>
              <w:spacing w:after="0" w:line="240" w:lineRule="auto"/>
              <w:jc w:val="center"/>
              <w:rPr>
                <w:rFonts w:eastAsia="Calibri" w:cs="Calibri"/>
                <w:color w:val="595959"/>
                <w:sz w:val="16"/>
                <w:szCs w:val="16"/>
              </w:rPr>
            </w:pPr>
            <w:r w:rsidRPr="00F30FD1">
              <w:rPr>
                <w:rFonts w:eastAsia="Calibri" w:cs="Calibri"/>
                <w:color w:val="595959"/>
                <w:sz w:val="16"/>
                <w:szCs w:val="16"/>
              </w:rPr>
              <w:t>2017</w:t>
            </w:r>
          </w:p>
        </w:tc>
        <w:tc>
          <w:tcPr>
            <w:tcW w:w="364" w:type="pct"/>
            <w:shd w:val="clear" w:color="auto" w:fill="FFFFFF" w:themeFill="background1"/>
            <w:tcMar>
              <w:top w:w="72" w:type="dxa"/>
              <w:left w:w="144" w:type="dxa"/>
              <w:bottom w:w="72" w:type="dxa"/>
              <w:right w:w="144" w:type="dxa"/>
            </w:tcMar>
            <w:vAlign w:val="center"/>
          </w:tcPr>
          <w:p w14:paraId="06714D7F" w14:textId="7E41FCA3" w:rsidR="00204F48" w:rsidRPr="00F30FD1" w:rsidRDefault="00204F48" w:rsidP="004E75FD">
            <w:pPr>
              <w:spacing w:after="0" w:line="240" w:lineRule="auto"/>
              <w:jc w:val="center"/>
              <w:rPr>
                <w:rFonts w:eastAsia="Calibri" w:cs="Calibri"/>
                <w:color w:val="595959"/>
                <w:sz w:val="16"/>
                <w:szCs w:val="16"/>
              </w:rPr>
            </w:pPr>
            <w:r w:rsidRPr="00F30FD1">
              <w:rPr>
                <w:rFonts w:eastAsia="Calibri" w:cs="Calibri"/>
                <w:color w:val="595959"/>
                <w:sz w:val="16"/>
                <w:szCs w:val="16"/>
              </w:rPr>
              <w:t>800</w:t>
            </w:r>
          </w:p>
        </w:tc>
        <w:tc>
          <w:tcPr>
            <w:tcW w:w="364" w:type="pct"/>
            <w:shd w:val="clear" w:color="auto" w:fill="FFFFFF" w:themeFill="background1"/>
            <w:tcMar>
              <w:top w:w="72" w:type="dxa"/>
              <w:left w:w="144" w:type="dxa"/>
              <w:bottom w:w="72" w:type="dxa"/>
              <w:right w:w="144" w:type="dxa"/>
            </w:tcMar>
            <w:vAlign w:val="center"/>
          </w:tcPr>
          <w:p w14:paraId="43B6B8A9" w14:textId="093ED7BE" w:rsidR="00204F48" w:rsidRPr="00F30FD1" w:rsidRDefault="008B0E27" w:rsidP="004E75FD">
            <w:pPr>
              <w:spacing w:after="0" w:line="240" w:lineRule="auto"/>
              <w:jc w:val="center"/>
              <w:rPr>
                <w:rFonts w:eastAsia="Calibri" w:cs="Calibri"/>
                <w:color w:val="595959"/>
                <w:sz w:val="16"/>
                <w:szCs w:val="16"/>
              </w:rPr>
            </w:pPr>
            <w:r w:rsidRPr="00F30FD1">
              <w:rPr>
                <w:rFonts w:eastAsia="Calibri" w:cs="Calibri"/>
                <w:color w:val="595959"/>
                <w:sz w:val="16"/>
                <w:szCs w:val="16"/>
              </w:rPr>
              <w:t>800</w:t>
            </w:r>
          </w:p>
        </w:tc>
        <w:tc>
          <w:tcPr>
            <w:tcW w:w="364" w:type="pct"/>
            <w:shd w:val="clear" w:color="auto" w:fill="FFFFFF" w:themeFill="background1"/>
            <w:tcMar>
              <w:top w:w="72" w:type="dxa"/>
              <w:left w:w="144" w:type="dxa"/>
              <w:bottom w:w="72" w:type="dxa"/>
              <w:right w:w="144" w:type="dxa"/>
            </w:tcMar>
            <w:vAlign w:val="center"/>
          </w:tcPr>
          <w:p w14:paraId="53D6F5B9" w14:textId="4290624C" w:rsidR="00204F48" w:rsidRPr="00F30FD1" w:rsidRDefault="00204F48" w:rsidP="004E75FD">
            <w:pPr>
              <w:spacing w:after="0" w:line="240" w:lineRule="auto"/>
              <w:jc w:val="center"/>
              <w:rPr>
                <w:rFonts w:eastAsia="Calibri" w:cs="Calibri"/>
                <w:color w:val="595959"/>
                <w:sz w:val="16"/>
                <w:szCs w:val="16"/>
              </w:rPr>
            </w:pPr>
            <w:r w:rsidRPr="00F30FD1">
              <w:rPr>
                <w:rFonts w:eastAsia="Calibri" w:cs="Calibri"/>
                <w:color w:val="595959"/>
                <w:sz w:val="16"/>
                <w:szCs w:val="16"/>
              </w:rPr>
              <w:t>1200</w:t>
            </w:r>
          </w:p>
        </w:tc>
        <w:tc>
          <w:tcPr>
            <w:tcW w:w="364" w:type="pct"/>
            <w:shd w:val="clear" w:color="auto" w:fill="FFFFFF" w:themeFill="background1"/>
            <w:tcMar>
              <w:top w:w="72" w:type="dxa"/>
              <w:left w:w="144" w:type="dxa"/>
              <w:bottom w:w="72" w:type="dxa"/>
              <w:right w:w="144" w:type="dxa"/>
            </w:tcMar>
            <w:vAlign w:val="center"/>
          </w:tcPr>
          <w:p w14:paraId="789D9B3C" w14:textId="0335E509" w:rsidR="00204F48" w:rsidRPr="00F30FD1" w:rsidRDefault="00204F48" w:rsidP="004E75FD">
            <w:pPr>
              <w:spacing w:after="0" w:line="240" w:lineRule="auto"/>
              <w:jc w:val="center"/>
              <w:rPr>
                <w:rFonts w:eastAsia="Calibri" w:cs="Calibri"/>
                <w:color w:val="595959"/>
                <w:sz w:val="16"/>
                <w:szCs w:val="16"/>
              </w:rPr>
            </w:pPr>
            <w:r w:rsidRPr="00F30FD1">
              <w:rPr>
                <w:rFonts w:eastAsia="Calibri" w:cs="Calibri"/>
                <w:color w:val="595959"/>
                <w:sz w:val="16"/>
                <w:szCs w:val="16"/>
              </w:rPr>
              <w:t>1200</w:t>
            </w:r>
          </w:p>
        </w:tc>
        <w:tc>
          <w:tcPr>
            <w:tcW w:w="361" w:type="pct"/>
            <w:shd w:val="clear" w:color="auto" w:fill="FFFFFF" w:themeFill="background1"/>
            <w:tcMar>
              <w:top w:w="72" w:type="dxa"/>
              <w:left w:w="144" w:type="dxa"/>
              <w:bottom w:w="72" w:type="dxa"/>
              <w:right w:w="144" w:type="dxa"/>
            </w:tcMar>
            <w:vAlign w:val="center"/>
          </w:tcPr>
          <w:p w14:paraId="5159559D" w14:textId="2DDE0C0A" w:rsidR="00204F48" w:rsidRPr="00F30FD1" w:rsidRDefault="00204F48" w:rsidP="004E75FD">
            <w:pPr>
              <w:spacing w:after="0" w:line="240" w:lineRule="auto"/>
              <w:jc w:val="center"/>
              <w:rPr>
                <w:rFonts w:eastAsia="Calibri" w:cs="Calibri"/>
                <w:color w:val="595959"/>
                <w:sz w:val="16"/>
                <w:szCs w:val="16"/>
              </w:rPr>
            </w:pPr>
            <w:r w:rsidRPr="00F30FD1">
              <w:rPr>
                <w:rFonts w:eastAsia="Calibri" w:cs="Calibri"/>
                <w:color w:val="595959"/>
                <w:sz w:val="16"/>
                <w:szCs w:val="16"/>
              </w:rPr>
              <w:t>700</w:t>
            </w:r>
          </w:p>
        </w:tc>
      </w:tr>
    </w:tbl>
    <w:p w14:paraId="7662861F" w14:textId="77777777" w:rsidR="00E668AF" w:rsidRPr="00F30FD1" w:rsidRDefault="00E668AF" w:rsidP="00E668AF">
      <w:pPr>
        <w:pStyle w:val="Textonotapie"/>
      </w:pPr>
    </w:p>
    <w:p w14:paraId="52641AF0" w14:textId="77777777" w:rsidR="00C2741A" w:rsidRPr="00F30FD1" w:rsidRDefault="00C2741A">
      <w:pPr>
        <w:spacing w:after="0" w:line="240" w:lineRule="auto"/>
        <w:jc w:val="left"/>
        <w:rPr>
          <w:rFonts w:eastAsia="Times New Roman" w:cs="Futura"/>
          <w:color w:val="595959"/>
          <w:lang w:val="es-MX"/>
        </w:rPr>
      </w:pPr>
      <w:r w:rsidRPr="00F30FD1">
        <w:rPr>
          <w:rFonts w:eastAsia="Times New Roman" w:cs="Futura"/>
          <w:color w:val="595959"/>
        </w:rPr>
        <w:br w:type="page"/>
      </w:r>
    </w:p>
    <w:p w14:paraId="656A59F4" w14:textId="77777777" w:rsidR="0069403A" w:rsidRPr="00F30FD1" w:rsidRDefault="0069403A" w:rsidP="0069403A">
      <w:pPr>
        <w:pStyle w:val="Ttulo1"/>
      </w:pPr>
    </w:p>
    <w:p w14:paraId="3C09CDA4" w14:textId="77777777" w:rsidR="0069403A" w:rsidRPr="00F30FD1" w:rsidRDefault="0069403A" w:rsidP="0069403A">
      <w:pPr>
        <w:pStyle w:val="Ttulo"/>
      </w:pPr>
    </w:p>
    <w:p w14:paraId="5F22EAE9" w14:textId="77777777" w:rsidR="0069403A" w:rsidRPr="00F30FD1" w:rsidRDefault="0069403A" w:rsidP="0069403A">
      <w:pPr>
        <w:pStyle w:val="Ttulo"/>
      </w:pPr>
    </w:p>
    <w:p w14:paraId="599AE0C8" w14:textId="77777777" w:rsidR="0069403A" w:rsidRPr="00F30FD1" w:rsidRDefault="0069403A" w:rsidP="0069403A">
      <w:pPr>
        <w:pStyle w:val="Ttulo"/>
      </w:pPr>
    </w:p>
    <w:p w14:paraId="25AE4754" w14:textId="77777777" w:rsidR="0069403A" w:rsidRPr="00F30FD1" w:rsidRDefault="0069403A" w:rsidP="0069403A">
      <w:pPr>
        <w:pStyle w:val="Ttulo"/>
      </w:pPr>
    </w:p>
    <w:p w14:paraId="29F31FDC" w14:textId="77777777" w:rsidR="0069403A" w:rsidRPr="00F30FD1" w:rsidRDefault="0069403A" w:rsidP="0069403A">
      <w:pPr>
        <w:pStyle w:val="Ttulo"/>
        <w:rPr>
          <w:color w:val="4BACC6"/>
        </w:rPr>
      </w:pPr>
      <w:r w:rsidRPr="00F30FD1">
        <w:rPr>
          <w:color w:val="4BACC6"/>
        </w:rPr>
        <w:t xml:space="preserve">MECANISMOS DE FINANCIAMIENTO </w:t>
      </w:r>
    </w:p>
    <w:p w14:paraId="6F19F331" w14:textId="77777777" w:rsidR="0069403A" w:rsidRPr="00F30FD1" w:rsidRDefault="0069403A" w:rsidP="0069403A">
      <w:pPr>
        <w:pStyle w:val="Ttulo"/>
        <w:rPr>
          <w:color w:val="4BACC6"/>
        </w:rPr>
      </w:pPr>
    </w:p>
    <w:p w14:paraId="51938873" w14:textId="77777777" w:rsidR="0069403A" w:rsidRPr="00F30FD1" w:rsidRDefault="0069403A">
      <w:pPr>
        <w:spacing w:after="0" w:line="240" w:lineRule="auto"/>
        <w:jc w:val="left"/>
        <w:rPr>
          <w:rFonts w:eastAsia="Times New Roman" w:cs="Times New Roman"/>
          <w:b/>
          <w:bCs/>
          <w:caps/>
          <w:color w:val="4BACC6"/>
          <w:sz w:val="32"/>
          <w:szCs w:val="28"/>
          <w:lang w:val="es-MX" w:eastAsia="en-US"/>
        </w:rPr>
      </w:pPr>
      <w:r w:rsidRPr="00F30FD1">
        <w:rPr>
          <w:color w:val="4BACC6"/>
        </w:rPr>
        <w:br w:type="page"/>
      </w:r>
    </w:p>
    <w:p w14:paraId="23E6821D" w14:textId="77777777" w:rsidR="00C2741A" w:rsidRPr="00F30FD1" w:rsidRDefault="00C2741A" w:rsidP="00C2741A">
      <w:pPr>
        <w:pStyle w:val="Ttulo1"/>
      </w:pPr>
      <w:bookmarkStart w:id="37" w:name="_Toc477971062"/>
      <w:r w:rsidRPr="00F30FD1">
        <w:lastRenderedPageBreak/>
        <w:t xml:space="preserve">XIII. MECANISMOS DE FINANCIAMIENTO </w:t>
      </w:r>
      <w:bookmarkEnd w:id="37"/>
    </w:p>
    <w:p w14:paraId="29DAEAA5" w14:textId="77777777" w:rsidR="00BC7B87" w:rsidRPr="00F30FD1" w:rsidRDefault="00BC7B87" w:rsidP="00BC7B87">
      <w:pPr>
        <w:rPr>
          <w:rFonts w:eastAsia="Times New Roman" w:cs="Futura"/>
          <w:color w:val="595959"/>
        </w:rPr>
      </w:pPr>
      <w:r w:rsidRPr="00F30FD1">
        <w:rPr>
          <w:rFonts w:eastAsia="Times New Roman" w:cs="Futura"/>
          <w:color w:val="595959"/>
        </w:rPr>
        <w:t>Para la ejecución de los proyectos encaminados al desarrollo del Estado, el financiamiento será a través de los recursos federales provenientes de los diferentes ramos que marca el Presupuesto de Egresos de la Federación, promoviendo las Asociaciones Público Privadas (APP) que son esquemas de inversión de largo plazo, las cuales tienen por objeto la prestación de servicios al sector público con base en el desarrollo de infraestructura que construye y opera el sector privado, con recursos propios y proporcionando una certidumbre para promover e incrementar la Inversión Privada, sin recurrir a ningún tipo de crédito. En este sentido los convenios celebrados entre el Estado y la Federación corresponderán a los siguientes ramos federales:</w:t>
      </w:r>
    </w:p>
    <w:p w14:paraId="4E688A64" w14:textId="77777777" w:rsidR="00BC7B87" w:rsidRPr="00F30FD1" w:rsidRDefault="00BC7B87" w:rsidP="00BC7B87">
      <w:pPr>
        <w:rPr>
          <w:rFonts w:eastAsia="Times New Roman" w:cs="Futura"/>
          <w:color w:val="595959"/>
        </w:rPr>
      </w:pPr>
      <w:r w:rsidRPr="00F30FD1">
        <w:rPr>
          <w:rFonts w:eastAsia="Times New Roman" w:cs="Futura"/>
          <w:color w:val="595959"/>
        </w:rPr>
        <w:t>RAMO 23 Provisiones Salariales y Económicas</w:t>
      </w:r>
    </w:p>
    <w:p w14:paraId="1B91FEFD" w14:textId="77777777" w:rsidR="00BC7B87" w:rsidRPr="00F30FD1" w:rsidRDefault="00BC7B87" w:rsidP="00BC7B87">
      <w:pPr>
        <w:rPr>
          <w:rFonts w:eastAsia="Times New Roman" w:cs="Futura"/>
          <w:color w:val="595959"/>
        </w:rPr>
      </w:pPr>
      <w:r w:rsidRPr="00F30FD1">
        <w:rPr>
          <w:rFonts w:eastAsia="Times New Roman" w:cs="Futura"/>
          <w:color w:val="595959"/>
        </w:rPr>
        <w:t>RAMO 28 Participaciones a Entidades Federativas y Municipios</w:t>
      </w:r>
    </w:p>
    <w:p w14:paraId="4AEFEF86" w14:textId="77777777" w:rsidR="00BC7B87" w:rsidRPr="00F30FD1" w:rsidRDefault="00BC7B87" w:rsidP="00BC7B87">
      <w:pPr>
        <w:rPr>
          <w:rFonts w:eastAsia="Times New Roman" w:cs="Futura"/>
          <w:color w:val="595959"/>
        </w:rPr>
      </w:pPr>
      <w:r w:rsidRPr="00F30FD1">
        <w:rPr>
          <w:rFonts w:eastAsia="Times New Roman" w:cs="Futura"/>
          <w:color w:val="595959"/>
        </w:rPr>
        <w:t>RAMO 33 Aportaciones Federales para Entidades Federativas y Municipios</w:t>
      </w:r>
    </w:p>
    <w:p w14:paraId="5D1A604F" w14:textId="378F988D" w:rsidR="00C2741A" w:rsidRPr="00F30FD1" w:rsidRDefault="00BC7B87" w:rsidP="00BC7B87">
      <w:pPr>
        <w:rPr>
          <w:rFonts w:eastAsia="Times New Roman" w:cs="Futura"/>
          <w:color w:val="595959"/>
        </w:rPr>
      </w:pPr>
      <w:r w:rsidRPr="00F30FD1">
        <w:rPr>
          <w:rFonts w:eastAsia="Times New Roman" w:cs="Futura"/>
          <w:color w:val="595959"/>
        </w:rPr>
        <w:t>INGRESOS PROPIOS</w:t>
      </w:r>
    </w:p>
    <w:p w14:paraId="1ADC2ADC" w14:textId="77777777" w:rsidR="004E75FD" w:rsidRPr="00F30FD1" w:rsidRDefault="004E75FD" w:rsidP="00BC7B87">
      <w:pPr>
        <w:rPr>
          <w:rFonts w:eastAsia="Times New Roman" w:cs="Futura"/>
          <w:color w:val="595959"/>
        </w:rPr>
      </w:pPr>
    </w:p>
    <w:p w14:paraId="2148C4C1" w14:textId="77777777" w:rsidR="00E0460C" w:rsidRPr="00F30FD1" w:rsidRDefault="00C2741A" w:rsidP="003D5103">
      <w:pPr>
        <w:rPr>
          <w:rFonts w:eastAsia="Times New Roman" w:cs="Futura"/>
          <w:color w:val="595959"/>
        </w:rPr>
      </w:pPr>
      <w:r w:rsidRPr="00F30FD1">
        <w:rPr>
          <w:rFonts w:eastAsia="Times New Roman" w:cs="Futura"/>
          <w:color w:val="595959"/>
        </w:rPr>
        <w:br w:type="page"/>
      </w:r>
    </w:p>
    <w:p w14:paraId="7FB0F0A8" w14:textId="77777777" w:rsidR="00C2741A" w:rsidRPr="00F30FD1" w:rsidRDefault="00C2741A" w:rsidP="00C2741A">
      <w:pPr>
        <w:rPr>
          <w:rFonts w:cs="Futura"/>
          <w:color w:val="000000" w:themeColor="text1"/>
          <w:sz w:val="32"/>
          <w:szCs w:val="32"/>
        </w:rPr>
      </w:pPr>
    </w:p>
    <w:p w14:paraId="420D6759" w14:textId="77777777" w:rsidR="00C2741A" w:rsidRPr="00F30FD1" w:rsidRDefault="00C2741A" w:rsidP="00C2741A">
      <w:pPr>
        <w:rPr>
          <w:rFonts w:cs="Futura"/>
          <w:color w:val="000000" w:themeColor="text1"/>
          <w:sz w:val="32"/>
          <w:szCs w:val="32"/>
        </w:rPr>
      </w:pPr>
    </w:p>
    <w:p w14:paraId="1742A72A" w14:textId="77777777" w:rsidR="00C2741A" w:rsidRPr="00F30FD1" w:rsidRDefault="00C2741A" w:rsidP="00C2741A">
      <w:pPr>
        <w:rPr>
          <w:rFonts w:cs="Futura"/>
          <w:color w:val="000000" w:themeColor="text1"/>
          <w:sz w:val="32"/>
          <w:szCs w:val="32"/>
        </w:rPr>
      </w:pPr>
    </w:p>
    <w:p w14:paraId="7313A3F6" w14:textId="77777777" w:rsidR="00C2741A" w:rsidRPr="00F30FD1" w:rsidRDefault="00C2741A" w:rsidP="00C2741A">
      <w:pPr>
        <w:rPr>
          <w:rFonts w:cs="Futura"/>
          <w:color w:val="000000" w:themeColor="text1"/>
          <w:sz w:val="32"/>
          <w:szCs w:val="32"/>
        </w:rPr>
      </w:pPr>
    </w:p>
    <w:p w14:paraId="53860CED" w14:textId="77777777" w:rsidR="00C2741A" w:rsidRPr="00F30FD1" w:rsidRDefault="00C2741A" w:rsidP="00124C60">
      <w:pPr>
        <w:pStyle w:val="Ttulo"/>
        <w:rPr>
          <w:color w:val="4BACC6"/>
        </w:rPr>
      </w:pPr>
      <w:r w:rsidRPr="00F30FD1">
        <w:rPr>
          <w:color w:val="4BACC6"/>
        </w:rPr>
        <w:t>ANEXOS</w:t>
      </w:r>
    </w:p>
    <w:p w14:paraId="58AAC3FA" w14:textId="77777777" w:rsidR="00C2741A" w:rsidRPr="00F30FD1" w:rsidRDefault="00C2741A" w:rsidP="00C2741A">
      <w:pPr>
        <w:rPr>
          <w:rFonts w:cs="Futura"/>
          <w:color w:val="595959" w:themeColor="text1" w:themeTint="A6"/>
        </w:rPr>
      </w:pPr>
    </w:p>
    <w:p w14:paraId="2A2D2C88" w14:textId="77777777" w:rsidR="00C2741A" w:rsidRPr="00F30FD1" w:rsidRDefault="00C2741A" w:rsidP="00C2741A">
      <w:pPr>
        <w:rPr>
          <w:rFonts w:cs="Futura"/>
          <w:color w:val="595959" w:themeColor="text1" w:themeTint="A6"/>
        </w:rPr>
      </w:pPr>
    </w:p>
    <w:p w14:paraId="221227AA" w14:textId="77777777" w:rsidR="00C2741A" w:rsidRPr="00F30FD1" w:rsidRDefault="00C2741A" w:rsidP="00C2741A">
      <w:pPr>
        <w:rPr>
          <w:rFonts w:cs="Futura"/>
          <w:color w:val="595959" w:themeColor="text1" w:themeTint="A6"/>
        </w:rPr>
      </w:pPr>
    </w:p>
    <w:p w14:paraId="2D885876" w14:textId="77777777" w:rsidR="00C2741A" w:rsidRPr="00F30FD1" w:rsidRDefault="00C2741A" w:rsidP="00C2741A">
      <w:pPr>
        <w:rPr>
          <w:rFonts w:cs="Futura"/>
          <w:color w:val="595959" w:themeColor="text1" w:themeTint="A6"/>
        </w:rPr>
      </w:pPr>
    </w:p>
    <w:p w14:paraId="62B66714" w14:textId="77777777" w:rsidR="00C2741A" w:rsidRPr="00F30FD1" w:rsidRDefault="00C2741A" w:rsidP="00C2741A">
      <w:pPr>
        <w:rPr>
          <w:rFonts w:cs="Futura"/>
          <w:color w:val="595959" w:themeColor="text1" w:themeTint="A6"/>
        </w:rPr>
      </w:pPr>
    </w:p>
    <w:p w14:paraId="0A9D5DA9" w14:textId="77777777" w:rsidR="00C2741A" w:rsidRPr="00F30FD1" w:rsidRDefault="00C2741A" w:rsidP="00C2741A">
      <w:pPr>
        <w:rPr>
          <w:rFonts w:cs="Futura"/>
          <w:color w:val="595959" w:themeColor="text1" w:themeTint="A6"/>
        </w:rPr>
      </w:pPr>
    </w:p>
    <w:p w14:paraId="521EC561" w14:textId="77777777" w:rsidR="00C2741A" w:rsidRPr="00F30FD1" w:rsidRDefault="00C2741A" w:rsidP="00C2741A">
      <w:pPr>
        <w:rPr>
          <w:rFonts w:cs="Futura"/>
          <w:color w:val="595959" w:themeColor="text1" w:themeTint="A6"/>
        </w:rPr>
      </w:pPr>
    </w:p>
    <w:p w14:paraId="018701CB" w14:textId="77777777" w:rsidR="00DD10FA" w:rsidRPr="00F30FD1" w:rsidRDefault="00DD10FA">
      <w:pPr>
        <w:spacing w:after="0" w:line="240" w:lineRule="auto"/>
        <w:jc w:val="left"/>
        <w:rPr>
          <w:rFonts w:cs="Futura"/>
          <w:color w:val="595959" w:themeColor="text1" w:themeTint="A6"/>
        </w:rPr>
      </w:pPr>
      <w:r w:rsidRPr="00F30FD1">
        <w:rPr>
          <w:rFonts w:cs="Futura"/>
          <w:color w:val="595959" w:themeColor="text1" w:themeTint="A6"/>
        </w:rPr>
        <w:br w:type="page"/>
      </w:r>
    </w:p>
    <w:p w14:paraId="335C7D46" w14:textId="77777777" w:rsidR="00C2741A" w:rsidRPr="00F30FD1" w:rsidRDefault="00C2741A" w:rsidP="00C2741A">
      <w:pPr>
        <w:pStyle w:val="Ttulo1"/>
      </w:pPr>
      <w:bookmarkStart w:id="38" w:name="_Toc477971064"/>
      <w:r w:rsidRPr="00F30FD1">
        <w:lastRenderedPageBreak/>
        <w:t>Anexo 1. Fichas de Indicadores del PED</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73"/>
        <w:gridCol w:w="7962"/>
      </w:tblGrid>
      <w:tr w:rsidR="00BC7B87" w:rsidRPr="00F30FD1" w14:paraId="4A9485BA" w14:textId="77777777" w:rsidTr="00BC7B87">
        <w:trPr>
          <w:trHeight w:val="283"/>
        </w:trPr>
        <w:tc>
          <w:tcPr>
            <w:tcW w:w="952" w:type="pct"/>
            <w:shd w:val="clear" w:color="auto" w:fill="BFBFBF" w:themeFill="background1" w:themeFillShade="BF"/>
            <w:tcMar>
              <w:top w:w="72" w:type="dxa"/>
              <w:left w:w="144" w:type="dxa"/>
              <w:bottom w:w="72" w:type="dxa"/>
              <w:right w:w="144" w:type="dxa"/>
            </w:tcMar>
            <w:hideMark/>
          </w:tcPr>
          <w:p w14:paraId="60BA6AD5" w14:textId="77777777" w:rsidR="00BC7B87" w:rsidRPr="00F30FD1" w:rsidRDefault="00BC7B87" w:rsidP="00BC7B87">
            <w:pPr>
              <w:spacing w:after="0" w:line="240" w:lineRule="auto"/>
              <w:rPr>
                <w:rFonts w:eastAsia="Calibri" w:cs="Calibri"/>
                <w:b/>
                <w:sz w:val="20"/>
                <w:szCs w:val="22"/>
              </w:rPr>
            </w:pPr>
            <w:bookmarkStart w:id="39" w:name="_Toc477971065"/>
            <w:r w:rsidRPr="00F30FD1">
              <w:rPr>
                <w:rFonts w:eastAsia="Calibri"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6AA15707" w14:textId="77777777" w:rsidR="00BC7B87" w:rsidRPr="00F30FD1" w:rsidRDefault="00BC7B87" w:rsidP="00BC7B87">
            <w:pPr>
              <w:spacing w:after="0" w:line="240" w:lineRule="auto"/>
              <w:rPr>
                <w:rFonts w:eastAsia="Calibri" w:cs="Calibri"/>
                <w:b/>
                <w:sz w:val="20"/>
                <w:szCs w:val="22"/>
              </w:rPr>
            </w:pPr>
            <w:r w:rsidRPr="00F30FD1">
              <w:rPr>
                <w:rFonts w:eastAsia="Calibri" w:cs="Calibri"/>
                <w:b/>
                <w:sz w:val="20"/>
                <w:szCs w:val="22"/>
              </w:rPr>
              <w:t>Características</w:t>
            </w:r>
          </w:p>
        </w:tc>
      </w:tr>
      <w:tr w:rsidR="00BC7B87" w:rsidRPr="00F30FD1" w14:paraId="4B387E46"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3EDB16C6"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Indicador:</w:t>
            </w:r>
          </w:p>
        </w:tc>
        <w:tc>
          <w:tcPr>
            <w:tcW w:w="4048" w:type="pct"/>
            <w:shd w:val="clear" w:color="auto" w:fill="FFFFFF" w:themeFill="background1"/>
            <w:tcMar>
              <w:top w:w="72" w:type="dxa"/>
              <w:left w:w="144" w:type="dxa"/>
              <w:bottom w:w="72" w:type="dxa"/>
              <w:right w:w="144" w:type="dxa"/>
            </w:tcMar>
            <w:vAlign w:val="center"/>
            <w:hideMark/>
          </w:tcPr>
          <w:p w14:paraId="76057A7A"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Índice de Autonomía Financiera</w:t>
            </w:r>
          </w:p>
        </w:tc>
      </w:tr>
      <w:tr w:rsidR="00BC7B87" w:rsidRPr="00F30FD1" w14:paraId="5010D3C6" w14:textId="77777777" w:rsidTr="00BC7B87">
        <w:trPr>
          <w:trHeight w:val="283"/>
        </w:trPr>
        <w:tc>
          <w:tcPr>
            <w:tcW w:w="952" w:type="pct"/>
            <w:shd w:val="clear" w:color="auto" w:fill="FFFFFF" w:themeFill="background1"/>
            <w:tcMar>
              <w:top w:w="72" w:type="dxa"/>
              <w:left w:w="144" w:type="dxa"/>
              <w:bottom w:w="72" w:type="dxa"/>
              <w:right w:w="144" w:type="dxa"/>
            </w:tcMar>
            <w:vAlign w:val="center"/>
          </w:tcPr>
          <w:p w14:paraId="5151291B"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Objetivo PED:</w:t>
            </w:r>
          </w:p>
        </w:tc>
        <w:tc>
          <w:tcPr>
            <w:tcW w:w="4048" w:type="pct"/>
            <w:shd w:val="clear" w:color="auto" w:fill="FFFFFF" w:themeFill="background1"/>
            <w:tcMar>
              <w:top w:w="72" w:type="dxa"/>
              <w:left w:w="144" w:type="dxa"/>
              <w:bottom w:w="72" w:type="dxa"/>
              <w:right w:w="144" w:type="dxa"/>
            </w:tcMar>
            <w:vAlign w:val="center"/>
          </w:tcPr>
          <w:p w14:paraId="31A2DD4E"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Administrar gerencialmente la deuda pública a fin de que, gradualmente, se tengan finanzas públicas sanas que posibiliten capitalizar las acciones estratégicas del gobierno establecidas en el Plan Estatal de Desarrollo.</w:t>
            </w:r>
          </w:p>
        </w:tc>
      </w:tr>
      <w:tr w:rsidR="00BC7B87" w:rsidRPr="00F30FD1" w14:paraId="4FF6051A"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309935FC"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Descripción:</w:t>
            </w:r>
          </w:p>
        </w:tc>
        <w:tc>
          <w:tcPr>
            <w:tcW w:w="4048" w:type="pct"/>
            <w:shd w:val="clear" w:color="auto" w:fill="FFFFFF" w:themeFill="background1"/>
            <w:tcMar>
              <w:top w:w="72" w:type="dxa"/>
              <w:left w:w="144" w:type="dxa"/>
              <w:bottom w:w="72" w:type="dxa"/>
              <w:right w:w="144" w:type="dxa"/>
            </w:tcMar>
            <w:vAlign w:val="center"/>
            <w:hideMark/>
          </w:tcPr>
          <w:p w14:paraId="00B8E356"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Medir el índice de autonomía Financiera del Estado de Quintana Roo.</w:t>
            </w:r>
          </w:p>
        </w:tc>
      </w:tr>
      <w:tr w:rsidR="00BC7B87" w:rsidRPr="00F30FD1" w14:paraId="15CB0517"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2C2E8C64"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Método de cálculo:</w:t>
            </w:r>
          </w:p>
        </w:tc>
        <w:tc>
          <w:tcPr>
            <w:tcW w:w="4048" w:type="pct"/>
            <w:shd w:val="clear" w:color="auto" w:fill="FFFFFF" w:themeFill="background1"/>
            <w:tcMar>
              <w:top w:w="72" w:type="dxa"/>
              <w:left w:w="144" w:type="dxa"/>
              <w:bottom w:w="72" w:type="dxa"/>
              <w:right w:w="144" w:type="dxa"/>
            </w:tcMar>
            <w:vAlign w:val="center"/>
            <w:hideMark/>
          </w:tcPr>
          <w:p w14:paraId="10CCA462"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 xml:space="preserve">Índice es una medida estadística que permite agregar una o más variables de distinta naturaleza para sintetizar la parte esencial de la información contenida. </w:t>
            </w:r>
          </w:p>
        </w:tc>
      </w:tr>
      <w:tr w:rsidR="00BC7B87" w:rsidRPr="00F30FD1" w14:paraId="526644E8"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288F13C1"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Periodicidad:</w:t>
            </w:r>
          </w:p>
        </w:tc>
        <w:tc>
          <w:tcPr>
            <w:tcW w:w="4048" w:type="pct"/>
            <w:shd w:val="clear" w:color="auto" w:fill="FFFFFF" w:themeFill="background1"/>
            <w:tcMar>
              <w:top w:w="72" w:type="dxa"/>
              <w:left w:w="144" w:type="dxa"/>
              <w:bottom w:w="72" w:type="dxa"/>
              <w:right w:w="144" w:type="dxa"/>
            </w:tcMar>
            <w:vAlign w:val="center"/>
            <w:hideMark/>
          </w:tcPr>
          <w:p w14:paraId="13F5A922"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Anual</w:t>
            </w:r>
          </w:p>
        </w:tc>
      </w:tr>
      <w:tr w:rsidR="00BC7B87" w:rsidRPr="00F30FD1" w14:paraId="6AF1C614"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386E6407"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Fuente:</w:t>
            </w:r>
          </w:p>
        </w:tc>
        <w:tc>
          <w:tcPr>
            <w:tcW w:w="4048" w:type="pct"/>
            <w:shd w:val="clear" w:color="auto" w:fill="FFFFFF" w:themeFill="background1"/>
            <w:tcMar>
              <w:top w:w="72" w:type="dxa"/>
              <w:left w:w="144" w:type="dxa"/>
              <w:bottom w:w="72" w:type="dxa"/>
              <w:right w:w="144" w:type="dxa"/>
            </w:tcMar>
            <w:vAlign w:val="center"/>
            <w:hideMark/>
          </w:tcPr>
          <w:p w14:paraId="7E004205"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Formula</w:t>
            </w:r>
          </w:p>
        </w:tc>
      </w:tr>
      <w:tr w:rsidR="00BC7B87" w:rsidRPr="00F30FD1" w14:paraId="675A1636"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5848EEAA"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Dimensión:</w:t>
            </w:r>
          </w:p>
        </w:tc>
        <w:tc>
          <w:tcPr>
            <w:tcW w:w="4048" w:type="pct"/>
            <w:shd w:val="clear" w:color="auto" w:fill="FFFFFF" w:themeFill="background1"/>
            <w:tcMar>
              <w:top w:w="72" w:type="dxa"/>
              <w:left w:w="144" w:type="dxa"/>
              <w:bottom w:w="72" w:type="dxa"/>
              <w:right w:w="144" w:type="dxa"/>
            </w:tcMar>
            <w:vAlign w:val="center"/>
            <w:hideMark/>
          </w:tcPr>
          <w:p w14:paraId="00F8E447"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Eficacia</w:t>
            </w:r>
          </w:p>
        </w:tc>
      </w:tr>
      <w:tr w:rsidR="00BC7B87" w:rsidRPr="00F30FD1" w14:paraId="1590BF30"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06130C15"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Referencias adicionales:</w:t>
            </w:r>
          </w:p>
        </w:tc>
        <w:tc>
          <w:tcPr>
            <w:tcW w:w="4048" w:type="pct"/>
            <w:shd w:val="clear" w:color="auto" w:fill="FFFFFF" w:themeFill="background1"/>
            <w:tcMar>
              <w:top w:w="72" w:type="dxa"/>
              <w:left w:w="144" w:type="dxa"/>
              <w:bottom w:w="72" w:type="dxa"/>
              <w:right w:w="144" w:type="dxa"/>
            </w:tcMar>
            <w:vAlign w:val="center"/>
            <w:hideMark/>
          </w:tcPr>
          <w:p w14:paraId="23C3473D" w14:textId="115D9D14"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Aregional</w:t>
            </w:r>
          </w:p>
        </w:tc>
      </w:tr>
    </w:tbl>
    <w:p w14:paraId="6D03479C" w14:textId="77777777" w:rsidR="00BC7B87" w:rsidRPr="00F30FD1" w:rsidRDefault="00BC7B87" w:rsidP="00BC7B87">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73"/>
        <w:gridCol w:w="7962"/>
      </w:tblGrid>
      <w:tr w:rsidR="00BC7B87" w:rsidRPr="00F30FD1" w14:paraId="74151C01" w14:textId="77777777" w:rsidTr="00BC7B87">
        <w:trPr>
          <w:trHeight w:val="283"/>
        </w:trPr>
        <w:tc>
          <w:tcPr>
            <w:tcW w:w="952" w:type="pct"/>
            <w:shd w:val="clear" w:color="auto" w:fill="BFBFBF" w:themeFill="background1" w:themeFillShade="BF"/>
            <w:tcMar>
              <w:top w:w="72" w:type="dxa"/>
              <w:left w:w="144" w:type="dxa"/>
              <w:bottom w:w="72" w:type="dxa"/>
              <w:right w:w="144" w:type="dxa"/>
            </w:tcMar>
            <w:hideMark/>
          </w:tcPr>
          <w:p w14:paraId="65DCF91F" w14:textId="77777777" w:rsidR="00BC7B87" w:rsidRPr="00F30FD1" w:rsidRDefault="00BC7B87" w:rsidP="00BC7B87">
            <w:pPr>
              <w:spacing w:after="0" w:line="240" w:lineRule="auto"/>
              <w:rPr>
                <w:rFonts w:eastAsia="Calibri" w:cs="Calibri"/>
                <w:b/>
                <w:sz w:val="20"/>
                <w:szCs w:val="22"/>
              </w:rPr>
            </w:pPr>
            <w:r w:rsidRPr="00F30FD1">
              <w:rPr>
                <w:rFonts w:eastAsia="Calibri"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694E18AA" w14:textId="77777777" w:rsidR="00BC7B87" w:rsidRPr="00F30FD1" w:rsidRDefault="00BC7B87" w:rsidP="00BC7B87">
            <w:pPr>
              <w:spacing w:after="0" w:line="240" w:lineRule="auto"/>
              <w:rPr>
                <w:rFonts w:eastAsia="Calibri" w:cs="Calibri"/>
                <w:b/>
                <w:sz w:val="20"/>
                <w:szCs w:val="22"/>
              </w:rPr>
            </w:pPr>
            <w:r w:rsidRPr="00F30FD1">
              <w:rPr>
                <w:rFonts w:eastAsia="Calibri" w:cs="Calibri"/>
                <w:b/>
                <w:sz w:val="20"/>
                <w:szCs w:val="22"/>
              </w:rPr>
              <w:t>Características</w:t>
            </w:r>
          </w:p>
        </w:tc>
      </w:tr>
      <w:tr w:rsidR="00BC7B87" w:rsidRPr="00F30FD1" w14:paraId="190C79DE"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68E041EE"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Indicador:</w:t>
            </w:r>
          </w:p>
        </w:tc>
        <w:tc>
          <w:tcPr>
            <w:tcW w:w="4048" w:type="pct"/>
            <w:shd w:val="clear" w:color="auto" w:fill="FFFFFF" w:themeFill="background1"/>
            <w:tcMar>
              <w:top w:w="72" w:type="dxa"/>
              <w:left w:w="144" w:type="dxa"/>
              <w:bottom w:w="72" w:type="dxa"/>
              <w:right w:w="144" w:type="dxa"/>
            </w:tcMar>
            <w:vAlign w:val="center"/>
            <w:hideMark/>
          </w:tcPr>
          <w:p w14:paraId="7E4E3321" w14:textId="7D235CA7" w:rsidR="00BC7B87" w:rsidRPr="00F30FD1" w:rsidRDefault="007269C0" w:rsidP="00BC7B87">
            <w:pPr>
              <w:spacing w:after="0" w:line="240" w:lineRule="auto"/>
              <w:rPr>
                <w:rFonts w:eastAsia="Calibri" w:cs="Calibri"/>
                <w:sz w:val="20"/>
                <w:szCs w:val="22"/>
              </w:rPr>
            </w:pPr>
            <w:r w:rsidRPr="00F30FD1">
              <w:rPr>
                <w:rFonts w:eastAsia="Calibri" w:cs="Calibri"/>
                <w:sz w:val="20"/>
                <w:szCs w:val="22"/>
              </w:rPr>
              <w:t xml:space="preserve">Índice de </w:t>
            </w:r>
            <w:r w:rsidR="00BC7B87" w:rsidRPr="00F30FD1">
              <w:rPr>
                <w:rFonts w:eastAsia="Calibri" w:cs="Calibri"/>
                <w:sz w:val="20"/>
                <w:szCs w:val="22"/>
              </w:rPr>
              <w:t>Deuda Total de las Entidades Federativas</w:t>
            </w:r>
          </w:p>
        </w:tc>
      </w:tr>
      <w:tr w:rsidR="00BC7B87" w:rsidRPr="00F30FD1" w14:paraId="5F2BB361" w14:textId="77777777" w:rsidTr="00BC7B87">
        <w:trPr>
          <w:trHeight w:val="283"/>
        </w:trPr>
        <w:tc>
          <w:tcPr>
            <w:tcW w:w="952" w:type="pct"/>
            <w:shd w:val="clear" w:color="auto" w:fill="FFFFFF" w:themeFill="background1"/>
            <w:tcMar>
              <w:top w:w="72" w:type="dxa"/>
              <w:left w:w="144" w:type="dxa"/>
              <w:bottom w:w="72" w:type="dxa"/>
              <w:right w:w="144" w:type="dxa"/>
            </w:tcMar>
            <w:vAlign w:val="center"/>
          </w:tcPr>
          <w:p w14:paraId="0EABFD50"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Objetivo PED:</w:t>
            </w:r>
          </w:p>
        </w:tc>
        <w:tc>
          <w:tcPr>
            <w:tcW w:w="4048" w:type="pct"/>
            <w:shd w:val="clear" w:color="auto" w:fill="FFFFFF" w:themeFill="background1"/>
            <w:tcMar>
              <w:top w:w="72" w:type="dxa"/>
              <w:left w:w="144" w:type="dxa"/>
              <w:bottom w:w="72" w:type="dxa"/>
              <w:right w:w="144" w:type="dxa"/>
            </w:tcMar>
            <w:vAlign w:val="center"/>
          </w:tcPr>
          <w:p w14:paraId="77219A5C"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Administrar gerencialmente la deuda pública a fin de que, gradualmente, se tengan finanzas públicas sanas que posibiliten capitalizar las acciones estratégicas del gobierno establecidas en el Plan Estatal de Desarrollo.</w:t>
            </w:r>
          </w:p>
        </w:tc>
      </w:tr>
      <w:tr w:rsidR="00BC7B87" w:rsidRPr="00F30FD1" w14:paraId="04F8D951"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2A8D8919"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Descripción:</w:t>
            </w:r>
          </w:p>
        </w:tc>
        <w:tc>
          <w:tcPr>
            <w:tcW w:w="4048" w:type="pct"/>
            <w:shd w:val="clear" w:color="auto" w:fill="FFFFFF" w:themeFill="background1"/>
            <w:tcMar>
              <w:top w:w="72" w:type="dxa"/>
              <w:left w:w="144" w:type="dxa"/>
              <w:bottom w:w="72" w:type="dxa"/>
              <w:right w:w="144" w:type="dxa"/>
            </w:tcMar>
            <w:vAlign w:val="center"/>
            <w:hideMark/>
          </w:tcPr>
          <w:p w14:paraId="12D15D66"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 xml:space="preserve">Conocer el lugar a nivel nacional que ocupa el Estado de Quintana Roo en materia de Deuda pública. </w:t>
            </w:r>
          </w:p>
        </w:tc>
      </w:tr>
      <w:tr w:rsidR="00BC7B87" w:rsidRPr="00F30FD1" w14:paraId="5F260CC9"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59B5A1EF"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Método de cálculo:</w:t>
            </w:r>
          </w:p>
        </w:tc>
        <w:tc>
          <w:tcPr>
            <w:tcW w:w="4048" w:type="pct"/>
            <w:shd w:val="clear" w:color="auto" w:fill="FFFFFF" w:themeFill="background1"/>
            <w:tcMar>
              <w:top w:w="72" w:type="dxa"/>
              <w:left w:w="144" w:type="dxa"/>
              <w:bottom w:w="72" w:type="dxa"/>
              <w:right w:w="144" w:type="dxa"/>
            </w:tcMar>
            <w:vAlign w:val="center"/>
            <w:hideMark/>
          </w:tcPr>
          <w:p w14:paraId="28123FCB"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Deuda pública se entiende al conjunto de deudas que el Estado tiene reconocida por medio de títulos.</w:t>
            </w:r>
          </w:p>
        </w:tc>
      </w:tr>
      <w:tr w:rsidR="00BC7B87" w:rsidRPr="00F30FD1" w14:paraId="35AAFB4E"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51C56425"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Periodicidad:</w:t>
            </w:r>
          </w:p>
        </w:tc>
        <w:tc>
          <w:tcPr>
            <w:tcW w:w="4048" w:type="pct"/>
            <w:shd w:val="clear" w:color="auto" w:fill="FFFFFF" w:themeFill="background1"/>
            <w:tcMar>
              <w:top w:w="72" w:type="dxa"/>
              <w:left w:w="144" w:type="dxa"/>
              <w:bottom w:w="72" w:type="dxa"/>
              <w:right w:w="144" w:type="dxa"/>
            </w:tcMar>
            <w:vAlign w:val="center"/>
            <w:hideMark/>
          </w:tcPr>
          <w:p w14:paraId="1C9FB337"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Anual</w:t>
            </w:r>
          </w:p>
        </w:tc>
      </w:tr>
      <w:tr w:rsidR="00BC7B87" w:rsidRPr="00F30FD1" w14:paraId="366265AB"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7B77AD42"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Fuente:</w:t>
            </w:r>
          </w:p>
        </w:tc>
        <w:tc>
          <w:tcPr>
            <w:tcW w:w="4048" w:type="pct"/>
            <w:shd w:val="clear" w:color="auto" w:fill="FFFFFF" w:themeFill="background1"/>
            <w:tcMar>
              <w:top w:w="72" w:type="dxa"/>
              <w:left w:w="144" w:type="dxa"/>
              <w:bottom w:w="72" w:type="dxa"/>
              <w:right w:w="144" w:type="dxa"/>
            </w:tcMar>
            <w:vAlign w:val="center"/>
            <w:hideMark/>
          </w:tcPr>
          <w:p w14:paraId="393EB995"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SHCP</w:t>
            </w:r>
          </w:p>
        </w:tc>
      </w:tr>
      <w:tr w:rsidR="00BC7B87" w:rsidRPr="00F30FD1" w14:paraId="6C8E31D1"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77E3111B"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Dimensión:</w:t>
            </w:r>
          </w:p>
        </w:tc>
        <w:tc>
          <w:tcPr>
            <w:tcW w:w="4048" w:type="pct"/>
            <w:shd w:val="clear" w:color="auto" w:fill="FFFFFF" w:themeFill="background1"/>
            <w:tcMar>
              <w:top w:w="72" w:type="dxa"/>
              <w:left w:w="144" w:type="dxa"/>
              <w:bottom w:w="72" w:type="dxa"/>
              <w:right w:w="144" w:type="dxa"/>
            </w:tcMar>
            <w:vAlign w:val="center"/>
            <w:hideMark/>
          </w:tcPr>
          <w:p w14:paraId="5D143DA8"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Eficiencia</w:t>
            </w:r>
          </w:p>
        </w:tc>
      </w:tr>
    </w:tbl>
    <w:p w14:paraId="11378DC2" w14:textId="77777777" w:rsidR="00BC7B87" w:rsidRPr="00F30FD1" w:rsidRDefault="00BC7B87" w:rsidP="00BC7B87">
      <w:pPr>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73"/>
        <w:gridCol w:w="7962"/>
      </w:tblGrid>
      <w:tr w:rsidR="00BC7B87" w:rsidRPr="00F30FD1" w14:paraId="3819325C" w14:textId="77777777" w:rsidTr="00BC7B87">
        <w:trPr>
          <w:trHeight w:val="283"/>
        </w:trPr>
        <w:tc>
          <w:tcPr>
            <w:tcW w:w="952" w:type="pct"/>
            <w:shd w:val="clear" w:color="auto" w:fill="BFBFBF" w:themeFill="background1" w:themeFillShade="BF"/>
            <w:tcMar>
              <w:top w:w="72" w:type="dxa"/>
              <w:left w:w="144" w:type="dxa"/>
              <w:bottom w:w="72" w:type="dxa"/>
              <w:right w:w="144" w:type="dxa"/>
            </w:tcMar>
            <w:hideMark/>
          </w:tcPr>
          <w:p w14:paraId="31DF2E33" w14:textId="77777777" w:rsidR="00BC7B87" w:rsidRPr="00F30FD1" w:rsidRDefault="00BC7B87" w:rsidP="00BC7B87">
            <w:pPr>
              <w:spacing w:after="0" w:line="240" w:lineRule="auto"/>
              <w:rPr>
                <w:rFonts w:eastAsia="Calibri" w:cs="Calibri"/>
                <w:b/>
                <w:sz w:val="20"/>
                <w:szCs w:val="22"/>
              </w:rPr>
            </w:pPr>
            <w:r w:rsidRPr="00F30FD1">
              <w:rPr>
                <w:rFonts w:eastAsia="Calibri" w:cs="Calibri"/>
                <w:b/>
                <w:sz w:val="20"/>
                <w:szCs w:val="22"/>
              </w:rPr>
              <w:lastRenderedPageBreak/>
              <w:t>Elemento</w:t>
            </w:r>
          </w:p>
        </w:tc>
        <w:tc>
          <w:tcPr>
            <w:tcW w:w="4048" w:type="pct"/>
            <w:shd w:val="clear" w:color="auto" w:fill="BFBFBF" w:themeFill="background1" w:themeFillShade="BF"/>
            <w:tcMar>
              <w:top w:w="72" w:type="dxa"/>
              <w:left w:w="144" w:type="dxa"/>
              <w:bottom w:w="72" w:type="dxa"/>
              <w:right w:w="144" w:type="dxa"/>
            </w:tcMar>
            <w:hideMark/>
          </w:tcPr>
          <w:p w14:paraId="59FC1E09" w14:textId="77777777" w:rsidR="00BC7B87" w:rsidRPr="00F30FD1" w:rsidRDefault="00BC7B87" w:rsidP="00BC7B87">
            <w:pPr>
              <w:spacing w:after="0" w:line="240" w:lineRule="auto"/>
              <w:rPr>
                <w:rFonts w:eastAsia="Calibri" w:cs="Calibri"/>
                <w:b/>
                <w:sz w:val="20"/>
                <w:szCs w:val="22"/>
              </w:rPr>
            </w:pPr>
            <w:r w:rsidRPr="00F30FD1">
              <w:rPr>
                <w:rFonts w:eastAsia="Calibri" w:cs="Calibri"/>
                <w:b/>
                <w:sz w:val="20"/>
                <w:szCs w:val="22"/>
              </w:rPr>
              <w:t>Características</w:t>
            </w:r>
          </w:p>
        </w:tc>
      </w:tr>
      <w:tr w:rsidR="00BC7B87" w:rsidRPr="00F30FD1" w14:paraId="63D22D7A"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39ADCD43"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Indicador:</w:t>
            </w:r>
          </w:p>
        </w:tc>
        <w:tc>
          <w:tcPr>
            <w:tcW w:w="4048" w:type="pct"/>
            <w:shd w:val="clear" w:color="auto" w:fill="FFFFFF" w:themeFill="background1"/>
            <w:tcMar>
              <w:top w:w="72" w:type="dxa"/>
              <w:left w:w="144" w:type="dxa"/>
              <w:bottom w:w="72" w:type="dxa"/>
              <w:right w:w="144" w:type="dxa"/>
            </w:tcMar>
            <w:vAlign w:val="center"/>
            <w:hideMark/>
          </w:tcPr>
          <w:p w14:paraId="5BA85503"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Calificación Crediticia</w:t>
            </w:r>
          </w:p>
        </w:tc>
      </w:tr>
      <w:tr w:rsidR="00BC7B87" w:rsidRPr="00F30FD1" w14:paraId="6C8A3008" w14:textId="77777777" w:rsidTr="00BC7B87">
        <w:trPr>
          <w:trHeight w:val="283"/>
        </w:trPr>
        <w:tc>
          <w:tcPr>
            <w:tcW w:w="952" w:type="pct"/>
            <w:shd w:val="clear" w:color="auto" w:fill="FFFFFF" w:themeFill="background1"/>
            <w:tcMar>
              <w:top w:w="72" w:type="dxa"/>
              <w:left w:w="144" w:type="dxa"/>
              <w:bottom w:w="72" w:type="dxa"/>
              <w:right w:w="144" w:type="dxa"/>
            </w:tcMar>
            <w:vAlign w:val="center"/>
          </w:tcPr>
          <w:p w14:paraId="112795E9"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Objetivo PED:</w:t>
            </w:r>
          </w:p>
        </w:tc>
        <w:tc>
          <w:tcPr>
            <w:tcW w:w="4048" w:type="pct"/>
            <w:shd w:val="clear" w:color="auto" w:fill="FFFFFF" w:themeFill="background1"/>
            <w:tcMar>
              <w:top w:w="72" w:type="dxa"/>
              <w:left w:w="144" w:type="dxa"/>
              <w:bottom w:w="72" w:type="dxa"/>
              <w:right w:w="144" w:type="dxa"/>
            </w:tcMar>
            <w:vAlign w:val="center"/>
          </w:tcPr>
          <w:p w14:paraId="36AED766"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Administrar gerencialmente la deuda pública a fin de que, gradualmente, se tengan finanzas públicas sanas que posibiliten capitalizar las acciones estratégicas del gobierno establecidas en el Plan Estatal de Desarrollo.</w:t>
            </w:r>
          </w:p>
        </w:tc>
      </w:tr>
      <w:tr w:rsidR="00BC7B87" w:rsidRPr="00F30FD1" w14:paraId="52D7436E"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0C6183CB"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Descripción:</w:t>
            </w:r>
          </w:p>
        </w:tc>
        <w:tc>
          <w:tcPr>
            <w:tcW w:w="4048" w:type="pct"/>
            <w:shd w:val="clear" w:color="auto" w:fill="FFFFFF" w:themeFill="background1"/>
            <w:tcMar>
              <w:top w:w="72" w:type="dxa"/>
              <w:left w:w="144" w:type="dxa"/>
              <w:bottom w:w="72" w:type="dxa"/>
              <w:right w:w="144" w:type="dxa"/>
            </w:tcMar>
            <w:vAlign w:val="center"/>
            <w:hideMark/>
          </w:tcPr>
          <w:p w14:paraId="1409B0FB"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Conocer la calificación crediticia en la que se encuentra el Estado de Quintana Roo.</w:t>
            </w:r>
          </w:p>
        </w:tc>
      </w:tr>
      <w:tr w:rsidR="00BC7B87" w:rsidRPr="00F30FD1" w14:paraId="50381E67"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2742C048"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Método de cálculo:</w:t>
            </w:r>
          </w:p>
        </w:tc>
        <w:tc>
          <w:tcPr>
            <w:tcW w:w="4048" w:type="pct"/>
            <w:shd w:val="clear" w:color="auto" w:fill="FFFFFF" w:themeFill="background1"/>
            <w:tcMar>
              <w:top w:w="72" w:type="dxa"/>
              <w:left w:w="144" w:type="dxa"/>
              <w:bottom w:w="72" w:type="dxa"/>
              <w:right w:w="144" w:type="dxa"/>
            </w:tcMar>
            <w:vAlign w:val="center"/>
            <w:hideMark/>
          </w:tcPr>
          <w:p w14:paraId="46D76485"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Calificación crediticia: número que representa  la posibilidad de que un prestatario pueda cesar en sus pagos; está basada en el historial crediticio y se utiliza para determinar la capacidad para calificar para un préstamo.</w:t>
            </w:r>
          </w:p>
        </w:tc>
      </w:tr>
      <w:tr w:rsidR="00BC7B87" w:rsidRPr="00F30FD1" w14:paraId="352E6E77"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13F33854"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Periodicidad:</w:t>
            </w:r>
          </w:p>
        </w:tc>
        <w:tc>
          <w:tcPr>
            <w:tcW w:w="4048" w:type="pct"/>
            <w:shd w:val="clear" w:color="auto" w:fill="FFFFFF" w:themeFill="background1"/>
            <w:tcMar>
              <w:top w:w="72" w:type="dxa"/>
              <w:left w:w="144" w:type="dxa"/>
              <w:bottom w:w="72" w:type="dxa"/>
              <w:right w:w="144" w:type="dxa"/>
            </w:tcMar>
            <w:vAlign w:val="center"/>
            <w:hideMark/>
          </w:tcPr>
          <w:p w14:paraId="74C498FF"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Anual</w:t>
            </w:r>
          </w:p>
        </w:tc>
      </w:tr>
      <w:tr w:rsidR="00BC7B87" w:rsidRPr="00F30FD1" w14:paraId="0564CCCA"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5150A06C"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Fuente:</w:t>
            </w:r>
          </w:p>
        </w:tc>
        <w:tc>
          <w:tcPr>
            <w:tcW w:w="4048" w:type="pct"/>
            <w:shd w:val="clear" w:color="auto" w:fill="FFFFFF" w:themeFill="background1"/>
            <w:tcMar>
              <w:top w:w="72" w:type="dxa"/>
              <w:left w:w="144" w:type="dxa"/>
              <w:bottom w:w="72" w:type="dxa"/>
              <w:right w:w="144" w:type="dxa"/>
            </w:tcMar>
            <w:vAlign w:val="center"/>
            <w:hideMark/>
          </w:tcPr>
          <w:p w14:paraId="1D273D3B"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 xml:space="preserve">Empresa calificadora </w:t>
            </w:r>
            <w:proofErr w:type="spellStart"/>
            <w:r w:rsidRPr="00F30FD1">
              <w:rPr>
                <w:rFonts w:eastAsia="Calibri" w:cs="Calibri"/>
                <w:sz w:val="20"/>
                <w:szCs w:val="22"/>
              </w:rPr>
              <w:t>Fitch</w:t>
            </w:r>
            <w:proofErr w:type="spellEnd"/>
            <w:r w:rsidRPr="00F30FD1">
              <w:rPr>
                <w:rFonts w:eastAsia="Calibri" w:cs="Calibri"/>
                <w:sz w:val="20"/>
                <w:szCs w:val="22"/>
              </w:rPr>
              <w:t xml:space="preserve"> Ratings</w:t>
            </w:r>
          </w:p>
        </w:tc>
      </w:tr>
      <w:tr w:rsidR="00BC7B87" w:rsidRPr="00F30FD1" w14:paraId="19B5CA79"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07111862"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Dimensión:</w:t>
            </w:r>
          </w:p>
        </w:tc>
        <w:tc>
          <w:tcPr>
            <w:tcW w:w="4048" w:type="pct"/>
            <w:shd w:val="clear" w:color="auto" w:fill="FFFFFF" w:themeFill="background1"/>
            <w:tcMar>
              <w:top w:w="72" w:type="dxa"/>
              <w:left w:w="144" w:type="dxa"/>
              <w:bottom w:w="72" w:type="dxa"/>
              <w:right w:w="144" w:type="dxa"/>
            </w:tcMar>
            <w:vAlign w:val="center"/>
            <w:hideMark/>
          </w:tcPr>
          <w:p w14:paraId="35E12784"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Eficacia</w:t>
            </w:r>
          </w:p>
        </w:tc>
      </w:tr>
      <w:tr w:rsidR="00BC7B87" w:rsidRPr="00F30FD1" w14:paraId="47CC1D47"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6E253D6D"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Referencias adicionales:</w:t>
            </w:r>
          </w:p>
        </w:tc>
        <w:tc>
          <w:tcPr>
            <w:tcW w:w="4048" w:type="pct"/>
            <w:shd w:val="clear" w:color="auto" w:fill="FFFFFF" w:themeFill="background1"/>
            <w:tcMar>
              <w:top w:w="72" w:type="dxa"/>
              <w:left w:w="144" w:type="dxa"/>
              <w:bottom w:w="72" w:type="dxa"/>
              <w:right w:w="144" w:type="dxa"/>
            </w:tcMar>
            <w:vAlign w:val="center"/>
            <w:hideMark/>
          </w:tcPr>
          <w:p w14:paraId="25B264A7"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2016, BB(</w:t>
            </w:r>
            <w:proofErr w:type="spellStart"/>
            <w:r w:rsidRPr="00F30FD1">
              <w:rPr>
                <w:rFonts w:eastAsia="Calibri" w:cs="Calibri"/>
                <w:sz w:val="20"/>
                <w:szCs w:val="22"/>
              </w:rPr>
              <w:t>mex</w:t>
            </w:r>
            <w:proofErr w:type="spellEnd"/>
            <w:r w:rsidRPr="00F30FD1">
              <w:rPr>
                <w:rFonts w:eastAsia="Calibri" w:cs="Calibri"/>
                <w:sz w:val="20"/>
                <w:szCs w:val="22"/>
              </w:rPr>
              <w:t>) Estable</w:t>
            </w:r>
          </w:p>
        </w:tc>
      </w:tr>
    </w:tbl>
    <w:p w14:paraId="7C8C18FC" w14:textId="77777777" w:rsidR="00BC7B87" w:rsidRPr="00F30FD1" w:rsidRDefault="00BC7B87" w:rsidP="00BC7B87">
      <w:pPr>
        <w:spacing w:after="0" w:line="240" w:lineRule="auto"/>
        <w:jc w:val="left"/>
        <w:rPr>
          <w:rFonts w:eastAsia="Calibri" w:cs="Calibri"/>
          <w:color w:val="595959"/>
          <w:sz w:val="16"/>
          <w:szCs w:val="16"/>
        </w:rPr>
      </w:pPr>
    </w:p>
    <w:p w14:paraId="019539F1" w14:textId="76706E69" w:rsidR="005B3F76" w:rsidRPr="00F30FD1" w:rsidRDefault="005B3F76" w:rsidP="00BC7B87">
      <w:pPr>
        <w:spacing w:after="0" w:line="240" w:lineRule="auto"/>
        <w:jc w:val="left"/>
        <w:rPr>
          <w:rFonts w:eastAsia="Calibri" w:cs="Calibri"/>
          <w:color w:val="595959"/>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873"/>
        <w:gridCol w:w="7962"/>
      </w:tblGrid>
      <w:tr w:rsidR="00BC7B87" w:rsidRPr="00F30FD1" w14:paraId="782C1DC5" w14:textId="77777777" w:rsidTr="00BC7B87">
        <w:trPr>
          <w:trHeight w:val="283"/>
        </w:trPr>
        <w:tc>
          <w:tcPr>
            <w:tcW w:w="952" w:type="pct"/>
            <w:shd w:val="clear" w:color="auto" w:fill="BFBFBF" w:themeFill="background1" w:themeFillShade="BF"/>
            <w:tcMar>
              <w:top w:w="72" w:type="dxa"/>
              <w:left w:w="144" w:type="dxa"/>
              <w:bottom w:w="72" w:type="dxa"/>
              <w:right w:w="144" w:type="dxa"/>
            </w:tcMar>
            <w:hideMark/>
          </w:tcPr>
          <w:p w14:paraId="6B36AB85" w14:textId="77777777" w:rsidR="00BC7B87" w:rsidRPr="00F30FD1" w:rsidRDefault="00BC7B87" w:rsidP="00BC7B87">
            <w:pPr>
              <w:spacing w:after="0" w:line="240" w:lineRule="auto"/>
              <w:rPr>
                <w:rFonts w:eastAsia="Calibri" w:cs="Calibri"/>
                <w:b/>
                <w:sz w:val="20"/>
                <w:szCs w:val="22"/>
              </w:rPr>
            </w:pPr>
            <w:r w:rsidRPr="00F30FD1">
              <w:rPr>
                <w:rFonts w:eastAsia="Calibri" w:cs="Calibri"/>
                <w:b/>
                <w:sz w:val="20"/>
                <w:szCs w:val="22"/>
              </w:rPr>
              <w:t>Elemento</w:t>
            </w:r>
          </w:p>
        </w:tc>
        <w:tc>
          <w:tcPr>
            <w:tcW w:w="4048" w:type="pct"/>
            <w:shd w:val="clear" w:color="auto" w:fill="BFBFBF" w:themeFill="background1" w:themeFillShade="BF"/>
            <w:tcMar>
              <w:top w:w="72" w:type="dxa"/>
              <w:left w:w="144" w:type="dxa"/>
              <w:bottom w:w="72" w:type="dxa"/>
              <w:right w:w="144" w:type="dxa"/>
            </w:tcMar>
            <w:hideMark/>
          </w:tcPr>
          <w:p w14:paraId="2B5F0ABF" w14:textId="77777777" w:rsidR="00BC7B87" w:rsidRPr="00F30FD1" w:rsidRDefault="00BC7B87" w:rsidP="00BC7B87">
            <w:pPr>
              <w:spacing w:after="0" w:line="240" w:lineRule="auto"/>
              <w:rPr>
                <w:rFonts w:eastAsia="Calibri" w:cs="Calibri"/>
                <w:b/>
                <w:sz w:val="20"/>
                <w:szCs w:val="22"/>
              </w:rPr>
            </w:pPr>
            <w:r w:rsidRPr="00F30FD1">
              <w:rPr>
                <w:rFonts w:eastAsia="Calibri" w:cs="Calibri"/>
                <w:b/>
                <w:sz w:val="20"/>
                <w:szCs w:val="22"/>
              </w:rPr>
              <w:t>Características</w:t>
            </w:r>
          </w:p>
        </w:tc>
      </w:tr>
      <w:tr w:rsidR="00BC7B87" w:rsidRPr="00F30FD1" w14:paraId="3D3FBAA1"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4F7F0D58"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Indicador:</w:t>
            </w:r>
          </w:p>
        </w:tc>
        <w:tc>
          <w:tcPr>
            <w:tcW w:w="4048" w:type="pct"/>
            <w:shd w:val="clear" w:color="auto" w:fill="FFFFFF" w:themeFill="background1"/>
            <w:tcMar>
              <w:top w:w="72" w:type="dxa"/>
              <w:left w:w="144" w:type="dxa"/>
              <w:bottom w:w="72" w:type="dxa"/>
              <w:right w:w="144" w:type="dxa"/>
            </w:tcMar>
            <w:vAlign w:val="center"/>
            <w:hideMark/>
          </w:tcPr>
          <w:p w14:paraId="582FCFB2"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Posición estatal en el  Índice General de Avance en PbR-SED Entidades</w:t>
            </w:r>
          </w:p>
        </w:tc>
      </w:tr>
      <w:tr w:rsidR="00BC7B87" w:rsidRPr="00F30FD1" w14:paraId="74245629" w14:textId="77777777" w:rsidTr="005C696C">
        <w:trPr>
          <w:trHeight w:val="283"/>
        </w:trPr>
        <w:tc>
          <w:tcPr>
            <w:tcW w:w="952" w:type="pct"/>
            <w:shd w:val="clear" w:color="auto" w:fill="FFFFFF" w:themeFill="background1"/>
            <w:tcMar>
              <w:top w:w="72" w:type="dxa"/>
              <w:left w:w="144" w:type="dxa"/>
              <w:bottom w:w="72" w:type="dxa"/>
              <w:right w:w="144" w:type="dxa"/>
            </w:tcMar>
            <w:vAlign w:val="center"/>
          </w:tcPr>
          <w:p w14:paraId="50E77998"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Objetivo PED:</w:t>
            </w:r>
          </w:p>
        </w:tc>
        <w:tc>
          <w:tcPr>
            <w:tcW w:w="4048" w:type="pct"/>
            <w:shd w:val="clear" w:color="auto" w:fill="FFFFFF" w:themeFill="background1"/>
            <w:tcMar>
              <w:top w:w="72" w:type="dxa"/>
              <w:left w:w="144" w:type="dxa"/>
              <w:bottom w:w="72" w:type="dxa"/>
              <w:right w:w="144" w:type="dxa"/>
            </w:tcMar>
            <w:vAlign w:val="center"/>
          </w:tcPr>
          <w:p w14:paraId="5B30A485" w14:textId="77777777" w:rsidR="00BC7B87" w:rsidRPr="00F30FD1" w:rsidRDefault="00BC7B87" w:rsidP="005C696C">
            <w:pPr>
              <w:spacing w:after="0" w:line="240" w:lineRule="auto"/>
              <w:rPr>
                <w:rFonts w:eastAsia="Calibri" w:cs="Calibri"/>
                <w:sz w:val="20"/>
                <w:szCs w:val="22"/>
              </w:rPr>
            </w:pPr>
            <w:r w:rsidRPr="00F30FD1">
              <w:rPr>
                <w:rFonts w:eastAsia="Calibri" w:cs="Calibri"/>
                <w:sz w:val="20"/>
                <w:szCs w:val="22"/>
              </w:rPr>
              <w:t>Administrar gerencialmente la deuda pública a fin de que, gradualmente, se tengan finanzas públicas sanas que posibiliten capitalizar las acciones estratégicas del gobierno establecidas en el Plan Estatal de Desarrollo.</w:t>
            </w:r>
          </w:p>
        </w:tc>
      </w:tr>
      <w:tr w:rsidR="00BC7B87" w:rsidRPr="00F30FD1" w14:paraId="59D455D5" w14:textId="77777777" w:rsidTr="005C696C">
        <w:trPr>
          <w:trHeight w:val="283"/>
        </w:trPr>
        <w:tc>
          <w:tcPr>
            <w:tcW w:w="952" w:type="pct"/>
            <w:shd w:val="clear" w:color="auto" w:fill="FFFFFF" w:themeFill="background1"/>
            <w:tcMar>
              <w:top w:w="72" w:type="dxa"/>
              <w:left w:w="144" w:type="dxa"/>
              <w:bottom w:w="72" w:type="dxa"/>
              <w:right w:w="144" w:type="dxa"/>
            </w:tcMar>
            <w:vAlign w:val="center"/>
            <w:hideMark/>
          </w:tcPr>
          <w:p w14:paraId="310A468D" w14:textId="77777777" w:rsidR="00BC7B87" w:rsidRPr="00F30FD1" w:rsidRDefault="00BC7B87" w:rsidP="005C696C">
            <w:pPr>
              <w:spacing w:after="0" w:line="240" w:lineRule="auto"/>
              <w:rPr>
                <w:rFonts w:eastAsia="Calibri" w:cs="Calibri"/>
                <w:sz w:val="20"/>
                <w:szCs w:val="22"/>
              </w:rPr>
            </w:pPr>
            <w:r w:rsidRPr="00F30FD1">
              <w:rPr>
                <w:rFonts w:eastAsia="Calibri" w:cs="Calibri"/>
                <w:sz w:val="20"/>
                <w:szCs w:val="22"/>
              </w:rPr>
              <w:t>Descripción:</w:t>
            </w:r>
          </w:p>
        </w:tc>
        <w:tc>
          <w:tcPr>
            <w:tcW w:w="4048" w:type="pct"/>
            <w:shd w:val="clear" w:color="auto" w:fill="FFFFFF" w:themeFill="background1"/>
            <w:tcMar>
              <w:top w:w="72" w:type="dxa"/>
              <w:left w:w="144" w:type="dxa"/>
              <w:bottom w:w="72" w:type="dxa"/>
              <w:right w:w="144" w:type="dxa"/>
            </w:tcMar>
            <w:vAlign w:val="center"/>
            <w:hideMark/>
          </w:tcPr>
          <w:p w14:paraId="72415906" w14:textId="77777777" w:rsidR="00BC7B87" w:rsidRPr="00F30FD1" w:rsidRDefault="00BC7B87" w:rsidP="005C696C">
            <w:pPr>
              <w:spacing w:after="0" w:line="240" w:lineRule="auto"/>
              <w:rPr>
                <w:rFonts w:eastAsia="Calibri" w:cs="Calibri"/>
                <w:sz w:val="20"/>
                <w:szCs w:val="22"/>
              </w:rPr>
            </w:pPr>
            <w:r w:rsidRPr="00F30FD1">
              <w:rPr>
                <w:rFonts w:eastAsia="Calibri" w:cs="Calibri"/>
                <w:sz w:val="20"/>
                <w:szCs w:val="22"/>
              </w:rPr>
              <w:t>La Secretaría de Hacienda y Crédito Público, en coordinación con los gobiernos de las 32 entidades federativas y de 62 municipios y dos demarcaciones territoriales de la Ciudad de México, realiza el Diagnóstico que permite conocer el avance alcanzado, en la implantación y operación del Presupuesto Basado en Resultados (PbR) y del Sistema de Evaluación del Desempeño (SED), en cumplimiento al artículo 80 de la Ley General de Contabilidad Gubernamental.</w:t>
            </w:r>
          </w:p>
          <w:p w14:paraId="50013829" w14:textId="77777777" w:rsidR="00BC7B87" w:rsidRPr="00F30FD1" w:rsidRDefault="00BC7B87" w:rsidP="005C696C">
            <w:pPr>
              <w:spacing w:after="0" w:line="240" w:lineRule="auto"/>
              <w:rPr>
                <w:rFonts w:eastAsia="Calibri" w:cs="Calibri"/>
                <w:sz w:val="20"/>
                <w:szCs w:val="22"/>
              </w:rPr>
            </w:pPr>
          </w:p>
        </w:tc>
      </w:tr>
      <w:tr w:rsidR="00CA2CB8" w:rsidRPr="00F30FD1" w14:paraId="20760AD7" w14:textId="77777777" w:rsidTr="005C696C">
        <w:trPr>
          <w:trHeight w:val="283"/>
        </w:trPr>
        <w:tc>
          <w:tcPr>
            <w:tcW w:w="952" w:type="pct"/>
            <w:shd w:val="clear" w:color="auto" w:fill="FFFFFF" w:themeFill="background1"/>
            <w:tcMar>
              <w:top w:w="72" w:type="dxa"/>
              <w:left w:w="144" w:type="dxa"/>
              <w:bottom w:w="72" w:type="dxa"/>
              <w:right w:w="144" w:type="dxa"/>
            </w:tcMar>
            <w:vAlign w:val="center"/>
            <w:hideMark/>
          </w:tcPr>
          <w:p w14:paraId="41EDBD85" w14:textId="77777777"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t>Método de cálculo:</w:t>
            </w:r>
          </w:p>
        </w:tc>
        <w:tc>
          <w:tcPr>
            <w:tcW w:w="4048" w:type="pct"/>
            <w:shd w:val="clear" w:color="auto" w:fill="FFFFFF" w:themeFill="background1"/>
            <w:tcMar>
              <w:top w:w="72" w:type="dxa"/>
              <w:left w:w="144" w:type="dxa"/>
              <w:bottom w:w="72" w:type="dxa"/>
              <w:right w:w="144" w:type="dxa"/>
            </w:tcMar>
            <w:vAlign w:val="center"/>
            <w:hideMark/>
          </w:tcPr>
          <w:p w14:paraId="588C7BCB" w14:textId="1DC4F9D0"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t xml:space="preserve">Dicho Diagnóstico se calcula elaborando un ranking entre las 32 entidades federativas de acuerdo con el alcance en el cumplimiento de las distintas secciones que conforman la herramienta del Presupuesto basado en Resultados (PbR), de acuerdo con la calificación obtenida en cada rubro se realiza un promedio que permite colocar a la entidad en cuestión dentro del ranking de 1 a 32, siendo 32 la posición menos favorable y 1 la posición deseada a alcanzar. </w:t>
            </w:r>
          </w:p>
        </w:tc>
      </w:tr>
      <w:tr w:rsidR="00CA2CB8" w:rsidRPr="00F30FD1" w14:paraId="12BB3EC1" w14:textId="77777777" w:rsidTr="005C696C">
        <w:trPr>
          <w:trHeight w:val="283"/>
        </w:trPr>
        <w:tc>
          <w:tcPr>
            <w:tcW w:w="952" w:type="pct"/>
            <w:shd w:val="clear" w:color="auto" w:fill="FFFFFF" w:themeFill="background1"/>
            <w:tcMar>
              <w:top w:w="72" w:type="dxa"/>
              <w:left w:w="144" w:type="dxa"/>
              <w:bottom w:w="72" w:type="dxa"/>
              <w:right w:w="144" w:type="dxa"/>
            </w:tcMar>
            <w:vAlign w:val="center"/>
            <w:hideMark/>
          </w:tcPr>
          <w:p w14:paraId="6B8AA9C0" w14:textId="77777777"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t>Periodicidad:</w:t>
            </w:r>
          </w:p>
        </w:tc>
        <w:tc>
          <w:tcPr>
            <w:tcW w:w="4048" w:type="pct"/>
            <w:shd w:val="clear" w:color="auto" w:fill="FFFFFF" w:themeFill="background1"/>
            <w:tcMar>
              <w:top w:w="72" w:type="dxa"/>
              <w:left w:w="144" w:type="dxa"/>
              <w:bottom w:w="72" w:type="dxa"/>
              <w:right w:w="144" w:type="dxa"/>
            </w:tcMar>
            <w:vAlign w:val="center"/>
            <w:hideMark/>
          </w:tcPr>
          <w:p w14:paraId="419F2E2D" w14:textId="0F839615"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t>Anual</w:t>
            </w:r>
          </w:p>
        </w:tc>
      </w:tr>
      <w:tr w:rsidR="00CA2CB8" w:rsidRPr="00F30FD1" w14:paraId="1312B8C5" w14:textId="77777777" w:rsidTr="005C696C">
        <w:trPr>
          <w:trHeight w:val="283"/>
        </w:trPr>
        <w:tc>
          <w:tcPr>
            <w:tcW w:w="952" w:type="pct"/>
            <w:shd w:val="clear" w:color="auto" w:fill="FFFFFF" w:themeFill="background1"/>
            <w:tcMar>
              <w:top w:w="72" w:type="dxa"/>
              <w:left w:w="144" w:type="dxa"/>
              <w:bottom w:w="72" w:type="dxa"/>
              <w:right w:w="144" w:type="dxa"/>
            </w:tcMar>
            <w:vAlign w:val="center"/>
            <w:hideMark/>
          </w:tcPr>
          <w:p w14:paraId="346333C0" w14:textId="77777777"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lastRenderedPageBreak/>
              <w:t>Fuente:</w:t>
            </w:r>
          </w:p>
        </w:tc>
        <w:tc>
          <w:tcPr>
            <w:tcW w:w="4048" w:type="pct"/>
            <w:shd w:val="clear" w:color="auto" w:fill="FFFFFF" w:themeFill="background1"/>
            <w:tcMar>
              <w:top w:w="72" w:type="dxa"/>
              <w:left w:w="144" w:type="dxa"/>
              <w:bottom w:w="72" w:type="dxa"/>
              <w:right w:w="144" w:type="dxa"/>
            </w:tcMar>
            <w:vAlign w:val="center"/>
            <w:hideMark/>
          </w:tcPr>
          <w:p w14:paraId="5CC52B15" w14:textId="0BBACE95"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t>Secretaria de Hacienda y Crédito Público.</w:t>
            </w:r>
          </w:p>
        </w:tc>
      </w:tr>
      <w:tr w:rsidR="00CA2CB8" w:rsidRPr="00F30FD1" w14:paraId="03E20B1E" w14:textId="77777777" w:rsidTr="005C696C">
        <w:trPr>
          <w:trHeight w:val="283"/>
        </w:trPr>
        <w:tc>
          <w:tcPr>
            <w:tcW w:w="952" w:type="pct"/>
            <w:shd w:val="clear" w:color="auto" w:fill="FFFFFF" w:themeFill="background1"/>
            <w:tcMar>
              <w:top w:w="72" w:type="dxa"/>
              <w:left w:w="144" w:type="dxa"/>
              <w:bottom w:w="72" w:type="dxa"/>
              <w:right w:w="144" w:type="dxa"/>
            </w:tcMar>
            <w:vAlign w:val="center"/>
            <w:hideMark/>
          </w:tcPr>
          <w:p w14:paraId="504725DF" w14:textId="77777777"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t>Dimensión:</w:t>
            </w:r>
          </w:p>
        </w:tc>
        <w:tc>
          <w:tcPr>
            <w:tcW w:w="4048" w:type="pct"/>
            <w:shd w:val="clear" w:color="auto" w:fill="FFFFFF" w:themeFill="background1"/>
            <w:tcMar>
              <w:top w:w="72" w:type="dxa"/>
              <w:left w:w="144" w:type="dxa"/>
              <w:bottom w:w="72" w:type="dxa"/>
              <w:right w:w="144" w:type="dxa"/>
            </w:tcMar>
            <w:vAlign w:val="center"/>
            <w:hideMark/>
          </w:tcPr>
          <w:p w14:paraId="5484C0B7" w14:textId="7CB788D2"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t>Eficacia</w:t>
            </w:r>
          </w:p>
        </w:tc>
      </w:tr>
      <w:tr w:rsidR="00CA2CB8" w:rsidRPr="00F30FD1" w14:paraId="5F31782D" w14:textId="77777777" w:rsidTr="00BC7B87">
        <w:trPr>
          <w:trHeight w:val="283"/>
        </w:trPr>
        <w:tc>
          <w:tcPr>
            <w:tcW w:w="952" w:type="pct"/>
            <w:shd w:val="clear" w:color="auto" w:fill="FFFFFF" w:themeFill="background1"/>
            <w:tcMar>
              <w:top w:w="72" w:type="dxa"/>
              <w:left w:w="144" w:type="dxa"/>
              <w:bottom w:w="72" w:type="dxa"/>
              <w:right w:w="144" w:type="dxa"/>
            </w:tcMar>
            <w:vAlign w:val="center"/>
            <w:hideMark/>
          </w:tcPr>
          <w:p w14:paraId="11D14130" w14:textId="77777777"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t>Referencias adicionales:</w:t>
            </w:r>
          </w:p>
        </w:tc>
        <w:tc>
          <w:tcPr>
            <w:tcW w:w="4048" w:type="pct"/>
            <w:shd w:val="clear" w:color="auto" w:fill="FFFFFF" w:themeFill="background1"/>
            <w:tcMar>
              <w:top w:w="72" w:type="dxa"/>
              <w:left w:w="144" w:type="dxa"/>
              <w:bottom w:w="72" w:type="dxa"/>
              <w:right w:w="144" w:type="dxa"/>
            </w:tcMar>
            <w:vAlign w:val="center"/>
            <w:hideMark/>
          </w:tcPr>
          <w:p w14:paraId="23BE8643" w14:textId="2808DC4C" w:rsidR="00CA2CB8" w:rsidRPr="00F30FD1" w:rsidRDefault="00CA2CB8" w:rsidP="00CA2CB8">
            <w:pPr>
              <w:spacing w:after="0" w:line="240" w:lineRule="auto"/>
              <w:rPr>
                <w:rFonts w:eastAsia="Calibri" w:cs="Calibri"/>
                <w:sz w:val="20"/>
                <w:szCs w:val="22"/>
              </w:rPr>
            </w:pPr>
            <w:r w:rsidRPr="00F30FD1">
              <w:rPr>
                <w:rFonts w:eastAsia="Calibri" w:cs="Calibri"/>
                <w:sz w:val="20"/>
                <w:szCs w:val="22"/>
              </w:rPr>
              <w:t>Transparencia Presupuestaria SHCP</w:t>
            </w:r>
          </w:p>
        </w:tc>
      </w:tr>
    </w:tbl>
    <w:p w14:paraId="298CC0EF" w14:textId="77777777" w:rsidR="00BC7B87" w:rsidRPr="00F30FD1" w:rsidRDefault="00BC7B87" w:rsidP="00BC7B87">
      <w:pPr>
        <w:spacing w:after="0" w:line="240" w:lineRule="auto"/>
        <w:jc w:val="left"/>
        <w:rPr>
          <w:rFonts w:eastAsia="Times New Roman" w:cs="Times New Roman"/>
          <w:b/>
          <w:bCs/>
          <w:caps/>
          <w:sz w:val="32"/>
          <w:szCs w:val="28"/>
          <w:lang w:val="es-MX" w:eastAsia="en-US"/>
        </w:rPr>
      </w:pPr>
      <w:r w:rsidRPr="00F30FD1">
        <w:br w:type="page"/>
      </w:r>
    </w:p>
    <w:p w14:paraId="17D25024" w14:textId="77777777" w:rsidR="00BC7B87" w:rsidRPr="00F30FD1" w:rsidRDefault="00BC7B87" w:rsidP="00BC7B87">
      <w:pPr>
        <w:pStyle w:val="Ttulo1"/>
      </w:pPr>
      <w:r w:rsidRPr="00F30FD1">
        <w:lastRenderedPageBreak/>
        <w:t>Anexo 2. Fichas de Indicadores del Programa</w:t>
      </w:r>
    </w:p>
    <w:p w14:paraId="4C41610E" w14:textId="7E2F108F" w:rsidR="00BC7B87" w:rsidRPr="00F30FD1" w:rsidRDefault="00BC7B87" w:rsidP="00BC7B87">
      <w:pPr>
        <w:pStyle w:val="Ttulo1"/>
        <w:rPr>
          <w:rFonts w:eastAsia="Calibri" w:cs="Calibri"/>
          <w:color w:val="595959"/>
          <w:sz w:val="16"/>
          <w:szCs w:val="16"/>
        </w:rPr>
      </w:pPr>
      <w:r w:rsidRPr="00F30FD1">
        <w:rPr>
          <w:sz w:val="18"/>
          <w:szCs w:val="18"/>
        </w:rPr>
        <w:t xml:space="preserve"> </w:t>
      </w:r>
    </w:p>
    <w:tbl>
      <w:tblPr>
        <w:tblW w:w="983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615"/>
      </w:tblGrid>
      <w:tr w:rsidR="00BC7B87" w:rsidRPr="00F30FD1" w14:paraId="6BE77166" w14:textId="77777777" w:rsidTr="00BC7B87">
        <w:trPr>
          <w:trHeight w:val="280"/>
        </w:trPr>
        <w:tc>
          <w:tcPr>
            <w:tcW w:w="2220" w:type="dxa"/>
            <w:shd w:val="clear" w:color="auto" w:fill="BFBFBF"/>
            <w:tcMar>
              <w:top w:w="72" w:type="dxa"/>
              <w:left w:w="144" w:type="dxa"/>
              <w:bottom w:w="72" w:type="dxa"/>
              <w:right w:w="144" w:type="dxa"/>
            </w:tcMar>
          </w:tcPr>
          <w:p w14:paraId="03353938" w14:textId="77777777" w:rsidR="00BC7B87" w:rsidRPr="00F30FD1" w:rsidRDefault="00BC7B87" w:rsidP="00BC7B87">
            <w:pPr>
              <w:spacing w:after="0" w:line="240" w:lineRule="auto"/>
              <w:rPr>
                <w:rFonts w:eastAsia="Calibri" w:cs="Calibri"/>
                <w:b/>
                <w:sz w:val="20"/>
                <w:szCs w:val="22"/>
              </w:rPr>
            </w:pPr>
            <w:r w:rsidRPr="00F30FD1">
              <w:rPr>
                <w:rFonts w:eastAsia="Calibri" w:cs="Calibri"/>
                <w:b/>
                <w:sz w:val="20"/>
                <w:szCs w:val="22"/>
              </w:rPr>
              <w:t>Elemento</w:t>
            </w:r>
          </w:p>
        </w:tc>
        <w:tc>
          <w:tcPr>
            <w:tcW w:w="7615" w:type="dxa"/>
            <w:shd w:val="clear" w:color="auto" w:fill="BFBFBF"/>
            <w:tcMar>
              <w:top w:w="72" w:type="dxa"/>
              <w:left w:w="144" w:type="dxa"/>
              <w:bottom w:w="72" w:type="dxa"/>
              <w:right w:w="144" w:type="dxa"/>
            </w:tcMar>
          </w:tcPr>
          <w:p w14:paraId="2BE0D8BC" w14:textId="77777777" w:rsidR="00BC7B87" w:rsidRPr="00F30FD1" w:rsidRDefault="00BC7B87" w:rsidP="00BC7B87">
            <w:pPr>
              <w:spacing w:after="0" w:line="240" w:lineRule="auto"/>
              <w:rPr>
                <w:rFonts w:eastAsia="Calibri" w:cs="Calibri"/>
                <w:b/>
                <w:sz w:val="20"/>
                <w:szCs w:val="22"/>
              </w:rPr>
            </w:pPr>
            <w:r w:rsidRPr="00F30FD1">
              <w:rPr>
                <w:rFonts w:eastAsia="Calibri" w:cs="Calibri"/>
                <w:b/>
                <w:sz w:val="20"/>
                <w:szCs w:val="22"/>
              </w:rPr>
              <w:t>Características</w:t>
            </w:r>
          </w:p>
        </w:tc>
      </w:tr>
      <w:tr w:rsidR="00BC7B87" w:rsidRPr="00F30FD1" w14:paraId="74DDA41D" w14:textId="77777777" w:rsidTr="00BC7B87">
        <w:trPr>
          <w:trHeight w:val="280"/>
        </w:trPr>
        <w:tc>
          <w:tcPr>
            <w:tcW w:w="2220" w:type="dxa"/>
            <w:shd w:val="clear" w:color="auto" w:fill="FFFFFF"/>
            <w:tcMar>
              <w:top w:w="72" w:type="dxa"/>
              <w:left w:w="144" w:type="dxa"/>
              <w:bottom w:w="72" w:type="dxa"/>
              <w:right w:w="144" w:type="dxa"/>
            </w:tcMar>
          </w:tcPr>
          <w:p w14:paraId="28F64360"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Indicador:</w:t>
            </w:r>
          </w:p>
        </w:tc>
        <w:tc>
          <w:tcPr>
            <w:tcW w:w="7615" w:type="dxa"/>
            <w:shd w:val="clear" w:color="auto" w:fill="FFFFFF"/>
            <w:tcMar>
              <w:top w:w="72" w:type="dxa"/>
              <w:left w:w="144" w:type="dxa"/>
              <w:bottom w:w="72" w:type="dxa"/>
              <w:right w:w="144" w:type="dxa"/>
            </w:tcMar>
          </w:tcPr>
          <w:p w14:paraId="0A839451" w14:textId="0DC46B0D" w:rsidR="00BC7B87" w:rsidRPr="00F30FD1" w:rsidRDefault="00F0211A" w:rsidP="00F0211A">
            <w:pPr>
              <w:spacing w:after="0" w:line="240" w:lineRule="auto"/>
              <w:rPr>
                <w:rFonts w:eastAsia="Calibri" w:cs="Calibri"/>
                <w:sz w:val="20"/>
                <w:szCs w:val="22"/>
              </w:rPr>
            </w:pPr>
            <w:r w:rsidRPr="00F30FD1">
              <w:rPr>
                <w:rFonts w:eastAsia="Calibri" w:cs="Calibri"/>
                <w:sz w:val="20"/>
                <w:szCs w:val="22"/>
              </w:rPr>
              <w:t xml:space="preserve">Índice de Capacidad de Generar Ingresos </w:t>
            </w:r>
          </w:p>
        </w:tc>
      </w:tr>
      <w:tr w:rsidR="00BC7B87" w:rsidRPr="00F30FD1" w14:paraId="559822FF" w14:textId="77777777" w:rsidTr="00BC7B87">
        <w:trPr>
          <w:trHeight w:val="280"/>
        </w:trPr>
        <w:tc>
          <w:tcPr>
            <w:tcW w:w="2220" w:type="dxa"/>
            <w:shd w:val="clear" w:color="auto" w:fill="FFFFFF"/>
            <w:tcMar>
              <w:top w:w="72" w:type="dxa"/>
              <w:left w:w="144" w:type="dxa"/>
              <w:bottom w:w="72" w:type="dxa"/>
              <w:right w:w="144" w:type="dxa"/>
            </w:tcMar>
          </w:tcPr>
          <w:p w14:paraId="75EDF1AE"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Objetivo/Estrategia:</w:t>
            </w:r>
          </w:p>
        </w:tc>
        <w:tc>
          <w:tcPr>
            <w:tcW w:w="7615" w:type="dxa"/>
            <w:shd w:val="clear" w:color="auto" w:fill="FFFFFF"/>
            <w:tcMar>
              <w:top w:w="72" w:type="dxa"/>
              <w:left w:w="144" w:type="dxa"/>
              <w:bottom w:w="72" w:type="dxa"/>
              <w:right w:w="144" w:type="dxa"/>
            </w:tcMar>
          </w:tcPr>
          <w:p w14:paraId="445D97DF" w14:textId="7827A8FC" w:rsidR="00BC7B87" w:rsidRPr="00F30FD1" w:rsidRDefault="007A610C" w:rsidP="00BC7B87">
            <w:pPr>
              <w:spacing w:after="0" w:line="240" w:lineRule="auto"/>
              <w:rPr>
                <w:rFonts w:eastAsia="Calibri" w:cs="Calibri"/>
                <w:sz w:val="20"/>
                <w:szCs w:val="22"/>
              </w:rPr>
            </w:pPr>
            <w:r w:rsidRPr="00F30FD1">
              <w:rPr>
                <w:rFonts w:eastAsia="Calibri" w:cs="Calibri"/>
                <w:sz w:val="20"/>
                <w:szCs w:val="22"/>
              </w:rPr>
              <w:t xml:space="preserve">Objetivo 1.- </w:t>
            </w:r>
            <w:r w:rsidR="00F0211A" w:rsidRPr="00F30FD1">
              <w:rPr>
                <w:rFonts w:eastAsia="Calibri" w:cs="Calibri"/>
                <w:sz w:val="20"/>
                <w:szCs w:val="22"/>
              </w:rPr>
              <w:t>Aumentar los niveles de captación de ingresos propios y federales, así como renegociar las condiciones de la deuda</w:t>
            </w:r>
          </w:p>
        </w:tc>
      </w:tr>
      <w:tr w:rsidR="000B6135" w:rsidRPr="00F30FD1" w14:paraId="5E3B535F" w14:textId="77777777" w:rsidTr="00BC7B87">
        <w:trPr>
          <w:trHeight w:val="280"/>
        </w:trPr>
        <w:tc>
          <w:tcPr>
            <w:tcW w:w="2220" w:type="dxa"/>
            <w:shd w:val="clear" w:color="auto" w:fill="FFFFFF"/>
            <w:tcMar>
              <w:top w:w="72" w:type="dxa"/>
              <w:left w:w="144" w:type="dxa"/>
              <w:bottom w:w="72" w:type="dxa"/>
              <w:right w:w="144" w:type="dxa"/>
            </w:tcMar>
          </w:tcPr>
          <w:p w14:paraId="48837A6F"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Descripción:</w:t>
            </w:r>
          </w:p>
        </w:tc>
        <w:tc>
          <w:tcPr>
            <w:tcW w:w="7615" w:type="dxa"/>
            <w:shd w:val="clear" w:color="auto" w:fill="FFFFFF"/>
            <w:tcMar>
              <w:top w:w="72" w:type="dxa"/>
              <w:left w:w="144" w:type="dxa"/>
              <w:bottom w:w="72" w:type="dxa"/>
              <w:right w:w="144" w:type="dxa"/>
            </w:tcMar>
          </w:tcPr>
          <w:p w14:paraId="699654B7"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El Indicador Compuesto de Capacidad de Generar Ingresos (ICGI) es un índice con el cual se mide la dependencia de los estados con respecto a los recursos que reciben de la Federación. En este índice se presta mucha atención a la proporción de los ingresos que los estados obtienen vía impuestos y los recursos no tributarios en el total de su captación de ingresos de libre disposición. Para la construcción del ICGI se requiere la elaboración de cinco indicadores simples.</w:t>
            </w:r>
          </w:p>
          <w:p w14:paraId="473CF1F5" w14:textId="77777777" w:rsidR="000B6135" w:rsidRPr="00F30FD1" w:rsidRDefault="000B6135" w:rsidP="000B6135">
            <w:pPr>
              <w:spacing w:after="0" w:line="240" w:lineRule="auto"/>
              <w:rPr>
                <w:rFonts w:eastAsia="Calibri" w:cs="Calibri"/>
                <w:sz w:val="20"/>
                <w:szCs w:val="22"/>
              </w:rPr>
            </w:pPr>
          </w:p>
          <w:p w14:paraId="081B190D"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 xml:space="preserve"> a) El indicador de autonomía financiera </w:t>
            </w:r>
          </w:p>
          <w:p w14:paraId="129CC16C"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 xml:space="preserve">b) El indicador de capacidad fiscal </w:t>
            </w:r>
          </w:p>
          <w:p w14:paraId="22B4FA78"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 xml:space="preserve">c) El indicador de esfuerzo fiscal </w:t>
            </w:r>
          </w:p>
          <w:p w14:paraId="13F983D8"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 xml:space="preserve">d) La dependencia fiscal </w:t>
            </w:r>
          </w:p>
          <w:p w14:paraId="76FCE071" w14:textId="6643BC6D"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 xml:space="preserve">e) El esfuerzo tributario </w:t>
            </w:r>
          </w:p>
        </w:tc>
      </w:tr>
      <w:tr w:rsidR="000B6135" w:rsidRPr="00F30FD1" w14:paraId="1738CB06" w14:textId="77777777" w:rsidTr="00BC7B87">
        <w:trPr>
          <w:trHeight w:val="280"/>
        </w:trPr>
        <w:tc>
          <w:tcPr>
            <w:tcW w:w="2220" w:type="dxa"/>
            <w:shd w:val="clear" w:color="auto" w:fill="FFFFFF"/>
            <w:tcMar>
              <w:top w:w="72" w:type="dxa"/>
              <w:left w:w="144" w:type="dxa"/>
              <w:bottom w:w="72" w:type="dxa"/>
              <w:right w:w="144" w:type="dxa"/>
            </w:tcMar>
          </w:tcPr>
          <w:p w14:paraId="24FA5B2D"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Método de cálculo:</w:t>
            </w:r>
          </w:p>
        </w:tc>
        <w:tc>
          <w:tcPr>
            <w:tcW w:w="7615" w:type="dxa"/>
            <w:shd w:val="clear" w:color="auto" w:fill="FFFFFF"/>
            <w:tcMar>
              <w:top w:w="72" w:type="dxa"/>
              <w:left w:w="144" w:type="dxa"/>
              <w:bottom w:w="72" w:type="dxa"/>
              <w:right w:w="144" w:type="dxa"/>
            </w:tcMar>
          </w:tcPr>
          <w:p w14:paraId="338883E6" w14:textId="4FA07BF6"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Fórmula establecida por Aregional</w:t>
            </w:r>
          </w:p>
        </w:tc>
      </w:tr>
      <w:tr w:rsidR="000B6135" w:rsidRPr="00F30FD1" w14:paraId="7A3CDE29" w14:textId="77777777" w:rsidTr="00BC7B87">
        <w:trPr>
          <w:trHeight w:val="280"/>
        </w:trPr>
        <w:tc>
          <w:tcPr>
            <w:tcW w:w="2220" w:type="dxa"/>
            <w:shd w:val="clear" w:color="auto" w:fill="FFFFFF"/>
            <w:tcMar>
              <w:top w:w="72" w:type="dxa"/>
              <w:left w:w="144" w:type="dxa"/>
              <w:bottom w:w="72" w:type="dxa"/>
              <w:right w:w="144" w:type="dxa"/>
            </w:tcMar>
          </w:tcPr>
          <w:p w14:paraId="78D16F0E"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Periodicidad:</w:t>
            </w:r>
          </w:p>
        </w:tc>
        <w:tc>
          <w:tcPr>
            <w:tcW w:w="7615" w:type="dxa"/>
            <w:shd w:val="clear" w:color="auto" w:fill="FFFFFF"/>
            <w:tcMar>
              <w:top w:w="72" w:type="dxa"/>
              <w:left w:w="144" w:type="dxa"/>
              <w:bottom w:w="72" w:type="dxa"/>
              <w:right w:w="144" w:type="dxa"/>
            </w:tcMar>
          </w:tcPr>
          <w:p w14:paraId="159E700A" w14:textId="5AC06874"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Anual</w:t>
            </w:r>
          </w:p>
        </w:tc>
      </w:tr>
      <w:tr w:rsidR="000B6135" w:rsidRPr="00F30FD1" w14:paraId="7132DDC3" w14:textId="77777777" w:rsidTr="00BC7B87">
        <w:trPr>
          <w:trHeight w:val="280"/>
        </w:trPr>
        <w:tc>
          <w:tcPr>
            <w:tcW w:w="2220" w:type="dxa"/>
            <w:shd w:val="clear" w:color="auto" w:fill="FFFFFF"/>
            <w:tcMar>
              <w:top w:w="72" w:type="dxa"/>
              <w:left w:w="144" w:type="dxa"/>
              <w:bottom w:w="72" w:type="dxa"/>
              <w:right w:w="144" w:type="dxa"/>
            </w:tcMar>
          </w:tcPr>
          <w:p w14:paraId="0C23C362"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Fuente:</w:t>
            </w:r>
          </w:p>
        </w:tc>
        <w:tc>
          <w:tcPr>
            <w:tcW w:w="7615" w:type="dxa"/>
            <w:shd w:val="clear" w:color="auto" w:fill="FFFFFF"/>
            <w:tcMar>
              <w:top w:w="72" w:type="dxa"/>
              <w:left w:w="144" w:type="dxa"/>
              <w:bottom w:w="72" w:type="dxa"/>
              <w:right w:w="144" w:type="dxa"/>
            </w:tcMar>
          </w:tcPr>
          <w:p w14:paraId="530B3D13" w14:textId="22740D0C"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Aregional</w:t>
            </w:r>
          </w:p>
        </w:tc>
      </w:tr>
      <w:tr w:rsidR="000B6135" w:rsidRPr="00F30FD1" w14:paraId="26814BA9" w14:textId="77777777" w:rsidTr="00BC7B87">
        <w:trPr>
          <w:trHeight w:val="280"/>
        </w:trPr>
        <w:tc>
          <w:tcPr>
            <w:tcW w:w="2220" w:type="dxa"/>
            <w:shd w:val="clear" w:color="auto" w:fill="FFFFFF"/>
            <w:tcMar>
              <w:top w:w="72" w:type="dxa"/>
              <w:left w:w="144" w:type="dxa"/>
              <w:bottom w:w="72" w:type="dxa"/>
              <w:right w:w="144" w:type="dxa"/>
            </w:tcMar>
          </w:tcPr>
          <w:p w14:paraId="47727634"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Dimensión:</w:t>
            </w:r>
          </w:p>
        </w:tc>
        <w:tc>
          <w:tcPr>
            <w:tcW w:w="7615" w:type="dxa"/>
            <w:shd w:val="clear" w:color="auto" w:fill="FFFFFF"/>
            <w:tcMar>
              <w:top w:w="72" w:type="dxa"/>
              <w:left w:w="144" w:type="dxa"/>
              <w:bottom w:w="72" w:type="dxa"/>
              <w:right w:w="144" w:type="dxa"/>
            </w:tcMar>
          </w:tcPr>
          <w:p w14:paraId="0D2D862E" w14:textId="59255635"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Eficiencia</w:t>
            </w:r>
          </w:p>
        </w:tc>
      </w:tr>
      <w:tr w:rsidR="000B6135" w:rsidRPr="00F30FD1" w14:paraId="1FDBF958" w14:textId="77777777" w:rsidTr="00BC7B87">
        <w:trPr>
          <w:trHeight w:val="160"/>
        </w:trPr>
        <w:tc>
          <w:tcPr>
            <w:tcW w:w="2220" w:type="dxa"/>
            <w:shd w:val="clear" w:color="auto" w:fill="FFFFFF"/>
            <w:tcMar>
              <w:top w:w="72" w:type="dxa"/>
              <w:left w:w="144" w:type="dxa"/>
              <w:bottom w:w="72" w:type="dxa"/>
              <w:right w:w="144" w:type="dxa"/>
            </w:tcMar>
          </w:tcPr>
          <w:p w14:paraId="494047AB" w14:textId="77777777"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Referencias adicionales:</w:t>
            </w:r>
          </w:p>
        </w:tc>
        <w:tc>
          <w:tcPr>
            <w:tcW w:w="7615" w:type="dxa"/>
            <w:shd w:val="clear" w:color="auto" w:fill="FFFFFF"/>
            <w:tcMar>
              <w:top w:w="72" w:type="dxa"/>
              <w:left w:w="144" w:type="dxa"/>
              <w:bottom w:w="72" w:type="dxa"/>
              <w:right w:w="144" w:type="dxa"/>
            </w:tcMar>
          </w:tcPr>
          <w:p w14:paraId="420A4A94" w14:textId="086908B9" w:rsidR="000B6135" w:rsidRPr="00F30FD1" w:rsidRDefault="000B6135" w:rsidP="000B6135">
            <w:pPr>
              <w:spacing w:after="0" w:line="240" w:lineRule="auto"/>
              <w:rPr>
                <w:rFonts w:eastAsia="Calibri" w:cs="Calibri"/>
                <w:sz w:val="20"/>
                <w:szCs w:val="22"/>
              </w:rPr>
            </w:pPr>
            <w:r w:rsidRPr="00F30FD1">
              <w:rPr>
                <w:rFonts w:eastAsia="Calibri" w:cs="Calibri"/>
                <w:sz w:val="20"/>
                <w:szCs w:val="22"/>
              </w:rPr>
              <w:t>Revista Aregional</w:t>
            </w:r>
          </w:p>
        </w:tc>
      </w:tr>
    </w:tbl>
    <w:p w14:paraId="026E7AED" w14:textId="77777777" w:rsidR="00457A62" w:rsidRPr="00F30FD1" w:rsidRDefault="00457A62" w:rsidP="00BC7B87">
      <w:pPr>
        <w:spacing w:after="0" w:line="240" w:lineRule="auto"/>
        <w:rPr>
          <w:rFonts w:eastAsia="Calibri" w:cs="Calibri"/>
          <w:sz w:val="20"/>
          <w:szCs w:val="22"/>
        </w:rPr>
      </w:pPr>
    </w:p>
    <w:p w14:paraId="154C3FCE" w14:textId="636E7C76" w:rsidR="00457A62" w:rsidRPr="00F30FD1" w:rsidRDefault="00457A62">
      <w:pPr>
        <w:spacing w:after="0" w:line="240" w:lineRule="auto"/>
        <w:jc w:val="left"/>
        <w:rPr>
          <w:rFonts w:eastAsia="Calibri" w:cs="Calibri"/>
          <w:sz w:val="20"/>
          <w:szCs w:val="22"/>
        </w:rPr>
      </w:pPr>
      <w:r w:rsidRPr="00F30FD1">
        <w:rPr>
          <w:rFonts w:eastAsia="Calibri" w:cs="Calibri"/>
          <w:sz w:val="20"/>
          <w:szCs w:val="22"/>
        </w:rPr>
        <w:br w:type="page"/>
      </w:r>
    </w:p>
    <w:tbl>
      <w:tblPr>
        <w:tblW w:w="983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615"/>
      </w:tblGrid>
      <w:tr w:rsidR="00F0211A" w:rsidRPr="00F30FD1" w14:paraId="459A6CA0" w14:textId="77777777" w:rsidTr="00B43376">
        <w:trPr>
          <w:trHeight w:val="280"/>
        </w:trPr>
        <w:tc>
          <w:tcPr>
            <w:tcW w:w="2220" w:type="dxa"/>
            <w:shd w:val="clear" w:color="auto" w:fill="BFBFBF"/>
            <w:tcMar>
              <w:top w:w="72" w:type="dxa"/>
              <w:left w:w="144" w:type="dxa"/>
              <w:bottom w:w="72" w:type="dxa"/>
              <w:right w:w="144" w:type="dxa"/>
            </w:tcMar>
          </w:tcPr>
          <w:p w14:paraId="4B761804" w14:textId="77777777" w:rsidR="00F0211A" w:rsidRPr="00F30FD1" w:rsidRDefault="00F0211A" w:rsidP="00B43376">
            <w:pPr>
              <w:spacing w:after="0" w:line="240" w:lineRule="auto"/>
              <w:rPr>
                <w:rFonts w:eastAsia="Calibri" w:cs="Calibri"/>
                <w:b/>
                <w:sz w:val="20"/>
                <w:szCs w:val="22"/>
              </w:rPr>
            </w:pPr>
            <w:r w:rsidRPr="00F30FD1">
              <w:rPr>
                <w:rFonts w:eastAsia="Calibri" w:cs="Calibri"/>
                <w:b/>
                <w:sz w:val="20"/>
                <w:szCs w:val="22"/>
              </w:rPr>
              <w:lastRenderedPageBreak/>
              <w:t>Elemento</w:t>
            </w:r>
          </w:p>
        </w:tc>
        <w:tc>
          <w:tcPr>
            <w:tcW w:w="7615" w:type="dxa"/>
            <w:shd w:val="clear" w:color="auto" w:fill="BFBFBF"/>
            <w:tcMar>
              <w:top w:w="72" w:type="dxa"/>
              <w:left w:w="144" w:type="dxa"/>
              <w:bottom w:w="72" w:type="dxa"/>
              <w:right w:w="144" w:type="dxa"/>
            </w:tcMar>
          </w:tcPr>
          <w:p w14:paraId="0C842C0B" w14:textId="77777777" w:rsidR="00F0211A" w:rsidRPr="00F30FD1" w:rsidRDefault="00F0211A" w:rsidP="00B43376">
            <w:pPr>
              <w:spacing w:after="0" w:line="240" w:lineRule="auto"/>
              <w:rPr>
                <w:rFonts w:eastAsia="Calibri" w:cs="Calibri"/>
                <w:b/>
                <w:sz w:val="20"/>
                <w:szCs w:val="22"/>
              </w:rPr>
            </w:pPr>
            <w:r w:rsidRPr="00F30FD1">
              <w:rPr>
                <w:rFonts w:eastAsia="Calibri" w:cs="Calibri"/>
                <w:b/>
                <w:sz w:val="20"/>
                <w:szCs w:val="22"/>
              </w:rPr>
              <w:t>Características</w:t>
            </w:r>
          </w:p>
        </w:tc>
      </w:tr>
      <w:tr w:rsidR="00F0211A" w:rsidRPr="00F30FD1" w14:paraId="4F7BBA81" w14:textId="77777777" w:rsidTr="00B43376">
        <w:trPr>
          <w:trHeight w:val="280"/>
        </w:trPr>
        <w:tc>
          <w:tcPr>
            <w:tcW w:w="2220" w:type="dxa"/>
            <w:shd w:val="clear" w:color="auto" w:fill="FFFFFF"/>
            <w:tcMar>
              <w:top w:w="72" w:type="dxa"/>
              <w:left w:w="144" w:type="dxa"/>
              <w:bottom w:w="72" w:type="dxa"/>
              <w:right w:w="144" w:type="dxa"/>
            </w:tcMar>
          </w:tcPr>
          <w:p w14:paraId="50460CAB" w14:textId="77777777" w:rsidR="00F0211A" w:rsidRPr="00F30FD1" w:rsidRDefault="00F0211A" w:rsidP="00B43376">
            <w:pPr>
              <w:spacing w:after="0" w:line="240" w:lineRule="auto"/>
              <w:rPr>
                <w:rFonts w:eastAsia="Calibri" w:cs="Calibri"/>
                <w:sz w:val="20"/>
                <w:szCs w:val="22"/>
              </w:rPr>
            </w:pPr>
            <w:r w:rsidRPr="00F30FD1">
              <w:rPr>
                <w:rFonts w:eastAsia="Calibri" w:cs="Calibri"/>
                <w:sz w:val="20"/>
                <w:szCs w:val="22"/>
              </w:rPr>
              <w:t>Indicador:</w:t>
            </w:r>
          </w:p>
        </w:tc>
        <w:tc>
          <w:tcPr>
            <w:tcW w:w="7615" w:type="dxa"/>
            <w:shd w:val="clear" w:color="auto" w:fill="FFFFFF"/>
            <w:tcMar>
              <w:top w:w="72" w:type="dxa"/>
              <w:left w:w="144" w:type="dxa"/>
              <w:bottom w:w="72" w:type="dxa"/>
              <w:right w:w="144" w:type="dxa"/>
            </w:tcMar>
          </w:tcPr>
          <w:p w14:paraId="5ECF3D9E" w14:textId="77777777" w:rsidR="00F0211A" w:rsidRPr="00F30FD1" w:rsidRDefault="00F0211A" w:rsidP="00B43376">
            <w:pPr>
              <w:spacing w:after="0" w:line="240" w:lineRule="auto"/>
              <w:rPr>
                <w:rFonts w:eastAsia="Calibri" w:cs="Calibri"/>
                <w:sz w:val="20"/>
                <w:szCs w:val="22"/>
              </w:rPr>
            </w:pPr>
            <w:r w:rsidRPr="00F30FD1">
              <w:rPr>
                <w:rFonts w:eastAsia="Calibri" w:cs="Calibri"/>
                <w:sz w:val="20"/>
                <w:szCs w:val="22"/>
              </w:rPr>
              <w:t>Porcentaje de intereses  pagados por concepto de servicio de la deuda</w:t>
            </w:r>
          </w:p>
        </w:tc>
      </w:tr>
      <w:tr w:rsidR="00F0211A" w:rsidRPr="00F30FD1" w14:paraId="67654092" w14:textId="77777777" w:rsidTr="00B43376">
        <w:trPr>
          <w:trHeight w:val="280"/>
        </w:trPr>
        <w:tc>
          <w:tcPr>
            <w:tcW w:w="2220" w:type="dxa"/>
            <w:shd w:val="clear" w:color="auto" w:fill="FFFFFF"/>
            <w:tcMar>
              <w:top w:w="72" w:type="dxa"/>
              <w:left w:w="144" w:type="dxa"/>
              <w:bottom w:w="72" w:type="dxa"/>
              <w:right w:w="144" w:type="dxa"/>
            </w:tcMar>
          </w:tcPr>
          <w:p w14:paraId="58AEB41D" w14:textId="77777777" w:rsidR="00F0211A" w:rsidRPr="00F30FD1" w:rsidRDefault="00F0211A" w:rsidP="00B43376">
            <w:pPr>
              <w:spacing w:after="0" w:line="240" w:lineRule="auto"/>
              <w:rPr>
                <w:rFonts w:eastAsia="Calibri" w:cs="Calibri"/>
                <w:sz w:val="20"/>
                <w:szCs w:val="22"/>
              </w:rPr>
            </w:pPr>
            <w:r w:rsidRPr="00F30FD1">
              <w:rPr>
                <w:rFonts w:eastAsia="Calibri" w:cs="Calibri"/>
                <w:sz w:val="20"/>
                <w:szCs w:val="22"/>
              </w:rPr>
              <w:t>Objetivo/Estrategia:</w:t>
            </w:r>
          </w:p>
        </w:tc>
        <w:tc>
          <w:tcPr>
            <w:tcW w:w="7615" w:type="dxa"/>
            <w:shd w:val="clear" w:color="auto" w:fill="FFFFFF"/>
            <w:tcMar>
              <w:top w:w="72" w:type="dxa"/>
              <w:left w:w="144" w:type="dxa"/>
              <w:bottom w:w="72" w:type="dxa"/>
              <w:right w:w="144" w:type="dxa"/>
            </w:tcMar>
          </w:tcPr>
          <w:p w14:paraId="4140A0CA" w14:textId="56F8965F" w:rsidR="00F0211A" w:rsidRPr="00F30FD1" w:rsidRDefault="007A610C" w:rsidP="00B43376">
            <w:pPr>
              <w:spacing w:after="0" w:line="240" w:lineRule="auto"/>
              <w:rPr>
                <w:rFonts w:eastAsia="Calibri" w:cs="Calibri"/>
                <w:sz w:val="20"/>
                <w:szCs w:val="22"/>
              </w:rPr>
            </w:pPr>
            <w:r w:rsidRPr="00F30FD1">
              <w:rPr>
                <w:rFonts w:eastAsia="Calibri" w:cs="Calibri"/>
                <w:sz w:val="20"/>
                <w:szCs w:val="22"/>
              </w:rPr>
              <w:t xml:space="preserve">Objetivo 1.- </w:t>
            </w:r>
            <w:r w:rsidR="00F0211A" w:rsidRPr="00F30FD1">
              <w:rPr>
                <w:rFonts w:eastAsia="Calibri" w:cs="Calibri"/>
                <w:sz w:val="20"/>
                <w:szCs w:val="22"/>
              </w:rPr>
              <w:t>Aumentar los niveles de captación de ingresos propios y federales, así como renegociar las condiciones de la deuda</w:t>
            </w:r>
          </w:p>
        </w:tc>
      </w:tr>
      <w:tr w:rsidR="00F0211A" w:rsidRPr="00F30FD1" w14:paraId="77E4A35C" w14:textId="77777777" w:rsidTr="00B43376">
        <w:trPr>
          <w:trHeight w:val="280"/>
        </w:trPr>
        <w:tc>
          <w:tcPr>
            <w:tcW w:w="2220" w:type="dxa"/>
            <w:shd w:val="clear" w:color="auto" w:fill="FFFFFF"/>
            <w:tcMar>
              <w:top w:w="72" w:type="dxa"/>
              <w:left w:w="144" w:type="dxa"/>
              <w:bottom w:w="72" w:type="dxa"/>
              <w:right w:w="144" w:type="dxa"/>
            </w:tcMar>
          </w:tcPr>
          <w:p w14:paraId="326AFD0D" w14:textId="77777777" w:rsidR="00F0211A" w:rsidRPr="00F30FD1" w:rsidRDefault="00F0211A" w:rsidP="00B43376">
            <w:pPr>
              <w:spacing w:after="0" w:line="240" w:lineRule="auto"/>
              <w:rPr>
                <w:rFonts w:eastAsia="Calibri" w:cs="Calibri"/>
                <w:sz w:val="20"/>
                <w:szCs w:val="22"/>
              </w:rPr>
            </w:pPr>
            <w:r w:rsidRPr="00F30FD1">
              <w:rPr>
                <w:rFonts w:eastAsia="Calibri" w:cs="Calibri"/>
                <w:sz w:val="20"/>
                <w:szCs w:val="22"/>
              </w:rPr>
              <w:t>Descripción:</w:t>
            </w:r>
          </w:p>
        </w:tc>
        <w:tc>
          <w:tcPr>
            <w:tcW w:w="7615" w:type="dxa"/>
            <w:shd w:val="clear" w:color="auto" w:fill="FFFFFF"/>
            <w:tcMar>
              <w:top w:w="72" w:type="dxa"/>
              <w:left w:w="144" w:type="dxa"/>
              <w:bottom w:w="72" w:type="dxa"/>
              <w:right w:w="144" w:type="dxa"/>
            </w:tcMar>
          </w:tcPr>
          <w:p w14:paraId="4D7AB7A9" w14:textId="1EFDDE64" w:rsidR="00F0211A" w:rsidRPr="00F30FD1" w:rsidRDefault="00F11AFF" w:rsidP="00B43376">
            <w:pPr>
              <w:spacing w:after="0" w:line="240" w:lineRule="auto"/>
              <w:rPr>
                <w:rFonts w:eastAsia="Calibri" w:cs="Calibri"/>
                <w:sz w:val="20"/>
                <w:szCs w:val="22"/>
              </w:rPr>
            </w:pPr>
            <w:r w:rsidRPr="00F30FD1">
              <w:rPr>
                <w:rFonts w:eastAsia="Calibri" w:cs="Calibri"/>
                <w:sz w:val="20"/>
                <w:szCs w:val="22"/>
              </w:rPr>
              <w:t>Representa el porcentaje de intereses pagados con respecto a los intereses programados por concepto d servicio de la deuda estatal.</w:t>
            </w:r>
          </w:p>
        </w:tc>
      </w:tr>
      <w:tr w:rsidR="00F0211A" w:rsidRPr="00F30FD1" w14:paraId="7429E776" w14:textId="77777777" w:rsidTr="00B43376">
        <w:trPr>
          <w:trHeight w:val="280"/>
        </w:trPr>
        <w:tc>
          <w:tcPr>
            <w:tcW w:w="2220" w:type="dxa"/>
            <w:shd w:val="clear" w:color="auto" w:fill="FFFFFF"/>
            <w:tcMar>
              <w:top w:w="72" w:type="dxa"/>
              <w:left w:w="144" w:type="dxa"/>
              <w:bottom w:w="72" w:type="dxa"/>
              <w:right w:w="144" w:type="dxa"/>
            </w:tcMar>
          </w:tcPr>
          <w:p w14:paraId="195BFFE1" w14:textId="77777777" w:rsidR="00F0211A" w:rsidRPr="00F30FD1" w:rsidRDefault="00F0211A" w:rsidP="00B43376">
            <w:pPr>
              <w:spacing w:after="0" w:line="240" w:lineRule="auto"/>
              <w:rPr>
                <w:rFonts w:eastAsia="Calibri" w:cs="Calibri"/>
                <w:sz w:val="20"/>
                <w:szCs w:val="22"/>
              </w:rPr>
            </w:pPr>
            <w:r w:rsidRPr="00F30FD1">
              <w:rPr>
                <w:rFonts w:eastAsia="Calibri" w:cs="Calibri"/>
                <w:sz w:val="20"/>
                <w:szCs w:val="22"/>
              </w:rPr>
              <w:t>Método de cálculo:</w:t>
            </w:r>
          </w:p>
        </w:tc>
        <w:tc>
          <w:tcPr>
            <w:tcW w:w="7615" w:type="dxa"/>
            <w:shd w:val="clear" w:color="auto" w:fill="FFFFFF"/>
            <w:tcMar>
              <w:top w:w="72" w:type="dxa"/>
              <w:left w:w="144" w:type="dxa"/>
              <w:bottom w:w="72" w:type="dxa"/>
              <w:right w:w="144" w:type="dxa"/>
            </w:tcMar>
          </w:tcPr>
          <w:p w14:paraId="79740D29" w14:textId="721B147A" w:rsidR="00F0211A" w:rsidRPr="00F30FD1" w:rsidRDefault="00F11AFF" w:rsidP="00B43376">
            <w:pPr>
              <w:spacing w:after="0" w:line="240" w:lineRule="auto"/>
              <w:rPr>
                <w:rFonts w:eastAsia="Calibri" w:cs="Calibri"/>
                <w:sz w:val="20"/>
                <w:szCs w:val="22"/>
              </w:rPr>
            </w:pPr>
            <w:r w:rsidRPr="00F30FD1">
              <w:rPr>
                <w:rFonts w:eastAsia="Calibri" w:cs="Calibri"/>
                <w:sz w:val="20"/>
                <w:szCs w:val="22"/>
              </w:rPr>
              <w:t>(Intereses pagados / Intereses programados)* 100</w:t>
            </w:r>
          </w:p>
        </w:tc>
      </w:tr>
      <w:tr w:rsidR="00F0211A" w:rsidRPr="00F30FD1" w14:paraId="2763234F" w14:textId="77777777" w:rsidTr="00B43376">
        <w:trPr>
          <w:trHeight w:val="280"/>
        </w:trPr>
        <w:tc>
          <w:tcPr>
            <w:tcW w:w="2220" w:type="dxa"/>
            <w:shd w:val="clear" w:color="auto" w:fill="FFFFFF"/>
            <w:tcMar>
              <w:top w:w="72" w:type="dxa"/>
              <w:left w:w="144" w:type="dxa"/>
              <w:bottom w:w="72" w:type="dxa"/>
              <w:right w:w="144" w:type="dxa"/>
            </w:tcMar>
          </w:tcPr>
          <w:p w14:paraId="06A18698" w14:textId="77777777" w:rsidR="00F0211A" w:rsidRPr="00F30FD1" w:rsidRDefault="00F0211A" w:rsidP="00B43376">
            <w:pPr>
              <w:spacing w:after="0" w:line="240" w:lineRule="auto"/>
              <w:rPr>
                <w:rFonts w:eastAsia="Calibri" w:cs="Calibri"/>
                <w:sz w:val="20"/>
                <w:szCs w:val="22"/>
              </w:rPr>
            </w:pPr>
            <w:r w:rsidRPr="00F30FD1">
              <w:rPr>
                <w:rFonts w:eastAsia="Calibri" w:cs="Calibri"/>
                <w:sz w:val="20"/>
                <w:szCs w:val="22"/>
              </w:rPr>
              <w:t>Periodicidad:</w:t>
            </w:r>
          </w:p>
        </w:tc>
        <w:tc>
          <w:tcPr>
            <w:tcW w:w="7615" w:type="dxa"/>
            <w:shd w:val="clear" w:color="auto" w:fill="FFFFFF"/>
            <w:tcMar>
              <w:top w:w="72" w:type="dxa"/>
              <w:left w:w="144" w:type="dxa"/>
              <w:bottom w:w="72" w:type="dxa"/>
              <w:right w:w="144" w:type="dxa"/>
            </w:tcMar>
          </w:tcPr>
          <w:p w14:paraId="7DB517E8" w14:textId="5DF22386" w:rsidR="00F0211A" w:rsidRPr="00F30FD1" w:rsidRDefault="00F11AFF" w:rsidP="00B43376">
            <w:pPr>
              <w:spacing w:after="0" w:line="240" w:lineRule="auto"/>
              <w:rPr>
                <w:rFonts w:eastAsia="Calibri" w:cs="Calibri"/>
                <w:sz w:val="20"/>
                <w:szCs w:val="22"/>
              </w:rPr>
            </w:pPr>
            <w:r w:rsidRPr="00F30FD1">
              <w:rPr>
                <w:rFonts w:eastAsia="Calibri" w:cs="Calibri"/>
                <w:sz w:val="20"/>
                <w:szCs w:val="22"/>
              </w:rPr>
              <w:t>Trimestral</w:t>
            </w:r>
          </w:p>
        </w:tc>
      </w:tr>
      <w:tr w:rsidR="00F0211A" w:rsidRPr="00F30FD1" w14:paraId="53AA8725" w14:textId="77777777" w:rsidTr="00B43376">
        <w:trPr>
          <w:trHeight w:val="280"/>
        </w:trPr>
        <w:tc>
          <w:tcPr>
            <w:tcW w:w="2220" w:type="dxa"/>
            <w:shd w:val="clear" w:color="auto" w:fill="FFFFFF"/>
            <w:tcMar>
              <w:top w:w="72" w:type="dxa"/>
              <w:left w:w="144" w:type="dxa"/>
              <w:bottom w:w="72" w:type="dxa"/>
              <w:right w:w="144" w:type="dxa"/>
            </w:tcMar>
          </w:tcPr>
          <w:p w14:paraId="214E4346" w14:textId="77777777" w:rsidR="00F0211A" w:rsidRPr="00F30FD1" w:rsidRDefault="00F0211A" w:rsidP="00B43376">
            <w:pPr>
              <w:spacing w:after="0" w:line="240" w:lineRule="auto"/>
              <w:rPr>
                <w:rFonts w:eastAsia="Calibri" w:cs="Calibri"/>
                <w:sz w:val="20"/>
                <w:szCs w:val="22"/>
              </w:rPr>
            </w:pPr>
            <w:r w:rsidRPr="00F30FD1">
              <w:rPr>
                <w:rFonts w:eastAsia="Calibri" w:cs="Calibri"/>
                <w:sz w:val="20"/>
                <w:szCs w:val="22"/>
              </w:rPr>
              <w:t>Fuente:</w:t>
            </w:r>
          </w:p>
        </w:tc>
        <w:tc>
          <w:tcPr>
            <w:tcW w:w="7615" w:type="dxa"/>
            <w:shd w:val="clear" w:color="auto" w:fill="FFFFFF"/>
            <w:tcMar>
              <w:top w:w="72" w:type="dxa"/>
              <w:left w:w="144" w:type="dxa"/>
              <w:bottom w:w="72" w:type="dxa"/>
              <w:right w:w="144" w:type="dxa"/>
            </w:tcMar>
          </w:tcPr>
          <w:p w14:paraId="5277A966" w14:textId="10E55BC7" w:rsidR="00F0211A" w:rsidRPr="00F30FD1" w:rsidRDefault="00F11AFF" w:rsidP="00B43376">
            <w:pPr>
              <w:spacing w:after="0" w:line="240" w:lineRule="auto"/>
              <w:rPr>
                <w:rFonts w:eastAsia="Calibri" w:cs="Calibri"/>
                <w:sz w:val="20"/>
                <w:szCs w:val="22"/>
              </w:rPr>
            </w:pPr>
            <w:r w:rsidRPr="00F30FD1">
              <w:rPr>
                <w:rFonts w:eastAsia="Calibri" w:cs="Calibri"/>
                <w:sz w:val="20"/>
                <w:szCs w:val="22"/>
              </w:rPr>
              <w:t>SEFIPLAN</w:t>
            </w:r>
          </w:p>
        </w:tc>
      </w:tr>
      <w:tr w:rsidR="00F0211A" w:rsidRPr="00F30FD1" w14:paraId="4F70A90B" w14:textId="77777777" w:rsidTr="00B43376">
        <w:trPr>
          <w:trHeight w:val="280"/>
        </w:trPr>
        <w:tc>
          <w:tcPr>
            <w:tcW w:w="2220" w:type="dxa"/>
            <w:shd w:val="clear" w:color="auto" w:fill="FFFFFF"/>
            <w:tcMar>
              <w:top w:w="72" w:type="dxa"/>
              <w:left w:w="144" w:type="dxa"/>
              <w:bottom w:w="72" w:type="dxa"/>
              <w:right w:w="144" w:type="dxa"/>
            </w:tcMar>
          </w:tcPr>
          <w:p w14:paraId="500F6F28" w14:textId="77777777" w:rsidR="00F0211A" w:rsidRPr="00F30FD1" w:rsidRDefault="00F0211A" w:rsidP="00B43376">
            <w:pPr>
              <w:spacing w:after="0" w:line="240" w:lineRule="auto"/>
              <w:rPr>
                <w:rFonts w:eastAsia="Calibri" w:cs="Calibri"/>
                <w:sz w:val="20"/>
                <w:szCs w:val="22"/>
              </w:rPr>
            </w:pPr>
            <w:r w:rsidRPr="00F30FD1">
              <w:rPr>
                <w:rFonts w:eastAsia="Calibri" w:cs="Calibri"/>
                <w:sz w:val="20"/>
                <w:szCs w:val="22"/>
              </w:rPr>
              <w:t>Dimensión:</w:t>
            </w:r>
          </w:p>
        </w:tc>
        <w:tc>
          <w:tcPr>
            <w:tcW w:w="7615" w:type="dxa"/>
            <w:shd w:val="clear" w:color="auto" w:fill="FFFFFF"/>
            <w:tcMar>
              <w:top w:w="72" w:type="dxa"/>
              <w:left w:w="144" w:type="dxa"/>
              <w:bottom w:w="72" w:type="dxa"/>
              <w:right w:w="144" w:type="dxa"/>
            </w:tcMar>
          </w:tcPr>
          <w:p w14:paraId="7B282DC4" w14:textId="1604C3A1" w:rsidR="00F0211A" w:rsidRPr="00F30FD1" w:rsidRDefault="00F11AFF" w:rsidP="00B43376">
            <w:pPr>
              <w:spacing w:after="0" w:line="240" w:lineRule="auto"/>
              <w:rPr>
                <w:rFonts w:eastAsia="Calibri" w:cs="Calibri"/>
                <w:sz w:val="20"/>
                <w:szCs w:val="22"/>
              </w:rPr>
            </w:pPr>
            <w:r w:rsidRPr="00F30FD1">
              <w:rPr>
                <w:rFonts w:eastAsia="Calibri" w:cs="Calibri"/>
                <w:sz w:val="20"/>
                <w:szCs w:val="22"/>
              </w:rPr>
              <w:t xml:space="preserve">Eficiencia </w:t>
            </w:r>
          </w:p>
        </w:tc>
      </w:tr>
    </w:tbl>
    <w:p w14:paraId="293117FE" w14:textId="5B722138" w:rsidR="00F0211A" w:rsidRPr="00F30FD1" w:rsidRDefault="00F0211A" w:rsidP="00BC7B87">
      <w:pPr>
        <w:spacing w:after="0" w:line="240" w:lineRule="auto"/>
        <w:rPr>
          <w:rFonts w:eastAsia="Calibri" w:cs="Calibri"/>
          <w:sz w:val="20"/>
          <w:szCs w:val="22"/>
        </w:rPr>
      </w:pPr>
    </w:p>
    <w:p w14:paraId="44715927" w14:textId="77777777" w:rsidR="00F0211A" w:rsidRPr="00F30FD1" w:rsidRDefault="00F0211A" w:rsidP="00BC7B87">
      <w:pPr>
        <w:spacing w:after="0" w:line="240" w:lineRule="auto"/>
        <w:rPr>
          <w:rFonts w:eastAsia="Calibri" w:cs="Calibri"/>
          <w:sz w:val="20"/>
          <w:szCs w:val="22"/>
        </w:rPr>
      </w:pPr>
    </w:p>
    <w:tbl>
      <w:tblPr>
        <w:tblW w:w="983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615"/>
      </w:tblGrid>
      <w:tr w:rsidR="00BC7B87" w:rsidRPr="00F30FD1" w14:paraId="16AC0EBC" w14:textId="77777777" w:rsidTr="00BC7B87">
        <w:trPr>
          <w:trHeight w:val="280"/>
        </w:trPr>
        <w:tc>
          <w:tcPr>
            <w:tcW w:w="2220" w:type="dxa"/>
            <w:shd w:val="clear" w:color="auto" w:fill="BFBFBF"/>
            <w:tcMar>
              <w:top w:w="72" w:type="dxa"/>
              <w:left w:w="144" w:type="dxa"/>
              <w:bottom w:w="72" w:type="dxa"/>
              <w:right w:w="144" w:type="dxa"/>
            </w:tcMar>
          </w:tcPr>
          <w:p w14:paraId="7C5E439C"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Elemento</w:t>
            </w:r>
          </w:p>
        </w:tc>
        <w:tc>
          <w:tcPr>
            <w:tcW w:w="7615" w:type="dxa"/>
            <w:shd w:val="clear" w:color="auto" w:fill="BFBFBF"/>
            <w:tcMar>
              <w:top w:w="72" w:type="dxa"/>
              <w:left w:w="144" w:type="dxa"/>
              <w:bottom w:w="72" w:type="dxa"/>
              <w:right w:w="144" w:type="dxa"/>
            </w:tcMar>
          </w:tcPr>
          <w:p w14:paraId="4754AE35"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Características</w:t>
            </w:r>
          </w:p>
        </w:tc>
      </w:tr>
      <w:tr w:rsidR="0092675A" w:rsidRPr="00F30FD1" w14:paraId="076D05FA" w14:textId="77777777" w:rsidTr="00BC7B87">
        <w:trPr>
          <w:trHeight w:val="280"/>
        </w:trPr>
        <w:tc>
          <w:tcPr>
            <w:tcW w:w="2220" w:type="dxa"/>
            <w:shd w:val="clear" w:color="auto" w:fill="FFFFFF"/>
            <w:tcMar>
              <w:top w:w="72" w:type="dxa"/>
              <w:left w:w="144" w:type="dxa"/>
              <w:bottom w:w="72" w:type="dxa"/>
              <w:right w:w="144" w:type="dxa"/>
            </w:tcMar>
          </w:tcPr>
          <w:p w14:paraId="61BDEFDA" w14:textId="11327E5F" w:rsidR="0092675A" w:rsidRPr="00F30FD1" w:rsidRDefault="0092675A" w:rsidP="00BC7B87">
            <w:pPr>
              <w:spacing w:after="0" w:line="240" w:lineRule="auto"/>
              <w:rPr>
                <w:rFonts w:eastAsia="Calibri" w:cs="Calibri"/>
                <w:sz w:val="20"/>
                <w:szCs w:val="22"/>
              </w:rPr>
            </w:pPr>
            <w:r w:rsidRPr="00F30FD1">
              <w:rPr>
                <w:rFonts w:eastAsia="Calibri" w:cs="Calibri"/>
                <w:sz w:val="20"/>
                <w:szCs w:val="22"/>
              </w:rPr>
              <w:t>Indicador :</w:t>
            </w:r>
          </w:p>
        </w:tc>
        <w:tc>
          <w:tcPr>
            <w:tcW w:w="7615" w:type="dxa"/>
            <w:shd w:val="clear" w:color="auto" w:fill="FFFFFF"/>
            <w:tcMar>
              <w:top w:w="72" w:type="dxa"/>
              <w:left w:w="144" w:type="dxa"/>
              <w:bottom w:w="72" w:type="dxa"/>
              <w:right w:w="144" w:type="dxa"/>
            </w:tcMar>
          </w:tcPr>
          <w:p w14:paraId="4EA768D1" w14:textId="3E09521B" w:rsidR="0092675A" w:rsidRPr="00F30FD1" w:rsidRDefault="0092675A" w:rsidP="0030753C">
            <w:pPr>
              <w:spacing w:after="0" w:line="240" w:lineRule="auto"/>
              <w:rPr>
                <w:rFonts w:eastAsia="Calibri" w:cs="Calibri"/>
                <w:sz w:val="20"/>
                <w:szCs w:val="22"/>
              </w:rPr>
            </w:pPr>
            <w:r w:rsidRPr="00F30FD1">
              <w:rPr>
                <w:rFonts w:eastAsia="Calibri" w:cs="Calibri"/>
                <w:sz w:val="20"/>
                <w:szCs w:val="22"/>
              </w:rPr>
              <w:t>Índice de Desempeño Financiero de las Entidades Federativas</w:t>
            </w:r>
          </w:p>
        </w:tc>
      </w:tr>
      <w:tr w:rsidR="0092675A" w:rsidRPr="00F30FD1" w14:paraId="55BB3FB3" w14:textId="77777777" w:rsidTr="00BC7B87">
        <w:trPr>
          <w:trHeight w:val="280"/>
        </w:trPr>
        <w:tc>
          <w:tcPr>
            <w:tcW w:w="2220" w:type="dxa"/>
            <w:shd w:val="clear" w:color="auto" w:fill="FFFFFF"/>
            <w:tcMar>
              <w:top w:w="72" w:type="dxa"/>
              <w:left w:w="144" w:type="dxa"/>
              <w:bottom w:w="72" w:type="dxa"/>
              <w:right w:w="144" w:type="dxa"/>
            </w:tcMar>
          </w:tcPr>
          <w:p w14:paraId="7C8AF872" w14:textId="1A753B9B" w:rsidR="0092675A" w:rsidRPr="00F30FD1" w:rsidRDefault="0092675A" w:rsidP="002C2433">
            <w:pPr>
              <w:spacing w:after="0" w:line="240" w:lineRule="auto"/>
              <w:rPr>
                <w:rFonts w:eastAsia="Calibri" w:cs="Calibri"/>
                <w:sz w:val="20"/>
                <w:szCs w:val="22"/>
              </w:rPr>
            </w:pPr>
            <w:r w:rsidRPr="00F30FD1">
              <w:rPr>
                <w:rFonts w:eastAsia="Calibri" w:cs="Calibri"/>
                <w:sz w:val="20"/>
                <w:szCs w:val="22"/>
              </w:rPr>
              <w:t>Objetivo</w:t>
            </w:r>
            <w:r w:rsidR="002C2433" w:rsidRPr="00F30FD1">
              <w:rPr>
                <w:rFonts w:eastAsia="Calibri" w:cs="Calibri"/>
                <w:sz w:val="20"/>
                <w:szCs w:val="22"/>
              </w:rPr>
              <w:t>/estrategia</w:t>
            </w:r>
            <w:r w:rsidRPr="00F30FD1">
              <w:rPr>
                <w:rFonts w:eastAsia="Calibri" w:cs="Calibri"/>
                <w:sz w:val="20"/>
                <w:szCs w:val="22"/>
              </w:rPr>
              <w:t>:</w:t>
            </w:r>
          </w:p>
        </w:tc>
        <w:tc>
          <w:tcPr>
            <w:tcW w:w="7615" w:type="dxa"/>
            <w:shd w:val="clear" w:color="auto" w:fill="FFFFFF"/>
            <w:tcMar>
              <w:top w:w="72" w:type="dxa"/>
              <w:left w:w="144" w:type="dxa"/>
              <w:bottom w:w="72" w:type="dxa"/>
              <w:right w:w="144" w:type="dxa"/>
            </w:tcMar>
          </w:tcPr>
          <w:p w14:paraId="7A6A2931" w14:textId="5FC730AA" w:rsidR="0092675A" w:rsidRPr="00F30FD1" w:rsidRDefault="00962EE4" w:rsidP="007A610C">
            <w:pPr>
              <w:spacing w:after="0" w:line="240" w:lineRule="auto"/>
              <w:rPr>
                <w:rFonts w:eastAsia="Calibri" w:cs="Calibri"/>
                <w:sz w:val="20"/>
                <w:szCs w:val="22"/>
              </w:rPr>
            </w:pPr>
            <w:r w:rsidRPr="00F30FD1">
              <w:rPr>
                <w:rFonts w:eastAsia="Calibri" w:cs="Calibri"/>
                <w:sz w:val="20"/>
                <w:szCs w:val="22"/>
              </w:rPr>
              <w:t xml:space="preserve">Estrategia 1.- </w:t>
            </w:r>
            <w:r w:rsidR="007A610C" w:rsidRPr="00F30FD1">
              <w:rPr>
                <w:rFonts w:eastAsia="Calibri" w:cs="Calibri"/>
                <w:sz w:val="20"/>
                <w:szCs w:val="22"/>
              </w:rPr>
              <w:t>Implementación de programas para incrementar el padrón de contribuyentes promoviendo la formalidad mediante estímulos y establecer acuerdos con la federación con el fin de mejorar las condiciones de los convenios existentes, así como la actualización de la plataforma estatal de información catastral y registral, así mismo la negociación permanente de mejores condiciones de financiamiento de la deuda.</w:t>
            </w:r>
          </w:p>
        </w:tc>
      </w:tr>
      <w:tr w:rsidR="0092675A" w:rsidRPr="00F30FD1" w14:paraId="0352E5D0" w14:textId="77777777" w:rsidTr="00BC7B87">
        <w:trPr>
          <w:trHeight w:val="280"/>
        </w:trPr>
        <w:tc>
          <w:tcPr>
            <w:tcW w:w="2220" w:type="dxa"/>
            <w:shd w:val="clear" w:color="auto" w:fill="FFFFFF"/>
            <w:tcMar>
              <w:top w:w="72" w:type="dxa"/>
              <w:left w:w="144" w:type="dxa"/>
              <w:bottom w:w="72" w:type="dxa"/>
              <w:right w:w="144" w:type="dxa"/>
            </w:tcMar>
          </w:tcPr>
          <w:p w14:paraId="0B879C75" w14:textId="5FBBE4EE"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Descripción:</w:t>
            </w:r>
          </w:p>
        </w:tc>
        <w:tc>
          <w:tcPr>
            <w:tcW w:w="7615" w:type="dxa"/>
            <w:shd w:val="clear" w:color="auto" w:fill="FFFFFF"/>
            <w:tcMar>
              <w:top w:w="72" w:type="dxa"/>
              <w:left w:w="144" w:type="dxa"/>
              <w:bottom w:w="72" w:type="dxa"/>
              <w:right w:w="144" w:type="dxa"/>
            </w:tcMar>
          </w:tcPr>
          <w:p w14:paraId="6C89F397" w14:textId="464A663D"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Instrumento estadístico que explica de manera sistémica las interrelaciones entre todos los componentes de las finanzas públicas de las entidades federativas. Evalúa las prácticas seguidas por los gobiernos estatales en la administración de sus finanzas públicas y realizar un análisis comparativo del desempeño de dichos gobiernos en su gestión financiera. Interrelaciona las principales variables de las entidades federativas: generación de ingresos propios, capacidad de ahorro e inversión, administración de su endeudamiento.</w:t>
            </w:r>
          </w:p>
        </w:tc>
      </w:tr>
      <w:tr w:rsidR="0092675A" w:rsidRPr="00F30FD1" w14:paraId="2FC996B4" w14:textId="77777777" w:rsidTr="00BC7B87">
        <w:trPr>
          <w:trHeight w:val="280"/>
        </w:trPr>
        <w:tc>
          <w:tcPr>
            <w:tcW w:w="2220" w:type="dxa"/>
            <w:shd w:val="clear" w:color="auto" w:fill="FFFFFF"/>
            <w:tcMar>
              <w:top w:w="72" w:type="dxa"/>
              <w:left w:w="144" w:type="dxa"/>
              <w:bottom w:w="72" w:type="dxa"/>
              <w:right w:w="144" w:type="dxa"/>
            </w:tcMar>
          </w:tcPr>
          <w:p w14:paraId="1E471D14" w14:textId="6B00A9FE"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Método de cálculo:</w:t>
            </w:r>
          </w:p>
        </w:tc>
        <w:tc>
          <w:tcPr>
            <w:tcW w:w="7615" w:type="dxa"/>
            <w:shd w:val="clear" w:color="auto" w:fill="FFFFFF"/>
            <w:tcMar>
              <w:top w:w="72" w:type="dxa"/>
              <w:left w:w="144" w:type="dxa"/>
              <w:bottom w:w="72" w:type="dxa"/>
              <w:right w:w="144" w:type="dxa"/>
            </w:tcMar>
          </w:tcPr>
          <w:p w14:paraId="29334ACE" w14:textId="138662D2"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 xml:space="preserve">Índice es una medida estadística que permite agregar una o más variables de distinta naturaleza para sintetizar la parte esencial de la información contenida. </w:t>
            </w:r>
          </w:p>
        </w:tc>
      </w:tr>
      <w:tr w:rsidR="0092675A" w:rsidRPr="00F30FD1" w14:paraId="2FBECE3C" w14:textId="77777777" w:rsidTr="00BC7B87">
        <w:trPr>
          <w:trHeight w:val="280"/>
        </w:trPr>
        <w:tc>
          <w:tcPr>
            <w:tcW w:w="2220" w:type="dxa"/>
            <w:shd w:val="clear" w:color="auto" w:fill="FFFFFF"/>
            <w:tcMar>
              <w:top w:w="72" w:type="dxa"/>
              <w:left w:w="144" w:type="dxa"/>
              <w:bottom w:w="72" w:type="dxa"/>
              <w:right w:w="144" w:type="dxa"/>
            </w:tcMar>
          </w:tcPr>
          <w:p w14:paraId="63A7575F" w14:textId="34AADCE4"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Periodicidad:</w:t>
            </w:r>
          </w:p>
        </w:tc>
        <w:tc>
          <w:tcPr>
            <w:tcW w:w="7615" w:type="dxa"/>
            <w:shd w:val="clear" w:color="auto" w:fill="FFFFFF"/>
            <w:tcMar>
              <w:top w:w="72" w:type="dxa"/>
              <w:left w:w="144" w:type="dxa"/>
              <w:bottom w:w="72" w:type="dxa"/>
              <w:right w:w="144" w:type="dxa"/>
            </w:tcMar>
          </w:tcPr>
          <w:p w14:paraId="25CFCB81" w14:textId="19E8D47F"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Anual</w:t>
            </w:r>
          </w:p>
        </w:tc>
      </w:tr>
      <w:tr w:rsidR="0092675A" w:rsidRPr="00F30FD1" w14:paraId="60C4EAF4" w14:textId="77777777" w:rsidTr="00BC7B87">
        <w:trPr>
          <w:trHeight w:val="280"/>
        </w:trPr>
        <w:tc>
          <w:tcPr>
            <w:tcW w:w="2220" w:type="dxa"/>
            <w:shd w:val="clear" w:color="auto" w:fill="FFFFFF"/>
            <w:tcMar>
              <w:top w:w="72" w:type="dxa"/>
              <w:left w:w="144" w:type="dxa"/>
              <w:bottom w:w="72" w:type="dxa"/>
              <w:right w:w="144" w:type="dxa"/>
            </w:tcMar>
          </w:tcPr>
          <w:p w14:paraId="45FA9A61" w14:textId="16913B40"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Fuente:</w:t>
            </w:r>
          </w:p>
        </w:tc>
        <w:tc>
          <w:tcPr>
            <w:tcW w:w="7615" w:type="dxa"/>
            <w:shd w:val="clear" w:color="auto" w:fill="FFFFFF"/>
            <w:tcMar>
              <w:top w:w="72" w:type="dxa"/>
              <w:left w:w="144" w:type="dxa"/>
              <w:bottom w:w="72" w:type="dxa"/>
              <w:right w:w="144" w:type="dxa"/>
            </w:tcMar>
          </w:tcPr>
          <w:p w14:paraId="3A015920" w14:textId="5C9ABAB3"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Formula</w:t>
            </w:r>
          </w:p>
        </w:tc>
      </w:tr>
      <w:tr w:rsidR="0092675A" w:rsidRPr="00F30FD1" w14:paraId="77133DF3" w14:textId="77777777" w:rsidTr="00BC7B87">
        <w:trPr>
          <w:trHeight w:val="280"/>
        </w:trPr>
        <w:tc>
          <w:tcPr>
            <w:tcW w:w="2220" w:type="dxa"/>
            <w:shd w:val="clear" w:color="auto" w:fill="FFFFFF"/>
            <w:tcMar>
              <w:top w:w="72" w:type="dxa"/>
              <w:left w:w="144" w:type="dxa"/>
              <w:bottom w:w="72" w:type="dxa"/>
              <w:right w:w="144" w:type="dxa"/>
            </w:tcMar>
          </w:tcPr>
          <w:p w14:paraId="7D7673AB" w14:textId="13C8127F"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Dimensión:</w:t>
            </w:r>
          </w:p>
        </w:tc>
        <w:tc>
          <w:tcPr>
            <w:tcW w:w="7615" w:type="dxa"/>
            <w:shd w:val="clear" w:color="auto" w:fill="FFFFFF"/>
            <w:tcMar>
              <w:top w:w="72" w:type="dxa"/>
              <w:left w:w="144" w:type="dxa"/>
              <w:bottom w:w="72" w:type="dxa"/>
              <w:right w:w="144" w:type="dxa"/>
            </w:tcMar>
          </w:tcPr>
          <w:p w14:paraId="44406FF1" w14:textId="7D7A3EDE"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Eficacia</w:t>
            </w:r>
          </w:p>
        </w:tc>
      </w:tr>
      <w:tr w:rsidR="0092675A" w:rsidRPr="00F30FD1" w14:paraId="189BCDE6" w14:textId="77777777" w:rsidTr="00BC7B87">
        <w:trPr>
          <w:trHeight w:val="160"/>
        </w:trPr>
        <w:tc>
          <w:tcPr>
            <w:tcW w:w="2220" w:type="dxa"/>
            <w:shd w:val="clear" w:color="auto" w:fill="FFFFFF"/>
            <w:tcMar>
              <w:top w:w="72" w:type="dxa"/>
              <w:left w:w="144" w:type="dxa"/>
              <w:bottom w:w="72" w:type="dxa"/>
              <w:right w:w="144" w:type="dxa"/>
            </w:tcMar>
          </w:tcPr>
          <w:p w14:paraId="383C8578" w14:textId="5C9BE3FB"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Referencias adicionales:</w:t>
            </w:r>
          </w:p>
        </w:tc>
        <w:tc>
          <w:tcPr>
            <w:tcW w:w="7615" w:type="dxa"/>
            <w:shd w:val="clear" w:color="auto" w:fill="FFFFFF"/>
            <w:tcMar>
              <w:top w:w="72" w:type="dxa"/>
              <w:left w:w="144" w:type="dxa"/>
              <w:bottom w:w="72" w:type="dxa"/>
              <w:right w:w="144" w:type="dxa"/>
            </w:tcMar>
          </w:tcPr>
          <w:p w14:paraId="04D91F8B" w14:textId="63860D6A" w:rsidR="0092675A" w:rsidRPr="00F30FD1" w:rsidRDefault="0092675A" w:rsidP="00F0211A">
            <w:pPr>
              <w:spacing w:after="0" w:line="240" w:lineRule="auto"/>
              <w:rPr>
                <w:rFonts w:eastAsia="Calibri" w:cs="Calibri"/>
                <w:sz w:val="20"/>
                <w:szCs w:val="22"/>
              </w:rPr>
            </w:pPr>
            <w:r w:rsidRPr="00F30FD1">
              <w:rPr>
                <w:rFonts w:eastAsia="Calibri" w:cs="Calibri"/>
                <w:sz w:val="20"/>
                <w:szCs w:val="22"/>
              </w:rPr>
              <w:t>Aregional</w:t>
            </w:r>
          </w:p>
        </w:tc>
      </w:tr>
    </w:tbl>
    <w:p w14:paraId="2C369F16" w14:textId="57037FDE" w:rsidR="00BC7B87" w:rsidRPr="00F30FD1" w:rsidRDefault="00BC7B87" w:rsidP="00BC7B87">
      <w:pPr>
        <w:spacing w:after="0" w:line="240" w:lineRule="auto"/>
        <w:rPr>
          <w:rFonts w:eastAsia="Calibri" w:cs="Calibri"/>
          <w:sz w:val="20"/>
          <w:szCs w:val="22"/>
        </w:rPr>
      </w:pPr>
    </w:p>
    <w:tbl>
      <w:tblPr>
        <w:tblW w:w="983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615"/>
      </w:tblGrid>
      <w:tr w:rsidR="001202D2" w:rsidRPr="00F30FD1" w14:paraId="422375AE" w14:textId="77777777" w:rsidTr="00204F48">
        <w:trPr>
          <w:trHeight w:val="280"/>
        </w:trPr>
        <w:tc>
          <w:tcPr>
            <w:tcW w:w="2220" w:type="dxa"/>
            <w:shd w:val="clear" w:color="auto" w:fill="BFBFBF"/>
            <w:tcMar>
              <w:top w:w="72" w:type="dxa"/>
              <w:left w:w="144" w:type="dxa"/>
              <w:bottom w:w="72" w:type="dxa"/>
              <w:right w:w="144" w:type="dxa"/>
            </w:tcMar>
          </w:tcPr>
          <w:p w14:paraId="1A0E3235"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lastRenderedPageBreak/>
              <w:t>Elemento</w:t>
            </w:r>
          </w:p>
        </w:tc>
        <w:tc>
          <w:tcPr>
            <w:tcW w:w="7615" w:type="dxa"/>
            <w:shd w:val="clear" w:color="auto" w:fill="BFBFBF"/>
            <w:tcMar>
              <w:top w:w="72" w:type="dxa"/>
              <w:left w:w="144" w:type="dxa"/>
              <w:bottom w:w="72" w:type="dxa"/>
              <w:right w:w="144" w:type="dxa"/>
            </w:tcMar>
          </w:tcPr>
          <w:p w14:paraId="2DA8DC98"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Características</w:t>
            </w:r>
          </w:p>
        </w:tc>
      </w:tr>
      <w:tr w:rsidR="001202D2" w:rsidRPr="00F30FD1" w14:paraId="596DF5A1" w14:textId="77777777" w:rsidTr="00204F48">
        <w:trPr>
          <w:trHeight w:val="280"/>
        </w:trPr>
        <w:tc>
          <w:tcPr>
            <w:tcW w:w="2220" w:type="dxa"/>
            <w:shd w:val="clear" w:color="auto" w:fill="FFFFFF"/>
            <w:tcMar>
              <w:top w:w="72" w:type="dxa"/>
              <w:left w:w="144" w:type="dxa"/>
              <w:bottom w:w="72" w:type="dxa"/>
              <w:right w:w="144" w:type="dxa"/>
            </w:tcMar>
          </w:tcPr>
          <w:p w14:paraId="65667278"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Indicador:</w:t>
            </w:r>
          </w:p>
        </w:tc>
        <w:tc>
          <w:tcPr>
            <w:tcW w:w="7615" w:type="dxa"/>
            <w:shd w:val="clear" w:color="auto" w:fill="FFFFFF"/>
            <w:tcMar>
              <w:top w:w="72" w:type="dxa"/>
              <w:left w:w="144" w:type="dxa"/>
              <w:bottom w:w="72" w:type="dxa"/>
              <w:right w:w="144" w:type="dxa"/>
            </w:tcMar>
          </w:tcPr>
          <w:p w14:paraId="264252C4" w14:textId="57217FA3" w:rsidR="001202D2" w:rsidRPr="00F30FD1" w:rsidRDefault="00A800CF" w:rsidP="00204F48">
            <w:pPr>
              <w:spacing w:after="0" w:line="240" w:lineRule="auto"/>
              <w:rPr>
                <w:rFonts w:eastAsia="Calibri" w:cs="Calibri"/>
                <w:sz w:val="20"/>
                <w:szCs w:val="22"/>
              </w:rPr>
            </w:pPr>
            <w:r w:rsidRPr="00A800CF">
              <w:rPr>
                <w:rFonts w:eastAsia="Calibri" w:cs="Calibri"/>
                <w:sz w:val="20"/>
                <w:szCs w:val="22"/>
              </w:rPr>
              <w:t>Diagnóstico PbR-SED Sección Presupuestación</w:t>
            </w:r>
          </w:p>
        </w:tc>
      </w:tr>
      <w:tr w:rsidR="001202D2" w:rsidRPr="00F30FD1" w14:paraId="3F68CE85" w14:textId="77777777" w:rsidTr="00204F48">
        <w:trPr>
          <w:trHeight w:val="280"/>
        </w:trPr>
        <w:tc>
          <w:tcPr>
            <w:tcW w:w="2220" w:type="dxa"/>
            <w:shd w:val="clear" w:color="auto" w:fill="FFFFFF"/>
            <w:tcMar>
              <w:top w:w="72" w:type="dxa"/>
              <w:left w:w="144" w:type="dxa"/>
              <w:bottom w:w="72" w:type="dxa"/>
              <w:right w:w="144" w:type="dxa"/>
            </w:tcMar>
          </w:tcPr>
          <w:p w14:paraId="6A7505D1"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Objetivo/Estrategia:</w:t>
            </w:r>
          </w:p>
        </w:tc>
        <w:tc>
          <w:tcPr>
            <w:tcW w:w="7615" w:type="dxa"/>
            <w:shd w:val="clear" w:color="auto" w:fill="FFFFFF"/>
            <w:tcMar>
              <w:top w:w="72" w:type="dxa"/>
              <w:left w:w="144" w:type="dxa"/>
              <w:bottom w:w="72" w:type="dxa"/>
              <w:right w:w="144" w:type="dxa"/>
            </w:tcMar>
          </w:tcPr>
          <w:p w14:paraId="266D0515" w14:textId="032CF3BD" w:rsidR="001202D2" w:rsidRPr="00F30FD1" w:rsidRDefault="007A610C" w:rsidP="00204F48">
            <w:pPr>
              <w:spacing w:after="0" w:line="240" w:lineRule="auto"/>
              <w:rPr>
                <w:rFonts w:eastAsia="Calibri" w:cs="Calibri"/>
                <w:sz w:val="20"/>
                <w:szCs w:val="22"/>
              </w:rPr>
            </w:pPr>
            <w:r w:rsidRPr="00F30FD1">
              <w:rPr>
                <w:rFonts w:eastAsia="Calibri" w:cs="Calibri"/>
                <w:sz w:val="20"/>
                <w:szCs w:val="22"/>
              </w:rPr>
              <w:t xml:space="preserve">Objetivo 2.- </w:t>
            </w:r>
            <w:r w:rsidR="00A800CF" w:rsidRPr="00A800CF">
              <w:rPr>
                <w:rFonts w:eastAsia="Calibri" w:cs="Calibri"/>
                <w:sz w:val="20"/>
                <w:szCs w:val="22"/>
              </w:rPr>
              <w:t>Consolidar la Gestión para Resultados a través de su herramienta, el Presupuesto basado en Resultados, asegurando que el ciclo presupuestario se desarrolle de manera efectiva y que permita al gobierno mantener su estabilidad económica y sustentabilidad de las finanzas públicas.</w:t>
            </w:r>
          </w:p>
        </w:tc>
      </w:tr>
      <w:tr w:rsidR="001202D2" w:rsidRPr="00F30FD1" w14:paraId="133EE8AD" w14:textId="77777777" w:rsidTr="00204F48">
        <w:trPr>
          <w:trHeight w:val="280"/>
        </w:trPr>
        <w:tc>
          <w:tcPr>
            <w:tcW w:w="2220" w:type="dxa"/>
            <w:shd w:val="clear" w:color="auto" w:fill="FFFFFF"/>
            <w:tcMar>
              <w:top w:w="72" w:type="dxa"/>
              <w:left w:w="144" w:type="dxa"/>
              <w:bottom w:w="72" w:type="dxa"/>
              <w:right w:w="144" w:type="dxa"/>
            </w:tcMar>
          </w:tcPr>
          <w:p w14:paraId="32C7A0A1"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Descripción:</w:t>
            </w:r>
          </w:p>
        </w:tc>
        <w:tc>
          <w:tcPr>
            <w:tcW w:w="7615" w:type="dxa"/>
            <w:shd w:val="clear" w:color="auto" w:fill="FFFFFF"/>
            <w:tcMar>
              <w:top w:w="72" w:type="dxa"/>
              <w:left w:w="144" w:type="dxa"/>
              <w:bottom w:w="72" w:type="dxa"/>
              <w:right w:w="144" w:type="dxa"/>
            </w:tcMar>
          </w:tcPr>
          <w:p w14:paraId="2F6A11F0" w14:textId="319C605A" w:rsidR="001202D2" w:rsidRPr="00F30FD1" w:rsidRDefault="00A800CF" w:rsidP="00204F48">
            <w:pPr>
              <w:spacing w:after="0" w:line="240" w:lineRule="auto"/>
              <w:rPr>
                <w:rFonts w:eastAsia="Calibri" w:cs="Calibri"/>
                <w:sz w:val="20"/>
                <w:szCs w:val="22"/>
              </w:rPr>
            </w:pPr>
            <w:r w:rsidRPr="00A800CF">
              <w:rPr>
                <w:rFonts w:eastAsia="Calibri" w:cs="Calibri"/>
                <w:sz w:val="20"/>
                <w:szCs w:val="22"/>
              </w:rPr>
              <w:t>Mide el grado de avance de la Entidad Federativa en cuanto al cumplimiento de las Políticas de Presupuestación en apego al Modelo del Presupuesto basado en Resultados frente al grado de avance promedio a nivel nacional.</w:t>
            </w:r>
          </w:p>
        </w:tc>
      </w:tr>
      <w:tr w:rsidR="001202D2" w:rsidRPr="00F30FD1" w14:paraId="74AD5FF2" w14:textId="77777777" w:rsidTr="00204F48">
        <w:trPr>
          <w:trHeight w:val="280"/>
        </w:trPr>
        <w:tc>
          <w:tcPr>
            <w:tcW w:w="2220" w:type="dxa"/>
            <w:shd w:val="clear" w:color="auto" w:fill="FFFFFF"/>
            <w:tcMar>
              <w:top w:w="72" w:type="dxa"/>
              <w:left w:w="144" w:type="dxa"/>
              <w:bottom w:w="72" w:type="dxa"/>
              <w:right w:w="144" w:type="dxa"/>
            </w:tcMar>
          </w:tcPr>
          <w:p w14:paraId="6F70E912"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Método de cálculo:</w:t>
            </w:r>
          </w:p>
        </w:tc>
        <w:tc>
          <w:tcPr>
            <w:tcW w:w="7615" w:type="dxa"/>
            <w:shd w:val="clear" w:color="auto" w:fill="FFFFFF"/>
            <w:tcMar>
              <w:top w:w="72" w:type="dxa"/>
              <w:left w:w="144" w:type="dxa"/>
              <w:bottom w:w="72" w:type="dxa"/>
              <w:right w:w="144" w:type="dxa"/>
            </w:tcMar>
          </w:tcPr>
          <w:p w14:paraId="59AA4888" w14:textId="51BCAC2A" w:rsidR="001202D2" w:rsidRPr="00F30FD1" w:rsidRDefault="00A800CF" w:rsidP="00204F48">
            <w:pPr>
              <w:spacing w:after="0" w:line="240" w:lineRule="auto"/>
              <w:rPr>
                <w:rFonts w:eastAsia="Calibri" w:cs="Calibri"/>
                <w:sz w:val="20"/>
                <w:szCs w:val="22"/>
              </w:rPr>
            </w:pPr>
            <w:r w:rsidRPr="00A800CF">
              <w:rPr>
                <w:rFonts w:eastAsia="Calibri" w:cs="Calibri"/>
                <w:sz w:val="20"/>
                <w:szCs w:val="22"/>
              </w:rPr>
              <w:t>Definido por Transparencia Presupuestaria SHCP</w:t>
            </w:r>
          </w:p>
        </w:tc>
      </w:tr>
      <w:tr w:rsidR="001202D2" w:rsidRPr="00F30FD1" w14:paraId="42EE5AA6" w14:textId="77777777" w:rsidTr="00204F48">
        <w:trPr>
          <w:trHeight w:val="280"/>
        </w:trPr>
        <w:tc>
          <w:tcPr>
            <w:tcW w:w="2220" w:type="dxa"/>
            <w:shd w:val="clear" w:color="auto" w:fill="FFFFFF"/>
            <w:tcMar>
              <w:top w:w="72" w:type="dxa"/>
              <w:left w:w="144" w:type="dxa"/>
              <w:bottom w:w="72" w:type="dxa"/>
              <w:right w:w="144" w:type="dxa"/>
            </w:tcMar>
          </w:tcPr>
          <w:p w14:paraId="3A46BF40"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Periodicidad:</w:t>
            </w:r>
          </w:p>
        </w:tc>
        <w:tc>
          <w:tcPr>
            <w:tcW w:w="7615" w:type="dxa"/>
            <w:shd w:val="clear" w:color="auto" w:fill="FFFFFF"/>
            <w:tcMar>
              <w:top w:w="72" w:type="dxa"/>
              <w:left w:w="144" w:type="dxa"/>
              <w:bottom w:w="72" w:type="dxa"/>
              <w:right w:w="144" w:type="dxa"/>
            </w:tcMar>
          </w:tcPr>
          <w:p w14:paraId="4723C94D"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Anual</w:t>
            </w:r>
          </w:p>
        </w:tc>
      </w:tr>
      <w:tr w:rsidR="001202D2" w:rsidRPr="00F30FD1" w14:paraId="1AD09158" w14:textId="77777777" w:rsidTr="00204F48">
        <w:trPr>
          <w:trHeight w:val="280"/>
        </w:trPr>
        <w:tc>
          <w:tcPr>
            <w:tcW w:w="2220" w:type="dxa"/>
            <w:shd w:val="clear" w:color="auto" w:fill="FFFFFF"/>
            <w:tcMar>
              <w:top w:w="72" w:type="dxa"/>
              <w:left w:w="144" w:type="dxa"/>
              <w:bottom w:w="72" w:type="dxa"/>
              <w:right w:w="144" w:type="dxa"/>
            </w:tcMar>
          </w:tcPr>
          <w:p w14:paraId="4D187DAD"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Fuente:</w:t>
            </w:r>
          </w:p>
        </w:tc>
        <w:tc>
          <w:tcPr>
            <w:tcW w:w="7615" w:type="dxa"/>
            <w:shd w:val="clear" w:color="auto" w:fill="FFFFFF"/>
            <w:tcMar>
              <w:top w:w="72" w:type="dxa"/>
              <w:left w:w="144" w:type="dxa"/>
              <w:bottom w:w="72" w:type="dxa"/>
              <w:right w:w="144" w:type="dxa"/>
            </w:tcMar>
          </w:tcPr>
          <w:p w14:paraId="3F9A3ADA" w14:textId="3D016850"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SSPHCP</w:t>
            </w:r>
          </w:p>
        </w:tc>
      </w:tr>
      <w:tr w:rsidR="001202D2" w:rsidRPr="00F30FD1" w14:paraId="4002675E" w14:textId="77777777" w:rsidTr="00204F48">
        <w:trPr>
          <w:trHeight w:val="280"/>
        </w:trPr>
        <w:tc>
          <w:tcPr>
            <w:tcW w:w="2220" w:type="dxa"/>
            <w:shd w:val="clear" w:color="auto" w:fill="FFFFFF"/>
            <w:tcMar>
              <w:top w:w="72" w:type="dxa"/>
              <w:left w:w="144" w:type="dxa"/>
              <w:bottom w:w="72" w:type="dxa"/>
              <w:right w:w="144" w:type="dxa"/>
            </w:tcMar>
          </w:tcPr>
          <w:p w14:paraId="4E648FC5"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Dimensión:</w:t>
            </w:r>
          </w:p>
        </w:tc>
        <w:tc>
          <w:tcPr>
            <w:tcW w:w="7615" w:type="dxa"/>
            <w:shd w:val="clear" w:color="auto" w:fill="FFFFFF"/>
            <w:tcMar>
              <w:top w:w="72" w:type="dxa"/>
              <w:left w:w="144" w:type="dxa"/>
              <w:bottom w:w="72" w:type="dxa"/>
              <w:right w:w="144" w:type="dxa"/>
            </w:tcMar>
          </w:tcPr>
          <w:p w14:paraId="02EC5841"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Eficiencia</w:t>
            </w:r>
          </w:p>
        </w:tc>
      </w:tr>
      <w:tr w:rsidR="001202D2" w:rsidRPr="00F30FD1" w14:paraId="61DF84AE" w14:textId="77777777" w:rsidTr="00204F48">
        <w:trPr>
          <w:trHeight w:val="160"/>
        </w:trPr>
        <w:tc>
          <w:tcPr>
            <w:tcW w:w="2220" w:type="dxa"/>
            <w:shd w:val="clear" w:color="auto" w:fill="FFFFFF"/>
            <w:tcMar>
              <w:top w:w="72" w:type="dxa"/>
              <w:left w:w="144" w:type="dxa"/>
              <w:bottom w:w="72" w:type="dxa"/>
              <w:right w:w="144" w:type="dxa"/>
            </w:tcMar>
          </w:tcPr>
          <w:p w14:paraId="37444C01" w14:textId="77777777" w:rsidR="001202D2" w:rsidRPr="00F30FD1" w:rsidRDefault="001202D2" w:rsidP="00204F48">
            <w:pPr>
              <w:spacing w:after="0" w:line="240" w:lineRule="auto"/>
              <w:rPr>
                <w:rFonts w:eastAsia="Calibri" w:cs="Calibri"/>
                <w:sz w:val="20"/>
                <w:szCs w:val="22"/>
              </w:rPr>
            </w:pPr>
            <w:r w:rsidRPr="00F30FD1">
              <w:rPr>
                <w:rFonts w:eastAsia="Calibri" w:cs="Calibri"/>
                <w:sz w:val="20"/>
                <w:szCs w:val="22"/>
              </w:rPr>
              <w:t>Referencias adicionales:</w:t>
            </w:r>
          </w:p>
        </w:tc>
        <w:tc>
          <w:tcPr>
            <w:tcW w:w="7615" w:type="dxa"/>
            <w:shd w:val="clear" w:color="auto" w:fill="FFFFFF"/>
            <w:tcMar>
              <w:top w:w="72" w:type="dxa"/>
              <w:left w:w="144" w:type="dxa"/>
              <w:bottom w:w="72" w:type="dxa"/>
              <w:right w:w="144" w:type="dxa"/>
            </w:tcMar>
          </w:tcPr>
          <w:p w14:paraId="52249E73" w14:textId="47AB4AFB" w:rsidR="001202D2" w:rsidRPr="00F30FD1" w:rsidRDefault="00A800CF" w:rsidP="00204F48">
            <w:pPr>
              <w:spacing w:after="0" w:line="240" w:lineRule="auto"/>
              <w:rPr>
                <w:rFonts w:eastAsia="Calibri" w:cs="Calibri"/>
                <w:sz w:val="20"/>
                <w:szCs w:val="22"/>
              </w:rPr>
            </w:pPr>
            <w:r w:rsidRPr="00A800CF">
              <w:rPr>
                <w:rFonts w:eastAsia="Calibri" w:cs="Calibri"/>
                <w:sz w:val="20"/>
                <w:szCs w:val="22"/>
              </w:rPr>
              <w:t>Informes de Programas Presupuestarios y sus evaluaciones trimestrales, así como informes anuales de cumplimiento programático y presupuestal.</w:t>
            </w:r>
          </w:p>
        </w:tc>
      </w:tr>
    </w:tbl>
    <w:p w14:paraId="56F1FE6C" w14:textId="77777777" w:rsidR="001202D2" w:rsidRPr="00F30FD1" w:rsidRDefault="001202D2" w:rsidP="001202D2">
      <w:pPr>
        <w:spacing w:after="0" w:line="240" w:lineRule="auto"/>
        <w:jc w:val="left"/>
        <w:rPr>
          <w:rFonts w:eastAsia="Calibri" w:cs="Calibri"/>
          <w:color w:val="595959"/>
          <w:sz w:val="16"/>
          <w:szCs w:val="16"/>
        </w:rPr>
      </w:pPr>
    </w:p>
    <w:p w14:paraId="6209A677" w14:textId="77777777" w:rsidR="001202D2" w:rsidRPr="00F30FD1" w:rsidRDefault="001202D2" w:rsidP="00BC7B87">
      <w:pPr>
        <w:spacing w:after="0" w:line="240" w:lineRule="auto"/>
        <w:rPr>
          <w:rFonts w:eastAsia="Calibri" w:cs="Calibri"/>
          <w:sz w:val="20"/>
          <w:szCs w:val="22"/>
        </w:rPr>
      </w:pPr>
    </w:p>
    <w:tbl>
      <w:tblPr>
        <w:tblW w:w="983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0"/>
        <w:gridCol w:w="7615"/>
      </w:tblGrid>
      <w:tr w:rsidR="00BC7B87" w:rsidRPr="00F30FD1" w14:paraId="1C500260" w14:textId="77777777" w:rsidTr="00BC7B87">
        <w:trPr>
          <w:trHeight w:val="280"/>
        </w:trPr>
        <w:tc>
          <w:tcPr>
            <w:tcW w:w="2220" w:type="dxa"/>
            <w:shd w:val="clear" w:color="auto" w:fill="BFBFBF"/>
            <w:tcMar>
              <w:top w:w="72" w:type="dxa"/>
              <w:left w:w="144" w:type="dxa"/>
              <w:bottom w:w="72" w:type="dxa"/>
              <w:right w:w="144" w:type="dxa"/>
            </w:tcMar>
          </w:tcPr>
          <w:p w14:paraId="4681E11D"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Elemento</w:t>
            </w:r>
          </w:p>
        </w:tc>
        <w:tc>
          <w:tcPr>
            <w:tcW w:w="7615" w:type="dxa"/>
            <w:shd w:val="clear" w:color="auto" w:fill="BFBFBF"/>
            <w:tcMar>
              <w:top w:w="72" w:type="dxa"/>
              <w:left w:w="144" w:type="dxa"/>
              <w:bottom w:w="72" w:type="dxa"/>
              <w:right w:w="144" w:type="dxa"/>
            </w:tcMar>
          </w:tcPr>
          <w:p w14:paraId="7FA5F25E"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Características</w:t>
            </w:r>
          </w:p>
        </w:tc>
      </w:tr>
      <w:tr w:rsidR="006057B6" w:rsidRPr="00F30FD1" w14:paraId="3F3E02D5" w14:textId="77777777" w:rsidTr="00204F48">
        <w:trPr>
          <w:trHeight w:val="280"/>
        </w:trPr>
        <w:tc>
          <w:tcPr>
            <w:tcW w:w="2220" w:type="dxa"/>
            <w:shd w:val="clear" w:color="auto" w:fill="FFFFFF"/>
            <w:tcMar>
              <w:top w:w="72" w:type="dxa"/>
              <w:left w:w="144" w:type="dxa"/>
              <w:bottom w:w="72" w:type="dxa"/>
              <w:right w:w="144" w:type="dxa"/>
            </w:tcMar>
            <w:vAlign w:val="center"/>
          </w:tcPr>
          <w:p w14:paraId="4477EAE0" w14:textId="5A4EC5E9"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Indicador:</w:t>
            </w:r>
          </w:p>
        </w:tc>
        <w:tc>
          <w:tcPr>
            <w:tcW w:w="7615" w:type="dxa"/>
            <w:shd w:val="clear" w:color="auto" w:fill="FFFFFF"/>
            <w:tcMar>
              <w:top w:w="72" w:type="dxa"/>
              <w:left w:w="144" w:type="dxa"/>
              <w:bottom w:w="72" w:type="dxa"/>
              <w:right w:w="144" w:type="dxa"/>
            </w:tcMar>
            <w:vAlign w:val="center"/>
          </w:tcPr>
          <w:p w14:paraId="477A7096" w14:textId="1E091A24"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Posición Estatal en el Índice General de Avance en PbR-SED Entidades</w:t>
            </w:r>
          </w:p>
        </w:tc>
      </w:tr>
      <w:tr w:rsidR="006057B6" w:rsidRPr="00F30FD1" w14:paraId="51DE7534" w14:textId="77777777" w:rsidTr="00204F48">
        <w:trPr>
          <w:trHeight w:val="280"/>
        </w:trPr>
        <w:tc>
          <w:tcPr>
            <w:tcW w:w="2220" w:type="dxa"/>
            <w:shd w:val="clear" w:color="auto" w:fill="FFFFFF"/>
            <w:tcMar>
              <w:top w:w="72" w:type="dxa"/>
              <w:left w:w="144" w:type="dxa"/>
              <w:bottom w:w="72" w:type="dxa"/>
              <w:right w:w="144" w:type="dxa"/>
            </w:tcMar>
            <w:vAlign w:val="center"/>
          </w:tcPr>
          <w:p w14:paraId="48FF8523" w14:textId="57AFAC50"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Objetivo/Estrategia</w:t>
            </w:r>
          </w:p>
        </w:tc>
        <w:tc>
          <w:tcPr>
            <w:tcW w:w="7615" w:type="dxa"/>
            <w:shd w:val="clear" w:color="auto" w:fill="FFFFFF"/>
            <w:tcMar>
              <w:top w:w="72" w:type="dxa"/>
              <w:left w:w="144" w:type="dxa"/>
              <w:bottom w:w="72" w:type="dxa"/>
              <w:right w:w="144" w:type="dxa"/>
            </w:tcMar>
            <w:vAlign w:val="center"/>
          </w:tcPr>
          <w:p w14:paraId="0DA36ECD" w14:textId="01A4C4E3" w:rsidR="006057B6" w:rsidRPr="00F30FD1" w:rsidRDefault="007A610C" w:rsidP="006057B6">
            <w:pPr>
              <w:spacing w:after="0" w:line="240" w:lineRule="auto"/>
              <w:rPr>
                <w:rFonts w:eastAsia="Calibri" w:cs="Calibri"/>
                <w:sz w:val="20"/>
                <w:szCs w:val="22"/>
              </w:rPr>
            </w:pPr>
            <w:r w:rsidRPr="00F30FD1">
              <w:rPr>
                <w:rFonts w:eastAsia="Calibri" w:cs="Calibri"/>
                <w:sz w:val="20"/>
                <w:szCs w:val="22"/>
              </w:rPr>
              <w:t xml:space="preserve">Estrategia 2.- </w:t>
            </w:r>
            <w:r w:rsidR="006057B6" w:rsidRPr="00F30FD1">
              <w:rPr>
                <w:rFonts w:eastAsia="Calibri" w:cs="Calibri"/>
                <w:sz w:val="20"/>
                <w:szCs w:val="22"/>
              </w:rPr>
              <w:t>Garantizar que las etapas del ciclo presupuestario se efectúen conforme a la Metodología del Presupuesto basado en Resultados.</w:t>
            </w:r>
          </w:p>
        </w:tc>
      </w:tr>
      <w:tr w:rsidR="006057B6" w:rsidRPr="00F30FD1" w14:paraId="1AF08176" w14:textId="77777777" w:rsidTr="00204F48">
        <w:trPr>
          <w:trHeight w:val="280"/>
        </w:trPr>
        <w:tc>
          <w:tcPr>
            <w:tcW w:w="2220" w:type="dxa"/>
            <w:shd w:val="clear" w:color="auto" w:fill="FFFFFF"/>
            <w:tcMar>
              <w:top w:w="72" w:type="dxa"/>
              <w:left w:w="144" w:type="dxa"/>
              <w:bottom w:w="72" w:type="dxa"/>
              <w:right w:w="144" w:type="dxa"/>
            </w:tcMar>
            <w:vAlign w:val="center"/>
          </w:tcPr>
          <w:p w14:paraId="5E4337B6" w14:textId="74AD6181"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Descripción:</w:t>
            </w:r>
          </w:p>
        </w:tc>
        <w:tc>
          <w:tcPr>
            <w:tcW w:w="7615" w:type="dxa"/>
            <w:shd w:val="clear" w:color="auto" w:fill="FFFFFF"/>
            <w:tcMar>
              <w:top w:w="72" w:type="dxa"/>
              <w:left w:w="144" w:type="dxa"/>
              <w:bottom w:w="72" w:type="dxa"/>
              <w:right w:w="144" w:type="dxa"/>
            </w:tcMar>
            <w:vAlign w:val="center"/>
          </w:tcPr>
          <w:p w14:paraId="53BD2991" w14:textId="3B560883"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La Secretaría de Hacienda y Crédito Público, en coordinación con los gobiernos de las 32 entidades federativas y de 62 municipios y dos demarcaciones territoriales de la Ciudad de México, realiza el Diagnóstico que permite conocer el avance alcanzado, en la implantación y operación del Presupuesto Basado en Resultados (PbR) y del Sistema de Evaluación del Desempeño (SED), en cumplimiento al artículo 80 de la Ley General de Contabilidad Gubernamental.</w:t>
            </w:r>
          </w:p>
        </w:tc>
      </w:tr>
      <w:tr w:rsidR="006057B6" w:rsidRPr="00F30FD1" w14:paraId="7133F0AB" w14:textId="77777777" w:rsidTr="00204F48">
        <w:trPr>
          <w:trHeight w:val="280"/>
        </w:trPr>
        <w:tc>
          <w:tcPr>
            <w:tcW w:w="2220" w:type="dxa"/>
            <w:shd w:val="clear" w:color="auto" w:fill="FFFFFF"/>
            <w:tcMar>
              <w:top w:w="72" w:type="dxa"/>
              <w:left w:w="144" w:type="dxa"/>
              <w:bottom w:w="72" w:type="dxa"/>
              <w:right w:w="144" w:type="dxa"/>
            </w:tcMar>
            <w:vAlign w:val="center"/>
          </w:tcPr>
          <w:p w14:paraId="17A340EB" w14:textId="5C01D4B9"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Método de cálculo:</w:t>
            </w:r>
          </w:p>
        </w:tc>
        <w:tc>
          <w:tcPr>
            <w:tcW w:w="7615" w:type="dxa"/>
            <w:shd w:val="clear" w:color="auto" w:fill="FFFFFF"/>
            <w:tcMar>
              <w:top w:w="72" w:type="dxa"/>
              <w:left w:w="144" w:type="dxa"/>
              <w:bottom w:w="72" w:type="dxa"/>
              <w:right w:w="144" w:type="dxa"/>
            </w:tcMar>
            <w:vAlign w:val="center"/>
          </w:tcPr>
          <w:p w14:paraId="6CFE41EC" w14:textId="4609858F"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 xml:space="preserve">Dicho Diagnóstico se calcula elaborando un ranking entre las 32 entidades federativas de acuerdo con el alcance en el cumplimiento de las distintas secciones que conforman la herramienta del Presupuesto basado en Resultados (PbR), de acuerdo con la calificación obtenida en cada rubro se realiza un promedio que permite colocar a la entidad en cuestión dentro del ranking de 1 a 32, siendo 32 la posición menos favorable y 1 la posición deseada a alcanzar. </w:t>
            </w:r>
          </w:p>
        </w:tc>
      </w:tr>
      <w:tr w:rsidR="006057B6" w:rsidRPr="00F30FD1" w14:paraId="78389673" w14:textId="77777777" w:rsidTr="00204F48">
        <w:trPr>
          <w:trHeight w:val="280"/>
        </w:trPr>
        <w:tc>
          <w:tcPr>
            <w:tcW w:w="2220" w:type="dxa"/>
            <w:shd w:val="clear" w:color="auto" w:fill="FFFFFF"/>
            <w:tcMar>
              <w:top w:w="72" w:type="dxa"/>
              <w:left w:w="144" w:type="dxa"/>
              <w:bottom w:w="72" w:type="dxa"/>
              <w:right w:w="144" w:type="dxa"/>
            </w:tcMar>
            <w:vAlign w:val="center"/>
          </w:tcPr>
          <w:p w14:paraId="70A4CC93" w14:textId="4E2C3F89"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Periodicidad:</w:t>
            </w:r>
          </w:p>
        </w:tc>
        <w:tc>
          <w:tcPr>
            <w:tcW w:w="7615" w:type="dxa"/>
            <w:shd w:val="clear" w:color="auto" w:fill="FFFFFF"/>
            <w:tcMar>
              <w:top w:w="72" w:type="dxa"/>
              <w:left w:w="144" w:type="dxa"/>
              <w:bottom w:w="72" w:type="dxa"/>
              <w:right w:w="144" w:type="dxa"/>
            </w:tcMar>
            <w:vAlign w:val="center"/>
          </w:tcPr>
          <w:p w14:paraId="7D49185D" w14:textId="77805F9E"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Anual</w:t>
            </w:r>
          </w:p>
        </w:tc>
      </w:tr>
      <w:tr w:rsidR="006057B6" w:rsidRPr="00F30FD1" w14:paraId="2E9525DB" w14:textId="77777777" w:rsidTr="00204F48">
        <w:trPr>
          <w:trHeight w:val="280"/>
        </w:trPr>
        <w:tc>
          <w:tcPr>
            <w:tcW w:w="2220" w:type="dxa"/>
            <w:shd w:val="clear" w:color="auto" w:fill="FFFFFF"/>
            <w:tcMar>
              <w:top w:w="72" w:type="dxa"/>
              <w:left w:w="144" w:type="dxa"/>
              <w:bottom w:w="72" w:type="dxa"/>
              <w:right w:w="144" w:type="dxa"/>
            </w:tcMar>
            <w:vAlign w:val="center"/>
          </w:tcPr>
          <w:p w14:paraId="2DF0C4EC" w14:textId="60A2BD44"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lastRenderedPageBreak/>
              <w:t>Fuente:</w:t>
            </w:r>
          </w:p>
        </w:tc>
        <w:tc>
          <w:tcPr>
            <w:tcW w:w="7615" w:type="dxa"/>
            <w:shd w:val="clear" w:color="auto" w:fill="FFFFFF"/>
            <w:tcMar>
              <w:top w:w="72" w:type="dxa"/>
              <w:left w:w="144" w:type="dxa"/>
              <w:bottom w:w="72" w:type="dxa"/>
              <w:right w:w="144" w:type="dxa"/>
            </w:tcMar>
            <w:vAlign w:val="center"/>
          </w:tcPr>
          <w:p w14:paraId="08BF510D" w14:textId="66880A73"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Secretaria de Hacienda y Crédito Público.</w:t>
            </w:r>
          </w:p>
        </w:tc>
      </w:tr>
      <w:tr w:rsidR="006057B6" w:rsidRPr="00F30FD1" w14:paraId="22597616" w14:textId="77777777" w:rsidTr="00204F48">
        <w:trPr>
          <w:trHeight w:val="280"/>
        </w:trPr>
        <w:tc>
          <w:tcPr>
            <w:tcW w:w="2220" w:type="dxa"/>
            <w:shd w:val="clear" w:color="auto" w:fill="FFFFFF"/>
            <w:tcMar>
              <w:top w:w="72" w:type="dxa"/>
              <w:left w:w="144" w:type="dxa"/>
              <w:bottom w:w="72" w:type="dxa"/>
              <w:right w:w="144" w:type="dxa"/>
            </w:tcMar>
            <w:vAlign w:val="center"/>
          </w:tcPr>
          <w:p w14:paraId="2ADA1D00" w14:textId="5697E992"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Dimensión:</w:t>
            </w:r>
          </w:p>
        </w:tc>
        <w:tc>
          <w:tcPr>
            <w:tcW w:w="7615" w:type="dxa"/>
            <w:shd w:val="clear" w:color="auto" w:fill="FFFFFF"/>
            <w:tcMar>
              <w:top w:w="72" w:type="dxa"/>
              <w:left w:w="144" w:type="dxa"/>
              <w:bottom w:w="72" w:type="dxa"/>
              <w:right w:w="144" w:type="dxa"/>
            </w:tcMar>
            <w:vAlign w:val="center"/>
          </w:tcPr>
          <w:p w14:paraId="0C9745B2" w14:textId="1DC0BDBA"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Eficacia</w:t>
            </w:r>
          </w:p>
        </w:tc>
      </w:tr>
      <w:tr w:rsidR="006057B6" w:rsidRPr="00F30FD1" w14:paraId="2CA93EB0" w14:textId="77777777" w:rsidTr="00204F48">
        <w:trPr>
          <w:trHeight w:val="160"/>
        </w:trPr>
        <w:tc>
          <w:tcPr>
            <w:tcW w:w="2220" w:type="dxa"/>
            <w:shd w:val="clear" w:color="auto" w:fill="FFFFFF"/>
            <w:tcMar>
              <w:top w:w="72" w:type="dxa"/>
              <w:left w:w="144" w:type="dxa"/>
              <w:bottom w:w="72" w:type="dxa"/>
              <w:right w:w="144" w:type="dxa"/>
            </w:tcMar>
            <w:vAlign w:val="center"/>
          </w:tcPr>
          <w:p w14:paraId="5D13FB37" w14:textId="2AAEFC32"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Referencias adicionales:</w:t>
            </w:r>
          </w:p>
        </w:tc>
        <w:tc>
          <w:tcPr>
            <w:tcW w:w="7615" w:type="dxa"/>
            <w:shd w:val="clear" w:color="auto" w:fill="FFFFFF"/>
            <w:tcMar>
              <w:top w:w="72" w:type="dxa"/>
              <w:left w:w="144" w:type="dxa"/>
              <w:bottom w:w="72" w:type="dxa"/>
              <w:right w:w="144" w:type="dxa"/>
            </w:tcMar>
            <w:vAlign w:val="center"/>
          </w:tcPr>
          <w:p w14:paraId="629942EC" w14:textId="2B084D88" w:rsidR="006057B6" w:rsidRPr="00F30FD1" w:rsidRDefault="006057B6" w:rsidP="006057B6">
            <w:pPr>
              <w:spacing w:after="0" w:line="240" w:lineRule="auto"/>
              <w:rPr>
                <w:rFonts w:eastAsia="Calibri" w:cs="Calibri"/>
                <w:sz w:val="20"/>
                <w:szCs w:val="22"/>
              </w:rPr>
            </w:pPr>
            <w:r w:rsidRPr="00F30FD1">
              <w:rPr>
                <w:rFonts w:eastAsia="Calibri" w:cs="Calibri"/>
                <w:sz w:val="20"/>
                <w:szCs w:val="22"/>
              </w:rPr>
              <w:t>Transparencia Presupuestaria SHCP</w:t>
            </w:r>
          </w:p>
        </w:tc>
      </w:tr>
    </w:tbl>
    <w:p w14:paraId="73D6AF70" w14:textId="77777777" w:rsidR="00BC7B87" w:rsidRPr="00F30FD1" w:rsidRDefault="00BC7B87" w:rsidP="00204F48">
      <w:pPr>
        <w:spacing w:after="0" w:line="240" w:lineRule="auto"/>
        <w:rPr>
          <w:rFonts w:eastAsia="Calibri" w:cs="Calibri"/>
          <w:sz w:val="20"/>
          <w:szCs w:val="22"/>
        </w:rPr>
      </w:pPr>
    </w:p>
    <w:p w14:paraId="6BF892B2" w14:textId="76EC76F3" w:rsidR="00DF0232" w:rsidRPr="00F30FD1" w:rsidRDefault="00DF0232" w:rsidP="00204F48">
      <w:pPr>
        <w:spacing w:after="0" w:line="240" w:lineRule="auto"/>
        <w:rPr>
          <w:rFonts w:eastAsia="Calibri" w:cs="Calibri"/>
          <w:sz w:val="20"/>
          <w:szCs w:val="22"/>
        </w:rPr>
      </w:pPr>
    </w:p>
    <w:tbl>
      <w:tblPr>
        <w:tblW w:w="983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8129"/>
      </w:tblGrid>
      <w:tr w:rsidR="00BC7B87" w:rsidRPr="00F30FD1" w14:paraId="0CB44565" w14:textId="77777777" w:rsidTr="00BC7B87">
        <w:trPr>
          <w:trHeight w:val="280"/>
        </w:trPr>
        <w:tc>
          <w:tcPr>
            <w:tcW w:w="1706" w:type="dxa"/>
            <w:shd w:val="clear" w:color="auto" w:fill="BFBFBF"/>
            <w:tcMar>
              <w:top w:w="72" w:type="dxa"/>
              <w:left w:w="144" w:type="dxa"/>
              <w:bottom w:w="72" w:type="dxa"/>
              <w:right w:w="144" w:type="dxa"/>
            </w:tcMar>
          </w:tcPr>
          <w:p w14:paraId="57CDA10F"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Elemento</w:t>
            </w:r>
          </w:p>
        </w:tc>
        <w:tc>
          <w:tcPr>
            <w:tcW w:w="8129" w:type="dxa"/>
            <w:shd w:val="clear" w:color="auto" w:fill="BFBFBF"/>
            <w:tcMar>
              <w:top w:w="72" w:type="dxa"/>
              <w:left w:w="144" w:type="dxa"/>
              <w:bottom w:w="72" w:type="dxa"/>
              <w:right w:w="144" w:type="dxa"/>
            </w:tcMar>
          </w:tcPr>
          <w:p w14:paraId="06A896F7"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Características</w:t>
            </w:r>
          </w:p>
        </w:tc>
      </w:tr>
      <w:tr w:rsidR="00204F48" w:rsidRPr="00F30FD1" w14:paraId="7E565981" w14:textId="77777777" w:rsidTr="00BC7B87">
        <w:trPr>
          <w:trHeight w:val="280"/>
        </w:trPr>
        <w:tc>
          <w:tcPr>
            <w:tcW w:w="1706" w:type="dxa"/>
            <w:shd w:val="clear" w:color="auto" w:fill="FFFFFF"/>
            <w:tcMar>
              <w:top w:w="72" w:type="dxa"/>
              <w:left w:w="144" w:type="dxa"/>
              <w:bottom w:w="72" w:type="dxa"/>
              <w:right w:w="144" w:type="dxa"/>
            </w:tcMar>
          </w:tcPr>
          <w:p w14:paraId="7AD6E7FD" w14:textId="3409896B" w:rsidR="00204F48" w:rsidRPr="00F30FD1" w:rsidRDefault="00204F48" w:rsidP="00BC7B87">
            <w:pPr>
              <w:spacing w:after="0" w:line="240" w:lineRule="auto"/>
              <w:rPr>
                <w:rFonts w:eastAsia="Calibri" w:cs="Calibri"/>
                <w:sz w:val="20"/>
                <w:szCs w:val="22"/>
              </w:rPr>
            </w:pPr>
            <w:r w:rsidRPr="00F30FD1">
              <w:rPr>
                <w:rFonts w:eastAsia="Calibri" w:cs="Calibri"/>
                <w:sz w:val="20"/>
                <w:szCs w:val="22"/>
              </w:rPr>
              <w:t>Indicador :</w:t>
            </w:r>
          </w:p>
        </w:tc>
        <w:tc>
          <w:tcPr>
            <w:tcW w:w="8129" w:type="dxa"/>
            <w:shd w:val="clear" w:color="auto" w:fill="FFFFFF"/>
            <w:tcMar>
              <w:top w:w="72" w:type="dxa"/>
              <w:left w:w="144" w:type="dxa"/>
              <w:bottom w:w="72" w:type="dxa"/>
              <w:right w:w="144" w:type="dxa"/>
            </w:tcMar>
          </w:tcPr>
          <w:p w14:paraId="218ECCDF" w14:textId="29F92EF1" w:rsidR="00204F48" w:rsidRPr="00F30FD1" w:rsidRDefault="009C6685" w:rsidP="00BC7B87">
            <w:pPr>
              <w:spacing w:after="0" w:line="240" w:lineRule="auto"/>
              <w:rPr>
                <w:rFonts w:eastAsia="Calibri" w:cs="Calibri"/>
                <w:sz w:val="20"/>
                <w:szCs w:val="22"/>
              </w:rPr>
            </w:pPr>
            <w:r w:rsidRPr="00F30FD1">
              <w:rPr>
                <w:rFonts w:eastAsia="Calibri" w:cs="Calibri"/>
                <w:sz w:val="20"/>
                <w:szCs w:val="22"/>
              </w:rPr>
              <w:t>Número</w:t>
            </w:r>
            <w:r w:rsidR="006D1703" w:rsidRPr="00F30FD1">
              <w:rPr>
                <w:rFonts w:eastAsia="Calibri" w:cs="Calibri"/>
                <w:sz w:val="20"/>
                <w:szCs w:val="22"/>
              </w:rPr>
              <w:t xml:space="preserve"> de acciones</w:t>
            </w:r>
            <w:r w:rsidR="00204F48" w:rsidRPr="00F30FD1">
              <w:rPr>
                <w:rFonts w:eastAsia="Calibri" w:cs="Calibri"/>
                <w:sz w:val="20"/>
                <w:szCs w:val="22"/>
              </w:rPr>
              <w:t xml:space="preserve"> concretados</w:t>
            </w:r>
          </w:p>
        </w:tc>
      </w:tr>
      <w:tr w:rsidR="00204F48" w:rsidRPr="00F30FD1" w14:paraId="11FEBBFD" w14:textId="77777777" w:rsidTr="00BC7B87">
        <w:trPr>
          <w:trHeight w:val="280"/>
        </w:trPr>
        <w:tc>
          <w:tcPr>
            <w:tcW w:w="1706" w:type="dxa"/>
            <w:shd w:val="clear" w:color="auto" w:fill="FFFFFF"/>
            <w:tcMar>
              <w:top w:w="72" w:type="dxa"/>
              <w:left w:w="144" w:type="dxa"/>
              <w:bottom w:w="72" w:type="dxa"/>
              <w:right w:w="144" w:type="dxa"/>
            </w:tcMar>
          </w:tcPr>
          <w:p w14:paraId="51B4A98A" w14:textId="61656A36"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Objetivo/Estrategia:</w:t>
            </w:r>
          </w:p>
        </w:tc>
        <w:tc>
          <w:tcPr>
            <w:tcW w:w="8129" w:type="dxa"/>
            <w:shd w:val="clear" w:color="auto" w:fill="FFFFFF"/>
            <w:tcMar>
              <w:top w:w="72" w:type="dxa"/>
              <w:left w:w="144" w:type="dxa"/>
              <w:bottom w:w="72" w:type="dxa"/>
              <w:right w:w="144" w:type="dxa"/>
            </w:tcMar>
          </w:tcPr>
          <w:p w14:paraId="1AD900C1" w14:textId="4F644370" w:rsidR="00204F48" w:rsidRPr="00F30FD1" w:rsidRDefault="007A610C" w:rsidP="00F0211A">
            <w:pPr>
              <w:spacing w:after="0" w:line="240" w:lineRule="auto"/>
              <w:rPr>
                <w:rFonts w:eastAsia="Calibri" w:cs="Calibri"/>
                <w:sz w:val="20"/>
                <w:szCs w:val="22"/>
              </w:rPr>
            </w:pPr>
            <w:r w:rsidRPr="00F30FD1">
              <w:rPr>
                <w:rFonts w:eastAsia="Calibri" w:cs="Calibri"/>
                <w:sz w:val="20"/>
                <w:szCs w:val="22"/>
              </w:rPr>
              <w:t>Objetivo</w:t>
            </w:r>
            <w:r w:rsidR="00962EE4" w:rsidRPr="00F30FD1">
              <w:rPr>
                <w:rFonts w:eastAsia="Calibri" w:cs="Calibri"/>
                <w:sz w:val="20"/>
                <w:szCs w:val="22"/>
              </w:rPr>
              <w:t xml:space="preserve"> 3</w:t>
            </w:r>
            <w:r w:rsidRPr="00F30FD1">
              <w:rPr>
                <w:rFonts w:eastAsia="Calibri" w:cs="Calibri"/>
                <w:sz w:val="20"/>
                <w:szCs w:val="22"/>
              </w:rPr>
              <w:t xml:space="preserve">.- </w:t>
            </w:r>
            <w:r w:rsidR="00204F48" w:rsidRPr="00F30FD1">
              <w:rPr>
                <w:rFonts w:eastAsia="Calibri" w:cs="Calibri"/>
                <w:sz w:val="20"/>
                <w:szCs w:val="22"/>
              </w:rPr>
              <w:t>Brindar acompañamiento y atención a los inversionistas que detecten oportunidades de negocio en Quintana Roo; fungiendo como soporte para la vinculación con entes públicos y privados que abonen a la concreción de proyectos de inversión en la entidad</w:t>
            </w:r>
          </w:p>
        </w:tc>
      </w:tr>
      <w:tr w:rsidR="00204F48" w:rsidRPr="00F30FD1" w14:paraId="1C440E66" w14:textId="77777777" w:rsidTr="00BC7B87">
        <w:trPr>
          <w:trHeight w:val="280"/>
        </w:trPr>
        <w:tc>
          <w:tcPr>
            <w:tcW w:w="1706" w:type="dxa"/>
            <w:shd w:val="clear" w:color="auto" w:fill="FFFFFF"/>
            <w:tcMar>
              <w:top w:w="72" w:type="dxa"/>
              <w:left w:w="144" w:type="dxa"/>
              <w:bottom w:w="72" w:type="dxa"/>
              <w:right w:w="144" w:type="dxa"/>
            </w:tcMar>
          </w:tcPr>
          <w:p w14:paraId="747EA483" w14:textId="2953524A"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Descripción:</w:t>
            </w:r>
          </w:p>
        </w:tc>
        <w:tc>
          <w:tcPr>
            <w:tcW w:w="8129" w:type="dxa"/>
            <w:shd w:val="clear" w:color="auto" w:fill="FFFFFF"/>
            <w:tcMar>
              <w:top w:w="72" w:type="dxa"/>
              <w:left w:w="144" w:type="dxa"/>
              <w:bottom w:w="72" w:type="dxa"/>
              <w:right w:w="144" w:type="dxa"/>
            </w:tcMar>
          </w:tcPr>
          <w:p w14:paraId="397A19FF" w14:textId="29B02DCF" w:rsidR="00204F48" w:rsidRPr="00F30FD1" w:rsidRDefault="002C2433" w:rsidP="00F0211A">
            <w:pPr>
              <w:spacing w:after="0" w:line="240" w:lineRule="auto"/>
              <w:rPr>
                <w:rFonts w:eastAsia="Calibri" w:cs="Calibri"/>
                <w:sz w:val="20"/>
                <w:szCs w:val="22"/>
              </w:rPr>
            </w:pPr>
            <w:r w:rsidRPr="00F30FD1">
              <w:rPr>
                <w:rFonts w:eastAsia="Calibri" w:cs="Calibri"/>
                <w:sz w:val="20"/>
                <w:szCs w:val="22"/>
              </w:rPr>
              <w:t>E</w:t>
            </w:r>
            <w:r w:rsidR="009C6685" w:rsidRPr="00F30FD1">
              <w:rPr>
                <w:rFonts w:eastAsia="Calibri" w:cs="Calibri"/>
                <w:sz w:val="20"/>
                <w:szCs w:val="22"/>
              </w:rPr>
              <w:t>l IDEFIN</w:t>
            </w:r>
            <w:r w:rsidRPr="00F30FD1">
              <w:rPr>
                <w:rFonts w:eastAsia="Calibri" w:cs="Calibri"/>
                <w:sz w:val="20"/>
                <w:szCs w:val="22"/>
              </w:rPr>
              <w:t xml:space="preserve"> de conformidad a su decreto de </w:t>
            </w:r>
            <w:r w:rsidR="00F2774E" w:rsidRPr="00F30FD1">
              <w:rPr>
                <w:rFonts w:eastAsia="Calibri" w:cs="Calibri"/>
                <w:sz w:val="20"/>
                <w:szCs w:val="22"/>
              </w:rPr>
              <w:t>creación</w:t>
            </w:r>
            <w:r w:rsidRPr="00F30FD1">
              <w:rPr>
                <w:rFonts w:eastAsia="Calibri" w:cs="Calibri"/>
                <w:sz w:val="20"/>
                <w:szCs w:val="22"/>
              </w:rPr>
              <w:t xml:space="preserve"> acompaña al potencial inversionista de cualquiera de los sectores del estado y los va ayudando en el avance y cumplimiento de los requisitos establecidos por cada uno de las autoridades estatales</w:t>
            </w:r>
          </w:p>
        </w:tc>
      </w:tr>
      <w:tr w:rsidR="00204F48" w:rsidRPr="00F30FD1" w14:paraId="4486C89B" w14:textId="77777777" w:rsidTr="00BC7B87">
        <w:trPr>
          <w:trHeight w:val="280"/>
        </w:trPr>
        <w:tc>
          <w:tcPr>
            <w:tcW w:w="1706" w:type="dxa"/>
            <w:shd w:val="clear" w:color="auto" w:fill="FFFFFF"/>
            <w:tcMar>
              <w:top w:w="72" w:type="dxa"/>
              <w:left w:w="144" w:type="dxa"/>
              <w:bottom w:w="72" w:type="dxa"/>
              <w:right w:w="144" w:type="dxa"/>
            </w:tcMar>
          </w:tcPr>
          <w:p w14:paraId="79E932D2" w14:textId="70E59EF5"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Método de cálculo:</w:t>
            </w:r>
          </w:p>
        </w:tc>
        <w:tc>
          <w:tcPr>
            <w:tcW w:w="8129" w:type="dxa"/>
            <w:shd w:val="clear" w:color="auto" w:fill="FFFFFF"/>
            <w:tcMar>
              <w:top w:w="72" w:type="dxa"/>
              <w:left w:w="144" w:type="dxa"/>
              <w:bottom w:w="72" w:type="dxa"/>
              <w:right w:w="144" w:type="dxa"/>
            </w:tcMar>
          </w:tcPr>
          <w:p w14:paraId="024FA558" w14:textId="408A86C9" w:rsidR="00204F48" w:rsidRPr="00F30FD1" w:rsidRDefault="00F2774E" w:rsidP="00F2774E">
            <w:pPr>
              <w:spacing w:after="0" w:line="240" w:lineRule="auto"/>
              <w:rPr>
                <w:rFonts w:eastAsia="Calibri" w:cs="Calibri"/>
                <w:sz w:val="20"/>
                <w:szCs w:val="22"/>
              </w:rPr>
            </w:pPr>
            <w:r w:rsidRPr="00F30FD1">
              <w:rPr>
                <w:rFonts w:eastAsia="Calibri" w:cs="Calibri"/>
                <w:sz w:val="20"/>
                <w:szCs w:val="22"/>
              </w:rPr>
              <w:t>Se mide en valor concreto a los proyectos que se concreten.</w:t>
            </w:r>
          </w:p>
        </w:tc>
      </w:tr>
      <w:tr w:rsidR="00204F48" w:rsidRPr="00F30FD1" w14:paraId="6F176A16" w14:textId="77777777" w:rsidTr="00BC7B87">
        <w:trPr>
          <w:trHeight w:val="280"/>
        </w:trPr>
        <w:tc>
          <w:tcPr>
            <w:tcW w:w="1706" w:type="dxa"/>
            <w:shd w:val="clear" w:color="auto" w:fill="FFFFFF"/>
            <w:tcMar>
              <w:top w:w="72" w:type="dxa"/>
              <w:left w:w="144" w:type="dxa"/>
              <w:bottom w:w="72" w:type="dxa"/>
              <w:right w:w="144" w:type="dxa"/>
            </w:tcMar>
          </w:tcPr>
          <w:p w14:paraId="01CABF87" w14:textId="199840A6"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Periodicidad:</w:t>
            </w:r>
          </w:p>
        </w:tc>
        <w:tc>
          <w:tcPr>
            <w:tcW w:w="8129" w:type="dxa"/>
            <w:shd w:val="clear" w:color="auto" w:fill="FFFFFF"/>
            <w:tcMar>
              <w:top w:w="72" w:type="dxa"/>
              <w:left w:w="144" w:type="dxa"/>
              <w:bottom w:w="72" w:type="dxa"/>
              <w:right w:w="144" w:type="dxa"/>
            </w:tcMar>
          </w:tcPr>
          <w:p w14:paraId="5A2240A9" w14:textId="6989839F" w:rsidR="00204F48" w:rsidRPr="00F30FD1" w:rsidRDefault="00F2774E" w:rsidP="00F0211A">
            <w:pPr>
              <w:spacing w:after="0" w:line="240" w:lineRule="auto"/>
              <w:rPr>
                <w:rFonts w:eastAsia="Calibri" w:cs="Calibri"/>
                <w:sz w:val="20"/>
                <w:szCs w:val="22"/>
              </w:rPr>
            </w:pPr>
            <w:r w:rsidRPr="00F30FD1">
              <w:rPr>
                <w:rFonts w:eastAsia="Calibri" w:cs="Calibri"/>
                <w:sz w:val="20"/>
                <w:szCs w:val="22"/>
              </w:rPr>
              <w:t>Anual</w:t>
            </w:r>
          </w:p>
        </w:tc>
      </w:tr>
      <w:tr w:rsidR="00204F48" w:rsidRPr="00F30FD1" w14:paraId="5B5BF1A2" w14:textId="77777777" w:rsidTr="00BC7B87">
        <w:trPr>
          <w:trHeight w:val="280"/>
        </w:trPr>
        <w:tc>
          <w:tcPr>
            <w:tcW w:w="1706" w:type="dxa"/>
            <w:shd w:val="clear" w:color="auto" w:fill="FFFFFF"/>
            <w:tcMar>
              <w:top w:w="72" w:type="dxa"/>
              <w:left w:w="144" w:type="dxa"/>
              <w:bottom w:w="72" w:type="dxa"/>
              <w:right w:w="144" w:type="dxa"/>
            </w:tcMar>
          </w:tcPr>
          <w:p w14:paraId="704DC4E7" w14:textId="0156B4BB"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Fuente:</w:t>
            </w:r>
          </w:p>
        </w:tc>
        <w:tc>
          <w:tcPr>
            <w:tcW w:w="8129" w:type="dxa"/>
            <w:shd w:val="clear" w:color="auto" w:fill="FFFFFF"/>
            <w:tcMar>
              <w:top w:w="72" w:type="dxa"/>
              <w:left w:w="144" w:type="dxa"/>
              <w:bottom w:w="72" w:type="dxa"/>
              <w:right w:w="144" w:type="dxa"/>
            </w:tcMar>
          </w:tcPr>
          <w:p w14:paraId="7287B5F2" w14:textId="766007FA"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IDEFIN</w:t>
            </w:r>
          </w:p>
        </w:tc>
      </w:tr>
      <w:tr w:rsidR="00204F48" w:rsidRPr="00F30FD1" w14:paraId="3777BA5C" w14:textId="77777777" w:rsidTr="00BC7B87">
        <w:trPr>
          <w:trHeight w:val="280"/>
        </w:trPr>
        <w:tc>
          <w:tcPr>
            <w:tcW w:w="1706" w:type="dxa"/>
            <w:shd w:val="clear" w:color="auto" w:fill="FFFFFF"/>
            <w:tcMar>
              <w:top w:w="72" w:type="dxa"/>
              <w:left w:w="144" w:type="dxa"/>
              <w:bottom w:w="72" w:type="dxa"/>
              <w:right w:w="144" w:type="dxa"/>
            </w:tcMar>
          </w:tcPr>
          <w:p w14:paraId="7151C344" w14:textId="08AEE821"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Dimensión:</w:t>
            </w:r>
          </w:p>
        </w:tc>
        <w:tc>
          <w:tcPr>
            <w:tcW w:w="8129" w:type="dxa"/>
            <w:shd w:val="clear" w:color="auto" w:fill="FFFFFF"/>
            <w:tcMar>
              <w:top w:w="72" w:type="dxa"/>
              <w:left w:w="144" w:type="dxa"/>
              <w:bottom w:w="72" w:type="dxa"/>
              <w:right w:w="144" w:type="dxa"/>
            </w:tcMar>
          </w:tcPr>
          <w:p w14:paraId="68BD0BBA" w14:textId="5058DDFF" w:rsidR="00204F48" w:rsidRPr="00F30FD1" w:rsidRDefault="00F2774E" w:rsidP="00F0211A">
            <w:pPr>
              <w:spacing w:after="0" w:line="240" w:lineRule="auto"/>
              <w:rPr>
                <w:rFonts w:eastAsia="Calibri" w:cs="Calibri"/>
                <w:sz w:val="20"/>
                <w:szCs w:val="22"/>
              </w:rPr>
            </w:pPr>
            <w:r w:rsidRPr="00F30FD1">
              <w:rPr>
                <w:rFonts w:eastAsia="Calibri" w:cs="Calibri"/>
                <w:sz w:val="20"/>
                <w:szCs w:val="22"/>
              </w:rPr>
              <w:t>Eficacia</w:t>
            </w:r>
          </w:p>
        </w:tc>
      </w:tr>
    </w:tbl>
    <w:p w14:paraId="5A39FB03" w14:textId="52EDFEBB" w:rsidR="00BC7B87" w:rsidRPr="00F30FD1" w:rsidRDefault="00BC7B87" w:rsidP="00204F48">
      <w:pPr>
        <w:spacing w:after="0" w:line="240" w:lineRule="auto"/>
        <w:rPr>
          <w:rFonts w:eastAsia="Calibri" w:cs="Calibri"/>
          <w:sz w:val="20"/>
          <w:szCs w:val="22"/>
        </w:rPr>
      </w:pPr>
    </w:p>
    <w:tbl>
      <w:tblPr>
        <w:tblW w:w="9835"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6"/>
        <w:gridCol w:w="8129"/>
      </w:tblGrid>
      <w:tr w:rsidR="00BC7B87" w:rsidRPr="00F30FD1" w14:paraId="7DC24517" w14:textId="77777777" w:rsidTr="00BC7B87">
        <w:trPr>
          <w:trHeight w:val="280"/>
        </w:trPr>
        <w:tc>
          <w:tcPr>
            <w:tcW w:w="1706" w:type="dxa"/>
            <w:shd w:val="clear" w:color="auto" w:fill="BFBFBF"/>
            <w:tcMar>
              <w:top w:w="72" w:type="dxa"/>
              <w:left w:w="144" w:type="dxa"/>
              <w:bottom w:w="72" w:type="dxa"/>
              <w:right w:w="144" w:type="dxa"/>
            </w:tcMar>
          </w:tcPr>
          <w:p w14:paraId="7D5F95C7"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Elemento</w:t>
            </w:r>
          </w:p>
        </w:tc>
        <w:tc>
          <w:tcPr>
            <w:tcW w:w="8129" w:type="dxa"/>
            <w:shd w:val="clear" w:color="auto" w:fill="BFBFBF"/>
            <w:tcMar>
              <w:top w:w="72" w:type="dxa"/>
              <w:left w:w="144" w:type="dxa"/>
              <w:bottom w:w="72" w:type="dxa"/>
              <w:right w:w="144" w:type="dxa"/>
            </w:tcMar>
          </w:tcPr>
          <w:p w14:paraId="5701DE84" w14:textId="77777777" w:rsidR="00BC7B87" w:rsidRPr="00F30FD1" w:rsidRDefault="00BC7B87" w:rsidP="00BC7B87">
            <w:pPr>
              <w:spacing w:after="0" w:line="240" w:lineRule="auto"/>
              <w:rPr>
                <w:rFonts w:eastAsia="Calibri" w:cs="Calibri"/>
                <w:sz w:val="20"/>
                <w:szCs w:val="22"/>
              </w:rPr>
            </w:pPr>
            <w:r w:rsidRPr="00F30FD1">
              <w:rPr>
                <w:rFonts w:eastAsia="Calibri" w:cs="Calibri"/>
                <w:sz w:val="20"/>
                <w:szCs w:val="22"/>
              </w:rPr>
              <w:t>Características</w:t>
            </w:r>
          </w:p>
        </w:tc>
      </w:tr>
      <w:tr w:rsidR="00204F48" w:rsidRPr="00F30FD1" w14:paraId="4CA4F344" w14:textId="77777777" w:rsidTr="00BC7B87">
        <w:trPr>
          <w:trHeight w:val="280"/>
        </w:trPr>
        <w:tc>
          <w:tcPr>
            <w:tcW w:w="1706" w:type="dxa"/>
            <w:shd w:val="clear" w:color="auto" w:fill="FFFFFF"/>
            <w:tcMar>
              <w:top w:w="72" w:type="dxa"/>
              <w:left w:w="144" w:type="dxa"/>
              <w:bottom w:w="72" w:type="dxa"/>
              <w:right w:w="144" w:type="dxa"/>
            </w:tcMar>
          </w:tcPr>
          <w:p w14:paraId="20E18D13" w14:textId="6342394B" w:rsidR="00204F48" w:rsidRPr="00F30FD1" w:rsidRDefault="00204F48" w:rsidP="00BC7B87">
            <w:pPr>
              <w:spacing w:after="0" w:line="240" w:lineRule="auto"/>
              <w:rPr>
                <w:rFonts w:eastAsia="Calibri" w:cs="Calibri"/>
                <w:sz w:val="20"/>
                <w:szCs w:val="22"/>
              </w:rPr>
            </w:pPr>
            <w:r w:rsidRPr="00F30FD1">
              <w:rPr>
                <w:rFonts w:eastAsia="Calibri" w:cs="Calibri"/>
                <w:sz w:val="20"/>
                <w:szCs w:val="22"/>
              </w:rPr>
              <w:t>Indicador :</w:t>
            </w:r>
          </w:p>
        </w:tc>
        <w:tc>
          <w:tcPr>
            <w:tcW w:w="8129" w:type="dxa"/>
            <w:shd w:val="clear" w:color="auto" w:fill="FFFFFF"/>
            <w:tcMar>
              <w:top w:w="72" w:type="dxa"/>
              <w:left w:w="144" w:type="dxa"/>
              <w:bottom w:w="72" w:type="dxa"/>
              <w:right w:w="144" w:type="dxa"/>
            </w:tcMar>
          </w:tcPr>
          <w:p w14:paraId="07EDE633" w14:textId="7E9CEF86" w:rsidR="00204F48" w:rsidRPr="00F30FD1" w:rsidRDefault="00204F48" w:rsidP="00BC7B87">
            <w:pPr>
              <w:spacing w:after="0" w:line="240" w:lineRule="auto"/>
              <w:rPr>
                <w:rFonts w:eastAsia="Calibri" w:cs="Calibri"/>
                <w:sz w:val="20"/>
                <w:szCs w:val="22"/>
              </w:rPr>
            </w:pPr>
            <w:r w:rsidRPr="00F30FD1">
              <w:rPr>
                <w:rFonts w:eastAsia="Calibri" w:cs="Calibri"/>
                <w:sz w:val="20"/>
                <w:szCs w:val="22"/>
              </w:rPr>
              <w:t xml:space="preserve">Personas Impactadas </w:t>
            </w:r>
          </w:p>
        </w:tc>
      </w:tr>
      <w:tr w:rsidR="00204F48" w:rsidRPr="00F30FD1" w14:paraId="0FACF583" w14:textId="77777777" w:rsidTr="00BC7B87">
        <w:trPr>
          <w:trHeight w:val="280"/>
        </w:trPr>
        <w:tc>
          <w:tcPr>
            <w:tcW w:w="1706" w:type="dxa"/>
            <w:shd w:val="clear" w:color="auto" w:fill="FFFFFF"/>
            <w:tcMar>
              <w:top w:w="72" w:type="dxa"/>
              <w:left w:w="144" w:type="dxa"/>
              <w:bottom w:w="72" w:type="dxa"/>
              <w:right w:w="144" w:type="dxa"/>
            </w:tcMar>
          </w:tcPr>
          <w:p w14:paraId="6F154F24" w14:textId="7420AE81"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Objetivo/Estrategia:</w:t>
            </w:r>
          </w:p>
        </w:tc>
        <w:tc>
          <w:tcPr>
            <w:tcW w:w="8129" w:type="dxa"/>
            <w:shd w:val="clear" w:color="auto" w:fill="FFFFFF"/>
            <w:tcMar>
              <w:top w:w="72" w:type="dxa"/>
              <w:left w:w="144" w:type="dxa"/>
              <w:bottom w:w="72" w:type="dxa"/>
              <w:right w:w="144" w:type="dxa"/>
            </w:tcMar>
          </w:tcPr>
          <w:p w14:paraId="1F8A174F" w14:textId="2ADEB46F" w:rsidR="00204F48" w:rsidRPr="00F30FD1" w:rsidRDefault="00F2774E" w:rsidP="00F0211A">
            <w:pPr>
              <w:spacing w:after="0" w:line="240" w:lineRule="auto"/>
              <w:rPr>
                <w:rFonts w:eastAsia="Calibri" w:cs="Calibri"/>
                <w:sz w:val="20"/>
                <w:szCs w:val="22"/>
              </w:rPr>
            </w:pPr>
            <w:r w:rsidRPr="00F30FD1">
              <w:rPr>
                <w:rFonts w:eastAsia="Calibri" w:cs="Calibri"/>
                <w:sz w:val="20"/>
                <w:szCs w:val="22"/>
              </w:rPr>
              <w:t xml:space="preserve">Estrategia.- </w:t>
            </w:r>
            <w:r w:rsidR="00204F48" w:rsidRPr="00F30FD1">
              <w:rPr>
                <w:rFonts w:eastAsia="Calibri" w:cs="Calibri"/>
                <w:sz w:val="20"/>
                <w:szCs w:val="22"/>
              </w:rPr>
              <w:t>Crear estrategias de promoción, comunicación y difusión que fomenten la atracción de capitales e inversión a la entidad.</w:t>
            </w:r>
          </w:p>
        </w:tc>
      </w:tr>
      <w:tr w:rsidR="00204F48" w:rsidRPr="00F30FD1" w14:paraId="6D42EB83" w14:textId="77777777" w:rsidTr="00BC7B87">
        <w:trPr>
          <w:trHeight w:val="280"/>
        </w:trPr>
        <w:tc>
          <w:tcPr>
            <w:tcW w:w="1706" w:type="dxa"/>
            <w:shd w:val="clear" w:color="auto" w:fill="FFFFFF"/>
            <w:tcMar>
              <w:top w:w="72" w:type="dxa"/>
              <w:left w:w="144" w:type="dxa"/>
              <w:bottom w:w="72" w:type="dxa"/>
              <w:right w:w="144" w:type="dxa"/>
            </w:tcMar>
          </w:tcPr>
          <w:p w14:paraId="15CAC9C0" w14:textId="292478BF"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Descripción:</w:t>
            </w:r>
          </w:p>
        </w:tc>
        <w:tc>
          <w:tcPr>
            <w:tcW w:w="8129" w:type="dxa"/>
            <w:shd w:val="clear" w:color="auto" w:fill="FFFFFF"/>
            <w:tcMar>
              <w:top w:w="72" w:type="dxa"/>
              <w:left w:w="144" w:type="dxa"/>
              <w:bottom w:w="72" w:type="dxa"/>
              <w:right w:w="144" w:type="dxa"/>
            </w:tcMar>
          </w:tcPr>
          <w:p w14:paraId="1FAA8F29" w14:textId="63282F6A"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 xml:space="preserve">Estrategia de posicionamiento de Quintana Roo como destino de </w:t>
            </w:r>
            <w:r w:rsidR="006D1703" w:rsidRPr="00F30FD1">
              <w:rPr>
                <w:rFonts w:eastAsia="Calibri" w:cs="Calibri"/>
                <w:sz w:val="20"/>
                <w:szCs w:val="22"/>
              </w:rPr>
              <w:t>inversión</w:t>
            </w:r>
          </w:p>
        </w:tc>
      </w:tr>
      <w:tr w:rsidR="00204F48" w:rsidRPr="00F30FD1" w14:paraId="6558381D" w14:textId="77777777" w:rsidTr="00BC7B87">
        <w:trPr>
          <w:trHeight w:val="280"/>
        </w:trPr>
        <w:tc>
          <w:tcPr>
            <w:tcW w:w="1706" w:type="dxa"/>
            <w:shd w:val="clear" w:color="auto" w:fill="FFFFFF"/>
            <w:tcMar>
              <w:top w:w="72" w:type="dxa"/>
              <w:left w:w="144" w:type="dxa"/>
              <w:bottom w:w="72" w:type="dxa"/>
              <w:right w:w="144" w:type="dxa"/>
            </w:tcMar>
          </w:tcPr>
          <w:p w14:paraId="40DEE372" w14:textId="0711E014"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Método de cálculo:</w:t>
            </w:r>
          </w:p>
        </w:tc>
        <w:tc>
          <w:tcPr>
            <w:tcW w:w="8129" w:type="dxa"/>
            <w:shd w:val="clear" w:color="auto" w:fill="FFFFFF"/>
            <w:tcMar>
              <w:top w:w="72" w:type="dxa"/>
              <w:left w:w="144" w:type="dxa"/>
              <w:bottom w:w="72" w:type="dxa"/>
              <w:right w:w="144" w:type="dxa"/>
            </w:tcMar>
          </w:tcPr>
          <w:p w14:paraId="4157EE27" w14:textId="034EDF5B"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 xml:space="preserve">Se mide viendo el impacto en el </w:t>
            </w:r>
            <w:r w:rsidR="006D1703" w:rsidRPr="00F30FD1">
              <w:rPr>
                <w:rFonts w:eastAsia="Calibri" w:cs="Calibri"/>
                <w:sz w:val="20"/>
                <w:szCs w:val="22"/>
              </w:rPr>
              <w:t>número</w:t>
            </w:r>
            <w:r w:rsidRPr="00F30FD1">
              <w:rPr>
                <w:rFonts w:eastAsia="Calibri" w:cs="Calibri"/>
                <w:sz w:val="20"/>
                <w:szCs w:val="22"/>
              </w:rPr>
              <w:t xml:space="preserve"> de personas que utilizan redes de comunicación tanto </w:t>
            </w:r>
            <w:r w:rsidR="006D1703" w:rsidRPr="00F30FD1">
              <w:rPr>
                <w:rFonts w:eastAsia="Calibri" w:cs="Calibri"/>
                <w:sz w:val="20"/>
                <w:szCs w:val="22"/>
              </w:rPr>
              <w:t>públicas</w:t>
            </w:r>
            <w:r w:rsidRPr="00F30FD1">
              <w:rPr>
                <w:rFonts w:eastAsia="Calibri" w:cs="Calibri"/>
                <w:sz w:val="20"/>
                <w:szCs w:val="22"/>
              </w:rPr>
              <w:t xml:space="preserve"> como privadas , personales e institucionales</w:t>
            </w:r>
          </w:p>
        </w:tc>
      </w:tr>
      <w:tr w:rsidR="00204F48" w:rsidRPr="00F30FD1" w14:paraId="06E4EF3D" w14:textId="77777777" w:rsidTr="00BC7B87">
        <w:trPr>
          <w:trHeight w:val="280"/>
        </w:trPr>
        <w:tc>
          <w:tcPr>
            <w:tcW w:w="1706" w:type="dxa"/>
            <w:shd w:val="clear" w:color="auto" w:fill="FFFFFF"/>
            <w:tcMar>
              <w:top w:w="72" w:type="dxa"/>
              <w:left w:w="144" w:type="dxa"/>
              <w:bottom w:w="72" w:type="dxa"/>
              <w:right w:w="144" w:type="dxa"/>
            </w:tcMar>
          </w:tcPr>
          <w:p w14:paraId="046DAA99" w14:textId="0A123D46"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Periodicidad:</w:t>
            </w:r>
          </w:p>
        </w:tc>
        <w:tc>
          <w:tcPr>
            <w:tcW w:w="8129" w:type="dxa"/>
            <w:shd w:val="clear" w:color="auto" w:fill="FFFFFF"/>
            <w:tcMar>
              <w:top w:w="72" w:type="dxa"/>
              <w:left w:w="144" w:type="dxa"/>
              <w:bottom w:w="72" w:type="dxa"/>
              <w:right w:w="144" w:type="dxa"/>
            </w:tcMar>
          </w:tcPr>
          <w:p w14:paraId="7E365EEF" w14:textId="78C55BED"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semestre</w:t>
            </w:r>
          </w:p>
        </w:tc>
      </w:tr>
      <w:tr w:rsidR="00204F48" w:rsidRPr="00F30FD1" w14:paraId="5FAE5B8A" w14:textId="77777777" w:rsidTr="00BC7B87">
        <w:trPr>
          <w:trHeight w:val="160"/>
        </w:trPr>
        <w:tc>
          <w:tcPr>
            <w:tcW w:w="1706" w:type="dxa"/>
            <w:shd w:val="clear" w:color="auto" w:fill="FFFFFF"/>
            <w:tcMar>
              <w:top w:w="72" w:type="dxa"/>
              <w:left w:w="144" w:type="dxa"/>
              <w:bottom w:w="72" w:type="dxa"/>
              <w:right w:w="144" w:type="dxa"/>
            </w:tcMar>
          </w:tcPr>
          <w:p w14:paraId="17BAA6BE" w14:textId="19AD9728"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Fuente:</w:t>
            </w:r>
          </w:p>
        </w:tc>
        <w:tc>
          <w:tcPr>
            <w:tcW w:w="8129" w:type="dxa"/>
            <w:shd w:val="clear" w:color="auto" w:fill="FFFFFF"/>
            <w:tcMar>
              <w:top w:w="72" w:type="dxa"/>
              <w:left w:w="144" w:type="dxa"/>
              <w:bottom w:w="72" w:type="dxa"/>
              <w:right w:w="144" w:type="dxa"/>
            </w:tcMar>
          </w:tcPr>
          <w:p w14:paraId="6E9B879C" w14:textId="338C927A" w:rsidR="00204F48" w:rsidRPr="00F30FD1" w:rsidRDefault="00204F48" w:rsidP="00F0211A">
            <w:pPr>
              <w:spacing w:after="0" w:line="240" w:lineRule="auto"/>
              <w:rPr>
                <w:rFonts w:eastAsia="Calibri" w:cs="Calibri"/>
                <w:sz w:val="20"/>
                <w:szCs w:val="22"/>
              </w:rPr>
            </w:pPr>
            <w:r w:rsidRPr="00F30FD1">
              <w:rPr>
                <w:rFonts w:eastAsia="Calibri" w:cs="Calibri"/>
                <w:sz w:val="20"/>
                <w:szCs w:val="22"/>
              </w:rPr>
              <w:t>IDEFIN</w:t>
            </w:r>
          </w:p>
        </w:tc>
      </w:tr>
      <w:tr w:rsidR="006D1703" w:rsidRPr="00F30FD1" w14:paraId="344AD3A3" w14:textId="77777777" w:rsidTr="00BC7B87">
        <w:trPr>
          <w:trHeight w:val="160"/>
        </w:trPr>
        <w:tc>
          <w:tcPr>
            <w:tcW w:w="1706" w:type="dxa"/>
            <w:shd w:val="clear" w:color="auto" w:fill="FFFFFF"/>
            <w:tcMar>
              <w:top w:w="72" w:type="dxa"/>
              <w:left w:w="144" w:type="dxa"/>
              <w:bottom w:w="72" w:type="dxa"/>
              <w:right w:w="144" w:type="dxa"/>
            </w:tcMar>
          </w:tcPr>
          <w:p w14:paraId="3D7113F4" w14:textId="5C88297D" w:rsidR="006D1703" w:rsidRPr="00F30FD1" w:rsidRDefault="006D1703" w:rsidP="006D1703">
            <w:pPr>
              <w:spacing w:after="0" w:line="240" w:lineRule="auto"/>
              <w:rPr>
                <w:rFonts w:eastAsia="Calibri" w:cs="Calibri"/>
                <w:sz w:val="20"/>
                <w:szCs w:val="22"/>
              </w:rPr>
            </w:pPr>
            <w:r w:rsidRPr="00F30FD1">
              <w:rPr>
                <w:rFonts w:eastAsia="Calibri" w:cs="Calibri"/>
                <w:sz w:val="20"/>
                <w:szCs w:val="22"/>
              </w:rPr>
              <w:t>Dimensión:</w:t>
            </w:r>
          </w:p>
        </w:tc>
        <w:tc>
          <w:tcPr>
            <w:tcW w:w="8129" w:type="dxa"/>
            <w:shd w:val="clear" w:color="auto" w:fill="FFFFFF"/>
            <w:tcMar>
              <w:top w:w="72" w:type="dxa"/>
              <w:left w:w="144" w:type="dxa"/>
              <w:bottom w:w="72" w:type="dxa"/>
              <w:right w:w="144" w:type="dxa"/>
            </w:tcMar>
          </w:tcPr>
          <w:p w14:paraId="36173B4D" w14:textId="66F9F091" w:rsidR="006D1703" w:rsidRPr="00F30FD1" w:rsidRDefault="00F2774E" w:rsidP="006D1703">
            <w:pPr>
              <w:spacing w:after="0" w:line="240" w:lineRule="auto"/>
              <w:rPr>
                <w:rFonts w:eastAsia="Calibri" w:cs="Calibri"/>
                <w:sz w:val="20"/>
                <w:szCs w:val="22"/>
              </w:rPr>
            </w:pPr>
            <w:r w:rsidRPr="00F30FD1">
              <w:rPr>
                <w:rFonts w:eastAsia="Calibri" w:cs="Calibri"/>
                <w:sz w:val="20"/>
                <w:szCs w:val="22"/>
              </w:rPr>
              <w:t>Eficacia</w:t>
            </w:r>
          </w:p>
        </w:tc>
      </w:tr>
    </w:tbl>
    <w:p w14:paraId="68164639" w14:textId="77777777" w:rsidR="005B3F76" w:rsidRPr="00F30FD1" w:rsidRDefault="005B3F76" w:rsidP="00BC7B87">
      <w:pPr>
        <w:spacing w:after="120"/>
        <w:ind w:firstLine="708"/>
        <w:jc w:val="right"/>
        <w:rPr>
          <w:noProof/>
          <w:color w:val="4BACC6" w:themeColor="accent5"/>
        </w:rPr>
      </w:pPr>
    </w:p>
    <w:p w14:paraId="3D7B1051" w14:textId="77777777" w:rsidR="00A800CF" w:rsidRDefault="00A800CF" w:rsidP="00E968E1">
      <w:pPr>
        <w:pStyle w:val="Ttulo1"/>
        <w:sectPr w:rsidR="00A800CF" w:rsidSect="00612870">
          <w:footerReference w:type="default" r:id="rId39"/>
          <w:pgSz w:w="12240" w:h="15840" w:code="1"/>
          <w:pgMar w:top="2977" w:right="1134" w:bottom="1134" w:left="1559" w:header="0" w:footer="187" w:gutter="0"/>
          <w:cols w:space="708"/>
          <w:docGrid w:linePitch="360"/>
        </w:sectPr>
      </w:pPr>
    </w:p>
    <w:p w14:paraId="2B5C2E91" w14:textId="6A2C385C" w:rsidR="00E968E1" w:rsidRDefault="00E968E1" w:rsidP="00E968E1">
      <w:pPr>
        <w:pStyle w:val="Ttulo1"/>
      </w:pPr>
      <w:r w:rsidRPr="00F30FD1">
        <w:lastRenderedPageBreak/>
        <w:t xml:space="preserve">Anexo </w:t>
      </w:r>
      <w:r>
        <w:t>3</w:t>
      </w:r>
      <w:r w:rsidRPr="00F30FD1">
        <w:t xml:space="preserve">. </w:t>
      </w:r>
      <w:r w:rsidR="00DE5A86" w:rsidRPr="00DE5A86">
        <w:t>Matriz de Indicadores para Resultados</w:t>
      </w:r>
    </w:p>
    <w:tbl>
      <w:tblPr>
        <w:tblW w:w="5643" w:type="pct"/>
        <w:tblCellMar>
          <w:left w:w="70" w:type="dxa"/>
          <w:right w:w="70" w:type="dxa"/>
        </w:tblCellMar>
        <w:tblLook w:val="0400" w:firstRow="0" w:lastRow="0" w:firstColumn="0" w:lastColumn="0" w:noHBand="0" w:noVBand="1"/>
      </w:tblPr>
      <w:tblGrid>
        <w:gridCol w:w="7016"/>
        <w:gridCol w:w="6379"/>
      </w:tblGrid>
      <w:tr w:rsidR="0005710C" w:rsidRPr="00A800CF" w14:paraId="41000077" w14:textId="77777777" w:rsidTr="0022309F">
        <w:trPr>
          <w:trHeight w:val="20"/>
        </w:trPr>
        <w:tc>
          <w:tcPr>
            <w:tcW w:w="26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6E68E2" w14:textId="6389D559" w:rsidR="0005710C" w:rsidRPr="00A800CF" w:rsidRDefault="0005710C" w:rsidP="0005710C">
            <w:pPr>
              <w:widowControl w:val="0"/>
              <w:spacing w:after="0"/>
              <w:contextualSpacing/>
              <w:rPr>
                <w:rFonts w:eastAsia="Carme" w:cs="Carme"/>
                <w:b/>
                <w:color w:val="595959"/>
                <w:sz w:val="20"/>
                <w:szCs w:val="20"/>
                <w:lang w:val="es-MX" w:eastAsia="es-MX"/>
              </w:rPr>
            </w:pPr>
            <w:r w:rsidRPr="00A800CF">
              <w:rPr>
                <w:rFonts w:eastAsia="Carme" w:cs="Carme"/>
                <w:b/>
                <w:color w:val="595959"/>
                <w:sz w:val="20"/>
                <w:szCs w:val="20"/>
                <w:lang w:val="es-MX" w:eastAsia="es-MX"/>
              </w:rPr>
              <w:t>TEMA 3.- ATRACCIÓN DE PROYECTOS DE INVERSIÓN, CAPITALES Y FINANCIAMIENTO</w:t>
            </w:r>
          </w:p>
        </w:tc>
        <w:tc>
          <w:tcPr>
            <w:tcW w:w="23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BA529D" w14:textId="2B5E1497" w:rsidR="0005710C" w:rsidRPr="00A800CF" w:rsidRDefault="0005710C" w:rsidP="0005710C">
            <w:pPr>
              <w:widowControl w:val="0"/>
              <w:spacing w:after="0"/>
              <w:contextualSpacing/>
              <w:rPr>
                <w:rFonts w:eastAsia="Carme" w:cs="Carme"/>
                <w:b/>
                <w:color w:val="595959"/>
                <w:sz w:val="20"/>
                <w:szCs w:val="20"/>
                <w:lang w:val="es-MX" w:eastAsia="es-MX"/>
              </w:rPr>
            </w:pPr>
            <w:r w:rsidRPr="00A800CF">
              <w:rPr>
                <w:rFonts w:eastAsia="Carme" w:cs="Carme"/>
                <w:b/>
                <w:color w:val="595959"/>
                <w:sz w:val="20"/>
                <w:szCs w:val="20"/>
                <w:lang w:val="es-MX" w:eastAsia="es-MX"/>
              </w:rPr>
              <w:t>ATRACCIÓN DE PROYECTOS DE INVERSIÓN, CAPITALES Y FINANCIAMIENTO</w:t>
            </w:r>
          </w:p>
        </w:tc>
      </w:tr>
      <w:tr w:rsidR="0005710C" w:rsidRPr="00A800CF" w14:paraId="0C0F8FA4" w14:textId="77777777" w:rsidTr="0022309F">
        <w:trPr>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EAE40" w14:textId="249574B5" w:rsidR="0005710C" w:rsidRPr="00A800CF" w:rsidRDefault="0005710C" w:rsidP="0005710C">
            <w:pPr>
              <w:widowControl w:val="0"/>
              <w:spacing w:after="0"/>
              <w:contextualSpacing/>
              <w:rPr>
                <w:rFonts w:eastAsia="Carme" w:cs="Carme"/>
                <w:b/>
                <w:color w:val="595959"/>
                <w:sz w:val="20"/>
                <w:szCs w:val="20"/>
                <w:lang w:val="es-MX" w:eastAsia="es-MX"/>
              </w:rPr>
            </w:pPr>
            <w:r w:rsidRPr="00A800CF">
              <w:rPr>
                <w:rFonts w:eastAsia="Carme" w:cs="Carme"/>
                <w:b/>
                <w:color w:val="595959"/>
                <w:sz w:val="20"/>
                <w:szCs w:val="20"/>
                <w:lang w:val="es-MX" w:eastAsia="es-MX"/>
              </w:rPr>
              <w:t>6329 - INSTITUTO PARA EL DESARROLLO Y FINANCIAMIENTO DEL ESTADO DE QUINTANA ROO</w:t>
            </w:r>
          </w:p>
        </w:tc>
      </w:tr>
    </w:tbl>
    <w:p w14:paraId="2CC02B1C" w14:textId="77777777" w:rsidR="0005710C" w:rsidRDefault="0005710C" w:rsidP="0005710C">
      <w:pPr>
        <w:rPr>
          <w:lang w:val="es-MX" w:eastAsia="en-US"/>
        </w:rPr>
      </w:pPr>
    </w:p>
    <w:tbl>
      <w:tblPr>
        <w:tblW w:w="13395" w:type="dxa"/>
        <w:tblLayout w:type="fixed"/>
        <w:tblCellMar>
          <w:left w:w="70" w:type="dxa"/>
          <w:right w:w="70" w:type="dxa"/>
        </w:tblCellMar>
        <w:tblLook w:val="0400" w:firstRow="0" w:lastRow="0" w:firstColumn="0" w:lastColumn="0" w:noHBand="0" w:noVBand="1"/>
      </w:tblPr>
      <w:tblGrid>
        <w:gridCol w:w="1488"/>
        <w:gridCol w:w="3827"/>
        <w:gridCol w:w="1843"/>
        <w:gridCol w:w="3402"/>
        <w:gridCol w:w="2835"/>
      </w:tblGrid>
      <w:tr w:rsidR="0005710C" w:rsidRPr="00A800CF" w14:paraId="43B4AB3C" w14:textId="77777777" w:rsidTr="00117A30">
        <w:trPr>
          <w:trHeight w:val="20"/>
        </w:trPr>
        <w:tc>
          <w:tcPr>
            <w:tcW w:w="1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7E2CD1" w14:textId="261CC4A9" w:rsidR="0005710C" w:rsidRPr="0005710C" w:rsidRDefault="0005710C" w:rsidP="00C03380">
            <w:pPr>
              <w:widowControl w:val="0"/>
              <w:spacing w:after="0" w:line="240" w:lineRule="auto"/>
              <w:contextualSpacing/>
              <w:jc w:val="center"/>
              <w:rPr>
                <w:rFonts w:eastAsia="Carme" w:cs="Carme"/>
                <w:b/>
                <w:color w:val="595959"/>
                <w:sz w:val="16"/>
                <w:szCs w:val="16"/>
                <w:lang w:val="es-MX" w:eastAsia="es-MX"/>
              </w:rPr>
            </w:pPr>
            <w:r w:rsidRPr="0005710C">
              <w:rPr>
                <w:rFonts w:eastAsia="Carme" w:cs="Carme"/>
                <w:b/>
                <w:color w:val="595959"/>
                <w:sz w:val="16"/>
                <w:szCs w:val="16"/>
                <w:lang w:val="es-MX" w:eastAsia="es-MX"/>
              </w:rPr>
              <w:t>NIVEL</w:t>
            </w:r>
          </w:p>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6601D5" w14:textId="77777777" w:rsidR="0005710C" w:rsidRPr="0005710C" w:rsidRDefault="0005710C" w:rsidP="00C03380">
            <w:pPr>
              <w:widowControl w:val="0"/>
              <w:spacing w:after="0" w:line="240" w:lineRule="auto"/>
              <w:contextualSpacing/>
              <w:jc w:val="center"/>
              <w:rPr>
                <w:rFonts w:eastAsia="Carme" w:cs="Carme"/>
                <w:b/>
                <w:color w:val="595959"/>
                <w:sz w:val="16"/>
                <w:szCs w:val="16"/>
                <w:lang w:val="es-MX" w:eastAsia="es-MX"/>
              </w:rPr>
            </w:pPr>
            <w:r w:rsidRPr="0005710C">
              <w:rPr>
                <w:rFonts w:eastAsia="Carme" w:cs="Carme"/>
                <w:b/>
                <w:color w:val="595959"/>
                <w:sz w:val="16"/>
                <w:szCs w:val="16"/>
                <w:lang w:val="es-MX" w:eastAsia="es-MX"/>
              </w:rPr>
              <w:t>OBJETIVO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613A58" w14:textId="77777777" w:rsidR="0005710C" w:rsidRPr="0005710C" w:rsidRDefault="0005710C" w:rsidP="00C03380">
            <w:pPr>
              <w:widowControl w:val="0"/>
              <w:spacing w:after="0" w:line="240" w:lineRule="auto"/>
              <w:contextualSpacing/>
              <w:jc w:val="center"/>
              <w:rPr>
                <w:rFonts w:eastAsia="Carme" w:cs="Carme"/>
                <w:b/>
                <w:color w:val="595959"/>
                <w:sz w:val="16"/>
                <w:szCs w:val="16"/>
                <w:lang w:val="es-MX" w:eastAsia="es-MX"/>
              </w:rPr>
            </w:pPr>
            <w:r w:rsidRPr="0005710C">
              <w:rPr>
                <w:rFonts w:eastAsia="Carme" w:cs="Carme"/>
                <w:b/>
                <w:color w:val="595959"/>
                <w:sz w:val="16"/>
                <w:szCs w:val="16"/>
                <w:lang w:val="es-MX" w:eastAsia="es-MX"/>
              </w:rPr>
              <w:t>INDICADOR</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82660" w14:textId="77777777" w:rsidR="0005710C" w:rsidRPr="0005710C" w:rsidRDefault="0005710C" w:rsidP="00C03380">
            <w:pPr>
              <w:widowControl w:val="0"/>
              <w:spacing w:after="0" w:line="240" w:lineRule="auto"/>
              <w:contextualSpacing/>
              <w:jc w:val="center"/>
              <w:rPr>
                <w:rFonts w:eastAsia="Carme" w:cs="Carme"/>
                <w:b/>
                <w:color w:val="595959"/>
                <w:sz w:val="16"/>
                <w:szCs w:val="16"/>
                <w:lang w:val="es-MX" w:eastAsia="es-MX"/>
              </w:rPr>
            </w:pPr>
            <w:r w:rsidRPr="0005710C">
              <w:rPr>
                <w:rFonts w:eastAsia="Carme" w:cs="Carme"/>
                <w:b/>
                <w:color w:val="595959"/>
                <w:sz w:val="16"/>
                <w:szCs w:val="16"/>
                <w:lang w:val="es-MX" w:eastAsia="es-MX"/>
              </w:rPr>
              <w:t>MEDIOS DE VERIFICACIÓN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B4F3A3" w14:textId="77777777" w:rsidR="0005710C" w:rsidRPr="0005710C" w:rsidRDefault="0005710C" w:rsidP="00C03380">
            <w:pPr>
              <w:widowControl w:val="0"/>
              <w:spacing w:after="0" w:line="240" w:lineRule="auto"/>
              <w:contextualSpacing/>
              <w:jc w:val="center"/>
              <w:rPr>
                <w:rFonts w:eastAsia="Carme" w:cs="Carme"/>
                <w:b/>
                <w:color w:val="595959"/>
                <w:sz w:val="16"/>
                <w:szCs w:val="16"/>
                <w:lang w:val="es-MX" w:eastAsia="es-MX"/>
              </w:rPr>
            </w:pPr>
            <w:r w:rsidRPr="0005710C">
              <w:rPr>
                <w:rFonts w:eastAsia="Carme" w:cs="Carme"/>
                <w:b/>
                <w:color w:val="595959"/>
                <w:sz w:val="16"/>
                <w:szCs w:val="16"/>
                <w:lang w:val="es-MX" w:eastAsia="es-MX"/>
              </w:rPr>
              <w:t>SUPUESTO</w:t>
            </w:r>
          </w:p>
        </w:tc>
      </w:tr>
      <w:tr w:rsidR="0005710C" w:rsidRPr="00A800CF" w14:paraId="15F14F02" w14:textId="77777777" w:rsidTr="00117A30">
        <w:trPr>
          <w:trHeight w:val="20"/>
        </w:trPr>
        <w:tc>
          <w:tcPr>
            <w:tcW w:w="14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19EABA" w14:textId="6631F8A5" w:rsidR="0005710C" w:rsidRPr="00A800CF" w:rsidRDefault="0005710C" w:rsidP="00C03380">
            <w:pPr>
              <w:widowControl w:val="0"/>
              <w:spacing w:after="0" w:line="240" w:lineRule="auto"/>
              <w:contextualSpacing/>
              <w:jc w:val="center"/>
              <w:rPr>
                <w:rFonts w:eastAsia="Calibri" w:cs="Calibri"/>
                <w:b/>
                <w:bCs/>
                <w:caps/>
                <w:sz w:val="16"/>
                <w:szCs w:val="16"/>
                <w:lang w:val="es-MX" w:eastAsia="en-US"/>
              </w:rPr>
            </w:pPr>
            <w:r w:rsidRPr="0005710C">
              <w:rPr>
                <w:rFonts w:eastAsia="Carme" w:cs="Carme"/>
                <w:b/>
                <w:bCs/>
                <w:color w:val="595959"/>
                <w:sz w:val="16"/>
                <w:szCs w:val="16"/>
                <w:lang w:val="es-MX" w:eastAsia="es-MX"/>
              </w:rPr>
              <w:t>FIN</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14:paraId="372EC53D" w14:textId="05E8AD0D" w:rsidR="0005710C" w:rsidRPr="0005710C" w:rsidRDefault="0005710C" w:rsidP="00C03380">
            <w:pPr>
              <w:pStyle w:val="Ttulo1"/>
              <w:spacing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 xml:space="preserve">Contribuir a implementar una </w:t>
            </w:r>
            <w:r w:rsidR="0022309F" w:rsidRPr="0005710C">
              <w:rPr>
                <w:rFonts w:eastAsia="Carme" w:cs="Carme"/>
                <w:b w:val="0"/>
                <w:caps w:val="0"/>
                <w:color w:val="595959"/>
                <w:sz w:val="16"/>
                <w:szCs w:val="16"/>
                <w:lang w:eastAsia="es-MX"/>
              </w:rPr>
              <w:t>política</w:t>
            </w:r>
            <w:r w:rsidRPr="0005710C">
              <w:rPr>
                <w:rFonts w:eastAsia="Carme" w:cs="Carme"/>
                <w:b w:val="0"/>
                <w:caps w:val="0"/>
                <w:color w:val="595959"/>
                <w:sz w:val="16"/>
                <w:szCs w:val="16"/>
                <w:lang w:eastAsia="es-MX"/>
              </w:rPr>
              <w:t xml:space="preserve"> hacendaria integral a </w:t>
            </w:r>
            <w:r w:rsidR="0022309F" w:rsidRPr="0005710C">
              <w:rPr>
                <w:rFonts w:eastAsia="Carme" w:cs="Carme"/>
                <w:b w:val="0"/>
                <w:caps w:val="0"/>
                <w:color w:val="595959"/>
                <w:sz w:val="16"/>
                <w:szCs w:val="16"/>
                <w:lang w:eastAsia="es-MX"/>
              </w:rPr>
              <w:t>través</w:t>
            </w:r>
            <w:r w:rsidRPr="0005710C">
              <w:rPr>
                <w:rFonts w:eastAsia="Carme" w:cs="Carme"/>
                <w:b w:val="0"/>
                <w:caps w:val="0"/>
                <w:color w:val="595959"/>
                <w:sz w:val="16"/>
                <w:szCs w:val="16"/>
                <w:lang w:eastAsia="es-MX"/>
              </w:rPr>
              <w:t xml:space="preserve"> del </w:t>
            </w:r>
            <w:r w:rsidR="0022309F" w:rsidRPr="0005710C">
              <w:rPr>
                <w:rFonts w:eastAsia="Carme" w:cs="Carme"/>
                <w:b w:val="0"/>
                <w:caps w:val="0"/>
                <w:color w:val="595959"/>
                <w:sz w:val="16"/>
                <w:szCs w:val="16"/>
                <w:lang w:eastAsia="es-MX"/>
              </w:rPr>
              <w:t>incremento</w:t>
            </w:r>
            <w:r w:rsidRPr="0005710C">
              <w:rPr>
                <w:rFonts w:eastAsia="Carme" w:cs="Carme"/>
                <w:b w:val="0"/>
                <w:caps w:val="0"/>
                <w:color w:val="595959"/>
                <w:sz w:val="16"/>
                <w:szCs w:val="16"/>
                <w:lang w:eastAsia="es-MX"/>
              </w:rPr>
              <w:t xml:space="preserve"> de los ingresos propios que permita al gobierno mantener una estabilidad económica y la sustentabilidad de las finanzas públicas mediante el desarrollo de proyectos y programas para fortalecer las acciones de recaudación de las contribuciones estatales que favorezcan el equilibrio financiero, en estricto apego a los principios de disciplina financiera.</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851948C" w14:textId="77777777" w:rsidR="0005710C" w:rsidRPr="0005710C" w:rsidRDefault="0005710C" w:rsidP="00C03380">
            <w:pPr>
              <w:pStyle w:val="Ttulo1"/>
              <w:spacing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 xml:space="preserve">Calificación de </w:t>
            </w:r>
            <w:proofErr w:type="spellStart"/>
            <w:r w:rsidRPr="0005710C">
              <w:rPr>
                <w:rFonts w:eastAsia="Carme" w:cs="Carme"/>
                <w:b w:val="0"/>
                <w:caps w:val="0"/>
                <w:color w:val="595959"/>
                <w:sz w:val="16"/>
                <w:szCs w:val="16"/>
                <w:lang w:eastAsia="es-MX"/>
              </w:rPr>
              <w:t>Fitch</w:t>
            </w:r>
            <w:proofErr w:type="spellEnd"/>
            <w:r w:rsidRPr="0005710C">
              <w:rPr>
                <w:rFonts w:eastAsia="Carme" w:cs="Carme"/>
                <w:b w:val="0"/>
                <w:caps w:val="0"/>
                <w:color w:val="595959"/>
                <w:sz w:val="16"/>
                <w:szCs w:val="16"/>
                <w:lang w:eastAsia="es-MX"/>
              </w:rPr>
              <w:t xml:space="preserve"> Ratings ´</w:t>
            </w:r>
            <w:proofErr w:type="gramStart"/>
            <w:r w:rsidRPr="0005710C">
              <w:rPr>
                <w:rFonts w:eastAsia="Carme" w:cs="Carme"/>
                <w:b w:val="0"/>
                <w:caps w:val="0"/>
                <w:color w:val="595959"/>
                <w:sz w:val="16"/>
                <w:szCs w:val="16"/>
                <w:lang w:eastAsia="es-MX"/>
              </w:rPr>
              <w:t>BBB(</w:t>
            </w:r>
            <w:proofErr w:type="spellStart"/>
            <w:proofErr w:type="gramEnd"/>
            <w:r w:rsidRPr="0005710C">
              <w:rPr>
                <w:rFonts w:eastAsia="Carme" w:cs="Carme"/>
                <w:b w:val="0"/>
                <w:caps w:val="0"/>
                <w:color w:val="595959"/>
                <w:sz w:val="16"/>
                <w:szCs w:val="16"/>
                <w:lang w:eastAsia="es-MX"/>
              </w:rPr>
              <w:t>mex</w:t>
            </w:r>
            <w:proofErr w:type="spellEnd"/>
            <w:r w:rsidRPr="0005710C">
              <w:rPr>
                <w:rFonts w:eastAsia="Carme" w:cs="Carme"/>
                <w:b w:val="0"/>
                <w:caps w:val="0"/>
                <w:color w:val="595959"/>
                <w:sz w:val="16"/>
                <w:szCs w:val="16"/>
                <w:lang w:eastAsia="es-MX"/>
              </w:rPr>
              <w:t>)´ perspectiva estable</w:t>
            </w:r>
          </w:p>
        </w:tc>
        <w:tc>
          <w:tcPr>
            <w:tcW w:w="3402" w:type="dxa"/>
            <w:tcBorders>
              <w:top w:val="single" w:sz="4" w:space="0" w:color="auto"/>
              <w:left w:val="nil"/>
              <w:bottom w:val="nil"/>
              <w:right w:val="nil"/>
            </w:tcBorders>
            <w:shd w:val="clear" w:color="auto" w:fill="auto"/>
            <w:vAlign w:val="center"/>
            <w:hideMark/>
          </w:tcPr>
          <w:p w14:paraId="0CBC7B1B" w14:textId="58D8A927" w:rsidR="0005710C" w:rsidRPr="0005710C" w:rsidRDefault="0005710C" w:rsidP="00C03380">
            <w:pPr>
              <w:pStyle w:val="Ttulo1"/>
              <w:spacing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 xml:space="preserve">La calificación refleja la aplicación de la “Metodología de Calificación de Entidades Relacionadas al Gobierno (GRE, por sus siglas en inglés). La Metodología </w:t>
            </w:r>
            <w:r w:rsidR="0022309F" w:rsidRPr="0005710C">
              <w:rPr>
                <w:rFonts w:eastAsia="Carme" w:cs="Carme"/>
                <w:b w:val="0"/>
                <w:caps w:val="0"/>
                <w:color w:val="595959"/>
                <w:sz w:val="16"/>
                <w:szCs w:val="16"/>
                <w:lang w:eastAsia="es-MX"/>
              </w:rPr>
              <w:t>evalúa</w:t>
            </w:r>
            <w:r w:rsidRPr="0005710C">
              <w:rPr>
                <w:rFonts w:eastAsia="Carme" w:cs="Carme"/>
                <w:b w:val="0"/>
                <w:caps w:val="0"/>
                <w:color w:val="595959"/>
                <w:sz w:val="16"/>
                <w:szCs w:val="16"/>
                <w:lang w:eastAsia="es-MX"/>
              </w:rPr>
              <w:t xml:space="preserve"> factores como Estatus, Propiedad y Control, Historial y Expectativa de Soporte, Implicaciones Socio-Políticas, Implicaciones Financieras y Ponderación de los Factores Clave. La calificación se puede consultar en </w:t>
            </w:r>
            <w:r w:rsidR="0022309F" w:rsidRPr="0005710C">
              <w:rPr>
                <w:rFonts w:eastAsia="Carme" w:cs="Carme"/>
                <w:b w:val="0"/>
                <w:caps w:val="0"/>
                <w:color w:val="595959"/>
                <w:sz w:val="16"/>
                <w:szCs w:val="16"/>
                <w:lang w:eastAsia="es-MX"/>
              </w:rPr>
              <w:t>línea</w:t>
            </w:r>
            <w:r w:rsidRPr="0005710C">
              <w:rPr>
                <w:rFonts w:eastAsia="Carme" w:cs="Carme"/>
                <w:b w:val="0"/>
                <w:caps w:val="0"/>
                <w:color w:val="595959"/>
                <w:sz w:val="16"/>
                <w:szCs w:val="16"/>
                <w:lang w:eastAsia="es-MX"/>
              </w:rPr>
              <w:t xml:space="preserve"> a </w:t>
            </w:r>
            <w:r w:rsidR="0022309F" w:rsidRPr="0005710C">
              <w:rPr>
                <w:rFonts w:eastAsia="Carme" w:cs="Carme"/>
                <w:b w:val="0"/>
                <w:caps w:val="0"/>
                <w:color w:val="595959"/>
                <w:sz w:val="16"/>
                <w:szCs w:val="16"/>
                <w:lang w:eastAsia="es-MX"/>
              </w:rPr>
              <w:t>través</w:t>
            </w:r>
            <w:r w:rsidRPr="0005710C">
              <w:rPr>
                <w:rFonts w:eastAsia="Carme" w:cs="Carme"/>
                <w:b w:val="0"/>
                <w:caps w:val="0"/>
                <w:color w:val="595959"/>
                <w:sz w:val="16"/>
                <w:szCs w:val="16"/>
                <w:lang w:eastAsia="es-MX"/>
              </w:rPr>
              <w:t xml:space="preserve"> de la </w:t>
            </w:r>
            <w:r w:rsidR="00425825" w:rsidRPr="0005710C">
              <w:rPr>
                <w:rFonts w:eastAsia="Carme" w:cs="Carme"/>
                <w:b w:val="0"/>
                <w:caps w:val="0"/>
                <w:color w:val="595959"/>
                <w:sz w:val="16"/>
                <w:szCs w:val="16"/>
                <w:lang w:eastAsia="es-MX"/>
              </w:rPr>
              <w:t>página</w:t>
            </w:r>
            <w:r w:rsidRPr="0005710C">
              <w:rPr>
                <w:rFonts w:eastAsia="Carme" w:cs="Carme"/>
                <w:b w:val="0"/>
                <w:caps w:val="0"/>
                <w:color w:val="595959"/>
                <w:sz w:val="16"/>
                <w:szCs w:val="16"/>
                <w:lang w:eastAsia="es-MX"/>
              </w:rPr>
              <w:t xml:space="preserve"> de internet https://qroo.gob.mx/idefin</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B6FC9" w14:textId="77777777" w:rsidR="0005710C" w:rsidRPr="0005710C" w:rsidRDefault="0005710C" w:rsidP="00C03380">
            <w:pPr>
              <w:pStyle w:val="Ttulo1"/>
              <w:spacing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El Estado de Quintana Roo es transparente en las acciones de gobierno y la rendición de cuentas</w:t>
            </w:r>
          </w:p>
        </w:tc>
      </w:tr>
      <w:tr w:rsidR="0005710C" w:rsidRPr="00A800CF" w14:paraId="411DC5E7" w14:textId="77777777" w:rsidTr="00C03380">
        <w:trPr>
          <w:trHeight w:val="1410"/>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6570AF14" w14:textId="55E5A80A" w:rsidR="0005710C" w:rsidRPr="0005710C" w:rsidRDefault="0005710C" w:rsidP="00C03380">
            <w:pPr>
              <w:widowControl w:val="0"/>
              <w:spacing w:after="0" w:line="240" w:lineRule="auto"/>
              <w:contextualSpacing/>
              <w:jc w:val="center"/>
              <w:rPr>
                <w:rFonts w:eastAsia="Carme" w:cs="Carme"/>
                <w:b/>
                <w:bCs/>
                <w:color w:val="595959"/>
                <w:sz w:val="16"/>
                <w:szCs w:val="16"/>
                <w:lang w:val="es-MX" w:eastAsia="es-MX"/>
              </w:rPr>
            </w:pPr>
            <w:r w:rsidRPr="0005710C">
              <w:rPr>
                <w:rFonts w:eastAsia="Carme" w:cs="Carme"/>
                <w:b/>
                <w:bCs/>
                <w:color w:val="595959"/>
                <w:sz w:val="16"/>
                <w:szCs w:val="16"/>
                <w:lang w:val="es-MX" w:eastAsia="es-MX"/>
              </w:rPr>
              <w:t>PROPÓSITO</w:t>
            </w:r>
          </w:p>
        </w:tc>
        <w:tc>
          <w:tcPr>
            <w:tcW w:w="3827" w:type="dxa"/>
            <w:tcBorders>
              <w:top w:val="nil"/>
              <w:left w:val="nil"/>
              <w:bottom w:val="single" w:sz="4" w:space="0" w:color="auto"/>
              <w:right w:val="single" w:sz="4" w:space="0" w:color="auto"/>
            </w:tcBorders>
            <w:shd w:val="clear" w:color="auto" w:fill="auto"/>
            <w:vAlign w:val="center"/>
            <w:hideMark/>
          </w:tcPr>
          <w:p w14:paraId="3649E4B7" w14:textId="7B592EB4" w:rsidR="0005710C" w:rsidRPr="0005710C" w:rsidRDefault="0005710C" w:rsidP="00C03380">
            <w:pPr>
              <w:pStyle w:val="Ttulo1"/>
              <w:spacing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 xml:space="preserve">En el estado de Quintana Roo se </w:t>
            </w:r>
            <w:proofErr w:type="spellStart"/>
            <w:r w:rsidRPr="0005710C">
              <w:rPr>
                <w:rFonts w:eastAsia="Carme" w:cs="Carme"/>
                <w:b w:val="0"/>
                <w:caps w:val="0"/>
                <w:color w:val="595959"/>
                <w:sz w:val="16"/>
                <w:szCs w:val="16"/>
                <w:lang w:eastAsia="es-MX"/>
              </w:rPr>
              <w:t>capto</w:t>
            </w:r>
            <w:proofErr w:type="spellEnd"/>
            <w:r w:rsidRPr="0005710C">
              <w:rPr>
                <w:rFonts w:eastAsia="Carme" w:cs="Carme"/>
                <w:b w:val="0"/>
                <w:caps w:val="0"/>
                <w:color w:val="595959"/>
                <w:sz w:val="16"/>
                <w:szCs w:val="16"/>
                <w:lang w:eastAsia="es-MX"/>
              </w:rPr>
              <w:t xml:space="preserve"> </w:t>
            </w:r>
            <w:r w:rsidR="0022309F" w:rsidRPr="0005710C">
              <w:rPr>
                <w:rFonts w:eastAsia="Carme" w:cs="Carme"/>
                <w:b w:val="0"/>
                <w:caps w:val="0"/>
                <w:color w:val="595959"/>
                <w:sz w:val="16"/>
                <w:szCs w:val="16"/>
                <w:lang w:eastAsia="es-MX"/>
              </w:rPr>
              <w:t>inversión</w:t>
            </w:r>
            <w:r w:rsidRPr="0005710C">
              <w:rPr>
                <w:rFonts w:eastAsia="Carme" w:cs="Carme"/>
                <w:b w:val="0"/>
                <w:caps w:val="0"/>
                <w:color w:val="595959"/>
                <w:sz w:val="16"/>
                <w:szCs w:val="16"/>
                <w:lang w:eastAsia="es-MX"/>
              </w:rPr>
              <w:t xml:space="preserve"> Nacional e internacional para los diversos sectores productivos.</w:t>
            </w:r>
          </w:p>
        </w:tc>
        <w:tc>
          <w:tcPr>
            <w:tcW w:w="1843" w:type="dxa"/>
            <w:tcBorders>
              <w:top w:val="nil"/>
              <w:left w:val="nil"/>
              <w:bottom w:val="single" w:sz="4" w:space="0" w:color="auto"/>
              <w:right w:val="single" w:sz="4" w:space="0" w:color="auto"/>
            </w:tcBorders>
            <w:shd w:val="clear" w:color="auto" w:fill="auto"/>
            <w:vAlign w:val="center"/>
            <w:hideMark/>
          </w:tcPr>
          <w:p w14:paraId="4BD82077" w14:textId="77777777" w:rsidR="0005710C" w:rsidRPr="0005710C" w:rsidRDefault="0005710C" w:rsidP="00C03380">
            <w:pPr>
              <w:pStyle w:val="Ttulo1"/>
              <w:spacing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Cartas de Intención</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3D6242DB" w14:textId="6ECCFEE9" w:rsidR="0005710C" w:rsidRPr="0005710C" w:rsidRDefault="00EE7D8C" w:rsidP="00C03380">
            <w:pPr>
              <w:pStyle w:val="Ttulo1"/>
              <w:spacing w:line="240" w:lineRule="auto"/>
              <w:jc w:val="center"/>
              <w:rPr>
                <w:rFonts w:eastAsia="Carme" w:cs="Carme"/>
                <w:b w:val="0"/>
                <w:caps w:val="0"/>
                <w:color w:val="595959"/>
                <w:sz w:val="16"/>
                <w:szCs w:val="16"/>
                <w:lang w:eastAsia="es-MX"/>
              </w:rPr>
            </w:pPr>
            <w:hyperlink r:id="rId40" w:history="1">
              <w:r w:rsidR="0005710C" w:rsidRPr="0005710C">
                <w:rPr>
                  <w:rFonts w:eastAsia="Carme" w:cs="Carme"/>
                  <w:b w:val="0"/>
                  <w:caps w:val="0"/>
                  <w:color w:val="595959"/>
                  <w:sz w:val="16"/>
                  <w:szCs w:val="16"/>
                  <w:lang w:eastAsia="es-MX"/>
                </w:rPr>
                <w:t xml:space="preserve">https://qroo.gob.mx/idefin Las Cartas de Intención son un Documento firmado por el inversionista en la que establece su </w:t>
              </w:r>
              <w:r w:rsidR="0022309F" w:rsidRPr="0005710C">
                <w:rPr>
                  <w:rFonts w:eastAsia="Carme" w:cs="Carme"/>
                  <w:b w:val="0"/>
                  <w:caps w:val="0"/>
                  <w:color w:val="595959"/>
                  <w:sz w:val="16"/>
                  <w:szCs w:val="16"/>
                  <w:lang w:eastAsia="es-MX"/>
                </w:rPr>
                <w:t>interés</w:t>
              </w:r>
              <w:r w:rsidR="0005710C" w:rsidRPr="0005710C">
                <w:rPr>
                  <w:rFonts w:eastAsia="Carme" w:cs="Carme"/>
                  <w:b w:val="0"/>
                  <w:caps w:val="0"/>
                  <w:color w:val="595959"/>
                  <w:sz w:val="16"/>
                  <w:szCs w:val="16"/>
                  <w:lang w:eastAsia="es-MX"/>
                </w:rPr>
                <w:t xml:space="preserve"> y voluntad de invertir en el estado de Quintana Roo</w:t>
              </w:r>
            </w:hyperlink>
          </w:p>
        </w:tc>
        <w:tc>
          <w:tcPr>
            <w:tcW w:w="2835" w:type="dxa"/>
            <w:tcBorders>
              <w:top w:val="nil"/>
              <w:left w:val="nil"/>
              <w:bottom w:val="single" w:sz="4" w:space="0" w:color="auto"/>
              <w:right w:val="single" w:sz="4" w:space="0" w:color="auto"/>
            </w:tcBorders>
            <w:shd w:val="clear" w:color="auto" w:fill="auto"/>
            <w:vAlign w:val="center"/>
            <w:hideMark/>
          </w:tcPr>
          <w:p w14:paraId="7DABAC4A" w14:textId="0EBD22E0" w:rsidR="0005710C" w:rsidRPr="0005710C" w:rsidRDefault="0005710C" w:rsidP="00C03380">
            <w:pPr>
              <w:pStyle w:val="Ttulo1"/>
              <w:spacing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 xml:space="preserve">El estado de Quintana Roo cuenta con infraestructura consolidada con  oferta de bienes y servicios e </w:t>
            </w:r>
            <w:r w:rsidR="0022309F" w:rsidRPr="0005710C">
              <w:rPr>
                <w:rFonts w:eastAsia="Carme" w:cs="Carme"/>
                <w:b w:val="0"/>
                <w:caps w:val="0"/>
                <w:color w:val="595959"/>
                <w:sz w:val="16"/>
                <w:szCs w:val="16"/>
                <w:lang w:eastAsia="es-MX"/>
              </w:rPr>
              <w:t>información</w:t>
            </w:r>
            <w:r w:rsidRPr="0005710C">
              <w:rPr>
                <w:rFonts w:eastAsia="Carme" w:cs="Carme"/>
                <w:b w:val="0"/>
                <w:caps w:val="0"/>
                <w:color w:val="595959"/>
                <w:sz w:val="16"/>
                <w:szCs w:val="16"/>
                <w:lang w:eastAsia="es-MX"/>
              </w:rPr>
              <w:t xml:space="preserve"> cuantitativa para generar confianza en materia de </w:t>
            </w:r>
            <w:r w:rsidR="0022309F" w:rsidRPr="0005710C">
              <w:rPr>
                <w:rFonts w:eastAsia="Carme" w:cs="Carme"/>
                <w:b w:val="0"/>
                <w:caps w:val="0"/>
                <w:color w:val="595959"/>
                <w:sz w:val="16"/>
                <w:szCs w:val="16"/>
                <w:lang w:eastAsia="es-MX"/>
              </w:rPr>
              <w:t>inversión</w:t>
            </w:r>
            <w:r w:rsidRPr="0005710C">
              <w:rPr>
                <w:rFonts w:eastAsia="Carme" w:cs="Carme"/>
                <w:b w:val="0"/>
                <w:caps w:val="0"/>
                <w:color w:val="595959"/>
                <w:sz w:val="16"/>
                <w:szCs w:val="16"/>
                <w:lang w:eastAsia="es-MX"/>
              </w:rPr>
              <w:t xml:space="preserve"> y empleo.</w:t>
            </w:r>
          </w:p>
        </w:tc>
      </w:tr>
    </w:tbl>
    <w:p w14:paraId="2FCA1584" w14:textId="77777777" w:rsidR="00C03380" w:rsidRDefault="00C03380">
      <w:r>
        <w:br w:type="page"/>
      </w:r>
    </w:p>
    <w:tbl>
      <w:tblPr>
        <w:tblW w:w="13395" w:type="dxa"/>
        <w:tblLayout w:type="fixed"/>
        <w:tblCellMar>
          <w:left w:w="70" w:type="dxa"/>
          <w:right w:w="70" w:type="dxa"/>
        </w:tblCellMar>
        <w:tblLook w:val="0400" w:firstRow="0" w:lastRow="0" w:firstColumn="0" w:lastColumn="0" w:noHBand="0" w:noVBand="1"/>
      </w:tblPr>
      <w:tblGrid>
        <w:gridCol w:w="1488"/>
        <w:gridCol w:w="3827"/>
        <w:gridCol w:w="1843"/>
        <w:gridCol w:w="3402"/>
        <w:gridCol w:w="2835"/>
      </w:tblGrid>
      <w:tr w:rsidR="00C03380" w:rsidRPr="00A800CF" w14:paraId="417FD2A7" w14:textId="77777777" w:rsidTr="00C03380">
        <w:trPr>
          <w:trHeight w:val="339"/>
        </w:trPr>
        <w:tc>
          <w:tcPr>
            <w:tcW w:w="14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A8192D" w14:textId="7C53A411" w:rsidR="00C03380" w:rsidRPr="00C03380" w:rsidRDefault="00C03380" w:rsidP="00C03380">
            <w:pPr>
              <w:widowControl w:val="0"/>
              <w:spacing w:after="0" w:line="240" w:lineRule="auto"/>
              <w:contextualSpacing/>
              <w:rPr>
                <w:rFonts w:eastAsia="Carme" w:cs="Carme"/>
                <w:b/>
                <w:color w:val="595959"/>
                <w:sz w:val="16"/>
                <w:szCs w:val="16"/>
                <w:lang w:val="es-MX" w:eastAsia="es-MX"/>
              </w:rPr>
            </w:pPr>
            <w:r w:rsidRPr="0005710C">
              <w:rPr>
                <w:rFonts w:eastAsia="Carme" w:cs="Carme"/>
                <w:b/>
                <w:color w:val="595959"/>
                <w:sz w:val="16"/>
                <w:szCs w:val="16"/>
                <w:lang w:val="es-MX" w:eastAsia="es-MX"/>
              </w:rPr>
              <w:lastRenderedPageBreak/>
              <w:t>NIVEL</w:t>
            </w:r>
          </w:p>
        </w:tc>
        <w:tc>
          <w:tcPr>
            <w:tcW w:w="382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6EDAC71C" w14:textId="31DC0896" w:rsidR="00C03380" w:rsidRPr="00C03380" w:rsidRDefault="00C03380" w:rsidP="00C03380">
            <w:pPr>
              <w:pStyle w:val="Ttulo1"/>
              <w:spacing w:after="0" w:line="240" w:lineRule="auto"/>
              <w:rPr>
                <w:rFonts w:eastAsia="Carme" w:cs="Carme"/>
                <w:bCs w:val="0"/>
                <w:caps w:val="0"/>
                <w:color w:val="595959"/>
                <w:sz w:val="16"/>
                <w:szCs w:val="16"/>
                <w:lang w:eastAsia="es-MX"/>
              </w:rPr>
            </w:pPr>
            <w:r w:rsidRPr="00C03380">
              <w:rPr>
                <w:rFonts w:eastAsia="Carme" w:cs="Carme"/>
                <w:bCs w:val="0"/>
                <w:caps w:val="0"/>
                <w:color w:val="595959"/>
                <w:sz w:val="16"/>
                <w:szCs w:val="16"/>
                <w:lang w:eastAsia="es-MX"/>
              </w:rPr>
              <w:t>OBJETIVO</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A156F70" w14:textId="614233DD" w:rsidR="00C03380" w:rsidRPr="00C03380" w:rsidRDefault="00C03380" w:rsidP="00C03380">
            <w:pPr>
              <w:pStyle w:val="Ttulo1"/>
              <w:spacing w:after="0" w:line="240" w:lineRule="auto"/>
              <w:rPr>
                <w:rFonts w:eastAsia="Carme" w:cs="Carme"/>
                <w:bCs w:val="0"/>
                <w:caps w:val="0"/>
                <w:color w:val="595959"/>
                <w:sz w:val="16"/>
                <w:szCs w:val="16"/>
                <w:lang w:eastAsia="es-MX"/>
              </w:rPr>
            </w:pPr>
            <w:r w:rsidRPr="00C03380">
              <w:rPr>
                <w:rFonts w:eastAsia="Carme" w:cs="Carme"/>
                <w:bCs w:val="0"/>
                <w:caps w:val="0"/>
                <w:color w:val="595959"/>
                <w:sz w:val="16"/>
                <w:szCs w:val="16"/>
                <w:lang w:eastAsia="es-MX"/>
              </w:rPr>
              <w:t>INDICADOR</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360F5AE" w14:textId="43CC892A" w:rsidR="00C03380" w:rsidRPr="00C03380" w:rsidRDefault="00C03380" w:rsidP="00C03380">
            <w:pPr>
              <w:pStyle w:val="Ttulo1"/>
              <w:spacing w:after="0" w:line="240" w:lineRule="auto"/>
              <w:rPr>
                <w:rFonts w:eastAsia="Carme" w:cs="Carme"/>
                <w:bCs w:val="0"/>
                <w:caps w:val="0"/>
                <w:color w:val="595959"/>
                <w:sz w:val="16"/>
                <w:szCs w:val="16"/>
                <w:lang w:eastAsia="es-MX"/>
              </w:rPr>
            </w:pPr>
            <w:r w:rsidRPr="00C03380">
              <w:rPr>
                <w:rFonts w:eastAsia="Carme" w:cs="Carme"/>
                <w:bCs w:val="0"/>
                <w:caps w:val="0"/>
                <w:color w:val="595959"/>
                <w:sz w:val="16"/>
                <w:szCs w:val="16"/>
                <w:lang w:eastAsia="es-MX"/>
              </w:rPr>
              <w:t>MEDIOS DE VERIFICACIÓN</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9BDCD75" w14:textId="18B6EEF8" w:rsidR="00C03380" w:rsidRPr="00C03380" w:rsidRDefault="00C03380" w:rsidP="00C03380">
            <w:pPr>
              <w:pStyle w:val="Ttulo1"/>
              <w:spacing w:after="0" w:line="240" w:lineRule="auto"/>
              <w:rPr>
                <w:rFonts w:eastAsia="Carme" w:cs="Carme"/>
                <w:bCs w:val="0"/>
                <w:caps w:val="0"/>
                <w:color w:val="595959"/>
                <w:sz w:val="16"/>
                <w:szCs w:val="16"/>
                <w:lang w:eastAsia="es-MX"/>
              </w:rPr>
            </w:pPr>
            <w:r w:rsidRPr="00C03380">
              <w:rPr>
                <w:rFonts w:eastAsia="Carme" w:cs="Carme"/>
                <w:bCs w:val="0"/>
                <w:caps w:val="0"/>
                <w:color w:val="595959"/>
                <w:sz w:val="16"/>
                <w:szCs w:val="16"/>
                <w:lang w:eastAsia="es-MX"/>
              </w:rPr>
              <w:t>SUPUESTO</w:t>
            </w:r>
          </w:p>
        </w:tc>
      </w:tr>
      <w:tr w:rsidR="00C03380" w:rsidRPr="00A800CF" w14:paraId="0B0DF03E" w14:textId="77777777" w:rsidTr="00117A30">
        <w:trPr>
          <w:trHeight w:val="20"/>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2E3DF940" w14:textId="27F5EC57" w:rsidR="00C03380" w:rsidRPr="0005710C" w:rsidRDefault="00C03380" w:rsidP="00C03380">
            <w:pPr>
              <w:widowControl w:val="0"/>
              <w:spacing w:after="0" w:line="240" w:lineRule="auto"/>
              <w:contextualSpacing/>
              <w:jc w:val="center"/>
              <w:rPr>
                <w:rFonts w:eastAsia="Carme" w:cs="Carme"/>
                <w:b/>
                <w:bCs/>
                <w:color w:val="595959"/>
                <w:sz w:val="16"/>
                <w:szCs w:val="16"/>
                <w:lang w:val="es-MX" w:eastAsia="es-MX"/>
              </w:rPr>
            </w:pPr>
            <w:r w:rsidRPr="0005710C">
              <w:rPr>
                <w:rFonts w:eastAsia="Carme" w:cs="Carme"/>
                <w:b/>
                <w:bCs/>
                <w:color w:val="595959"/>
                <w:sz w:val="16"/>
                <w:szCs w:val="16"/>
                <w:lang w:val="es-MX" w:eastAsia="es-MX"/>
              </w:rPr>
              <w:t>COMPONENTE</w:t>
            </w:r>
          </w:p>
        </w:tc>
        <w:tc>
          <w:tcPr>
            <w:tcW w:w="3827" w:type="dxa"/>
            <w:tcBorders>
              <w:top w:val="nil"/>
              <w:left w:val="nil"/>
              <w:bottom w:val="single" w:sz="4" w:space="0" w:color="auto"/>
              <w:right w:val="single" w:sz="4" w:space="0" w:color="auto"/>
            </w:tcBorders>
            <w:shd w:val="clear" w:color="auto" w:fill="auto"/>
            <w:vAlign w:val="center"/>
            <w:hideMark/>
          </w:tcPr>
          <w:p w14:paraId="18CF07D4" w14:textId="02B3689C"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C.1.- Fuentes de financiamiento público y privado para proyectos de inversión en el Estado gestionados</w:t>
            </w:r>
          </w:p>
        </w:tc>
        <w:tc>
          <w:tcPr>
            <w:tcW w:w="1843" w:type="dxa"/>
            <w:tcBorders>
              <w:top w:val="nil"/>
              <w:left w:val="nil"/>
              <w:bottom w:val="single" w:sz="4" w:space="0" w:color="auto"/>
              <w:right w:val="single" w:sz="4" w:space="0" w:color="auto"/>
            </w:tcBorders>
            <w:shd w:val="clear" w:color="auto" w:fill="auto"/>
            <w:vAlign w:val="center"/>
            <w:hideMark/>
          </w:tcPr>
          <w:p w14:paraId="596C1D6A" w14:textId="77777777"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Porcentaje de alianzas establecidas en materia de inversión</w:t>
            </w:r>
          </w:p>
        </w:tc>
        <w:tc>
          <w:tcPr>
            <w:tcW w:w="3402" w:type="dxa"/>
            <w:tcBorders>
              <w:top w:val="nil"/>
              <w:left w:val="nil"/>
              <w:bottom w:val="single" w:sz="4" w:space="0" w:color="auto"/>
              <w:right w:val="single" w:sz="4" w:space="0" w:color="auto"/>
            </w:tcBorders>
            <w:shd w:val="clear" w:color="auto" w:fill="auto"/>
            <w:vAlign w:val="center"/>
            <w:hideMark/>
          </w:tcPr>
          <w:p w14:paraId="23B15DB3" w14:textId="054517FB"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 xml:space="preserve">Minutas, actas, convocatorias de las Sesiones del comité de apoyo empresarial de </w:t>
            </w:r>
            <w:proofErr w:type="spellStart"/>
            <w:r w:rsidRPr="0005710C">
              <w:rPr>
                <w:rFonts w:eastAsia="Carme" w:cs="Carme"/>
                <w:b w:val="0"/>
                <w:caps w:val="0"/>
                <w:color w:val="595959"/>
                <w:sz w:val="16"/>
                <w:szCs w:val="16"/>
                <w:lang w:eastAsia="es-MX"/>
              </w:rPr>
              <w:t>Proquintana</w:t>
            </w:r>
            <w:proofErr w:type="spellEnd"/>
            <w:r w:rsidRPr="0005710C">
              <w:rPr>
                <w:rFonts w:eastAsia="Carme" w:cs="Carme"/>
                <w:b w:val="0"/>
                <w:caps w:val="0"/>
                <w:color w:val="595959"/>
                <w:sz w:val="16"/>
                <w:szCs w:val="16"/>
                <w:lang w:eastAsia="es-MX"/>
              </w:rPr>
              <w:t xml:space="preserve"> Roo con IDEFIN en donde se manifiestan peticiones y acuerdos en la que participa la Dirección General del IDEFIN y representantes del sector empresarial, se puede consultar en línea a través de la página de internet https://qroo.gob.mx/idefin</w:t>
            </w:r>
          </w:p>
        </w:tc>
        <w:tc>
          <w:tcPr>
            <w:tcW w:w="2835" w:type="dxa"/>
            <w:tcBorders>
              <w:top w:val="nil"/>
              <w:left w:val="nil"/>
              <w:bottom w:val="single" w:sz="4" w:space="0" w:color="auto"/>
              <w:right w:val="single" w:sz="4" w:space="0" w:color="auto"/>
            </w:tcBorders>
            <w:shd w:val="clear" w:color="auto" w:fill="auto"/>
            <w:vAlign w:val="center"/>
            <w:hideMark/>
          </w:tcPr>
          <w:p w14:paraId="66646EF9" w14:textId="7182BE4D"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El inversionista cuenta con el seguimiento y apoyo del IDEFIN además de tener socios comerciales y establecer alianzas para apoyo técnico y especializado para el desarrollo de proyectos estratégicos</w:t>
            </w:r>
          </w:p>
        </w:tc>
      </w:tr>
      <w:tr w:rsidR="00C03380" w:rsidRPr="00A800CF" w14:paraId="4F156053" w14:textId="77777777" w:rsidTr="00117A30">
        <w:trPr>
          <w:trHeight w:val="20"/>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30C62648" w14:textId="4AAFB672" w:rsidR="00C03380" w:rsidRPr="0005710C" w:rsidRDefault="00C03380" w:rsidP="00C03380">
            <w:pPr>
              <w:widowControl w:val="0"/>
              <w:spacing w:after="0" w:line="240" w:lineRule="auto"/>
              <w:contextualSpacing/>
              <w:jc w:val="center"/>
              <w:rPr>
                <w:rFonts w:eastAsia="Carme" w:cs="Carme"/>
                <w:b/>
                <w:bCs/>
                <w:color w:val="595959"/>
                <w:sz w:val="16"/>
                <w:szCs w:val="16"/>
                <w:lang w:val="es-MX" w:eastAsia="es-MX"/>
              </w:rPr>
            </w:pPr>
            <w:r w:rsidRPr="0005710C">
              <w:rPr>
                <w:rFonts w:eastAsia="Carme" w:cs="Carme"/>
                <w:b/>
                <w:bCs/>
                <w:color w:val="595959"/>
                <w:sz w:val="16"/>
                <w:szCs w:val="16"/>
                <w:lang w:val="es-MX" w:eastAsia="es-MX"/>
              </w:rPr>
              <w:t>ACTIVIDAD</w:t>
            </w:r>
          </w:p>
        </w:tc>
        <w:tc>
          <w:tcPr>
            <w:tcW w:w="3827" w:type="dxa"/>
            <w:tcBorders>
              <w:top w:val="nil"/>
              <w:left w:val="nil"/>
              <w:bottom w:val="single" w:sz="4" w:space="0" w:color="auto"/>
              <w:right w:val="single" w:sz="4" w:space="0" w:color="auto"/>
            </w:tcBorders>
            <w:shd w:val="clear" w:color="auto" w:fill="auto"/>
            <w:vAlign w:val="center"/>
            <w:hideMark/>
          </w:tcPr>
          <w:p w14:paraId="65101022" w14:textId="37C0D9D3"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C.1.A.1 - Creación de estrategias de promoción, comunicación y difusión que fomenten la atracción de</w:t>
            </w:r>
            <w:r w:rsidRPr="0005710C">
              <w:rPr>
                <w:rFonts w:eastAsia="Carme" w:cs="Carme"/>
                <w:b w:val="0"/>
                <w:caps w:val="0"/>
                <w:color w:val="595959"/>
                <w:sz w:val="16"/>
                <w:szCs w:val="16"/>
                <w:lang w:eastAsia="es-MX"/>
              </w:rPr>
              <w:br/>
              <w:t>capitales e inversión a la entidad.</w:t>
            </w:r>
          </w:p>
        </w:tc>
        <w:tc>
          <w:tcPr>
            <w:tcW w:w="1843" w:type="dxa"/>
            <w:tcBorders>
              <w:top w:val="nil"/>
              <w:left w:val="nil"/>
              <w:bottom w:val="single" w:sz="4" w:space="0" w:color="auto"/>
              <w:right w:val="single" w:sz="4" w:space="0" w:color="auto"/>
            </w:tcBorders>
            <w:shd w:val="clear" w:color="auto" w:fill="auto"/>
            <w:vAlign w:val="center"/>
            <w:hideMark/>
          </w:tcPr>
          <w:p w14:paraId="3447DCB7" w14:textId="7C71537C"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Porcentaje de Personas Impactadas</w:t>
            </w:r>
          </w:p>
        </w:tc>
        <w:tc>
          <w:tcPr>
            <w:tcW w:w="3402" w:type="dxa"/>
            <w:tcBorders>
              <w:top w:val="nil"/>
              <w:left w:val="nil"/>
              <w:bottom w:val="single" w:sz="4" w:space="0" w:color="auto"/>
              <w:right w:val="single" w:sz="4" w:space="0" w:color="auto"/>
            </w:tcBorders>
            <w:shd w:val="clear" w:color="auto" w:fill="auto"/>
            <w:vAlign w:val="center"/>
            <w:hideMark/>
          </w:tcPr>
          <w:p w14:paraId="43EB35B1" w14:textId="15369CA2"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Sitios Web y Redes Sociales del IDEFIN, https</w:t>
            </w:r>
            <w:proofErr w:type="gramStart"/>
            <w:r w:rsidRPr="0005710C">
              <w:rPr>
                <w:rFonts w:eastAsia="Carme" w:cs="Carme"/>
                <w:b w:val="0"/>
                <w:caps w:val="0"/>
                <w:color w:val="595959"/>
                <w:sz w:val="16"/>
                <w:szCs w:val="16"/>
                <w:lang w:eastAsia="es-MX"/>
              </w:rPr>
              <w:t>:/</w:t>
            </w:r>
            <w:proofErr w:type="gramEnd"/>
            <w:r w:rsidRPr="0005710C">
              <w:rPr>
                <w:rFonts w:eastAsia="Carme" w:cs="Carme"/>
                <w:b w:val="0"/>
                <w:caps w:val="0"/>
                <w:color w:val="595959"/>
                <w:sz w:val="16"/>
                <w:szCs w:val="16"/>
                <w:lang w:eastAsia="es-MX"/>
              </w:rPr>
              <w:t>/www.facebook.com/IDEFIN, https://twitter.com/IDEFIN_QROO, https://www.instagram.com/proquintanaroooficial/, https://proquintanaroo.com/,  https://qroo.gob.mx/idefin. El Porcentaje de personas impactadas mide a las personas físicas y/o Morales informados en materia de inversión con respecto a lo programado y que solicitan o están interesados en temas de Inversión.</w:t>
            </w:r>
          </w:p>
        </w:tc>
        <w:tc>
          <w:tcPr>
            <w:tcW w:w="2835" w:type="dxa"/>
            <w:tcBorders>
              <w:top w:val="nil"/>
              <w:left w:val="nil"/>
              <w:bottom w:val="single" w:sz="4" w:space="0" w:color="auto"/>
              <w:right w:val="single" w:sz="4" w:space="0" w:color="auto"/>
            </w:tcBorders>
            <w:shd w:val="clear" w:color="auto" w:fill="auto"/>
            <w:vAlign w:val="center"/>
            <w:hideMark/>
          </w:tcPr>
          <w:p w14:paraId="31779FA4" w14:textId="77777777"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El Estado de Quintana Roo cuenta con  Estrategias de promoción, comunicación y difusión que fomentan la</w:t>
            </w:r>
            <w:r w:rsidRPr="0005710C">
              <w:rPr>
                <w:rFonts w:eastAsia="Carme" w:cs="Carme"/>
                <w:b w:val="0"/>
                <w:caps w:val="0"/>
                <w:color w:val="595959"/>
                <w:sz w:val="16"/>
                <w:szCs w:val="16"/>
                <w:lang w:eastAsia="es-MX"/>
              </w:rPr>
              <w:br/>
              <w:t>atracción de capitales e inversión.</w:t>
            </w:r>
          </w:p>
        </w:tc>
      </w:tr>
      <w:tr w:rsidR="00C03380" w:rsidRPr="00A800CF" w14:paraId="6F2F4AA6" w14:textId="77777777" w:rsidTr="00117A30">
        <w:trPr>
          <w:trHeight w:val="20"/>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021D3D41" w14:textId="0CCFF348" w:rsidR="00C03380" w:rsidRPr="0005710C" w:rsidRDefault="00C03380" w:rsidP="00C03380">
            <w:pPr>
              <w:widowControl w:val="0"/>
              <w:spacing w:after="0" w:line="240" w:lineRule="auto"/>
              <w:contextualSpacing/>
              <w:jc w:val="center"/>
              <w:rPr>
                <w:rFonts w:eastAsia="Carme" w:cs="Carme"/>
                <w:b/>
                <w:bCs/>
                <w:color w:val="595959"/>
                <w:sz w:val="16"/>
                <w:szCs w:val="16"/>
                <w:lang w:val="es-MX" w:eastAsia="es-MX"/>
              </w:rPr>
            </w:pPr>
            <w:r w:rsidRPr="0005710C">
              <w:rPr>
                <w:rFonts w:eastAsia="Carme" w:cs="Carme"/>
                <w:b/>
                <w:bCs/>
                <w:color w:val="595959"/>
                <w:sz w:val="16"/>
                <w:szCs w:val="16"/>
                <w:lang w:val="es-MX" w:eastAsia="es-MX"/>
              </w:rPr>
              <w:t>ACTIVIDAD</w:t>
            </w:r>
          </w:p>
        </w:tc>
        <w:tc>
          <w:tcPr>
            <w:tcW w:w="3827" w:type="dxa"/>
            <w:tcBorders>
              <w:top w:val="nil"/>
              <w:left w:val="nil"/>
              <w:bottom w:val="single" w:sz="4" w:space="0" w:color="auto"/>
              <w:right w:val="single" w:sz="4" w:space="0" w:color="auto"/>
            </w:tcBorders>
            <w:shd w:val="clear" w:color="auto" w:fill="auto"/>
            <w:vAlign w:val="center"/>
            <w:hideMark/>
          </w:tcPr>
          <w:p w14:paraId="05ED5936" w14:textId="77777777"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C.1.A.2 -  Organización agendas de negocio y mesas de trabajo para el establecimiento de inversiones</w:t>
            </w:r>
            <w:r w:rsidRPr="0005710C">
              <w:rPr>
                <w:rFonts w:eastAsia="Carme" w:cs="Carme"/>
                <w:b w:val="0"/>
                <w:caps w:val="0"/>
                <w:color w:val="595959"/>
                <w:sz w:val="16"/>
                <w:szCs w:val="16"/>
                <w:lang w:eastAsia="es-MX"/>
              </w:rPr>
              <w:br/>
              <w:t>en sectores estratégicos. Participación en ferias, reuniones y foros de discusión.</w:t>
            </w:r>
          </w:p>
        </w:tc>
        <w:tc>
          <w:tcPr>
            <w:tcW w:w="1843" w:type="dxa"/>
            <w:tcBorders>
              <w:top w:val="nil"/>
              <w:left w:val="nil"/>
              <w:bottom w:val="single" w:sz="4" w:space="0" w:color="auto"/>
              <w:right w:val="single" w:sz="4" w:space="0" w:color="auto"/>
            </w:tcBorders>
            <w:shd w:val="clear" w:color="auto" w:fill="auto"/>
            <w:vAlign w:val="center"/>
            <w:hideMark/>
          </w:tcPr>
          <w:p w14:paraId="7D8418AC" w14:textId="5E4D1C4F"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Porcentaje de personas físicas y/o Morales beneficiados con respecto a lo programado y que solicitan información en ferias nacionales e internacionales</w:t>
            </w:r>
          </w:p>
        </w:tc>
        <w:tc>
          <w:tcPr>
            <w:tcW w:w="3402" w:type="dxa"/>
            <w:tcBorders>
              <w:top w:val="nil"/>
              <w:left w:val="nil"/>
              <w:bottom w:val="single" w:sz="4" w:space="0" w:color="auto"/>
              <w:right w:val="single" w:sz="4" w:space="0" w:color="auto"/>
            </w:tcBorders>
            <w:shd w:val="clear" w:color="auto" w:fill="auto"/>
            <w:vAlign w:val="center"/>
            <w:hideMark/>
          </w:tcPr>
          <w:p w14:paraId="4FB37731" w14:textId="479D99D4"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Minutas de reunión de trabajo, Memorias gráficas e Informe de actividades de las ferias en la que asiste la dirección de Promoción del Instituto, la información se puede consultar en línea a través de la página de internet https://qroo.gob.mx/idefin</w:t>
            </w:r>
          </w:p>
        </w:tc>
        <w:tc>
          <w:tcPr>
            <w:tcW w:w="2835" w:type="dxa"/>
            <w:tcBorders>
              <w:top w:val="nil"/>
              <w:left w:val="nil"/>
              <w:bottom w:val="single" w:sz="4" w:space="0" w:color="auto"/>
              <w:right w:val="single" w:sz="4" w:space="0" w:color="auto"/>
            </w:tcBorders>
            <w:shd w:val="clear" w:color="auto" w:fill="auto"/>
            <w:vAlign w:val="center"/>
            <w:hideMark/>
          </w:tcPr>
          <w:p w14:paraId="32F0849E" w14:textId="53EE1CB9"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El sector público y privado conoce las diversas áreas de oportunidad que busca promocionar e impulsar el estado de Quintana Roo.</w:t>
            </w:r>
          </w:p>
        </w:tc>
      </w:tr>
      <w:tr w:rsidR="00C03380" w:rsidRPr="00A800CF" w14:paraId="18B96036" w14:textId="77777777" w:rsidTr="00117A30">
        <w:trPr>
          <w:trHeight w:val="20"/>
        </w:trPr>
        <w:tc>
          <w:tcPr>
            <w:tcW w:w="1488" w:type="dxa"/>
            <w:tcBorders>
              <w:top w:val="nil"/>
              <w:left w:val="single" w:sz="4" w:space="0" w:color="auto"/>
              <w:bottom w:val="single" w:sz="4" w:space="0" w:color="auto"/>
              <w:right w:val="single" w:sz="4" w:space="0" w:color="auto"/>
            </w:tcBorders>
            <w:shd w:val="clear" w:color="auto" w:fill="auto"/>
            <w:vAlign w:val="center"/>
            <w:hideMark/>
          </w:tcPr>
          <w:p w14:paraId="044FBBB1" w14:textId="118EF2CF" w:rsidR="00C03380" w:rsidRPr="00A800CF" w:rsidRDefault="00C03380" w:rsidP="00C03380">
            <w:pPr>
              <w:pStyle w:val="Ttulo1"/>
              <w:spacing w:after="0" w:line="240" w:lineRule="auto"/>
              <w:jc w:val="center"/>
              <w:rPr>
                <w:rFonts w:eastAsia="Calibri" w:cs="Calibri"/>
                <w:sz w:val="16"/>
                <w:szCs w:val="16"/>
              </w:rPr>
            </w:pPr>
            <w:r w:rsidRPr="0005710C">
              <w:rPr>
                <w:rFonts w:eastAsia="Carme" w:cs="Carme"/>
                <w:caps w:val="0"/>
                <w:color w:val="595959"/>
                <w:sz w:val="16"/>
                <w:szCs w:val="16"/>
                <w:lang w:eastAsia="es-MX"/>
              </w:rPr>
              <w:t>ACTIVID</w:t>
            </w:r>
            <w:r>
              <w:rPr>
                <w:rFonts w:eastAsia="Carme" w:cs="Carme"/>
                <w:caps w:val="0"/>
                <w:color w:val="595959"/>
                <w:sz w:val="16"/>
                <w:szCs w:val="16"/>
                <w:lang w:eastAsia="es-MX"/>
              </w:rPr>
              <w:t>AD</w:t>
            </w:r>
          </w:p>
        </w:tc>
        <w:tc>
          <w:tcPr>
            <w:tcW w:w="3827" w:type="dxa"/>
            <w:tcBorders>
              <w:top w:val="nil"/>
              <w:left w:val="nil"/>
              <w:bottom w:val="single" w:sz="4" w:space="0" w:color="auto"/>
              <w:right w:val="single" w:sz="4" w:space="0" w:color="auto"/>
            </w:tcBorders>
            <w:shd w:val="clear" w:color="auto" w:fill="auto"/>
            <w:vAlign w:val="center"/>
            <w:hideMark/>
          </w:tcPr>
          <w:p w14:paraId="11049AE6" w14:textId="229CB91B"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C.1.A.3 - Generación acuerdos de colaboración y alianzas estratégicas con instituciones públicas y privadas. Involucramiento en programas y políticas públicas en favor del desarrollo de inversión en sectores productivos para la entidad.</w:t>
            </w:r>
          </w:p>
        </w:tc>
        <w:tc>
          <w:tcPr>
            <w:tcW w:w="1843" w:type="dxa"/>
            <w:tcBorders>
              <w:top w:val="nil"/>
              <w:left w:val="nil"/>
              <w:bottom w:val="single" w:sz="4" w:space="0" w:color="auto"/>
              <w:right w:val="single" w:sz="4" w:space="0" w:color="auto"/>
            </w:tcBorders>
            <w:shd w:val="clear" w:color="auto" w:fill="auto"/>
            <w:vAlign w:val="center"/>
            <w:hideMark/>
          </w:tcPr>
          <w:p w14:paraId="78B715B0" w14:textId="68441B47"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Porcentaje de convenios de colaboración firmados durante el ejercicio</w:t>
            </w:r>
          </w:p>
        </w:tc>
        <w:tc>
          <w:tcPr>
            <w:tcW w:w="3402" w:type="dxa"/>
            <w:tcBorders>
              <w:top w:val="nil"/>
              <w:left w:val="nil"/>
              <w:bottom w:val="single" w:sz="4" w:space="0" w:color="auto"/>
              <w:right w:val="single" w:sz="4" w:space="0" w:color="auto"/>
            </w:tcBorders>
            <w:shd w:val="clear" w:color="auto" w:fill="auto"/>
            <w:vAlign w:val="center"/>
            <w:hideMark/>
          </w:tcPr>
          <w:p w14:paraId="22C7F142" w14:textId="295C35CD"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 xml:space="preserve">Cartas de intención con temas de atracción de capitales bajo resguardo de la Dirección Jurídica del IDEFIN, la información se puede consultar en línea a través de la </w:t>
            </w:r>
            <w:proofErr w:type="spellStart"/>
            <w:proofErr w:type="gramStart"/>
            <w:r w:rsidRPr="0005710C">
              <w:rPr>
                <w:rFonts w:eastAsia="Carme" w:cs="Carme"/>
                <w:b w:val="0"/>
                <w:caps w:val="0"/>
                <w:color w:val="595959"/>
                <w:sz w:val="16"/>
                <w:szCs w:val="16"/>
                <w:lang w:eastAsia="es-MX"/>
              </w:rPr>
              <w:t>pagina</w:t>
            </w:r>
            <w:proofErr w:type="spellEnd"/>
            <w:proofErr w:type="gramEnd"/>
            <w:r w:rsidRPr="0005710C">
              <w:rPr>
                <w:rFonts w:eastAsia="Carme" w:cs="Carme"/>
                <w:b w:val="0"/>
                <w:caps w:val="0"/>
                <w:color w:val="595959"/>
                <w:sz w:val="16"/>
                <w:szCs w:val="16"/>
                <w:lang w:eastAsia="es-MX"/>
              </w:rPr>
              <w:t xml:space="preserve"> de internet https://qroo.gob.mx/idefin</w:t>
            </w:r>
          </w:p>
        </w:tc>
        <w:tc>
          <w:tcPr>
            <w:tcW w:w="2835" w:type="dxa"/>
            <w:tcBorders>
              <w:top w:val="nil"/>
              <w:left w:val="nil"/>
              <w:bottom w:val="single" w:sz="4" w:space="0" w:color="auto"/>
              <w:right w:val="single" w:sz="4" w:space="0" w:color="auto"/>
            </w:tcBorders>
            <w:shd w:val="clear" w:color="auto" w:fill="auto"/>
            <w:vAlign w:val="center"/>
            <w:hideMark/>
          </w:tcPr>
          <w:p w14:paraId="6B7F2F3D" w14:textId="77777777" w:rsidR="00C03380" w:rsidRPr="0005710C" w:rsidRDefault="00C03380" w:rsidP="00C03380">
            <w:pPr>
              <w:pStyle w:val="Ttulo1"/>
              <w:spacing w:after="0" w:line="240" w:lineRule="auto"/>
              <w:jc w:val="center"/>
              <w:rPr>
                <w:rFonts w:eastAsia="Carme" w:cs="Carme"/>
                <w:b w:val="0"/>
                <w:caps w:val="0"/>
                <w:color w:val="595959"/>
                <w:sz w:val="16"/>
                <w:szCs w:val="16"/>
                <w:lang w:eastAsia="es-MX"/>
              </w:rPr>
            </w:pPr>
            <w:r w:rsidRPr="0005710C">
              <w:rPr>
                <w:rFonts w:eastAsia="Carme" w:cs="Carme"/>
                <w:b w:val="0"/>
                <w:caps w:val="0"/>
                <w:color w:val="595959"/>
                <w:sz w:val="16"/>
                <w:szCs w:val="16"/>
                <w:lang w:eastAsia="es-MX"/>
              </w:rPr>
              <w:t>Los entes e instituciones financieras y empresarios se benefician de los acuerdos de colaboración en materia de inversión firmados con el IDEFIN y/o Gobierno del Estado de Quintana Roo.</w:t>
            </w:r>
          </w:p>
        </w:tc>
      </w:tr>
    </w:tbl>
    <w:p w14:paraId="76FEA609" w14:textId="77777777" w:rsidR="002162EF" w:rsidRDefault="002162EF" w:rsidP="002162EF">
      <w:pPr>
        <w:keepNext/>
        <w:keepLines/>
        <w:spacing w:before="200" w:line="240" w:lineRule="auto"/>
        <w:outlineLvl w:val="1"/>
        <w:rPr>
          <w:rFonts w:ascii="Futura Std Condensed Light" w:eastAsia="MS PGothic" w:hAnsi="Futura Std Condensed Light"/>
          <w:color w:val="595959" w:themeColor="text1" w:themeTint="A6"/>
          <w:sz w:val="16"/>
          <w:szCs w:val="16"/>
        </w:rPr>
      </w:pPr>
      <w:r>
        <w:rPr>
          <w:rFonts w:ascii="Futura Std Condensed Light" w:eastAsia="MS PGothic" w:hAnsi="Futura Std Condensed Light"/>
          <w:color w:val="595959" w:themeColor="text1" w:themeTint="A6"/>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0A733743" w14:textId="1F4AC596" w:rsidR="0022309F" w:rsidRDefault="0022309F" w:rsidP="00E968E1">
      <w:pPr>
        <w:pStyle w:val="Ttulo1"/>
        <w:rPr>
          <w:rFonts w:eastAsia="Calibri" w:cs="Calibri"/>
          <w:color w:val="595959"/>
          <w:sz w:val="16"/>
          <w:szCs w:val="16"/>
        </w:rPr>
      </w:pPr>
    </w:p>
    <w:p w14:paraId="128ACA49" w14:textId="77777777" w:rsidR="0022309F" w:rsidRDefault="0022309F">
      <w:pPr>
        <w:spacing w:after="0" w:line="240" w:lineRule="auto"/>
        <w:jc w:val="left"/>
        <w:rPr>
          <w:rFonts w:eastAsia="Calibri" w:cs="Calibri"/>
          <w:b/>
          <w:bCs/>
          <w:caps/>
          <w:color w:val="595959"/>
          <w:sz w:val="16"/>
          <w:szCs w:val="16"/>
          <w:lang w:val="es-MX" w:eastAsia="en-US"/>
        </w:rPr>
      </w:pPr>
      <w:r>
        <w:rPr>
          <w:rFonts w:eastAsia="Calibri" w:cs="Calibri"/>
          <w:color w:val="595959"/>
          <w:sz w:val="16"/>
          <w:szCs w:val="16"/>
        </w:rPr>
        <w:br w:type="page"/>
      </w:r>
    </w:p>
    <w:tbl>
      <w:tblPr>
        <w:tblW w:w="5643" w:type="pct"/>
        <w:tblCellMar>
          <w:left w:w="70" w:type="dxa"/>
          <w:right w:w="70" w:type="dxa"/>
        </w:tblCellMar>
        <w:tblLook w:val="04A0" w:firstRow="1" w:lastRow="0" w:firstColumn="1" w:lastColumn="0" w:noHBand="0" w:noVBand="1"/>
      </w:tblPr>
      <w:tblGrid>
        <w:gridCol w:w="2849"/>
        <w:gridCol w:w="10546"/>
      </w:tblGrid>
      <w:tr w:rsidR="0022309F" w:rsidRPr="0022309F" w14:paraId="34410851" w14:textId="77777777" w:rsidTr="0022309F">
        <w:trPr>
          <w:trHeight w:val="660"/>
        </w:trPr>
        <w:tc>
          <w:tcPr>
            <w:tcW w:w="10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2E13EA0" w14:textId="77777777" w:rsidR="0022309F" w:rsidRPr="0022309F" w:rsidRDefault="0022309F" w:rsidP="0022309F">
            <w:pPr>
              <w:widowControl w:val="0"/>
              <w:spacing w:after="0"/>
              <w:contextualSpacing/>
              <w:rPr>
                <w:rFonts w:eastAsia="Carme" w:cs="Carme"/>
                <w:b/>
                <w:color w:val="595959"/>
                <w:sz w:val="20"/>
                <w:szCs w:val="20"/>
                <w:lang w:val="es-MX" w:eastAsia="es-MX"/>
              </w:rPr>
            </w:pPr>
            <w:r w:rsidRPr="0022309F">
              <w:rPr>
                <w:rFonts w:eastAsia="Carme" w:cs="Carme"/>
                <w:b/>
                <w:color w:val="595959"/>
                <w:sz w:val="20"/>
                <w:szCs w:val="20"/>
                <w:lang w:val="es-MX" w:eastAsia="es-MX"/>
              </w:rPr>
              <w:lastRenderedPageBreak/>
              <w:t>PROGRAMA PRESUPUESTARIO:</w:t>
            </w:r>
          </w:p>
        </w:tc>
        <w:tc>
          <w:tcPr>
            <w:tcW w:w="3937" w:type="pct"/>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462C8041" w14:textId="77777777" w:rsidR="0022309F" w:rsidRPr="0022309F" w:rsidRDefault="0022309F" w:rsidP="0022309F">
            <w:pPr>
              <w:widowControl w:val="0"/>
              <w:spacing w:after="0"/>
              <w:contextualSpacing/>
              <w:rPr>
                <w:rFonts w:eastAsia="Carme" w:cs="Carme"/>
                <w:b/>
                <w:color w:val="595959"/>
                <w:sz w:val="20"/>
                <w:szCs w:val="20"/>
                <w:lang w:val="es-MX" w:eastAsia="es-MX"/>
              </w:rPr>
            </w:pPr>
            <w:r w:rsidRPr="0022309F">
              <w:rPr>
                <w:rFonts w:eastAsia="Carme" w:cs="Carme"/>
                <w:b/>
                <w:color w:val="595959"/>
                <w:sz w:val="20"/>
                <w:szCs w:val="20"/>
                <w:lang w:val="es-MX" w:eastAsia="es-MX"/>
              </w:rPr>
              <w:t>P003- Gestión del Gasto Público Orientado a Resultados</w:t>
            </w:r>
          </w:p>
        </w:tc>
      </w:tr>
      <w:tr w:rsidR="0022309F" w:rsidRPr="0022309F" w14:paraId="602A07E8" w14:textId="77777777" w:rsidTr="0022309F">
        <w:trPr>
          <w:trHeight w:val="735"/>
        </w:trPr>
        <w:tc>
          <w:tcPr>
            <w:tcW w:w="1063" w:type="pct"/>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14:paraId="3DE8E8F0" w14:textId="77777777" w:rsidR="0022309F" w:rsidRPr="0022309F" w:rsidRDefault="0022309F" w:rsidP="0022309F">
            <w:pPr>
              <w:widowControl w:val="0"/>
              <w:spacing w:after="0"/>
              <w:contextualSpacing/>
              <w:rPr>
                <w:rFonts w:eastAsia="Carme" w:cs="Carme"/>
                <w:b/>
                <w:color w:val="595959"/>
                <w:sz w:val="20"/>
                <w:szCs w:val="20"/>
                <w:lang w:val="es-MX" w:eastAsia="es-MX"/>
              </w:rPr>
            </w:pPr>
            <w:r w:rsidRPr="0022309F">
              <w:rPr>
                <w:rFonts w:eastAsia="Carme" w:cs="Carme"/>
                <w:b/>
                <w:color w:val="595959"/>
                <w:sz w:val="20"/>
                <w:szCs w:val="20"/>
                <w:lang w:val="es-MX" w:eastAsia="es-MX"/>
              </w:rPr>
              <w:t>INSTITUCIÓN:</w:t>
            </w:r>
          </w:p>
        </w:tc>
        <w:tc>
          <w:tcPr>
            <w:tcW w:w="3937" w:type="pct"/>
            <w:tcBorders>
              <w:top w:val="single" w:sz="4" w:space="0" w:color="auto"/>
              <w:left w:val="nil"/>
              <w:bottom w:val="single" w:sz="4" w:space="0" w:color="auto"/>
              <w:right w:val="single" w:sz="4" w:space="0" w:color="000000"/>
            </w:tcBorders>
            <w:shd w:val="clear" w:color="auto" w:fill="D9D9D9" w:themeFill="background1" w:themeFillShade="D9"/>
            <w:vAlign w:val="center"/>
            <w:hideMark/>
          </w:tcPr>
          <w:p w14:paraId="2B3D0D0A" w14:textId="77777777" w:rsidR="0022309F" w:rsidRPr="0022309F" w:rsidRDefault="0022309F" w:rsidP="0022309F">
            <w:pPr>
              <w:widowControl w:val="0"/>
              <w:spacing w:after="0"/>
              <w:contextualSpacing/>
              <w:rPr>
                <w:rFonts w:eastAsia="Carme" w:cs="Carme"/>
                <w:b/>
                <w:color w:val="595959"/>
                <w:sz w:val="20"/>
                <w:szCs w:val="20"/>
                <w:lang w:val="es-MX" w:eastAsia="es-MX"/>
              </w:rPr>
            </w:pPr>
            <w:r w:rsidRPr="0022309F">
              <w:rPr>
                <w:rFonts w:eastAsia="Carme" w:cs="Carme"/>
                <w:b/>
                <w:color w:val="595959"/>
                <w:sz w:val="20"/>
                <w:szCs w:val="20"/>
                <w:lang w:val="es-MX" w:eastAsia="es-MX"/>
              </w:rPr>
              <w:t>1211- Centro de Evaluación del Desempeño del Estado de Quintana Roo</w:t>
            </w:r>
          </w:p>
        </w:tc>
      </w:tr>
    </w:tbl>
    <w:tbl>
      <w:tblPr>
        <w:tblpPr w:leftFromText="141" w:rightFromText="141" w:vertAnchor="text" w:tblpY="135"/>
        <w:tblW w:w="5620" w:type="pct"/>
        <w:tblLayout w:type="fixed"/>
        <w:tblCellMar>
          <w:left w:w="70" w:type="dxa"/>
          <w:right w:w="70" w:type="dxa"/>
        </w:tblCellMar>
        <w:tblLook w:val="04A0" w:firstRow="1" w:lastRow="0" w:firstColumn="1" w:lastColumn="0" w:noHBand="0" w:noVBand="1"/>
      </w:tblPr>
      <w:tblGrid>
        <w:gridCol w:w="1243"/>
        <w:gridCol w:w="4018"/>
        <w:gridCol w:w="1844"/>
        <w:gridCol w:w="3346"/>
        <w:gridCol w:w="2890"/>
      </w:tblGrid>
      <w:tr w:rsidR="0022309F" w:rsidRPr="0022309F" w14:paraId="07C6C6E1" w14:textId="77777777" w:rsidTr="002162EF">
        <w:trPr>
          <w:trHeight w:val="20"/>
        </w:trPr>
        <w:tc>
          <w:tcPr>
            <w:tcW w:w="4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A9B041" w14:textId="77777777" w:rsidR="0022309F" w:rsidRPr="0022309F" w:rsidRDefault="0022309F" w:rsidP="00C03380">
            <w:pPr>
              <w:widowControl w:val="0"/>
              <w:spacing w:after="0" w:line="240" w:lineRule="auto"/>
              <w:contextualSpacing/>
              <w:jc w:val="center"/>
              <w:rPr>
                <w:rFonts w:eastAsia="Carme" w:cs="Carme"/>
                <w:b/>
                <w:color w:val="595959"/>
                <w:sz w:val="16"/>
                <w:szCs w:val="16"/>
                <w:lang w:val="es-MX" w:eastAsia="es-MX"/>
              </w:rPr>
            </w:pPr>
            <w:r w:rsidRPr="0022309F">
              <w:rPr>
                <w:rFonts w:eastAsia="Carme" w:cs="Carme"/>
                <w:b/>
                <w:color w:val="595959"/>
                <w:sz w:val="16"/>
                <w:szCs w:val="16"/>
                <w:lang w:val="es-MX" w:eastAsia="es-MX"/>
              </w:rPr>
              <w:t>NIVEL</w:t>
            </w:r>
          </w:p>
        </w:tc>
        <w:tc>
          <w:tcPr>
            <w:tcW w:w="1506"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EDB8954" w14:textId="77777777" w:rsidR="0022309F" w:rsidRPr="0022309F" w:rsidRDefault="0022309F" w:rsidP="00C03380">
            <w:pPr>
              <w:widowControl w:val="0"/>
              <w:spacing w:after="0" w:line="240" w:lineRule="auto"/>
              <w:contextualSpacing/>
              <w:jc w:val="center"/>
              <w:rPr>
                <w:rFonts w:eastAsia="Carme" w:cs="Carme"/>
                <w:b/>
                <w:color w:val="595959"/>
                <w:sz w:val="16"/>
                <w:szCs w:val="16"/>
                <w:lang w:val="es-MX" w:eastAsia="es-MX"/>
              </w:rPr>
            </w:pPr>
            <w:r w:rsidRPr="0022309F">
              <w:rPr>
                <w:rFonts w:eastAsia="Carme" w:cs="Carme"/>
                <w:b/>
                <w:color w:val="595959"/>
                <w:sz w:val="16"/>
                <w:szCs w:val="16"/>
                <w:lang w:val="es-MX" w:eastAsia="es-MX"/>
              </w:rPr>
              <w:t>OBJETIVO</w:t>
            </w:r>
          </w:p>
        </w:tc>
        <w:tc>
          <w:tcPr>
            <w:tcW w:w="691"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7303296" w14:textId="77777777" w:rsidR="0022309F" w:rsidRPr="0022309F" w:rsidRDefault="0022309F" w:rsidP="00C03380">
            <w:pPr>
              <w:widowControl w:val="0"/>
              <w:spacing w:after="0" w:line="240" w:lineRule="auto"/>
              <w:contextualSpacing/>
              <w:jc w:val="center"/>
              <w:rPr>
                <w:rFonts w:eastAsia="Carme" w:cs="Carme"/>
                <w:b/>
                <w:color w:val="595959"/>
                <w:sz w:val="16"/>
                <w:szCs w:val="16"/>
                <w:lang w:val="es-MX" w:eastAsia="es-MX"/>
              </w:rPr>
            </w:pPr>
            <w:r w:rsidRPr="0022309F">
              <w:rPr>
                <w:rFonts w:eastAsia="Carme" w:cs="Carme"/>
                <w:b/>
                <w:color w:val="595959"/>
                <w:sz w:val="16"/>
                <w:szCs w:val="16"/>
                <w:lang w:val="es-MX" w:eastAsia="es-MX"/>
              </w:rPr>
              <w:t>INDICADOR</w:t>
            </w:r>
          </w:p>
        </w:tc>
        <w:tc>
          <w:tcPr>
            <w:tcW w:w="125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F115A83" w14:textId="77777777" w:rsidR="0022309F" w:rsidRPr="0022309F" w:rsidRDefault="0022309F" w:rsidP="00C03380">
            <w:pPr>
              <w:widowControl w:val="0"/>
              <w:spacing w:after="0" w:line="240" w:lineRule="auto"/>
              <w:contextualSpacing/>
              <w:jc w:val="center"/>
              <w:rPr>
                <w:rFonts w:eastAsia="Carme" w:cs="Carme"/>
                <w:b/>
                <w:color w:val="595959"/>
                <w:sz w:val="16"/>
                <w:szCs w:val="16"/>
                <w:lang w:val="es-MX" w:eastAsia="es-MX"/>
              </w:rPr>
            </w:pPr>
            <w:r w:rsidRPr="0022309F">
              <w:rPr>
                <w:rFonts w:eastAsia="Carme" w:cs="Carme"/>
                <w:b/>
                <w:color w:val="595959"/>
                <w:sz w:val="16"/>
                <w:szCs w:val="16"/>
                <w:lang w:val="es-MX" w:eastAsia="es-MX"/>
              </w:rPr>
              <w:t>MEDIOS DE VERIFICACIÓN</w:t>
            </w:r>
          </w:p>
        </w:tc>
        <w:tc>
          <w:tcPr>
            <w:tcW w:w="1083"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CA525E" w14:textId="77777777" w:rsidR="0022309F" w:rsidRPr="0022309F" w:rsidRDefault="0022309F" w:rsidP="00C03380">
            <w:pPr>
              <w:widowControl w:val="0"/>
              <w:spacing w:after="0" w:line="240" w:lineRule="auto"/>
              <w:contextualSpacing/>
              <w:jc w:val="center"/>
              <w:rPr>
                <w:rFonts w:eastAsia="Carme" w:cs="Carme"/>
                <w:b/>
                <w:color w:val="595959"/>
                <w:sz w:val="16"/>
                <w:szCs w:val="16"/>
                <w:lang w:val="es-MX" w:eastAsia="es-MX"/>
              </w:rPr>
            </w:pPr>
            <w:r w:rsidRPr="0022309F">
              <w:rPr>
                <w:rFonts w:eastAsia="Carme" w:cs="Carme"/>
                <w:b/>
                <w:color w:val="595959"/>
                <w:sz w:val="16"/>
                <w:szCs w:val="16"/>
                <w:lang w:val="es-MX" w:eastAsia="es-MX"/>
              </w:rPr>
              <w:t>SUPUESTO</w:t>
            </w:r>
          </w:p>
        </w:tc>
      </w:tr>
      <w:tr w:rsidR="0022309F" w:rsidRPr="0022309F" w14:paraId="454D969D" w14:textId="77777777" w:rsidTr="002162EF">
        <w:trPr>
          <w:trHeight w:val="20"/>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6FC85A56" w14:textId="77777777" w:rsidR="0022309F" w:rsidRPr="0022309F" w:rsidRDefault="0022309F" w:rsidP="00C03380">
            <w:pPr>
              <w:pStyle w:val="Ttulo1"/>
              <w:spacing w:after="0" w:line="240" w:lineRule="auto"/>
              <w:jc w:val="center"/>
              <w:rPr>
                <w:rFonts w:eastAsia="Carme" w:cs="Carme"/>
                <w:caps w:val="0"/>
                <w:color w:val="595959"/>
                <w:sz w:val="16"/>
                <w:szCs w:val="16"/>
                <w:lang w:eastAsia="es-MX"/>
              </w:rPr>
            </w:pPr>
            <w:r w:rsidRPr="0022309F">
              <w:rPr>
                <w:rFonts w:eastAsia="Carme" w:cs="Carme"/>
                <w:caps w:val="0"/>
                <w:color w:val="595959"/>
                <w:sz w:val="16"/>
                <w:szCs w:val="16"/>
                <w:lang w:eastAsia="es-MX"/>
              </w:rPr>
              <w:t>Fin</w:t>
            </w:r>
          </w:p>
        </w:tc>
        <w:tc>
          <w:tcPr>
            <w:tcW w:w="1506" w:type="pct"/>
            <w:tcBorders>
              <w:top w:val="nil"/>
              <w:left w:val="nil"/>
              <w:bottom w:val="single" w:sz="4" w:space="0" w:color="auto"/>
              <w:right w:val="single" w:sz="4" w:space="0" w:color="auto"/>
            </w:tcBorders>
            <w:shd w:val="clear" w:color="auto" w:fill="auto"/>
            <w:vAlign w:val="center"/>
            <w:hideMark/>
          </w:tcPr>
          <w:p w14:paraId="743E82B6"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F - Contribuir a consolidar la Gestión para Resultados como un modelo de cultura organizacional, directiva y de gestión que permita la creación de valor público en la administración pública estatal., mediante acciones de facilitación para el cumplimiento de metas sustantivas</w:t>
            </w:r>
          </w:p>
        </w:tc>
        <w:tc>
          <w:tcPr>
            <w:tcW w:w="691" w:type="pct"/>
            <w:tcBorders>
              <w:top w:val="nil"/>
              <w:left w:val="nil"/>
              <w:bottom w:val="single" w:sz="4" w:space="0" w:color="auto"/>
              <w:right w:val="single" w:sz="4" w:space="0" w:color="auto"/>
            </w:tcBorders>
            <w:shd w:val="clear" w:color="auto" w:fill="auto"/>
            <w:vAlign w:val="center"/>
            <w:hideMark/>
          </w:tcPr>
          <w:p w14:paraId="1D29687F"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PED19I1 - Índice General de Avance en PbR SED</w:t>
            </w:r>
          </w:p>
        </w:tc>
        <w:tc>
          <w:tcPr>
            <w:tcW w:w="1254" w:type="pct"/>
            <w:tcBorders>
              <w:top w:val="nil"/>
              <w:left w:val="nil"/>
              <w:bottom w:val="single" w:sz="4" w:space="0" w:color="auto"/>
              <w:right w:val="single" w:sz="4" w:space="0" w:color="auto"/>
            </w:tcBorders>
            <w:shd w:val="clear" w:color="auto" w:fill="auto"/>
            <w:vAlign w:val="center"/>
            <w:hideMark/>
          </w:tcPr>
          <w:p w14:paraId="589A84A9"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Secretaria de Hacienda y Crédito Público.</w:t>
            </w:r>
          </w:p>
        </w:tc>
        <w:tc>
          <w:tcPr>
            <w:tcW w:w="1083" w:type="pct"/>
            <w:tcBorders>
              <w:top w:val="nil"/>
              <w:left w:val="nil"/>
              <w:bottom w:val="single" w:sz="4" w:space="0" w:color="auto"/>
              <w:right w:val="single" w:sz="4" w:space="0" w:color="auto"/>
            </w:tcBorders>
            <w:shd w:val="clear" w:color="auto" w:fill="auto"/>
            <w:vAlign w:val="center"/>
            <w:hideMark/>
          </w:tcPr>
          <w:p w14:paraId="3AE02DE6"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La Secretaría de Hacienda y Crédito Público continúa haciendo las evaluaciones en las entidades federativas</w:t>
            </w:r>
          </w:p>
        </w:tc>
      </w:tr>
      <w:tr w:rsidR="0022309F" w:rsidRPr="0022309F" w14:paraId="1FED9356" w14:textId="77777777" w:rsidTr="002162EF">
        <w:trPr>
          <w:trHeight w:val="20"/>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4C97D881" w14:textId="77777777" w:rsidR="0022309F" w:rsidRPr="0022309F" w:rsidRDefault="0022309F" w:rsidP="00C03380">
            <w:pPr>
              <w:pStyle w:val="Ttulo1"/>
              <w:spacing w:after="0" w:line="240" w:lineRule="auto"/>
              <w:jc w:val="center"/>
              <w:rPr>
                <w:rFonts w:eastAsia="Carme" w:cs="Carme"/>
                <w:caps w:val="0"/>
                <w:color w:val="595959"/>
                <w:sz w:val="16"/>
                <w:szCs w:val="16"/>
                <w:lang w:eastAsia="es-MX"/>
              </w:rPr>
            </w:pPr>
            <w:r w:rsidRPr="0022309F">
              <w:rPr>
                <w:rFonts w:eastAsia="Carme" w:cs="Carme"/>
                <w:caps w:val="0"/>
                <w:color w:val="595959"/>
                <w:sz w:val="16"/>
                <w:szCs w:val="16"/>
                <w:lang w:eastAsia="es-MX"/>
              </w:rPr>
              <w:t>Propósito</w:t>
            </w:r>
          </w:p>
        </w:tc>
        <w:tc>
          <w:tcPr>
            <w:tcW w:w="1506" w:type="pct"/>
            <w:tcBorders>
              <w:top w:val="nil"/>
              <w:left w:val="nil"/>
              <w:bottom w:val="single" w:sz="4" w:space="0" w:color="auto"/>
              <w:right w:val="single" w:sz="4" w:space="0" w:color="auto"/>
            </w:tcBorders>
            <w:shd w:val="clear" w:color="auto" w:fill="auto"/>
            <w:vAlign w:val="center"/>
            <w:hideMark/>
          </w:tcPr>
          <w:p w14:paraId="7859B409" w14:textId="154089E3"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P - La Gestión para Resultados (</w:t>
            </w:r>
            <w:proofErr w:type="spellStart"/>
            <w:r w:rsidRPr="0022309F">
              <w:rPr>
                <w:rFonts w:eastAsia="Carme" w:cs="Carme"/>
                <w:bCs/>
                <w:color w:val="595959"/>
                <w:sz w:val="16"/>
                <w:szCs w:val="16"/>
                <w:lang w:val="es-MX" w:eastAsia="es-MX"/>
              </w:rPr>
              <w:t>GpR</w:t>
            </w:r>
            <w:proofErr w:type="spellEnd"/>
            <w:r w:rsidRPr="0022309F">
              <w:rPr>
                <w:rFonts w:eastAsia="Carme" w:cs="Carme"/>
                <w:bCs/>
                <w:color w:val="595959"/>
                <w:sz w:val="16"/>
                <w:szCs w:val="16"/>
                <w:lang w:val="es-MX" w:eastAsia="es-MX"/>
              </w:rPr>
              <w:t xml:space="preserve">) se encuentra consolidada a través del ciclo presupuestario y con una </w:t>
            </w:r>
            <w:r w:rsidR="00425825" w:rsidRPr="0022309F">
              <w:rPr>
                <w:rFonts w:eastAsia="Carme" w:cs="Carme"/>
                <w:bCs/>
                <w:color w:val="595959"/>
                <w:sz w:val="16"/>
                <w:szCs w:val="16"/>
                <w:lang w:val="es-MX" w:eastAsia="es-MX"/>
              </w:rPr>
              <w:t>política</w:t>
            </w:r>
            <w:r w:rsidRPr="0022309F">
              <w:rPr>
                <w:rFonts w:eastAsia="Carme" w:cs="Carme"/>
                <w:bCs/>
                <w:color w:val="595959"/>
                <w:sz w:val="16"/>
                <w:szCs w:val="16"/>
                <w:lang w:val="es-MX" w:eastAsia="es-MX"/>
              </w:rPr>
              <w:t xml:space="preserve"> hacendaria integral y transparente, que permite al gobierno mantener estabilidad económica y sustentabilidad de las finanzas públicas.</w:t>
            </w:r>
          </w:p>
        </w:tc>
        <w:tc>
          <w:tcPr>
            <w:tcW w:w="691" w:type="pct"/>
            <w:tcBorders>
              <w:top w:val="nil"/>
              <w:left w:val="nil"/>
              <w:bottom w:val="single" w:sz="4" w:space="0" w:color="auto"/>
              <w:right w:val="single" w:sz="4" w:space="0" w:color="auto"/>
            </w:tcBorders>
            <w:shd w:val="clear" w:color="auto" w:fill="auto"/>
            <w:vAlign w:val="center"/>
            <w:hideMark/>
          </w:tcPr>
          <w:p w14:paraId="245CC20B"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09O2IO1 - Porcentaje del  Gasto Público aplicado bajo PbR</w:t>
            </w:r>
          </w:p>
        </w:tc>
        <w:tc>
          <w:tcPr>
            <w:tcW w:w="1254" w:type="pct"/>
            <w:tcBorders>
              <w:top w:val="nil"/>
              <w:left w:val="nil"/>
              <w:bottom w:val="single" w:sz="4" w:space="0" w:color="auto"/>
              <w:right w:val="single" w:sz="4" w:space="0" w:color="auto"/>
            </w:tcBorders>
            <w:shd w:val="clear" w:color="auto" w:fill="auto"/>
            <w:vAlign w:val="center"/>
            <w:hideMark/>
          </w:tcPr>
          <w:p w14:paraId="158CF4BE"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SEFIPLAN, SSPHCP</w:t>
            </w:r>
          </w:p>
        </w:tc>
        <w:tc>
          <w:tcPr>
            <w:tcW w:w="1083" w:type="pct"/>
            <w:tcBorders>
              <w:top w:val="nil"/>
              <w:left w:val="nil"/>
              <w:bottom w:val="single" w:sz="4" w:space="0" w:color="auto"/>
              <w:right w:val="single" w:sz="4" w:space="0" w:color="auto"/>
            </w:tcBorders>
            <w:shd w:val="clear" w:color="auto" w:fill="auto"/>
            <w:vAlign w:val="center"/>
            <w:hideMark/>
          </w:tcPr>
          <w:p w14:paraId="5B95E135"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 xml:space="preserve">Los actores involucrados en el ciclo presupuestario cumplen en tiempo y forma con los requerimientos presupuestales y administrativos para facilitar el proceso de consolidación del modelo </w:t>
            </w:r>
            <w:proofErr w:type="spellStart"/>
            <w:r w:rsidRPr="0022309F">
              <w:rPr>
                <w:rFonts w:eastAsia="Carme" w:cs="Carme"/>
                <w:bCs/>
                <w:color w:val="595959"/>
                <w:sz w:val="16"/>
                <w:szCs w:val="16"/>
                <w:lang w:val="es-MX" w:eastAsia="es-MX"/>
              </w:rPr>
              <w:t>GpR</w:t>
            </w:r>
            <w:proofErr w:type="spellEnd"/>
            <w:r w:rsidRPr="0022309F">
              <w:rPr>
                <w:rFonts w:eastAsia="Carme" w:cs="Carme"/>
                <w:bCs/>
                <w:color w:val="595959"/>
                <w:sz w:val="16"/>
                <w:szCs w:val="16"/>
                <w:lang w:val="es-MX" w:eastAsia="es-MX"/>
              </w:rPr>
              <w:t>.</w:t>
            </w:r>
          </w:p>
        </w:tc>
      </w:tr>
      <w:tr w:rsidR="0022309F" w:rsidRPr="0022309F" w14:paraId="3E85BA09" w14:textId="77777777" w:rsidTr="002162EF">
        <w:trPr>
          <w:trHeight w:val="20"/>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7839FEFD" w14:textId="77777777" w:rsidR="0022309F" w:rsidRPr="0022309F" w:rsidRDefault="0022309F" w:rsidP="00C03380">
            <w:pPr>
              <w:pStyle w:val="Ttulo1"/>
              <w:spacing w:after="0" w:line="240" w:lineRule="auto"/>
              <w:jc w:val="center"/>
              <w:rPr>
                <w:rFonts w:eastAsia="Carme" w:cs="Carme"/>
                <w:caps w:val="0"/>
                <w:color w:val="595959"/>
                <w:sz w:val="16"/>
                <w:szCs w:val="16"/>
                <w:lang w:eastAsia="es-MX"/>
              </w:rPr>
            </w:pPr>
            <w:r w:rsidRPr="0022309F">
              <w:rPr>
                <w:rFonts w:eastAsia="Carme" w:cs="Carme"/>
                <w:caps w:val="0"/>
                <w:color w:val="595959"/>
                <w:sz w:val="16"/>
                <w:szCs w:val="16"/>
                <w:lang w:eastAsia="es-MX"/>
              </w:rPr>
              <w:t>Componente</w:t>
            </w:r>
          </w:p>
        </w:tc>
        <w:tc>
          <w:tcPr>
            <w:tcW w:w="1506" w:type="pct"/>
            <w:tcBorders>
              <w:top w:val="nil"/>
              <w:left w:val="nil"/>
              <w:bottom w:val="single" w:sz="4" w:space="0" w:color="auto"/>
              <w:right w:val="single" w:sz="4" w:space="0" w:color="auto"/>
            </w:tcBorders>
            <w:shd w:val="clear" w:color="auto" w:fill="auto"/>
            <w:vAlign w:val="center"/>
            <w:hideMark/>
          </w:tcPr>
          <w:p w14:paraId="63F82B51"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C01 - Sistema de Evaluación del Desempeño del Estado implementado.</w:t>
            </w:r>
          </w:p>
        </w:tc>
        <w:tc>
          <w:tcPr>
            <w:tcW w:w="691" w:type="pct"/>
            <w:tcBorders>
              <w:top w:val="nil"/>
              <w:left w:val="nil"/>
              <w:bottom w:val="single" w:sz="4" w:space="0" w:color="auto"/>
              <w:right w:val="single" w:sz="4" w:space="0" w:color="auto"/>
            </w:tcBorders>
            <w:shd w:val="clear" w:color="auto" w:fill="auto"/>
            <w:vAlign w:val="center"/>
            <w:hideMark/>
          </w:tcPr>
          <w:p w14:paraId="42A2A28F"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C03CED - Porcentaje de Informes de seguimiento y evaluación del desempeño emitidos</w:t>
            </w:r>
          </w:p>
        </w:tc>
        <w:tc>
          <w:tcPr>
            <w:tcW w:w="1254" w:type="pct"/>
            <w:tcBorders>
              <w:top w:val="nil"/>
              <w:left w:val="nil"/>
              <w:bottom w:val="single" w:sz="4" w:space="0" w:color="auto"/>
              <w:right w:val="single" w:sz="4" w:space="0" w:color="auto"/>
            </w:tcBorders>
            <w:shd w:val="clear" w:color="auto" w:fill="auto"/>
            <w:vAlign w:val="center"/>
            <w:hideMark/>
          </w:tcPr>
          <w:p w14:paraId="74432382"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Liga de los informes de evaluación del desempeño publicados por el Centro de Evaluación del Desempeño en su portal institucional, anualmente: http://www.sefiplan.qroo.gob.mx/CEDQROO/evaluaciones.php</w:t>
            </w:r>
          </w:p>
        </w:tc>
        <w:tc>
          <w:tcPr>
            <w:tcW w:w="1083" w:type="pct"/>
            <w:tcBorders>
              <w:top w:val="nil"/>
              <w:left w:val="nil"/>
              <w:bottom w:val="single" w:sz="4" w:space="0" w:color="auto"/>
              <w:right w:val="single" w:sz="4" w:space="0" w:color="auto"/>
            </w:tcBorders>
            <w:shd w:val="clear" w:color="auto" w:fill="auto"/>
            <w:vAlign w:val="center"/>
            <w:hideMark/>
          </w:tcPr>
          <w:p w14:paraId="4EB63114"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Las dependencias y entidades de la administración pública estatal cumplen con la normatividad del PbR-SED</w:t>
            </w:r>
          </w:p>
        </w:tc>
      </w:tr>
      <w:tr w:rsidR="0022309F" w:rsidRPr="0022309F" w14:paraId="116CD9F9" w14:textId="77777777" w:rsidTr="002162EF">
        <w:trPr>
          <w:trHeight w:val="20"/>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2B3EC915" w14:textId="77777777" w:rsidR="0022309F" w:rsidRPr="0022309F" w:rsidRDefault="0022309F" w:rsidP="00C03380">
            <w:pPr>
              <w:pStyle w:val="Ttulo1"/>
              <w:spacing w:after="0" w:line="240" w:lineRule="auto"/>
              <w:jc w:val="center"/>
              <w:rPr>
                <w:rFonts w:eastAsia="Carme" w:cs="Carme"/>
                <w:caps w:val="0"/>
                <w:color w:val="595959"/>
                <w:sz w:val="16"/>
                <w:szCs w:val="16"/>
                <w:lang w:eastAsia="es-MX"/>
              </w:rPr>
            </w:pPr>
            <w:r w:rsidRPr="0022309F">
              <w:rPr>
                <w:rFonts w:eastAsia="Carme" w:cs="Carme"/>
                <w:caps w:val="0"/>
                <w:color w:val="595959"/>
                <w:sz w:val="16"/>
                <w:szCs w:val="16"/>
                <w:lang w:eastAsia="es-MX"/>
              </w:rPr>
              <w:t>Actividad</w:t>
            </w:r>
          </w:p>
        </w:tc>
        <w:tc>
          <w:tcPr>
            <w:tcW w:w="1506" w:type="pct"/>
            <w:tcBorders>
              <w:top w:val="nil"/>
              <w:left w:val="nil"/>
              <w:bottom w:val="single" w:sz="4" w:space="0" w:color="auto"/>
              <w:right w:val="single" w:sz="4" w:space="0" w:color="auto"/>
            </w:tcBorders>
            <w:shd w:val="clear" w:color="auto" w:fill="auto"/>
            <w:vAlign w:val="center"/>
            <w:hideMark/>
          </w:tcPr>
          <w:p w14:paraId="22B4EDFE"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C01.A01 - Evaluación de Programas Presupuestarios de origen federal y estatal ejecutados por las dependencias y entidades paraestatales del Estado.</w:t>
            </w:r>
          </w:p>
        </w:tc>
        <w:tc>
          <w:tcPr>
            <w:tcW w:w="691" w:type="pct"/>
            <w:tcBorders>
              <w:top w:val="nil"/>
              <w:left w:val="nil"/>
              <w:bottom w:val="single" w:sz="4" w:space="0" w:color="auto"/>
              <w:right w:val="single" w:sz="4" w:space="0" w:color="auto"/>
            </w:tcBorders>
            <w:shd w:val="clear" w:color="auto" w:fill="auto"/>
            <w:vAlign w:val="center"/>
            <w:hideMark/>
          </w:tcPr>
          <w:p w14:paraId="121AE811"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C03A01CED - Porcentaje de Informes de Resultados de Evaluaciones del desempeño de acuerdo a la norma del CONAC emitidos</w:t>
            </w:r>
          </w:p>
        </w:tc>
        <w:tc>
          <w:tcPr>
            <w:tcW w:w="1254" w:type="pct"/>
            <w:tcBorders>
              <w:top w:val="nil"/>
              <w:left w:val="nil"/>
              <w:bottom w:val="single" w:sz="4" w:space="0" w:color="auto"/>
              <w:right w:val="single" w:sz="4" w:space="0" w:color="auto"/>
            </w:tcBorders>
            <w:shd w:val="clear" w:color="auto" w:fill="auto"/>
            <w:vAlign w:val="center"/>
            <w:hideMark/>
          </w:tcPr>
          <w:p w14:paraId="2D458FE5"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Informes publicados en el Portal institucional del Centro de Evaluación de Desempeño: http://www.sefiplan.qroo.gob.mx/CEDQROO/evaluaciones.phpB109:I110</w:t>
            </w:r>
          </w:p>
        </w:tc>
        <w:tc>
          <w:tcPr>
            <w:tcW w:w="1083" w:type="pct"/>
            <w:tcBorders>
              <w:top w:val="nil"/>
              <w:left w:val="nil"/>
              <w:bottom w:val="single" w:sz="4" w:space="0" w:color="auto"/>
              <w:right w:val="single" w:sz="4" w:space="0" w:color="auto"/>
            </w:tcBorders>
            <w:shd w:val="clear" w:color="auto" w:fill="auto"/>
            <w:vAlign w:val="center"/>
            <w:hideMark/>
          </w:tcPr>
          <w:p w14:paraId="60AE151D"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Las dependencias y municipios emplean los recursos conforme establecen las leyes, reglas de operación y lineamientos vigentes.</w:t>
            </w:r>
          </w:p>
        </w:tc>
      </w:tr>
      <w:tr w:rsidR="0022309F" w:rsidRPr="0022309F" w14:paraId="6B33BA36" w14:textId="77777777" w:rsidTr="002162EF">
        <w:trPr>
          <w:trHeight w:val="20"/>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17F2D02B" w14:textId="77777777" w:rsidR="0022309F" w:rsidRPr="0022309F" w:rsidRDefault="0022309F" w:rsidP="00C03380">
            <w:pPr>
              <w:pStyle w:val="Ttulo1"/>
              <w:spacing w:after="0" w:line="240" w:lineRule="auto"/>
              <w:jc w:val="center"/>
              <w:rPr>
                <w:rFonts w:eastAsia="Carme" w:cs="Carme"/>
                <w:caps w:val="0"/>
                <w:color w:val="595959"/>
                <w:sz w:val="16"/>
                <w:szCs w:val="16"/>
                <w:lang w:eastAsia="es-MX"/>
              </w:rPr>
            </w:pPr>
            <w:r w:rsidRPr="0022309F">
              <w:rPr>
                <w:rFonts w:eastAsia="Carme" w:cs="Carme"/>
                <w:caps w:val="0"/>
                <w:color w:val="595959"/>
                <w:sz w:val="16"/>
                <w:szCs w:val="16"/>
                <w:lang w:eastAsia="es-MX"/>
              </w:rPr>
              <w:t>Actividad</w:t>
            </w:r>
          </w:p>
        </w:tc>
        <w:tc>
          <w:tcPr>
            <w:tcW w:w="1506" w:type="pct"/>
            <w:tcBorders>
              <w:top w:val="nil"/>
              <w:left w:val="nil"/>
              <w:bottom w:val="single" w:sz="4" w:space="0" w:color="auto"/>
              <w:right w:val="single" w:sz="4" w:space="0" w:color="auto"/>
            </w:tcBorders>
            <w:shd w:val="clear" w:color="auto" w:fill="auto"/>
            <w:vAlign w:val="center"/>
            <w:hideMark/>
          </w:tcPr>
          <w:p w14:paraId="5928C9A0"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C01.A02 - Integración del Programa Anual de Evaluación de los Programas Presupuestarios del Gobierno del Estado de Quintana Roo</w:t>
            </w:r>
          </w:p>
        </w:tc>
        <w:tc>
          <w:tcPr>
            <w:tcW w:w="691" w:type="pct"/>
            <w:tcBorders>
              <w:top w:val="nil"/>
              <w:left w:val="nil"/>
              <w:bottom w:val="single" w:sz="4" w:space="0" w:color="auto"/>
              <w:right w:val="single" w:sz="4" w:space="0" w:color="auto"/>
            </w:tcBorders>
            <w:shd w:val="clear" w:color="auto" w:fill="auto"/>
            <w:vAlign w:val="center"/>
            <w:hideMark/>
          </w:tcPr>
          <w:p w14:paraId="0CCBEE52"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C03A02CED - Porcentaje de informes de evaluación del desempeño obtenidos</w:t>
            </w:r>
          </w:p>
        </w:tc>
        <w:tc>
          <w:tcPr>
            <w:tcW w:w="1254" w:type="pct"/>
            <w:tcBorders>
              <w:top w:val="nil"/>
              <w:left w:val="nil"/>
              <w:bottom w:val="single" w:sz="4" w:space="0" w:color="auto"/>
              <w:right w:val="single" w:sz="4" w:space="0" w:color="auto"/>
            </w:tcBorders>
            <w:shd w:val="clear" w:color="auto" w:fill="auto"/>
            <w:vAlign w:val="center"/>
            <w:hideMark/>
          </w:tcPr>
          <w:p w14:paraId="0682888C"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Reporte de cumplimiento del PAE</w:t>
            </w:r>
          </w:p>
        </w:tc>
        <w:tc>
          <w:tcPr>
            <w:tcW w:w="1083" w:type="pct"/>
            <w:tcBorders>
              <w:top w:val="nil"/>
              <w:left w:val="nil"/>
              <w:bottom w:val="single" w:sz="4" w:space="0" w:color="auto"/>
              <w:right w:val="single" w:sz="4" w:space="0" w:color="auto"/>
            </w:tcBorders>
            <w:shd w:val="clear" w:color="auto" w:fill="auto"/>
            <w:vAlign w:val="center"/>
            <w:hideMark/>
          </w:tcPr>
          <w:p w14:paraId="58BD24A5"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Existe un marco jurídico fortalecido y que contempla criterios de una gestión para resultados.</w:t>
            </w:r>
          </w:p>
        </w:tc>
      </w:tr>
      <w:tr w:rsidR="0022309F" w:rsidRPr="0022309F" w14:paraId="6D0990C5" w14:textId="77777777" w:rsidTr="002162EF">
        <w:trPr>
          <w:trHeight w:val="20"/>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3A7B9584" w14:textId="77777777" w:rsidR="0022309F" w:rsidRPr="0022309F" w:rsidRDefault="0022309F" w:rsidP="00C03380">
            <w:pPr>
              <w:pStyle w:val="Ttulo1"/>
              <w:spacing w:after="0" w:line="240" w:lineRule="auto"/>
              <w:jc w:val="center"/>
              <w:rPr>
                <w:rFonts w:eastAsia="Carme" w:cs="Carme"/>
                <w:caps w:val="0"/>
                <w:color w:val="595959"/>
                <w:sz w:val="16"/>
                <w:szCs w:val="16"/>
                <w:lang w:eastAsia="es-MX"/>
              </w:rPr>
            </w:pPr>
            <w:r w:rsidRPr="0022309F">
              <w:rPr>
                <w:rFonts w:eastAsia="Carme" w:cs="Carme"/>
                <w:caps w:val="0"/>
                <w:color w:val="595959"/>
                <w:sz w:val="16"/>
                <w:szCs w:val="16"/>
                <w:lang w:eastAsia="es-MX"/>
              </w:rPr>
              <w:t>Actividad</w:t>
            </w:r>
          </w:p>
        </w:tc>
        <w:tc>
          <w:tcPr>
            <w:tcW w:w="1506" w:type="pct"/>
            <w:tcBorders>
              <w:top w:val="nil"/>
              <w:left w:val="nil"/>
              <w:bottom w:val="single" w:sz="4" w:space="0" w:color="auto"/>
              <w:right w:val="single" w:sz="4" w:space="0" w:color="auto"/>
            </w:tcBorders>
            <w:shd w:val="clear" w:color="auto" w:fill="auto"/>
            <w:vAlign w:val="center"/>
            <w:hideMark/>
          </w:tcPr>
          <w:p w14:paraId="3223B202"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C01.A03 - Conformar en coordinación con las dependencias, entidades y organismos, la red de enlaces para la evaluación del desempeño de los programas presupuestarios.</w:t>
            </w:r>
          </w:p>
        </w:tc>
        <w:tc>
          <w:tcPr>
            <w:tcW w:w="691" w:type="pct"/>
            <w:tcBorders>
              <w:top w:val="nil"/>
              <w:left w:val="nil"/>
              <w:bottom w:val="single" w:sz="4" w:space="0" w:color="auto"/>
              <w:right w:val="single" w:sz="4" w:space="0" w:color="auto"/>
            </w:tcBorders>
            <w:shd w:val="clear" w:color="auto" w:fill="auto"/>
            <w:vAlign w:val="center"/>
            <w:hideMark/>
          </w:tcPr>
          <w:p w14:paraId="1E70D464"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C03A03CED - Porcentaje de dependencias integradas a la red de enlaces de evaluación</w:t>
            </w:r>
          </w:p>
        </w:tc>
        <w:tc>
          <w:tcPr>
            <w:tcW w:w="1254" w:type="pct"/>
            <w:tcBorders>
              <w:top w:val="nil"/>
              <w:left w:val="nil"/>
              <w:bottom w:val="single" w:sz="4" w:space="0" w:color="auto"/>
              <w:right w:val="single" w:sz="4" w:space="0" w:color="auto"/>
            </w:tcBorders>
            <w:shd w:val="clear" w:color="auto" w:fill="auto"/>
            <w:vAlign w:val="center"/>
            <w:hideMark/>
          </w:tcPr>
          <w:p w14:paraId="6990B5C0"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Bitácora de registro del Centro de Evaluación del Desempeño: http://www.sefiplan.qroo.gob.mx/CEDQROO/</w:t>
            </w:r>
          </w:p>
        </w:tc>
        <w:tc>
          <w:tcPr>
            <w:tcW w:w="1083" w:type="pct"/>
            <w:tcBorders>
              <w:top w:val="nil"/>
              <w:left w:val="nil"/>
              <w:bottom w:val="single" w:sz="4" w:space="0" w:color="auto"/>
              <w:right w:val="single" w:sz="4" w:space="0" w:color="auto"/>
            </w:tcBorders>
            <w:shd w:val="clear" w:color="auto" w:fill="auto"/>
            <w:vAlign w:val="center"/>
            <w:hideMark/>
          </w:tcPr>
          <w:p w14:paraId="6F997425"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Las dependencias tienen el compromiso de cumplir con las disposiciones que norma su registro en la conformación de la red de enlaces.</w:t>
            </w:r>
          </w:p>
        </w:tc>
      </w:tr>
      <w:tr w:rsidR="0022309F" w:rsidRPr="0022309F" w14:paraId="26D61A00" w14:textId="77777777" w:rsidTr="002162EF">
        <w:trPr>
          <w:trHeight w:val="20"/>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2303D3F9" w14:textId="77777777" w:rsidR="0022309F" w:rsidRPr="0022309F" w:rsidRDefault="0022309F" w:rsidP="00C03380">
            <w:pPr>
              <w:pStyle w:val="Ttulo1"/>
              <w:spacing w:after="0" w:line="240" w:lineRule="auto"/>
              <w:jc w:val="center"/>
              <w:rPr>
                <w:rFonts w:eastAsia="Carme" w:cs="Carme"/>
                <w:caps w:val="0"/>
                <w:color w:val="595959"/>
                <w:sz w:val="16"/>
                <w:szCs w:val="16"/>
                <w:lang w:eastAsia="es-MX"/>
              </w:rPr>
            </w:pPr>
            <w:r w:rsidRPr="0022309F">
              <w:rPr>
                <w:rFonts w:eastAsia="Carme" w:cs="Carme"/>
                <w:caps w:val="0"/>
                <w:color w:val="595959"/>
                <w:sz w:val="16"/>
                <w:szCs w:val="16"/>
                <w:lang w:eastAsia="es-MX"/>
              </w:rPr>
              <w:t>Actividad</w:t>
            </w:r>
          </w:p>
        </w:tc>
        <w:tc>
          <w:tcPr>
            <w:tcW w:w="1506" w:type="pct"/>
            <w:tcBorders>
              <w:top w:val="nil"/>
              <w:left w:val="nil"/>
              <w:bottom w:val="single" w:sz="4" w:space="0" w:color="auto"/>
              <w:right w:val="single" w:sz="4" w:space="0" w:color="auto"/>
            </w:tcBorders>
            <w:shd w:val="clear" w:color="auto" w:fill="auto"/>
            <w:vAlign w:val="center"/>
            <w:hideMark/>
          </w:tcPr>
          <w:p w14:paraId="64E7BB6A"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 xml:space="preserve">C01.A04 - Seguimiento a los avances en la implementación </w:t>
            </w:r>
            <w:r w:rsidRPr="0022309F">
              <w:rPr>
                <w:rFonts w:eastAsia="Carme" w:cs="Carme"/>
                <w:bCs/>
                <w:color w:val="595959"/>
                <w:sz w:val="16"/>
                <w:szCs w:val="16"/>
                <w:lang w:val="es-MX" w:eastAsia="es-MX"/>
              </w:rPr>
              <w:lastRenderedPageBreak/>
              <w:t>de los Aspectos Susceptibles de Mejora.</w:t>
            </w:r>
          </w:p>
        </w:tc>
        <w:tc>
          <w:tcPr>
            <w:tcW w:w="691" w:type="pct"/>
            <w:tcBorders>
              <w:top w:val="nil"/>
              <w:left w:val="nil"/>
              <w:bottom w:val="single" w:sz="4" w:space="0" w:color="auto"/>
              <w:right w:val="single" w:sz="4" w:space="0" w:color="auto"/>
            </w:tcBorders>
            <w:shd w:val="clear" w:color="auto" w:fill="auto"/>
            <w:vAlign w:val="center"/>
            <w:hideMark/>
          </w:tcPr>
          <w:p w14:paraId="290DC80C"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lastRenderedPageBreak/>
              <w:t xml:space="preserve">C03A04CED - Porcentaje </w:t>
            </w:r>
            <w:r w:rsidRPr="0022309F">
              <w:rPr>
                <w:rFonts w:eastAsia="Carme" w:cs="Carme"/>
                <w:bCs/>
                <w:color w:val="595959"/>
                <w:sz w:val="16"/>
                <w:szCs w:val="16"/>
                <w:lang w:val="es-MX" w:eastAsia="es-MX"/>
              </w:rPr>
              <w:lastRenderedPageBreak/>
              <w:t>de Aspectos Susceptibles de Mejora atendidos</w:t>
            </w:r>
          </w:p>
        </w:tc>
        <w:tc>
          <w:tcPr>
            <w:tcW w:w="1254" w:type="pct"/>
            <w:tcBorders>
              <w:top w:val="nil"/>
              <w:left w:val="nil"/>
              <w:bottom w:val="single" w:sz="4" w:space="0" w:color="auto"/>
              <w:right w:val="single" w:sz="4" w:space="0" w:color="auto"/>
            </w:tcBorders>
            <w:shd w:val="clear" w:color="auto" w:fill="auto"/>
            <w:vAlign w:val="center"/>
            <w:hideMark/>
          </w:tcPr>
          <w:p w14:paraId="10C0357A"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lastRenderedPageBreak/>
              <w:t xml:space="preserve">Documentos de atención de los Aspectos </w:t>
            </w:r>
            <w:r w:rsidRPr="0022309F">
              <w:rPr>
                <w:rFonts w:eastAsia="Carme" w:cs="Carme"/>
                <w:bCs/>
                <w:color w:val="595959"/>
                <w:sz w:val="16"/>
                <w:szCs w:val="16"/>
                <w:lang w:val="es-MX" w:eastAsia="es-MX"/>
              </w:rPr>
              <w:lastRenderedPageBreak/>
              <w:t>Susceptibles de Mejora: http://www.sefiplan.qroo.gob.mx/CEDQROO/aspectos.php</w:t>
            </w:r>
          </w:p>
        </w:tc>
        <w:tc>
          <w:tcPr>
            <w:tcW w:w="1083" w:type="pct"/>
            <w:tcBorders>
              <w:top w:val="nil"/>
              <w:left w:val="nil"/>
              <w:bottom w:val="single" w:sz="4" w:space="0" w:color="auto"/>
              <w:right w:val="single" w:sz="4" w:space="0" w:color="auto"/>
            </w:tcBorders>
            <w:shd w:val="clear" w:color="auto" w:fill="auto"/>
            <w:vAlign w:val="center"/>
            <w:hideMark/>
          </w:tcPr>
          <w:p w14:paraId="38D036E1"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lastRenderedPageBreak/>
              <w:t xml:space="preserve">Las dependencias y entidades paraestatales </w:t>
            </w:r>
            <w:r w:rsidRPr="0022309F">
              <w:rPr>
                <w:rFonts w:eastAsia="Carme" w:cs="Carme"/>
                <w:bCs/>
                <w:color w:val="595959"/>
                <w:sz w:val="16"/>
                <w:szCs w:val="16"/>
                <w:lang w:val="es-MX" w:eastAsia="es-MX"/>
              </w:rPr>
              <w:lastRenderedPageBreak/>
              <w:t>del Estado atienden y den seguimiento a las recomendaciones como resultado por las evaluaciones del desempeño.</w:t>
            </w:r>
          </w:p>
        </w:tc>
      </w:tr>
      <w:tr w:rsidR="0022309F" w:rsidRPr="0022309F" w14:paraId="313E116B" w14:textId="77777777" w:rsidTr="002162EF">
        <w:trPr>
          <w:trHeight w:val="20"/>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7EB037AE" w14:textId="77777777" w:rsidR="0022309F" w:rsidRPr="0022309F" w:rsidRDefault="0022309F" w:rsidP="00C03380">
            <w:pPr>
              <w:pStyle w:val="Ttulo1"/>
              <w:spacing w:after="0" w:line="240" w:lineRule="auto"/>
              <w:jc w:val="center"/>
              <w:rPr>
                <w:rFonts w:eastAsia="Carme" w:cs="Carme"/>
                <w:caps w:val="0"/>
                <w:color w:val="595959"/>
                <w:sz w:val="16"/>
                <w:szCs w:val="16"/>
                <w:lang w:eastAsia="es-MX"/>
              </w:rPr>
            </w:pPr>
            <w:r w:rsidRPr="0022309F">
              <w:rPr>
                <w:rFonts w:eastAsia="Carme" w:cs="Carme"/>
                <w:caps w:val="0"/>
                <w:color w:val="595959"/>
                <w:sz w:val="16"/>
                <w:szCs w:val="16"/>
                <w:lang w:eastAsia="es-MX"/>
              </w:rPr>
              <w:lastRenderedPageBreak/>
              <w:t>Actividad</w:t>
            </w:r>
          </w:p>
        </w:tc>
        <w:tc>
          <w:tcPr>
            <w:tcW w:w="1506" w:type="pct"/>
            <w:tcBorders>
              <w:top w:val="nil"/>
              <w:left w:val="nil"/>
              <w:bottom w:val="single" w:sz="4" w:space="0" w:color="auto"/>
              <w:right w:val="single" w:sz="4" w:space="0" w:color="auto"/>
            </w:tcBorders>
            <w:shd w:val="clear" w:color="auto" w:fill="auto"/>
            <w:vAlign w:val="center"/>
            <w:hideMark/>
          </w:tcPr>
          <w:p w14:paraId="49550B91"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C01.A05 - Seguimiento a los indicadores federales en el Sistema de Recursos Federales Transferidos</w:t>
            </w:r>
          </w:p>
        </w:tc>
        <w:tc>
          <w:tcPr>
            <w:tcW w:w="691" w:type="pct"/>
            <w:tcBorders>
              <w:top w:val="nil"/>
              <w:left w:val="nil"/>
              <w:bottom w:val="single" w:sz="4" w:space="0" w:color="auto"/>
              <w:right w:val="single" w:sz="4" w:space="0" w:color="auto"/>
            </w:tcBorders>
            <w:shd w:val="clear" w:color="auto" w:fill="auto"/>
            <w:vAlign w:val="center"/>
            <w:hideMark/>
          </w:tcPr>
          <w:p w14:paraId="5EA98F2B"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C03A05CED - Seguimiento a los indicadores de los fondos del Ramo 33 en el Sistema de Recursos Federales Transferidos</w:t>
            </w:r>
          </w:p>
        </w:tc>
        <w:tc>
          <w:tcPr>
            <w:tcW w:w="1254" w:type="pct"/>
            <w:tcBorders>
              <w:top w:val="nil"/>
              <w:left w:val="nil"/>
              <w:bottom w:val="single" w:sz="4" w:space="0" w:color="auto"/>
              <w:right w:val="single" w:sz="4" w:space="0" w:color="auto"/>
            </w:tcBorders>
            <w:shd w:val="clear" w:color="auto" w:fill="auto"/>
            <w:vAlign w:val="center"/>
            <w:hideMark/>
          </w:tcPr>
          <w:p w14:paraId="29E64821" w14:textId="74C54AFF" w:rsidR="0022309F" w:rsidRPr="0022309F" w:rsidRDefault="00425825"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Índice</w:t>
            </w:r>
            <w:r w:rsidR="0022309F" w:rsidRPr="0022309F">
              <w:rPr>
                <w:rFonts w:eastAsia="Carme" w:cs="Carme"/>
                <w:bCs/>
                <w:color w:val="595959"/>
                <w:sz w:val="16"/>
                <w:szCs w:val="16"/>
                <w:lang w:val="es-MX" w:eastAsia="es-MX"/>
              </w:rPr>
              <w:t xml:space="preserve"> de Calidad de la Información http://www.transparenciapresupuestaria.gob.mx/es/PTP/EntidadesFederativas</w:t>
            </w:r>
          </w:p>
        </w:tc>
        <w:tc>
          <w:tcPr>
            <w:tcW w:w="1083" w:type="pct"/>
            <w:tcBorders>
              <w:top w:val="nil"/>
              <w:left w:val="nil"/>
              <w:bottom w:val="single" w:sz="4" w:space="0" w:color="auto"/>
              <w:right w:val="single" w:sz="4" w:space="0" w:color="auto"/>
            </w:tcBorders>
            <w:shd w:val="clear" w:color="auto" w:fill="auto"/>
            <w:vAlign w:val="center"/>
            <w:hideMark/>
          </w:tcPr>
          <w:p w14:paraId="0269D5DC"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Las dependencias y municipios registran el avance de sus metas de cada indicador en tiempo y forma.</w:t>
            </w:r>
          </w:p>
        </w:tc>
      </w:tr>
      <w:tr w:rsidR="0022309F" w:rsidRPr="0022309F" w14:paraId="4743AED6" w14:textId="77777777" w:rsidTr="002162EF">
        <w:trPr>
          <w:trHeight w:val="20"/>
        </w:trPr>
        <w:tc>
          <w:tcPr>
            <w:tcW w:w="466" w:type="pct"/>
            <w:tcBorders>
              <w:top w:val="nil"/>
              <w:left w:val="single" w:sz="4" w:space="0" w:color="auto"/>
              <w:bottom w:val="single" w:sz="4" w:space="0" w:color="auto"/>
              <w:right w:val="single" w:sz="4" w:space="0" w:color="auto"/>
            </w:tcBorders>
            <w:shd w:val="clear" w:color="auto" w:fill="auto"/>
            <w:vAlign w:val="center"/>
            <w:hideMark/>
          </w:tcPr>
          <w:p w14:paraId="352F0E11" w14:textId="77777777" w:rsidR="0022309F" w:rsidRPr="0022309F" w:rsidRDefault="0022309F" w:rsidP="00C03380">
            <w:pPr>
              <w:pStyle w:val="Ttulo1"/>
              <w:spacing w:after="0" w:line="240" w:lineRule="auto"/>
              <w:jc w:val="center"/>
              <w:rPr>
                <w:rFonts w:eastAsia="Carme" w:cs="Carme"/>
                <w:caps w:val="0"/>
                <w:color w:val="595959"/>
                <w:sz w:val="16"/>
                <w:szCs w:val="16"/>
                <w:lang w:eastAsia="es-MX"/>
              </w:rPr>
            </w:pPr>
            <w:r w:rsidRPr="0022309F">
              <w:rPr>
                <w:rFonts w:eastAsia="Carme" w:cs="Carme"/>
                <w:caps w:val="0"/>
                <w:color w:val="595959"/>
                <w:sz w:val="16"/>
                <w:szCs w:val="16"/>
                <w:lang w:eastAsia="es-MX"/>
              </w:rPr>
              <w:t>Actividad</w:t>
            </w:r>
          </w:p>
        </w:tc>
        <w:tc>
          <w:tcPr>
            <w:tcW w:w="1506" w:type="pct"/>
            <w:tcBorders>
              <w:top w:val="nil"/>
              <w:left w:val="nil"/>
              <w:bottom w:val="single" w:sz="4" w:space="0" w:color="auto"/>
              <w:right w:val="single" w:sz="4" w:space="0" w:color="auto"/>
            </w:tcBorders>
            <w:shd w:val="clear" w:color="auto" w:fill="auto"/>
            <w:vAlign w:val="center"/>
            <w:hideMark/>
          </w:tcPr>
          <w:p w14:paraId="693B64A3"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C01.A06 - Promoción de espacios que brindan capacitaciones estatales y nacionales en materia de monitoreo y evaluación a funcionarios públicos.</w:t>
            </w:r>
          </w:p>
        </w:tc>
        <w:tc>
          <w:tcPr>
            <w:tcW w:w="691" w:type="pct"/>
            <w:tcBorders>
              <w:top w:val="nil"/>
              <w:left w:val="nil"/>
              <w:bottom w:val="single" w:sz="4" w:space="0" w:color="auto"/>
              <w:right w:val="single" w:sz="4" w:space="0" w:color="auto"/>
            </w:tcBorders>
            <w:shd w:val="clear" w:color="auto" w:fill="auto"/>
            <w:vAlign w:val="center"/>
            <w:hideMark/>
          </w:tcPr>
          <w:p w14:paraId="26909F7A"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C03A05CED - Porcentaje de acciones para fomentar la participación en espacios que brindan capacitaciones estatales y nacionales</w:t>
            </w:r>
          </w:p>
        </w:tc>
        <w:tc>
          <w:tcPr>
            <w:tcW w:w="1254" w:type="pct"/>
            <w:tcBorders>
              <w:top w:val="nil"/>
              <w:left w:val="nil"/>
              <w:bottom w:val="single" w:sz="4" w:space="0" w:color="auto"/>
              <w:right w:val="single" w:sz="4" w:space="0" w:color="auto"/>
            </w:tcBorders>
            <w:shd w:val="clear" w:color="auto" w:fill="auto"/>
            <w:vAlign w:val="center"/>
            <w:hideMark/>
          </w:tcPr>
          <w:p w14:paraId="1542D221"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Bitácora de acciones de promoción de capacitación en monitoreo y evaluación</w:t>
            </w:r>
          </w:p>
        </w:tc>
        <w:tc>
          <w:tcPr>
            <w:tcW w:w="1083" w:type="pct"/>
            <w:tcBorders>
              <w:top w:val="nil"/>
              <w:left w:val="nil"/>
              <w:bottom w:val="single" w:sz="4" w:space="0" w:color="auto"/>
              <w:right w:val="single" w:sz="4" w:space="0" w:color="auto"/>
            </w:tcBorders>
            <w:shd w:val="clear" w:color="auto" w:fill="auto"/>
            <w:vAlign w:val="center"/>
            <w:hideMark/>
          </w:tcPr>
          <w:p w14:paraId="3F84086A" w14:textId="77777777" w:rsidR="0022309F" w:rsidRPr="0022309F" w:rsidRDefault="0022309F" w:rsidP="00C03380">
            <w:pPr>
              <w:spacing w:after="0" w:line="240" w:lineRule="auto"/>
              <w:jc w:val="center"/>
              <w:rPr>
                <w:rFonts w:eastAsia="Carme" w:cs="Carme"/>
                <w:bCs/>
                <w:color w:val="595959"/>
                <w:sz w:val="16"/>
                <w:szCs w:val="16"/>
                <w:lang w:val="es-MX" w:eastAsia="es-MX"/>
              </w:rPr>
            </w:pPr>
            <w:r w:rsidRPr="0022309F">
              <w:rPr>
                <w:rFonts w:eastAsia="Carme" w:cs="Carme"/>
                <w:bCs/>
                <w:color w:val="595959"/>
                <w:sz w:val="16"/>
                <w:szCs w:val="16"/>
                <w:lang w:val="es-MX" w:eastAsia="es-MX"/>
              </w:rPr>
              <w:t>Instituciones nacionales o estatales expertas en monitoreo y evaluación brindan espacios de capacitación.</w:t>
            </w:r>
          </w:p>
        </w:tc>
      </w:tr>
    </w:tbl>
    <w:p w14:paraId="22348FCC" w14:textId="77777777" w:rsidR="002162EF" w:rsidRDefault="002162EF" w:rsidP="002162EF">
      <w:pPr>
        <w:keepNext/>
        <w:keepLines/>
        <w:spacing w:before="200" w:line="240" w:lineRule="auto"/>
        <w:outlineLvl w:val="1"/>
        <w:rPr>
          <w:rFonts w:ascii="Futura Std Condensed Light" w:eastAsia="MS PGothic" w:hAnsi="Futura Std Condensed Light"/>
          <w:color w:val="595959" w:themeColor="text1" w:themeTint="A6"/>
          <w:sz w:val="16"/>
          <w:szCs w:val="16"/>
        </w:rPr>
      </w:pPr>
      <w:r>
        <w:rPr>
          <w:rFonts w:ascii="Futura Std Condensed Light" w:eastAsia="MS PGothic" w:hAnsi="Futura Std Condensed Light"/>
          <w:color w:val="595959" w:themeColor="text1" w:themeTint="A6"/>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065C558D" w14:textId="77777777" w:rsidR="00E968E1" w:rsidRDefault="00E968E1" w:rsidP="0022309F">
      <w:pPr>
        <w:widowControl w:val="0"/>
        <w:spacing w:after="0"/>
        <w:contextualSpacing/>
        <w:rPr>
          <w:rFonts w:eastAsia="Carme" w:cs="Carme"/>
          <w:b/>
          <w:color w:val="595959"/>
          <w:sz w:val="20"/>
          <w:szCs w:val="20"/>
          <w:lang w:val="es-MX" w:eastAsia="es-MX"/>
        </w:rPr>
      </w:pPr>
    </w:p>
    <w:p w14:paraId="473BB797" w14:textId="317F434D" w:rsidR="00FB3542" w:rsidRDefault="00FB3542">
      <w:pPr>
        <w:spacing w:after="0" w:line="240" w:lineRule="auto"/>
        <w:jc w:val="left"/>
        <w:rPr>
          <w:rFonts w:eastAsia="Carme" w:cs="Carme"/>
          <w:b/>
          <w:color w:val="595959"/>
          <w:sz w:val="20"/>
          <w:szCs w:val="20"/>
          <w:lang w:val="es-MX" w:eastAsia="es-MX"/>
        </w:rPr>
      </w:pPr>
      <w:r>
        <w:rPr>
          <w:rFonts w:eastAsia="Carme" w:cs="Carme"/>
          <w:b/>
          <w:color w:val="595959"/>
          <w:sz w:val="20"/>
          <w:szCs w:val="20"/>
          <w:lang w:val="es-MX" w:eastAsia="es-MX"/>
        </w:rPr>
        <w:br w:type="page"/>
      </w:r>
    </w:p>
    <w:tbl>
      <w:tblPr>
        <w:tblpPr w:leftFromText="141" w:rightFromText="141" w:horzAnchor="margin" w:tblpY="837"/>
        <w:tblW w:w="5643" w:type="pct"/>
        <w:tblLayout w:type="fixed"/>
        <w:tblCellMar>
          <w:left w:w="70" w:type="dxa"/>
          <w:right w:w="70" w:type="dxa"/>
        </w:tblCellMar>
        <w:tblLook w:val="04A0" w:firstRow="1" w:lastRow="0" w:firstColumn="1" w:lastColumn="0" w:noHBand="0" w:noVBand="1"/>
      </w:tblPr>
      <w:tblGrid>
        <w:gridCol w:w="987"/>
        <w:gridCol w:w="4329"/>
        <w:gridCol w:w="1843"/>
        <w:gridCol w:w="3260"/>
        <w:gridCol w:w="2976"/>
      </w:tblGrid>
      <w:tr w:rsidR="001C7A59" w:rsidRPr="00117A30" w14:paraId="13A1F006" w14:textId="77777777" w:rsidTr="002162EF">
        <w:trPr>
          <w:trHeight w:val="20"/>
        </w:trPr>
        <w:tc>
          <w:tcPr>
            <w:tcW w:w="1984"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4C8F38C" w14:textId="77777777" w:rsidR="001C7A59" w:rsidRPr="00117A30" w:rsidRDefault="001C7A59" w:rsidP="002162EF">
            <w:pPr>
              <w:widowControl w:val="0"/>
              <w:spacing w:after="0"/>
              <w:contextualSpacing/>
              <w:jc w:val="center"/>
              <w:rPr>
                <w:rFonts w:eastAsia="Carme" w:cs="Carme"/>
                <w:b/>
                <w:color w:val="595959"/>
                <w:sz w:val="20"/>
                <w:szCs w:val="20"/>
                <w:lang w:val="es-MX" w:eastAsia="es-MX"/>
              </w:rPr>
            </w:pPr>
            <w:r w:rsidRPr="00117A30">
              <w:rPr>
                <w:rFonts w:eastAsia="Carme" w:cs="Carme"/>
                <w:b/>
                <w:color w:val="595959"/>
                <w:sz w:val="20"/>
                <w:szCs w:val="20"/>
                <w:lang w:val="es-MX" w:eastAsia="es-MX"/>
              </w:rPr>
              <w:lastRenderedPageBreak/>
              <w:t>PROGRAMA PRESUPUESTARIO:</w:t>
            </w:r>
          </w:p>
        </w:tc>
        <w:tc>
          <w:tcPr>
            <w:tcW w:w="3016" w:type="pct"/>
            <w:gridSpan w:val="3"/>
            <w:tcBorders>
              <w:top w:val="single" w:sz="4" w:space="0" w:color="auto"/>
              <w:left w:val="nil"/>
              <w:bottom w:val="single" w:sz="4" w:space="0" w:color="auto"/>
              <w:right w:val="single" w:sz="4" w:space="0" w:color="auto"/>
            </w:tcBorders>
            <w:shd w:val="clear" w:color="000000" w:fill="D9D9D9"/>
            <w:vAlign w:val="center"/>
            <w:hideMark/>
          </w:tcPr>
          <w:p w14:paraId="1C340B4B" w14:textId="77777777" w:rsidR="001C7A59" w:rsidRPr="00117A30" w:rsidRDefault="001C7A59" w:rsidP="002162EF">
            <w:pPr>
              <w:widowControl w:val="0"/>
              <w:spacing w:after="0"/>
              <w:contextualSpacing/>
              <w:jc w:val="center"/>
              <w:rPr>
                <w:rFonts w:eastAsia="Carme" w:cs="Carme"/>
                <w:b/>
                <w:color w:val="595959"/>
                <w:sz w:val="20"/>
                <w:szCs w:val="20"/>
                <w:lang w:val="es-MX" w:eastAsia="es-MX"/>
              </w:rPr>
            </w:pPr>
            <w:r w:rsidRPr="00117A30">
              <w:rPr>
                <w:rFonts w:eastAsia="Carme" w:cs="Carme"/>
                <w:b/>
                <w:color w:val="595959"/>
                <w:sz w:val="20"/>
                <w:szCs w:val="20"/>
                <w:lang w:val="es-MX" w:eastAsia="es-MX"/>
              </w:rPr>
              <w:t>E064 - Fortalecimiento del Ingreso</w:t>
            </w:r>
          </w:p>
        </w:tc>
      </w:tr>
      <w:tr w:rsidR="001C7A59" w:rsidRPr="00117A30" w14:paraId="0A4BB307" w14:textId="77777777" w:rsidTr="002162EF">
        <w:trPr>
          <w:trHeight w:val="20"/>
        </w:trPr>
        <w:tc>
          <w:tcPr>
            <w:tcW w:w="1984"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681DD5D" w14:textId="77777777" w:rsidR="001C7A59" w:rsidRPr="00117A30" w:rsidRDefault="001C7A59" w:rsidP="002162EF">
            <w:pPr>
              <w:widowControl w:val="0"/>
              <w:spacing w:after="0"/>
              <w:contextualSpacing/>
              <w:jc w:val="center"/>
              <w:rPr>
                <w:rFonts w:eastAsia="Carme" w:cs="Carme"/>
                <w:b/>
                <w:color w:val="595959"/>
                <w:sz w:val="20"/>
                <w:szCs w:val="20"/>
                <w:lang w:val="es-MX" w:eastAsia="es-MX"/>
              </w:rPr>
            </w:pPr>
            <w:r w:rsidRPr="00117A30">
              <w:rPr>
                <w:rFonts w:eastAsia="Carme" w:cs="Carme"/>
                <w:b/>
                <w:color w:val="595959"/>
                <w:sz w:val="20"/>
                <w:szCs w:val="20"/>
                <w:lang w:val="es-MX" w:eastAsia="es-MX"/>
              </w:rPr>
              <w:t>INSTITUCIÓN:</w:t>
            </w:r>
          </w:p>
        </w:tc>
        <w:tc>
          <w:tcPr>
            <w:tcW w:w="3016" w:type="pct"/>
            <w:gridSpan w:val="3"/>
            <w:tcBorders>
              <w:top w:val="single" w:sz="4" w:space="0" w:color="auto"/>
              <w:left w:val="nil"/>
              <w:bottom w:val="single" w:sz="4" w:space="0" w:color="auto"/>
              <w:right w:val="single" w:sz="4" w:space="0" w:color="auto"/>
            </w:tcBorders>
            <w:shd w:val="clear" w:color="000000" w:fill="D9D9D9"/>
            <w:vAlign w:val="center"/>
            <w:hideMark/>
          </w:tcPr>
          <w:p w14:paraId="7F1601B0" w14:textId="6888CD1E" w:rsidR="001C7A59" w:rsidRPr="00117A30" w:rsidRDefault="001C7A59" w:rsidP="00132F06">
            <w:pPr>
              <w:widowControl w:val="0"/>
              <w:spacing w:after="0"/>
              <w:contextualSpacing/>
              <w:jc w:val="center"/>
              <w:rPr>
                <w:rFonts w:eastAsia="Carme" w:cs="Carme"/>
                <w:b/>
                <w:color w:val="595959"/>
                <w:sz w:val="20"/>
                <w:szCs w:val="20"/>
                <w:lang w:val="es-MX" w:eastAsia="es-MX"/>
              </w:rPr>
            </w:pPr>
            <w:r w:rsidRPr="00117A30">
              <w:rPr>
                <w:rFonts w:eastAsia="Carme" w:cs="Carme"/>
                <w:b/>
                <w:color w:val="595959"/>
                <w:sz w:val="20"/>
                <w:szCs w:val="20"/>
                <w:lang w:val="es-MX" w:eastAsia="es-MX"/>
              </w:rPr>
              <w:t>1106- - Subsecretaría de Ingresos</w:t>
            </w:r>
          </w:p>
        </w:tc>
      </w:tr>
      <w:tr w:rsidR="001C7A59" w:rsidRPr="00117A30" w14:paraId="4461A80F" w14:textId="77777777" w:rsidTr="002162EF">
        <w:trPr>
          <w:trHeight w:val="20"/>
        </w:trPr>
        <w:tc>
          <w:tcPr>
            <w:tcW w:w="368" w:type="pct"/>
            <w:tcBorders>
              <w:top w:val="nil"/>
              <w:left w:val="single" w:sz="8" w:space="0" w:color="auto"/>
              <w:bottom w:val="single" w:sz="8" w:space="0" w:color="auto"/>
              <w:right w:val="nil"/>
            </w:tcBorders>
            <w:shd w:val="clear" w:color="auto" w:fill="auto"/>
            <w:noWrap/>
            <w:vAlign w:val="center"/>
            <w:hideMark/>
          </w:tcPr>
          <w:p w14:paraId="151FD136" w14:textId="77777777" w:rsidR="001C7A59" w:rsidRPr="00117A30" w:rsidRDefault="001C7A59" w:rsidP="002162EF">
            <w:pPr>
              <w:spacing w:after="0" w:line="240" w:lineRule="auto"/>
              <w:jc w:val="left"/>
              <w:rPr>
                <w:rFonts w:ascii="Arial" w:eastAsia="Times New Roman" w:hAnsi="Arial" w:cs="Arial"/>
                <w:b/>
                <w:bCs/>
                <w:color w:val="595959"/>
                <w:sz w:val="20"/>
                <w:szCs w:val="20"/>
                <w:lang w:val="es-MX" w:eastAsia="es-MX"/>
              </w:rPr>
            </w:pPr>
            <w:r w:rsidRPr="00117A30">
              <w:rPr>
                <w:rFonts w:ascii="Arial" w:eastAsia="Times New Roman" w:hAnsi="Arial" w:cs="Arial"/>
                <w:b/>
                <w:bCs/>
                <w:color w:val="595959"/>
                <w:sz w:val="20"/>
                <w:szCs w:val="20"/>
                <w:lang w:val="es-MX" w:eastAsia="es-MX"/>
              </w:rPr>
              <w:t> </w:t>
            </w:r>
          </w:p>
        </w:tc>
        <w:tc>
          <w:tcPr>
            <w:tcW w:w="1616" w:type="pct"/>
            <w:tcBorders>
              <w:top w:val="nil"/>
              <w:left w:val="nil"/>
              <w:bottom w:val="single" w:sz="8" w:space="0" w:color="auto"/>
              <w:right w:val="nil"/>
            </w:tcBorders>
            <w:shd w:val="clear" w:color="auto" w:fill="auto"/>
            <w:vAlign w:val="center"/>
            <w:hideMark/>
          </w:tcPr>
          <w:p w14:paraId="00A9CAE7" w14:textId="77777777" w:rsidR="001C7A59" w:rsidRPr="00117A30" w:rsidRDefault="001C7A59" w:rsidP="002162EF">
            <w:pPr>
              <w:spacing w:after="0" w:line="240" w:lineRule="auto"/>
              <w:jc w:val="left"/>
              <w:rPr>
                <w:rFonts w:ascii="Arial" w:eastAsia="Times New Roman" w:hAnsi="Arial" w:cs="Arial"/>
                <w:b/>
                <w:bCs/>
                <w:color w:val="595959"/>
                <w:sz w:val="20"/>
                <w:szCs w:val="20"/>
                <w:lang w:val="es-MX" w:eastAsia="es-MX"/>
              </w:rPr>
            </w:pPr>
            <w:r w:rsidRPr="00117A30">
              <w:rPr>
                <w:rFonts w:ascii="Arial" w:eastAsia="Times New Roman" w:hAnsi="Arial" w:cs="Arial"/>
                <w:b/>
                <w:bCs/>
                <w:color w:val="595959"/>
                <w:sz w:val="20"/>
                <w:szCs w:val="20"/>
                <w:lang w:val="es-MX" w:eastAsia="es-MX"/>
              </w:rPr>
              <w:t> </w:t>
            </w:r>
          </w:p>
        </w:tc>
        <w:tc>
          <w:tcPr>
            <w:tcW w:w="688" w:type="pct"/>
            <w:tcBorders>
              <w:top w:val="nil"/>
              <w:left w:val="nil"/>
              <w:bottom w:val="nil"/>
              <w:right w:val="nil"/>
            </w:tcBorders>
            <w:shd w:val="clear" w:color="auto" w:fill="auto"/>
            <w:noWrap/>
            <w:vAlign w:val="bottom"/>
            <w:hideMark/>
          </w:tcPr>
          <w:p w14:paraId="0CD9C1EF" w14:textId="77777777" w:rsidR="001C7A59" w:rsidRPr="00117A30" w:rsidRDefault="001C7A59" w:rsidP="002162EF">
            <w:pPr>
              <w:spacing w:after="0" w:line="240" w:lineRule="auto"/>
              <w:jc w:val="left"/>
              <w:rPr>
                <w:rFonts w:ascii="Calibri" w:eastAsia="Times New Roman" w:hAnsi="Calibri" w:cs="Calibri"/>
                <w:color w:val="000000"/>
                <w:sz w:val="22"/>
                <w:szCs w:val="22"/>
                <w:lang w:val="es-MX" w:eastAsia="es-MX"/>
              </w:rPr>
            </w:pPr>
          </w:p>
        </w:tc>
        <w:tc>
          <w:tcPr>
            <w:tcW w:w="1217" w:type="pct"/>
            <w:tcBorders>
              <w:top w:val="nil"/>
              <w:left w:val="nil"/>
              <w:bottom w:val="nil"/>
              <w:right w:val="nil"/>
            </w:tcBorders>
            <w:shd w:val="clear" w:color="auto" w:fill="auto"/>
            <w:noWrap/>
            <w:vAlign w:val="bottom"/>
            <w:hideMark/>
          </w:tcPr>
          <w:p w14:paraId="18F1A247" w14:textId="77777777" w:rsidR="001C7A59" w:rsidRPr="00117A30" w:rsidRDefault="001C7A59" w:rsidP="002162EF">
            <w:pPr>
              <w:spacing w:after="0" w:line="240" w:lineRule="auto"/>
              <w:jc w:val="left"/>
              <w:rPr>
                <w:rFonts w:ascii="Calibri" w:eastAsia="Times New Roman" w:hAnsi="Calibri" w:cs="Calibri"/>
                <w:color w:val="000000"/>
                <w:sz w:val="22"/>
                <w:szCs w:val="22"/>
                <w:lang w:val="es-MX" w:eastAsia="es-MX"/>
              </w:rPr>
            </w:pPr>
          </w:p>
        </w:tc>
        <w:tc>
          <w:tcPr>
            <w:tcW w:w="1111" w:type="pct"/>
            <w:tcBorders>
              <w:top w:val="nil"/>
              <w:left w:val="nil"/>
              <w:bottom w:val="nil"/>
              <w:right w:val="nil"/>
            </w:tcBorders>
            <w:shd w:val="clear" w:color="auto" w:fill="auto"/>
            <w:noWrap/>
            <w:vAlign w:val="bottom"/>
            <w:hideMark/>
          </w:tcPr>
          <w:p w14:paraId="08EB4278" w14:textId="77777777" w:rsidR="001C7A59" w:rsidRPr="00117A30" w:rsidRDefault="001C7A59" w:rsidP="002162EF">
            <w:pPr>
              <w:spacing w:after="0" w:line="240" w:lineRule="auto"/>
              <w:jc w:val="left"/>
              <w:rPr>
                <w:rFonts w:ascii="Calibri" w:eastAsia="Times New Roman" w:hAnsi="Calibri" w:cs="Calibri"/>
                <w:color w:val="000000"/>
                <w:sz w:val="22"/>
                <w:szCs w:val="22"/>
                <w:lang w:val="es-MX" w:eastAsia="es-MX"/>
              </w:rPr>
            </w:pPr>
          </w:p>
        </w:tc>
      </w:tr>
      <w:tr w:rsidR="001C7A59" w:rsidRPr="00117A30" w14:paraId="66CD74AD" w14:textId="77777777" w:rsidTr="002162EF">
        <w:trPr>
          <w:trHeight w:val="20"/>
        </w:trPr>
        <w:tc>
          <w:tcPr>
            <w:tcW w:w="368" w:type="pct"/>
            <w:tcBorders>
              <w:top w:val="nil"/>
              <w:left w:val="single" w:sz="8" w:space="0" w:color="auto"/>
              <w:bottom w:val="single" w:sz="8" w:space="0" w:color="auto"/>
              <w:right w:val="single" w:sz="8" w:space="0" w:color="auto"/>
            </w:tcBorders>
            <w:shd w:val="clear" w:color="000000" w:fill="D9D9D9"/>
            <w:vAlign w:val="center"/>
            <w:hideMark/>
          </w:tcPr>
          <w:p w14:paraId="71791AF4" w14:textId="77777777" w:rsidR="001C7A59" w:rsidRPr="00117A30" w:rsidRDefault="001C7A59" w:rsidP="002162EF">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NIVEL</w:t>
            </w:r>
          </w:p>
        </w:tc>
        <w:tc>
          <w:tcPr>
            <w:tcW w:w="1616" w:type="pct"/>
            <w:tcBorders>
              <w:top w:val="nil"/>
              <w:left w:val="nil"/>
              <w:bottom w:val="single" w:sz="8" w:space="0" w:color="auto"/>
              <w:right w:val="single" w:sz="8" w:space="0" w:color="auto"/>
            </w:tcBorders>
            <w:shd w:val="clear" w:color="000000" w:fill="D9D9D9"/>
            <w:vAlign w:val="center"/>
            <w:hideMark/>
          </w:tcPr>
          <w:p w14:paraId="4E0C0085" w14:textId="77777777" w:rsidR="001C7A59" w:rsidRPr="00117A30" w:rsidRDefault="001C7A59" w:rsidP="002162EF">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OBJETIVO</w:t>
            </w:r>
          </w:p>
        </w:tc>
        <w:tc>
          <w:tcPr>
            <w:tcW w:w="688" w:type="pct"/>
            <w:tcBorders>
              <w:top w:val="single" w:sz="8" w:space="0" w:color="auto"/>
              <w:left w:val="nil"/>
              <w:bottom w:val="single" w:sz="8" w:space="0" w:color="auto"/>
              <w:right w:val="single" w:sz="8" w:space="0" w:color="auto"/>
            </w:tcBorders>
            <w:shd w:val="clear" w:color="000000" w:fill="D9D9D9"/>
            <w:vAlign w:val="center"/>
            <w:hideMark/>
          </w:tcPr>
          <w:p w14:paraId="3D7CCE26" w14:textId="77777777" w:rsidR="001C7A59" w:rsidRPr="00117A30" w:rsidRDefault="001C7A59" w:rsidP="002162EF">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INDICADOR</w:t>
            </w:r>
          </w:p>
        </w:tc>
        <w:tc>
          <w:tcPr>
            <w:tcW w:w="1217" w:type="pct"/>
            <w:tcBorders>
              <w:top w:val="single" w:sz="8" w:space="0" w:color="auto"/>
              <w:left w:val="nil"/>
              <w:bottom w:val="single" w:sz="8" w:space="0" w:color="auto"/>
              <w:right w:val="single" w:sz="8" w:space="0" w:color="auto"/>
            </w:tcBorders>
            <w:shd w:val="clear" w:color="000000" w:fill="D9D9D9"/>
            <w:vAlign w:val="center"/>
            <w:hideMark/>
          </w:tcPr>
          <w:p w14:paraId="77FD6DDB" w14:textId="77777777" w:rsidR="001C7A59" w:rsidRPr="00117A30" w:rsidRDefault="001C7A59" w:rsidP="002162EF">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MEDIOS DE VERIFICACIÓN</w:t>
            </w:r>
          </w:p>
        </w:tc>
        <w:tc>
          <w:tcPr>
            <w:tcW w:w="1111" w:type="pct"/>
            <w:tcBorders>
              <w:top w:val="single" w:sz="8" w:space="0" w:color="auto"/>
              <w:left w:val="nil"/>
              <w:bottom w:val="single" w:sz="8" w:space="0" w:color="auto"/>
              <w:right w:val="single" w:sz="8" w:space="0" w:color="auto"/>
            </w:tcBorders>
            <w:shd w:val="clear" w:color="000000" w:fill="D9D9D9"/>
            <w:vAlign w:val="center"/>
            <w:hideMark/>
          </w:tcPr>
          <w:p w14:paraId="506C5388" w14:textId="77777777" w:rsidR="001C7A59" w:rsidRPr="00117A30" w:rsidRDefault="001C7A59" w:rsidP="002162EF">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SUPUESTO</w:t>
            </w:r>
          </w:p>
        </w:tc>
      </w:tr>
      <w:tr w:rsidR="002162EF" w:rsidRPr="00117A30" w14:paraId="1DACC699" w14:textId="77777777" w:rsidTr="002162EF">
        <w:trPr>
          <w:trHeight w:val="20"/>
        </w:trPr>
        <w:tc>
          <w:tcPr>
            <w:tcW w:w="368" w:type="pct"/>
            <w:tcBorders>
              <w:top w:val="nil"/>
              <w:left w:val="single" w:sz="8" w:space="0" w:color="auto"/>
              <w:bottom w:val="single" w:sz="8" w:space="0" w:color="auto"/>
              <w:right w:val="single" w:sz="8" w:space="0" w:color="auto"/>
            </w:tcBorders>
            <w:shd w:val="clear" w:color="auto" w:fill="auto"/>
          </w:tcPr>
          <w:p w14:paraId="7301FCBE" w14:textId="659F9D01" w:rsidR="002162EF" w:rsidRPr="00117A30" w:rsidRDefault="002162EF" w:rsidP="002162EF">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Fin</w:t>
            </w:r>
          </w:p>
        </w:tc>
        <w:tc>
          <w:tcPr>
            <w:tcW w:w="1616" w:type="pct"/>
            <w:tcBorders>
              <w:top w:val="nil"/>
              <w:left w:val="nil"/>
              <w:bottom w:val="single" w:sz="8" w:space="0" w:color="auto"/>
              <w:right w:val="single" w:sz="8" w:space="0" w:color="auto"/>
            </w:tcBorders>
            <w:shd w:val="clear" w:color="auto" w:fill="auto"/>
            <w:vAlign w:val="center"/>
          </w:tcPr>
          <w:p w14:paraId="2E49F471" w14:textId="629A1111"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F - Contribuir a la implementación de una política</w:t>
            </w:r>
            <w:r w:rsidRPr="002162EF">
              <w:rPr>
                <w:rFonts w:eastAsia="Carme" w:cs="Carme"/>
                <w:bCs/>
                <w:color w:val="595959"/>
                <w:sz w:val="16"/>
                <w:szCs w:val="16"/>
                <w:lang w:val="es-MX" w:eastAsia="es-MX"/>
              </w:rPr>
              <w:br/>
              <w:t>hacendaria integral a través del incremento de los ingresos propios que permita al gobierno mantener una estabilidad económica y la sustentabilidad de las finanzas públicas, mediante el desarrollo de proyectos y programas para fortalecer las acciones de recaudación de las contribuciones estatales que favorezcan el equilibrio financiero, en estricto apego a los principios de la disciplina financiera.</w:t>
            </w:r>
          </w:p>
        </w:tc>
        <w:tc>
          <w:tcPr>
            <w:tcW w:w="688" w:type="pct"/>
            <w:tcBorders>
              <w:top w:val="nil"/>
              <w:left w:val="nil"/>
              <w:bottom w:val="single" w:sz="8" w:space="0" w:color="auto"/>
              <w:right w:val="single" w:sz="8" w:space="0" w:color="auto"/>
            </w:tcBorders>
            <w:shd w:val="clear" w:color="auto" w:fill="auto"/>
            <w:vAlign w:val="center"/>
          </w:tcPr>
          <w:p w14:paraId="663370C9" w14:textId="4B8DA778"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Índice de Autonomía Financiera</w:t>
            </w:r>
          </w:p>
        </w:tc>
        <w:tc>
          <w:tcPr>
            <w:tcW w:w="1217" w:type="pct"/>
            <w:tcBorders>
              <w:top w:val="nil"/>
              <w:left w:val="nil"/>
              <w:bottom w:val="single" w:sz="8" w:space="0" w:color="auto"/>
              <w:right w:val="single" w:sz="8" w:space="0" w:color="auto"/>
            </w:tcBorders>
            <w:shd w:val="clear" w:color="auto" w:fill="auto"/>
            <w:vAlign w:val="center"/>
          </w:tcPr>
          <w:p w14:paraId="5E7AB1C6" w14:textId="145E8ED2"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Aregional</w:t>
            </w:r>
          </w:p>
        </w:tc>
        <w:tc>
          <w:tcPr>
            <w:tcW w:w="1111" w:type="pct"/>
            <w:tcBorders>
              <w:top w:val="nil"/>
              <w:left w:val="nil"/>
              <w:bottom w:val="single" w:sz="8" w:space="0" w:color="auto"/>
              <w:right w:val="single" w:sz="8" w:space="0" w:color="auto"/>
            </w:tcBorders>
            <w:shd w:val="clear" w:color="auto" w:fill="auto"/>
            <w:vAlign w:val="center"/>
          </w:tcPr>
          <w:p w14:paraId="2402E235" w14:textId="0A99DB2B"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 Federación respeta los acuerdos del Pacto Fiscal y existe estabilidad económica en el País y la Entidad.</w:t>
            </w:r>
          </w:p>
        </w:tc>
      </w:tr>
      <w:tr w:rsidR="002162EF" w:rsidRPr="00117A30" w14:paraId="035368BB" w14:textId="77777777" w:rsidTr="002162EF">
        <w:trPr>
          <w:trHeight w:val="20"/>
        </w:trPr>
        <w:tc>
          <w:tcPr>
            <w:tcW w:w="368" w:type="pct"/>
            <w:tcBorders>
              <w:top w:val="nil"/>
              <w:left w:val="single" w:sz="8" w:space="0" w:color="auto"/>
              <w:bottom w:val="single" w:sz="8" w:space="0" w:color="auto"/>
              <w:right w:val="single" w:sz="8" w:space="0" w:color="auto"/>
            </w:tcBorders>
            <w:shd w:val="clear" w:color="auto" w:fill="auto"/>
          </w:tcPr>
          <w:p w14:paraId="084BB008" w14:textId="37571FC2" w:rsidR="002162EF" w:rsidRPr="00117A30" w:rsidRDefault="002162EF" w:rsidP="002162EF">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Propósito</w:t>
            </w:r>
          </w:p>
        </w:tc>
        <w:tc>
          <w:tcPr>
            <w:tcW w:w="1616" w:type="pct"/>
            <w:tcBorders>
              <w:top w:val="nil"/>
              <w:left w:val="nil"/>
              <w:bottom w:val="single" w:sz="8" w:space="0" w:color="auto"/>
              <w:right w:val="single" w:sz="8" w:space="0" w:color="auto"/>
            </w:tcBorders>
            <w:shd w:val="clear" w:color="auto" w:fill="auto"/>
            <w:vAlign w:val="center"/>
          </w:tcPr>
          <w:p w14:paraId="5AACCB37" w14:textId="74DC2526"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 - El Estado de Quintana Roo incrementa su captación de ingresos propios y federales, mediante la implementación de programas que crecen al padrón de contribuyentes, promueve la formalidad mediante estímulos y establecimiento de acuerdos con la federación con el fin de mejorar las condiciones de convenios, así como la  </w:t>
            </w:r>
            <w:r w:rsidR="005E07C8" w:rsidRPr="002162EF">
              <w:rPr>
                <w:rFonts w:eastAsia="Carme" w:cs="Carme"/>
                <w:bCs/>
                <w:color w:val="595959"/>
                <w:sz w:val="16"/>
                <w:szCs w:val="16"/>
                <w:lang w:val="es-MX" w:eastAsia="es-MX"/>
              </w:rPr>
              <w:t>actualización</w:t>
            </w:r>
            <w:r w:rsidRPr="002162EF">
              <w:rPr>
                <w:rFonts w:eastAsia="Carme" w:cs="Carme"/>
                <w:bCs/>
                <w:color w:val="595959"/>
                <w:sz w:val="16"/>
                <w:szCs w:val="16"/>
                <w:lang w:val="es-MX" w:eastAsia="es-MX"/>
              </w:rPr>
              <w:t xml:space="preserve"> de la plataforma estatal de información catastral y registral, y la  </w:t>
            </w:r>
            <w:r w:rsidR="005E07C8" w:rsidRPr="002162EF">
              <w:rPr>
                <w:rFonts w:eastAsia="Carme" w:cs="Carme"/>
                <w:bCs/>
                <w:color w:val="595959"/>
                <w:sz w:val="16"/>
                <w:szCs w:val="16"/>
                <w:lang w:val="es-MX" w:eastAsia="es-MX"/>
              </w:rPr>
              <w:t>negociación</w:t>
            </w:r>
            <w:r w:rsidRPr="002162EF">
              <w:rPr>
                <w:rFonts w:eastAsia="Carme" w:cs="Carme"/>
                <w:bCs/>
                <w:color w:val="595959"/>
                <w:sz w:val="16"/>
                <w:szCs w:val="16"/>
                <w:lang w:val="es-MX" w:eastAsia="es-MX"/>
              </w:rPr>
              <w:t xml:space="preserve"> permanente de mejores condiciones de  </w:t>
            </w:r>
            <w:r w:rsidR="005E07C8" w:rsidRPr="002162EF">
              <w:rPr>
                <w:rFonts w:eastAsia="Carme" w:cs="Carme"/>
                <w:bCs/>
                <w:color w:val="595959"/>
                <w:sz w:val="16"/>
                <w:szCs w:val="16"/>
                <w:lang w:val="es-MX" w:eastAsia="es-MX"/>
              </w:rPr>
              <w:t>financiamiento</w:t>
            </w:r>
            <w:r w:rsidRPr="002162EF">
              <w:rPr>
                <w:rFonts w:eastAsia="Carme" w:cs="Carme"/>
                <w:bCs/>
                <w:color w:val="595959"/>
                <w:sz w:val="16"/>
                <w:szCs w:val="16"/>
                <w:lang w:val="es-MX" w:eastAsia="es-MX"/>
              </w:rPr>
              <w:t xml:space="preserve"> de la deuda.</w:t>
            </w:r>
          </w:p>
        </w:tc>
        <w:tc>
          <w:tcPr>
            <w:tcW w:w="688" w:type="pct"/>
            <w:tcBorders>
              <w:top w:val="nil"/>
              <w:left w:val="nil"/>
              <w:bottom w:val="single" w:sz="8" w:space="0" w:color="auto"/>
              <w:right w:val="single" w:sz="8" w:space="0" w:color="auto"/>
            </w:tcBorders>
            <w:shd w:val="clear" w:color="auto" w:fill="auto"/>
            <w:vAlign w:val="center"/>
          </w:tcPr>
          <w:p w14:paraId="31FCF28B" w14:textId="19159CB4"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Índice de Capacidad para Generar Ingresos</w:t>
            </w:r>
          </w:p>
        </w:tc>
        <w:tc>
          <w:tcPr>
            <w:tcW w:w="1217" w:type="pct"/>
            <w:tcBorders>
              <w:top w:val="nil"/>
              <w:left w:val="nil"/>
              <w:bottom w:val="single" w:sz="8" w:space="0" w:color="auto"/>
              <w:right w:val="single" w:sz="8" w:space="0" w:color="auto"/>
            </w:tcBorders>
            <w:shd w:val="clear" w:color="auto" w:fill="auto"/>
            <w:vAlign w:val="center"/>
          </w:tcPr>
          <w:p w14:paraId="4FF1981C" w14:textId="6D29592A"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Revista Aregional</w:t>
            </w:r>
          </w:p>
        </w:tc>
        <w:tc>
          <w:tcPr>
            <w:tcW w:w="1111" w:type="pct"/>
            <w:tcBorders>
              <w:top w:val="nil"/>
              <w:left w:val="nil"/>
              <w:bottom w:val="single" w:sz="8" w:space="0" w:color="auto"/>
              <w:right w:val="single" w:sz="8" w:space="0" w:color="auto"/>
            </w:tcBorders>
            <w:shd w:val="clear" w:color="auto" w:fill="auto"/>
            <w:vAlign w:val="center"/>
          </w:tcPr>
          <w:p w14:paraId="02654D4E" w14:textId="664E8DCD"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 Federación respeta los acuerdos del Pacto Fiscal y existe estabilidad económica en el País y la Entidad.</w:t>
            </w:r>
          </w:p>
        </w:tc>
      </w:tr>
      <w:tr w:rsidR="002162EF" w:rsidRPr="00117A30" w14:paraId="2E2D5AE7" w14:textId="77777777" w:rsidTr="002162EF">
        <w:trPr>
          <w:trHeight w:val="20"/>
        </w:trPr>
        <w:tc>
          <w:tcPr>
            <w:tcW w:w="368" w:type="pct"/>
            <w:tcBorders>
              <w:top w:val="nil"/>
              <w:left w:val="single" w:sz="8" w:space="0" w:color="auto"/>
              <w:bottom w:val="single" w:sz="8" w:space="0" w:color="auto"/>
              <w:right w:val="single" w:sz="8" w:space="0" w:color="auto"/>
            </w:tcBorders>
            <w:shd w:val="clear" w:color="auto" w:fill="auto"/>
          </w:tcPr>
          <w:p w14:paraId="31E574AD" w14:textId="246A1AA3" w:rsidR="002162EF" w:rsidRPr="00117A30" w:rsidRDefault="002162EF" w:rsidP="002162EF">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Componente</w:t>
            </w:r>
          </w:p>
        </w:tc>
        <w:tc>
          <w:tcPr>
            <w:tcW w:w="1616" w:type="pct"/>
            <w:tcBorders>
              <w:top w:val="nil"/>
              <w:left w:val="nil"/>
              <w:bottom w:val="single" w:sz="8" w:space="0" w:color="auto"/>
              <w:right w:val="single" w:sz="8" w:space="0" w:color="auto"/>
            </w:tcBorders>
            <w:shd w:val="clear" w:color="auto" w:fill="auto"/>
            <w:vAlign w:val="center"/>
          </w:tcPr>
          <w:p w14:paraId="4AB9D7CD" w14:textId="6EA2E0BD"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C.1 - Aumento en el alcance a la información financiera del estado, del Estado de Quintana Roo, promoviendo la transparencia y combatiendo las prácticas de opacidad en el sector público.</w:t>
            </w:r>
          </w:p>
        </w:tc>
        <w:tc>
          <w:tcPr>
            <w:tcW w:w="688" w:type="pct"/>
            <w:tcBorders>
              <w:top w:val="nil"/>
              <w:left w:val="nil"/>
              <w:bottom w:val="single" w:sz="8" w:space="0" w:color="auto"/>
              <w:right w:val="single" w:sz="8" w:space="0" w:color="auto"/>
            </w:tcBorders>
            <w:shd w:val="clear" w:color="auto" w:fill="auto"/>
            <w:vAlign w:val="center"/>
          </w:tcPr>
          <w:p w14:paraId="5698A631" w14:textId="51A0F5CA" w:rsidR="002162EF" w:rsidRPr="00117A30" w:rsidRDefault="005E07C8"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Índice</w:t>
            </w:r>
            <w:r w:rsidR="002162EF" w:rsidRPr="002162EF">
              <w:rPr>
                <w:rFonts w:eastAsia="Carme" w:cs="Carme"/>
                <w:bCs/>
                <w:color w:val="595959"/>
                <w:sz w:val="16"/>
                <w:szCs w:val="16"/>
                <w:lang w:val="es-MX" w:eastAsia="es-MX"/>
              </w:rPr>
              <w:t xml:space="preserve"> de Transparencia de Disponibilidad de la Información  </w:t>
            </w:r>
            <w:r w:rsidRPr="002162EF">
              <w:rPr>
                <w:rFonts w:eastAsia="Carme" w:cs="Carme"/>
                <w:bCs/>
                <w:color w:val="595959"/>
                <w:sz w:val="16"/>
                <w:szCs w:val="16"/>
                <w:lang w:val="es-MX" w:eastAsia="es-MX"/>
              </w:rPr>
              <w:t>financiera</w:t>
            </w:r>
            <w:r w:rsidR="002162EF" w:rsidRPr="002162EF">
              <w:rPr>
                <w:rFonts w:eastAsia="Carme" w:cs="Carme"/>
                <w:bCs/>
                <w:color w:val="595959"/>
                <w:sz w:val="16"/>
                <w:szCs w:val="16"/>
                <w:lang w:val="es-MX" w:eastAsia="es-MX"/>
              </w:rPr>
              <w:t xml:space="preserve"> de las Entidades Federativas</w:t>
            </w:r>
          </w:p>
        </w:tc>
        <w:tc>
          <w:tcPr>
            <w:tcW w:w="1217" w:type="pct"/>
            <w:tcBorders>
              <w:top w:val="nil"/>
              <w:left w:val="nil"/>
              <w:bottom w:val="single" w:sz="8" w:space="0" w:color="auto"/>
              <w:right w:val="single" w:sz="8" w:space="0" w:color="auto"/>
            </w:tcBorders>
            <w:shd w:val="clear" w:color="auto" w:fill="auto"/>
            <w:vAlign w:val="center"/>
          </w:tcPr>
          <w:p w14:paraId="392C9405" w14:textId="571A8B6A"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Revista Aregional</w:t>
            </w:r>
          </w:p>
        </w:tc>
        <w:tc>
          <w:tcPr>
            <w:tcW w:w="1111" w:type="pct"/>
            <w:tcBorders>
              <w:top w:val="nil"/>
              <w:left w:val="nil"/>
              <w:bottom w:val="single" w:sz="8" w:space="0" w:color="auto"/>
              <w:right w:val="single" w:sz="8" w:space="0" w:color="auto"/>
            </w:tcBorders>
            <w:shd w:val="clear" w:color="auto" w:fill="auto"/>
            <w:vAlign w:val="center"/>
          </w:tcPr>
          <w:p w14:paraId="7E376512" w14:textId="30634E3B"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 información financiera del gobierno es accesible al escrutinio público y a evaluaciones de desempeño.</w:t>
            </w:r>
          </w:p>
        </w:tc>
      </w:tr>
      <w:tr w:rsidR="002162EF" w:rsidRPr="00117A30" w14:paraId="55D7D67B" w14:textId="77777777" w:rsidTr="002162EF">
        <w:trPr>
          <w:trHeight w:val="20"/>
        </w:trPr>
        <w:tc>
          <w:tcPr>
            <w:tcW w:w="368" w:type="pct"/>
            <w:tcBorders>
              <w:top w:val="nil"/>
              <w:left w:val="single" w:sz="8" w:space="0" w:color="auto"/>
              <w:bottom w:val="single" w:sz="8" w:space="0" w:color="auto"/>
              <w:right w:val="single" w:sz="8" w:space="0" w:color="auto"/>
            </w:tcBorders>
            <w:shd w:val="clear" w:color="auto" w:fill="auto"/>
          </w:tcPr>
          <w:p w14:paraId="1D051108" w14:textId="158CABCB" w:rsidR="002162EF" w:rsidRPr="00117A30" w:rsidRDefault="002162EF" w:rsidP="002162EF">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Actividad</w:t>
            </w:r>
          </w:p>
        </w:tc>
        <w:tc>
          <w:tcPr>
            <w:tcW w:w="1616" w:type="pct"/>
            <w:tcBorders>
              <w:top w:val="nil"/>
              <w:left w:val="nil"/>
              <w:bottom w:val="single" w:sz="8" w:space="0" w:color="auto"/>
              <w:right w:val="single" w:sz="8" w:space="0" w:color="auto"/>
            </w:tcBorders>
            <w:shd w:val="clear" w:color="auto" w:fill="auto"/>
            <w:vAlign w:val="center"/>
          </w:tcPr>
          <w:p w14:paraId="666B33D3" w14:textId="0606C585"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C.1.A.1 -Elaboración de Estimaciones presupuestarias de ingreso de aportaciones y participaciones, que permite a los gobiernos </w:t>
            </w:r>
            <w:proofErr w:type="spellStart"/>
            <w:r w:rsidRPr="002162EF">
              <w:rPr>
                <w:rFonts w:eastAsia="Carme" w:cs="Carme"/>
                <w:bCs/>
                <w:color w:val="595959"/>
                <w:sz w:val="16"/>
                <w:szCs w:val="16"/>
                <w:lang w:val="es-MX" w:eastAsia="es-MX"/>
              </w:rPr>
              <w:t>subnacionales</w:t>
            </w:r>
            <w:proofErr w:type="spellEnd"/>
            <w:r w:rsidRPr="002162EF">
              <w:rPr>
                <w:rFonts w:eastAsia="Carme" w:cs="Carme"/>
                <w:bCs/>
                <w:color w:val="595959"/>
                <w:sz w:val="16"/>
                <w:szCs w:val="16"/>
                <w:lang w:val="es-MX" w:eastAsia="es-MX"/>
              </w:rPr>
              <w:t xml:space="preserve"> generar conciencia de la  capacidad financiera que será posible alcanzar en el ejercicio.</w:t>
            </w:r>
          </w:p>
        </w:tc>
        <w:tc>
          <w:tcPr>
            <w:tcW w:w="688" w:type="pct"/>
            <w:tcBorders>
              <w:top w:val="nil"/>
              <w:left w:val="nil"/>
              <w:bottom w:val="single" w:sz="8" w:space="0" w:color="auto"/>
              <w:right w:val="single" w:sz="8" w:space="0" w:color="auto"/>
            </w:tcBorders>
            <w:shd w:val="clear" w:color="auto" w:fill="auto"/>
            <w:vAlign w:val="center"/>
          </w:tcPr>
          <w:p w14:paraId="39B01047" w14:textId="4CD43424"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Número de Publicaciones de los acuerdos determinados y distribuidos de las participaciones federales a los municipios.</w:t>
            </w:r>
          </w:p>
        </w:tc>
        <w:tc>
          <w:tcPr>
            <w:tcW w:w="1217" w:type="pct"/>
            <w:tcBorders>
              <w:top w:val="nil"/>
              <w:left w:val="nil"/>
              <w:bottom w:val="single" w:sz="8" w:space="0" w:color="auto"/>
              <w:right w:val="single" w:sz="8" w:space="0" w:color="auto"/>
            </w:tcBorders>
            <w:shd w:val="clear" w:color="auto" w:fill="auto"/>
            <w:vAlign w:val="center"/>
          </w:tcPr>
          <w:p w14:paraId="326D397A" w14:textId="1281AFC8" w:rsidR="002162EF" w:rsidRPr="00117A30" w:rsidRDefault="005E07C8"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Periódico</w:t>
            </w:r>
            <w:r w:rsidR="002162EF" w:rsidRPr="002162EF">
              <w:rPr>
                <w:rFonts w:eastAsia="Carme" w:cs="Carme"/>
                <w:bCs/>
                <w:color w:val="595959"/>
                <w:sz w:val="16"/>
                <w:szCs w:val="16"/>
                <w:lang w:val="es-MX" w:eastAsia="es-MX"/>
              </w:rPr>
              <w:t xml:space="preserve"> Oficial del Estado de Quintana Roo http://segob.qroo.gob.mx/portalsegob/MicroBPO.php</w:t>
            </w:r>
          </w:p>
        </w:tc>
        <w:tc>
          <w:tcPr>
            <w:tcW w:w="1111" w:type="pct"/>
            <w:tcBorders>
              <w:top w:val="nil"/>
              <w:left w:val="nil"/>
              <w:bottom w:val="single" w:sz="8" w:space="0" w:color="auto"/>
              <w:right w:val="single" w:sz="8" w:space="0" w:color="auto"/>
            </w:tcBorders>
            <w:shd w:val="clear" w:color="auto" w:fill="auto"/>
            <w:vAlign w:val="center"/>
          </w:tcPr>
          <w:p w14:paraId="2342D450" w14:textId="48EA3737"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La Federación respeta los acuerdos del Pacto Fiscal y existe estabilidad  </w:t>
            </w:r>
            <w:r w:rsidR="005E07C8" w:rsidRPr="002162EF">
              <w:rPr>
                <w:rFonts w:eastAsia="Carme" w:cs="Carme"/>
                <w:bCs/>
                <w:color w:val="595959"/>
                <w:sz w:val="16"/>
                <w:szCs w:val="16"/>
                <w:lang w:val="es-MX" w:eastAsia="es-MX"/>
              </w:rPr>
              <w:t>económica</w:t>
            </w:r>
            <w:r w:rsidRPr="002162EF">
              <w:rPr>
                <w:rFonts w:eastAsia="Carme" w:cs="Carme"/>
                <w:bCs/>
                <w:color w:val="595959"/>
                <w:sz w:val="16"/>
                <w:szCs w:val="16"/>
                <w:lang w:val="es-MX" w:eastAsia="es-MX"/>
              </w:rPr>
              <w:t xml:space="preserve"> en el País y la Entidad.</w:t>
            </w:r>
          </w:p>
        </w:tc>
      </w:tr>
      <w:tr w:rsidR="002162EF" w:rsidRPr="00117A30" w14:paraId="5FFDCFC4" w14:textId="77777777" w:rsidTr="002162EF">
        <w:trPr>
          <w:trHeight w:val="20"/>
        </w:trPr>
        <w:tc>
          <w:tcPr>
            <w:tcW w:w="368" w:type="pct"/>
            <w:tcBorders>
              <w:top w:val="nil"/>
              <w:left w:val="single" w:sz="8" w:space="0" w:color="auto"/>
              <w:bottom w:val="single" w:sz="8" w:space="0" w:color="auto"/>
              <w:right w:val="single" w:sz="8" w:space="0" w:color="auto"/>
            </w:tcBorders>
            <w:shd w:val="clear" w:color="auto" w:fill="auto"/>
          </w:tcPr>
          <w:p w14:paraId="544C0938" w14:textId="50A756A6" w:rsidR="002162EF" w:rsidRPr="00117A30" w:rsidRDefault="002162EF" w:rsidP="002162EF">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Actividad</w:t>
            </w:r>
          </w:p>
        </w:tc>
        <w:tc>
          <w:tcPr>
            <w:tcW w:w="1616" w:type="pct"/>
            <w:tcBorders>
              <w:top w:val="nil"/>
              <w:left w:val="nil"/>
              <w:bottom w:val="single" w:sz="8" w:space="0" w:color="auto"/>
              <w:right w:val="single" w:sz="8" w:space="0" w:color="auto"/>
            </w:tcBorders>
            <w:shd w:val="clear" w:color="auto" w:fill="auto"/>
            <w:vAlign w:val="center"/>
          </w:tcPr>
          <w:p w14:paraId="040A8FB3" w14:textId="3AAF7537"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C.1.A.2 - Captación de recursos federales de libre</w:t>
            </w:r>
            <w:r w:rsidRPr="002162EF">
              <w:rPr>
                <w:rFonts w:eastAsia="Carme" w:cs="Carme"/>
                <w:bCs/>
                <w:color w:val="595959"/>
                <w:sz w:val="16"/>
                <w:szCs w:val="16"/>
                <w:lang w:val="es-MX" w:eastAsia="es-MX"/>
              </w:rPr>
              <w:br/>
              <w:t>disposición.</w:t>
            </w:r>
          </w:p>
        </w:tc>
        <w:tc>
          <w:tcPr>
            <w:tcW w:w="688" w:type="pct"/>
            <w:tcBorders>
              <w:top w:val="nil"/>
              <w:left w:val="nil"/>
              <w:bottom w:val="single" w:sz="8" w:space="0" w:color="auto"/>
              <w:right w:val="single" w:sz="8" w:space="0" w:color="auto"/>
            </w:tcBorders>
            <w:shd w:val="clear" w:color="auto" w:fill="auto"/>
            <w:vAlign w:val="center"/>
          </w:tcPr>
          <w:p w14:paraId="24377E27" w14:textId="78309811"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Tasa de variación de los recursos federales de libre disposición</w:t>
            </w:r>
          </w:p>
        </w:tc>
        <w:tc>
          <w:tcPr>
            <w:tcW w:w="1217" w:type="pct"/>
            <w:tcBorders>
              <w:top w:val="nil"/>
              <w:left w:val="nil"/>
              <w:bottom w:val="single" w:sz="8" w:space="0" w:color="auto"/>
              <w:right w:val="single" w:sz="8" w:space="0" w:color="auto"/>
            </w:tcBorders>
            <w:shd w:val="clear" w:color="auto" w:fill="auto"/>
            <w:vAlign w:val="center"/>
          </w:tcPr>
          <w:p w14:paraId="7FEF5383" w14:textId="7B46C340"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Estado Analítico de Ingresos http://www.sefiplan.qroo.gob.mx/sistemas/FGob/</w:t>
            </w:r>
          </w:p>
        </w:tc>
        <w:tc>
          <w:tcPr>
            <w:tcW w:w="1111" w:type="pct"/>
            <w:tcBorders>
              <w:top w:val="nil"/>
              <w:left w:val="nil"/>
              <w:bottom w:val="single" w:sz="8" w:space="0" w:color="auto"/>
              <w:right w:val="single" w:sz="8" w:space="0" w:color="auto"/>
            </w:tcBorders>
            <w:shd w:val="clear" w:color="auto" w:fill="auto"/>
            <w:vAlign w:val="center"/>
          </w:tcPr>
          <w:p w14:paraId="1B63D562" w14:textId="677B6A86"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La Federación respeta los acuerdos del Pacto Fiscal y existe estabilidad  </w:t>
            </w:r>
            <w:r w:rsidR="005E07C8" w:rsidRPr="002162EF">
              <w:rPr>
                <w:rFonts w:eastAsia="Carme" w:cs="Carme"/>
                <w:bCs/>
                <w:color w:val="595959"/>
                <w:sz w:val="16"/>
                <w:szCs w:val="16"/>
                <w:lang w:val="es-MX" w:eastAsia="es-MX"/>
              </w:rPr>
              <w:t>económica</w:t>
            </w:r>
            <w:r w:rsidRPr="002162EF">
              <w:rPr>
                <w:rFonts w:eastAsia="Carme" w:cs="Carme"/>
                <w:bCs/>
                <w:color w:val="595959"/>
                <w:sz w:val="16"/>
                <w:szCs w:val="16"/>
                <w:lang w:val="es-MX" w:eastAsia="es-MX"/>
              </w:rPr>
              <w:t xml:space="preserve"> en el País y la Entidad.</w:t>
            </w:r>
          </w:p>
        </w:tc>
      </w:tr>
      <w:tr w:rsidR="002162EF" w:rsidRPr="00117A30" w14:paraId="09F4864C" w14:textId="77777777" w:rsidTr="002162EF">
        <w:trPr>
          <w:trHeight w:val="20"/>
        </w:trPr>
        <w:tc>
          <w:tcPr>
            <w:tcW w:w="368" w:type="pct"/>
            <w:tcBorders>
              <w:top w:val="nil"/>
              <w:left w:val="single" w:sz="8" w:space="0" w:color="auto"/>
              <w:bottom w:val="single" w:sz="4" w:space="0" w:color="auto"/>
              <w:right w:val="single" w:sz="8" w:space="0" w:color="auto"/>
            </w:tcBorders>
            <w:shd w:val="clear" w:color="auto" w:fill="auto"/>
          </w:tcPr>
          <w:p w14:paraId="271870C4" w14:textId="3EB3F838" w:rsidR="002162EF" w:rsidRPr="00117A30" w:rsidRDefault="002162EF" w:rsidP="002162EF">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Actividad</w:t>
            </w:r>
          </w:p>
        </w:tc>
        <w:tc>
          <w:tcPr>
            <w:tcW w:w="1616" w:type="pct"/>
            <w:tcBorders>
              <w:top w:val="nil"/>
              <w:left w:val="nil"/>
              <w:bottom w:val="single" w:sz="4" w:space="0" w:color="auto"/>
              <w:right w:val="single" w:sz="8" w:space="0" w:color="auto"/>
            </w:tcBorders>
            <w:shd w:val="clear" w:color="auto" w:fill="auto"/>
            <w:vAlign w:val="center"/>
          </w:tcPr>
          <w:p w14:paraId="6FAACB85" w14:textId="529F25C0"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C.1.A.3 - Generación de  movimientos  de licencias y permisos para la venta y consumo de bebidas alcohólicas </w:t>
            </w:r>
          </w:p>
        </w:tc>
        <w:tc>
          <w:tcPr>
            <w:tcW w:w="688" w:type="pct"/>
            <w:tcBorders>
              <w:top w:val="nil"/>
              <w:left w:val="nil"/>
              <w:bottom w:val="single" w:sz="4" w:space="0" w:color="auto"/>
              <w:right w:val="single" w:sz="8" w:space="0" w:color="auto"/>
            </w:tcBorders>
            <w:shd w:val="clear" w:color="auto" w:fill="auto"/>
            <w:vAlign w:val="center"/>
          </w:tcPr>
          <w:p w14:paraId="064E8FA0" w14:textId="3E780653"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movimientos  de licencias y permisos para venta y consumo de bebidas alcohólicas autorizados  </w:t>
            </w:r>
          </w:p>
        </w:tc>
        <w:tc>
          <w:tcPr>
            <w:tcW w:w="1217" w:type="pct"/>
            <w:tcBorders>
              <w:top w:val="nil"/>
              <w:left w:val="nil"/>
              <w:bottom w:val="single" w:sz="4" w:space="0" w:color="auto"/>
              <w:right w:val="single" w:sz="8" w:space="0" w:color="auto"/>
            </w:tcBorders>
            <w:shd w:val="clear" w:color="auto" w:fill="auto"/>
            <w:vAlign w:val="center"/>
          </w:tcPr>
          <w:p w14:paraId="0EE8AC98" w14:textId="1D97743F"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Reporte de trámites  trimestrales generadas en el  Sistema SARH -Sistema BEBAL http://10.9.3.223/ingresos2/ingresos.php.</w:t>
            </w:r>
          </w:p>
        </w:tc>
        <w:tc>
          <w:tcPr>
            <w:tcW w:w="1111" w:type="pct"/>
            <w:tcBorders>
              <w:top w:val="nil"/>
              <w:left w:val="nil"/>
              <w:bottom w:val="single" w:sz="4" w:space="0" w:color="auto"/>
              <w:right w:val="single" w:sz="8" w:space="0" w:color="auto"/>
            </w:tcBorders>
            <w:shd w:val="clear" w:color="auto" w:fill="auto"/>
            <w:vAlign w:val="center"/>
          </w:tcPr>
          <w:p w14:paraId="0F31F0EE" w14:textId="56536369" w:rsidR="002162EF" w:rsidRPr="00117A30" w:rsidRDefault="002162EF" w:rsidP="002162EF">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Los movimientos de Licencias y Permisos para la venta y consumo de bebidas alcohólicas se autorizan en tiempo y forma. Además que las condiciones económicas están estables.</w:t>
            </w:r>
          </w:p>
        </w:tc>
      </w:tr>
      <w:tr w:rsidR="00132F06" w:rsidRPr="00117A30" w14:paraId="6CAAAAA4" w14:textId="77777777" w:rsidTr="00132F06">
        <w:trPr>
          <w:trHeight w:val="20"/>
        </w:trPr>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9D6B1" w14:textId="5947648C"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lastRenderedPageBreak/>
              <w:t>NIVEL</w:t>
            </w:r>
          </w:p>
        </w:tc>
        <w:tc>
          <w:tcPr>
            <w:tcW w:w="1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E141A" w14:textId="22E93CC8"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OBJETIVO</w:t>
            </w:r>
          </w:p>
        </w:tc>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05EE14" w14:textId="68CD8A0A"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INDICADOR</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8B5DCB" w14:textId="3035831E"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MEDIOS DE VERIFICACIÓN</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99F722" w14:textId="0FF3D571"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SUPUESTO</w:t>
            </w:r>
          </w:p>
        </w:tc>
      </w:tr>
      <w:tr w:rsidR="00132F06" w:rsidRPr="00117A30" w14:paraId="4B736BEE" w14:textId="77777777" w:rsidTr="002162EF">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tcPr>
          <w:p w14:paraId="04D0CF0E" w14:textId="194654FD" w:rsidR="00132F06" w:rsidRPr="00117A30" w:rsidRDefault="00132F06" w:rsidP="00132F06">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Actividad</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14:paraId="59A3FD76" w14:textId="571B2C54" w:rsidR="00132F06" w:rsidRPr="00117A30" w:rsidRDefault="00132F06"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C.1.A.4.- Ampliar y mejorar la información catastral de los Municipios en la Plataforma Estatal de Información Catastral, a través de la integración de los atributos de 4 capas </w:t>
            </w:r>
            <w:proofErr w:type="spellStart"/>
            <w:r w:rsidRPr="002162EF">
              <w:rPr>
                <w:rFonts w:eastAsia="Carme" w:cs="Carme"/>
                <w:bCs/>
                <w:color w:val="595959"/>
                <w:sz w:val="16"/>
                <w:szCs w:val="16"/>
                <w:lang w:val="es-MX" w:eastAsia="es-MX"/>
              </w:rPr>
              <w:t>multifinalitarias</w:t>
            </w:r>
            <w:proofErr w:type="spellEnd"/>
            <w:r w:rsidRPr="002162EF">
              <w:rPr>
                <w:rFonts w:eastAsia="Carme" w:cs="Carme"/>
                <w:bCs/>
                <w:color w:val="595959"/>
                <w:sz w:val="16"/>
                <w:szCs w:val="16"/>
                <w:lang w:val="es-MX" w:eastAsia="es-MX"/>
              </w:rPr>
              <w:t xml:space="preserve"> a 319,000 predios, comprendidos en las 11 cabeceras municipales, con el apoyo de la generación de </w:t>
            </w:r>
            <w:proofErr w:type="spellStart"/>
            <w:r w:rsidRPr="002162EF">
              <w:rPr>
                <w:rFonts w:eastAsia="Carme" w:cs="Carme"/>
                <w:bCs/>
                <w:color w:val="595959"/>
                <w:sz w:val="16"/>
                <w:szCs w:val="16"/>
                <w:lang w:val="es-MX" w:eastAsia="es-MX"/>
              </w:rPr>
              <w:t>ortofotos</w:t>
            </w:r>
            <w:proofErr w:type="spellEnd"/>
            <w:r w:rsidRPr="002162EF">
              <w:rPr>
                <w:rFonts w:eastAsia="Carme" w:cs="Carme"/>
                <w:bCs/>
                <w:color w:val="595959"/>
                <w:sz w:val="16"/>
                <w:szCs w:val="16"/>
                <w:lang w:val="es-MX" w:eastAsia="es-MX"/>
              </w:rPr>
              <w:t>.</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033F8C9C" w14:textId="6953596C" w:rsidR="00132F06" w:rsidRPr="00117A30" w:rsidRDefault="00132F06"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predios integrados con los atributos de 4 capas </w:t>
            </w:r>
            <w:proofErr w:type="spellStart"/>
            <w:r w:rsidRPr="002162EF">
              <w:rPr>
                <w:rFonts w:eastAsia="Carme" w:cs="Carme"/>
                <w:bCs/>
                <w:color w:val="595959"/>
                <w:sz w:val="16"/>
                <w:szCs w:val="16"/>
                <w:lang w:val="es-MX" w:eastAsia="es-MX"/>
              </w:rPr>
              <w:t>multifinalitarias</w:t>
            </w:r>
            <w:proofErr w:type="spellEnd"/>
            <w:r w:rsidRPr="002162EF">
              <w:rPr>
                <w:rFonts w:eastAsia="Carme" w:cs="Carme"/>
                <w:bCs/>
                <w:color w:val="595959"/>
                <w:sz w:val="16"/>
                <w:szCs w:val="16"/>
                <w:lang w:val="es-MX" w:eastAsia="es-MX"/>
              </w:rPr>
              <w:t xml:space="preserve"> en cada semestre del año.</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01F000" w14:textId="3D9A669E" w:rsidR="00132F06" w:rsidRPr="00117A30" w:rsidRDefault="00132F06"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Reporte semestral de "Predios integrados en las capas </w:t>
            </w:r>
            <w:proofErr w:type="spellStart"/>
            <w:r w:rsidRPr="002162EF">
              <w:rPr>
                <w:rFonts w:eastAsia="Carme" w:cs="Carme"/>
                <w:bCs/>
                <w:color w:val="595959"/>
                <w:sz w:val="16"/>
                <w:szCs w:val="16"/>
                <w:lang w:val="es-MX" w:eastAsia="es-MX"/>
              </w:rPr>
              <w:t>multifinalitarias</w:t>
            </w:r>
            <w:proofErr w:type="spellEnd"/>
            <w:r w:rsidRPr="002162EF">
              <w:rPr>
                <w:rFonts w:eastAsia="Carme" w:cs="Carme"/>
                <w:bCs/>
                <w:color w:val="595959"/>
                <w:sz w:val="16"/>
                <w:szCs w:val="16"/>
                <w:lang w:val="es-MX" w:eastAsia="es-MX"/>
              </w:rPr>
              <w:t>" de la Dirección Técnica del Instituto Geográfico y Catastral del Estado.</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3D60F3BD" w14:textId="0295C78D" w:rsidR="00132F06" w:rsidRPr="00117A30" w:rsidRDefault="00132F06"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La Información de las cuatro capas </w:t>
            </w:r>
            <w:proofErr w:type="spellStart"/>
            <w:r w:rsidRPr="002162EF">
              <w:rPr>
                <w:rFonts w:eastAsia="Carme" w:cs="Carme"/>
                <w:bCs/>
                <w:color w:val="595959"/>
                <w:sz w:val="16"/>
                <w:szCs w:val="16"/>
                <w:lang w:val="es-MX" w:eastAsia="es-MX"/>
              </w:rPr>
              <w:t>multifinalitarias</w:t>
            </w:r>
            <w:proofErr w:type="spellEnd"/>
            <w:r w:rsidRPr="002162EF">
              <w:rPr>
                <w:rFonts w:eastAsia="Carme" w:cs="Carme"/>
                <w:bCs/>
                <w:color w:val="595959"/>
                <w:sz w:val="16"/>
                <w:szCs w:val="16"/>
                <w:lang w:val="es-MX" w:eastAsia="es-MX"/>
              </w:rPr>
              <w:t>, están actualizadas e integradas en la Plataforma Estatal de Información Catastral y Registral</w:t>
            </w:r>
          </w:p>
        </w:tc>
      </w:tr>
      <w:tr w:rsidR="00132F06" w:rsidRPr="00117A30" w14:paraId="7582309B" w14:textId="77777777" w:rsidTr="002162EF">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tcPr>
          <w:p w14:paraId="2C477054" w14:textId="3A371CD1" w:rsidR="00132F06" w:rsidRPr="00117A30" w:rsidRDefault="00132F06" w:rsidP="00132F06">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Actividad</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14:paraId="4BAD10D8" w14:textId="56049854" w:rsidR="00132F06" w:rsidRPr="00117A30" w:rsidRDefault="00132F06"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C.1.A.5.-Implementar el proyecto de actualización de la normatividad de la Ley de Catastro, mediante la implementación de cursos al personal de los Catastros de los municipios del Estado que así lo </w:t>
            </w:r>
            <w:proofErr w:type="gramStart"/>
            <w:r w:rsidRPr="002162EF">
              <w:rPr>
                <w:rFonts w:eastAsia="Carme" w:cs="Carme"/>
                <w:bCs/>
                <w:color w:val="595959"/>
                <w:sz w:val="16"/>
                <w:szCs w:val="16"/>
                <w:lang w:val="es-MX" w:eastAsia="es-MX"/>
              </w:rPr>
              <w:t>deseen .</w:t>
            </w:r>
            <w:proofErr w:type="gramEnd"/>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496C0F80" w14:textId="0954A117" w:rsidR="00132F06" w:rsidRPr="00117A30" w:rsidRDefault="00132F06"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cursos o talleres realizados en cada semestre del </w:t>
            </w:r>
            <w:proofErr w:type="gramStart"/>
            <w:r w:rsidRPr="002162EF">
              <w:rPr>
                <w:rFonts w:eastAsia="Carme" w:cs="Carme"/>
                <w:bCs/>
                <w:color w:val="595959"/>
                <w:sz w:val="16"/>
                <w:szCs w:val="16"/>
                <w:lang w:val="es-MX" w:eastAsia="es-MX"/>
              </w:rPr>
              <w:t>año .</w:t>
            </w:r>
            <w:proofErr w:type="gramEnd"/>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19B83F4" w14:textId="0EB4A947" w:rsidR="00132F06" w:rsidRPr="00117A30" w:rsidRDefault="00132F06"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Reporte de invitaciones y fotográfico de la realización de los cursos </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56221B67" w14:textId="43CECBEE" w:rsidR="00132F06" w:rsidRPr="00117A30" w:rsidRDefault="00132F06"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Se cuenta con la disponibilidad de colaboración de los Municipios del Estado para la realización de los cursos o talleres.</w:t>
            </w:r>
          </w:p>
        </w:tc>
      </w:tr>
    </w:tbl>
    <w:p w14:paraId="747F5755" w14:textId="77777777" w:rsidR="00132F06" w:rsidRDefault="00132F06">
      <w:r>
        <w:rPr>
          <w:b/>
          <w:bCs/>
          <w:caps/>
        </w:rPr>
        <w:br w:type="page"/>
      </w:r>
    </w:p>
    <w:tbl>
      <w:tblPr>
        <w:tblpPr w:leftFromText="141" w:rightFromText="141" w:horzAnchor="margin" w:tblpY="837"/>
        <w:tblW w:w="5643" w:type="pct"/>
        <w:tblLayout w:type="fixed"/>
        <w:tblCellMar>
          <w:left w:w="70" w:type="dxa"/>
          <w:right w:w="70" w:type="dxa"/>
        </w:tblCellMar>
        <w:tblLook w:val="04A0" w:firstRow="1" w:lastRow="0" w:firstColumn="1" w:lastColumn="0" w:noHBand="0" w:noVBand="1"/>
      </w:tblPr>
      <w:tblGrid>
        <w:gridCol w:w="987"/>
        <w:gridCol w:w="4329"/>
        <w:gridCol w:w="1843"/>
        <w:gridCol w:w="3260"/>
        <w:gridCol w:w="2976"/>
      </w:tblGrid>
      <w:tr w:rsidR="00132F06" w:rsidRPr="00117A30" w14:paraId="7CDCBA53" w14:textId="77777777" w:rsidTr="00D328BB">
        <w:trPr>
          <w:trHeight w:val="20"/>
        </w:trPr>
        <w:tc>
          <w:tcPr>
            <w:tcW w:w="3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571890" w14:textId="40B2D1B6" w:rsidR="00132F06" w:rsidRPr="00132F06" w:rsidRDefault="00132F06" w:rsidP="00D328BB">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lastRenderedPageBreak/>
              <w:t>NIVEL</w:t>
            </w:r>
          </w:p>
        </w:tc>
        <w:tc>
          <w:tcPr>
            <w:tcW w:w="161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65609" w14:textId="2723F821" w:rsidR="00132F06" w:rsidRPr="00132F06" w:rsidRDefault="00132F06" w:rsidP="00D328BB">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OBJETIVO</w:t>
            </w:r>
          </w:p>
        </w:tc>
        <w:tc>
          <w:tcPr>
            <w:tcW w:w="68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2F4534" w14:textId="29F2C8A1" w:rsidR="00132F06" w:rsidRPr="00132F06" w:rsidRDefault="00132F06" w:rsidP="00D328BB">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INDICADOR</w:t>
            </w:r>
          </w:p>
        </w:tc>
        <w:tc>
          <w:tcPr>
            <w:tcW w:w="12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7E9CA2" w14:textId="62079CA2" w:rsidR="00132F06" w:rsidRPr="00132F06" w:rsidRDefault="00132F06" w:rsidP="00D328BB">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MEDIOS DE VERIFICACIÓN</w:t>
            </w:r>
          </w:p>
        </w:tc>
        <w:tc>
          <w:tcPr>
            <w:tcW w:w="11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4BA3ED" w14:textId="5910CC04" w:rsidR="00132F06" w:rsidRPr="00132F06" w:rsidRDefault="00132F06" w:rsidP="00D328BB">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SUPUESTO</w:t>
            </w:r>
          </w:p>
        </w:tc>
      </w:tr>
      <w:tr w:rsidR="00132F06" w:rsidRPr="00117A30" w14:paraId="2816F427" w14:textId="77777777" w:rsidTr="00D328BB">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tcPr>
          <w:p w14:paraId="40DC4897" w14:textId="64D411C9" w:rsidR="00132F06" w:rsidRPr="00117A30" w:rsidRDefault="00132F06" w:rsidP="00D328BB">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COMPONENTE 3</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14:paraId="5DD9A29E" w14:textId="51E63222"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C.3. Deuda Pública</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01407878" w14:textId="2C7E515A"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CONSULTAS REALIZADAS POR</w:t>
            </w:r>
            <w:r>
              <w:rPr>
                <w:rFonts w:eastAsia="Carme" w:cs="Carme"/>
                <w:bCs/>
                <w:color w:val="595959"/>
                <w:sz w:val="16"/>
                <w:szCs w:val="16"/>
                <w:lang w:val="es-MX" w:eastAsia="es-MX"/>
              </w:rPr>
              <w:t xml:space="preserve"> </w:t>
            </w:r>
            <w:r w:rsidRPr="002162EF">
              <w:rPr>
                <w:rFonts w:eastAsia="Carme" w:cs="Carme"/>
                <w:bCs/>
                <w:color w:val="595959"/>
                <w:sz w:val="16"/>
                <w:szCs w:val="16"/>
                <w:lang w:val="es-MX" w:eastAsia="es-MX"/>
              </w:rPr>
              <w:t>LOS CIUDADANOS</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215A4ABE" w14:textId="24A8885F" w:rsidR="00132F06" w:rsidRPr="00117A30" w:rsidRDefault="00132F06" w:rsidP="00D328BB">
            <w:pPr>
              <w:spacing w:after="0" w:line="240" w:lineRule="auto"/>
              <w:jc w:val="center"/>
              <w:rPr>
                <w:rFonts w:eastAsia="Carme" w:cs="Carme"/>
                <w:bCs/>
                <w:color w:val="595959"/>
                <w:sz w:val="16"/>
                <w:szCs w:val="16"/>
                <w:lang w:val="es-MX" w:eastAsia="es-MX"/>
              </w:rPr>
            </w:pPr>
            <w:proofErr w:type="spellStart"/>
            <w:r w:rsidRPr="002162EF">
              <w:rPr>
                <w:rFonts w:eastAsia="Carme" w:cs="Carme"/>
                <w:bCs/>
                <w:color w:val="595959"/>
                <w:sz w:val="16"/>
                <w:szCs w:val="16"/>
                <w:lang w:val="es-MX" w:eastAsia="es-MX"/>
              </w:rPr>
              <w:t>Pagina</w:t>
            </w:r>
            <w:proofErr w:type="spellEnd"/>
            <w:r w:rsidRPr="002162EF">
              <w:rPr>
                <w:rFonts w:eastAsia="Carme" w:cs="Carme"/>
                <w:bCs/>
                <w:color w:val="595959"/>
                <w:sz w:val="16"/>
                <w:szCs w:val="16"/>
                <w:lang w:val="es-MX" w:eastAsia="es-MX"/>
              </w:rPr>
              <w:t xml:space="preserve"> oficial de la SEFIPLAN, Informes Trimestrales de la</w:t>
            </w:r>
            <w:r w:rsidR="00D328BB">
              <w:rPr>
                <w:rFonts w:eastAsia="Carme" w:cs="Carme"/>
                <w:bCs/>
                <w:color w:val="595959"/>
                <w:sz w:val="16"/>
                <w:szCs w:val="16"/>
                <w:lang w:val="es-MX" w:eastAsia="es-MX"/>
              </w:rPr>
              <w:t xml:space="preserve"> </w:t>
            </w:r>
            <w:r w:rsidRPr="002162EF">
              <w:rPr>
                <w:rFonts w:eastAsia="Carme" w:cs="Carme"/>
                <w:bCs/>
                <w:color w:val="595959"/>
                <w:sz w:val="16"/>
                <w:szCs w:val="16"/>
                <w:lang w:val="es-MX" w:eastAsia="es-MX"/>
              </w:rPr>
              <w:t>Deuda Publica</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1FF228E1" w14:textId="03477E09"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Se dispone de la información oportunamente para elaborar</w:t>
            </w:r>
            <w:r>
              <w:rPr>
                <w:rFonts w:eastAsia="Carme" w:cs="Carme"/>
                <w:bCs/>
                <w:color w:val="595959"/>
                <w:sz w:val="16"/>
                <w:szCs w:val="16"/>
                <w:lang w:val="es-MX" w:eastAsia="es-MX"/>
              </w:rPr>
              <w:t xml:space="preserve"> </w:t>
            </w:r>
            <w:r w:rsidRPr="002162EF">
              <w:rPr>
                <w:rFonts w:eastAsia="Carme" w:cs="Carme"/>
                <w:bCs/>
                <w:color w:val="595959"/>
                <w:sz w:val="16"/>
                <w:szCs w:val="16"/>
                <w:lang w:val="es-MX" w:eastAsia="es-MX"/>
              </w:rPr>
              <w:t>los Informes trimestrales.</w:t>
            </w:r>
          </w:p>
        </w:tc>
      </w:tr>
      <w:tr w:rsidR="00132F06" w:rsidRPr="00117A30" w14:paraId="5C9C4A05" w14:textId="77777777" w:rsidTr="00D328BB">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tcPr>
          <w:p w14:paraId="6DC3E8EA" w14:textId="36BB4A33" w:rsidR="00132F06" w:rsidRPr="00117A30" w:rsidRDefault="00132F06" w:rsidP="00D328BB">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Actividad</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14:paraId="0FCB3AAE" w14:textId="5C179948"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C.3.A.1.- Formulación del presupuesto de endeudamiento anual, para dar certeza al programa crediticio de Gobierno del Estado de Quintana Roo.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0296E308" w14:textId="6BA615EA"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del cumplimiento de la calendarización de pagos, respecto del calendario establecido en el trimestre</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719057C2" w14:textId="70847236" w:rsidR="00132F06" w:rsidRPr="00117A30" w:rsidRDefault="00132F06" w:rsidP="00D328BB">
            <w:pPr>
              <w:spacing w:after="0" w:line="240" w:lineRule="auto"/>
              <w:jc w:val="center"/>
              <w:rPr>
                <w:rFonts w:eastAsia="Carme" w:cs="Carme"/>
                <w:bCs/>
                <w:color w:val="595959"/>
                <w:sz w:val="16"/>
                <w:szCs w:val="16"/>
                <w:lang w:val="es-MX" w:eastAsia="es-MX"/>
              </w:rPr>
            </w:pPr>
            <w:proofErr w:type="spellStart"/>
            <w:r w:rsidRPr="002162EF">
              <w:rPr>
                <w:rFonts w:eastAsia="Carme" w:cs="Carme"/>
                <w:bCs/>
                <w:color w:val="595959"/>
                <w:sz w:val="16"/>
                <w:szCs w:val="16"/>
                <w:lang w:val="es-MX" w:eastAsia="es-MX"/>
              </w:rPr>
              <w:t>Pagina</w:t>
            </w:r>
            <w:proofErr w:type="spellEnd"/>
            <w:r w:rsidRPr="002162EF">
              <w:rPr>
                <w:rFonts w:eastAsia="Carme" w:cs="Carme"/>
                <w:bCs/>
                <w:color w:val="595959"/>
                <w:sz w:val="16"/>
                <w:szCs w:val="16"/>
                <w:lang w:val="es-MX" w:eastAsia="es-MX"/>
              </w:rPr>
              <w:t xml:space="preserve"> oficial de la SEFIPLAN</w:t>
            </w:r>
            <w:r w:rsidRPr="002162EF">
              <w:rPr>
                <w:rFonts w:eastAsia="Carme" w:cs="Carme"/>
                <w:bCs/>
                <w:color w:val="595959"/>
                <w:sz w:val="16"/>
                <w:szCs w:val="16"/>
                <w:lang w:val="es-MX" w:eastAsia="es-MX"/>
              </w:rPr>
              <w:br/>
              <w:t>http://www.sefiplan.qroo.gob.mx/dpublica/obligacaciones_cal.php</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4983B3FA" w14:textId="62369AEE"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Se generan los acuerdos entre las Subsecretarías de Política Hacendaria, de Ingresos, y la Tesorería General,</w:t>
            </w:r>
            <w:r>
              <w:rPr>
                <w:rFonts w:eastAsia="Carme" w:cs="Carme"/>
                <w:bCs/>
                <w:color w:val="595959"/>
                <w:sz w:val="16"/>
                <w:szCs w:val="16"/>
                <w:lang w:val="es-MX" w:eastAsia="es-MX"/>
              </w:rPr>
              <w:t xml:space="preserve"> </w:t>
            </w:r>
            <w:r w:rsidRPr="002162EF">
              <w:rPr>
                <w:rFonts w:eastAsia="Carme" w:cs="Carme"/>
                <w:bCs/>
                <w:color w:val="595959"/>
                <w:sz w:val="16"/>
                <w:szCs w:val="16"/>
                <w:lang w:val="es-MX" w:eastAsia="es-MX"/>
              </w:rPr>
              <w:t>para planear las necesidades de  apalancamiento en el anteproyecto del Presupuesto de Egresos.</w:t>
            </w:r>
          </w:p>
        </w:tc>
      </w:tr>
      <w:tr w:rsidR="00132F06" w:rsidRPr="00117A30" w14:paraId="16C06009" w14:textId="77777777" w:rsidTr="00D328BB">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tcPr>
          <w:p w14:paraId="77A99BD7" w14:textId="4A1A5BDF" w:rsidR="00132F06" w:rsidRPr="00117A30" w:rsidRDefault="00132F06" w:rsidP="00D328BB">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Actividad</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14:paraId="40CC6CA2" w14:textId="3A0833F6"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C.3.A.2 - Publicación de los Instrumentos jurídicos  financieros vigentes</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7D70617C" w14:textId="3C04EFC2"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consultas realizadas por los ciudadanos sobre las obligaciones financieras vigentes</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bottom"/>
          </w:tcPr>
          <w:p w14:paraId="5B58BBB2" w14:textId="370AAA3C" w:rsidR="00132F06" w:rsidRPr="00117A30" w:rsidRDefault="00132F06" w:rsidP="00D328BB">
            <w:pPr>
              <w:spacing w:after="0" w:line="240" w:lineRule="auto"/>
              <w:jc w:val="center"/>
              <w:rPr>
                <w:rFonts w:eastAsia="Carme" w:cs="Carme"/>
                <w:bCs/>
                <w:color w:val="595959"/>
                <w:sz w:val="16"/>
                <w:szCs w:val="16"/>
                <w:lang w:val="es-MX" w:eastAsia="es-MX"/>
              </w:rPr>
            </w:pPr>
            <w:proofErr w:type="spellStart"/>
            <w:r w:rsidRPr="002162EF">
              <w:rPr>
                <w:rFonts w:eastAsia="Carme" w:cs="Carme"/>
                <w:bCs/>
                <w:color w:val="595959"/>
                <w:sz w:val="16"/>
                <w:szCs w:val="16"/>
                <w:lang w:val="es-MX" w:eastAsia="es-MX"/>
              </w:rPr>
              <w:t>Pagina</w:t>
            </w:r>
            <w:proofErr w:type="spellEnd"/>
            <w:r w:rsidRPr="002162EF">
              <w:rPr>
                <w:rFonts w:eastAsia="Carme" w:cs="Carme"/>
                <w:bCs/>
                <w:color w:val="595959"/>
                <w:sz w:val="16"/>
                <w:szCs w:val="16"/>
                <w:lang w:val="es-MX" w:eastAsia="es-MX"/>
              </w:rPr>
              <w:t xml:space="preserve"> oficial de la SEFIPLAN</w:t>
            </w:r>
            <w:r w:rsidRPr="002162EF">
              <w:rPr>
                <w:rFonts w:eastAsia="Carme" w:cs="Carme"/>
                <w:bCs/>
                <w:color w:val="595959"/>
                <w:sz w:val="16"/>
                <w:szCs w:val="16"/>
                <w:lang w:val="es-MX" w:eastAsia="es-MX"/>
              </w:rPr>
              <w:br/>
            </w:r>
            <w:hyperlink r:id="rId41" w:history="1">
              <w:r w:rsidR="00D328BB" w:rsidRPr="006C72F7">
                <w:rPr>
                  <w:rStyle w:val="Hipervnculo"/>
                  <w:rFonts w:eastAsia="Carme" w:cs="Carme"/>
                  <w:bCs/>
                  <w:sz w:val="16"/>
                  <w:szCs w:val="16"/>
                  <w:lang w:val="es-MX" w:eastAsia="es-MX"/>
                </w:rPr>
                <w:t>http://www.sefiplan.qroo.gob.mx/dpublica/instrumentos.php</w:t>
              </w:r>
            </w:hyperlink>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762579D9" w14:textId="04A459D6"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Se generan las acciones para atender las obligaciones de hacer y no hacer, suscritas contractualmente con los</w:t>
            </w:r>
            <w:r>
              <w:rPr>
                <w:rFonts w:eastAsia="Carme" w:cs="Carme"/>
                <w:bCs/>
                <w:color w:val="595959"/>
                <w:sz w:val="16"/>
                <w:szCs w:val="16"/>
                <w:lang w:val="es-MX" w:eastAsia="es-MX"/>
              </w:rPr>
              <w:t xml:space="preserve"> </w:t>
            </w:r>
            <w:r w:rsidRPr="002162EF">
              <w:rPr>
                <w:rFonts w:eastAsia="Carme" w:cs="Carme"/>
                <w:bCs/>
                <w:color w:val="595959"/>
                <w:sz w:val="16"/>
                <w:szCs w:val="16"/>
                <w:lang w:val="es-MX" w:eastAsia="es-MX"/>
              </w:rPr>
              <w:t>Acreedores Financieros.</w:t>
            </w:r>
          </w:p>
        </w:tc>
      </w:tr>
      <w:tr w:rsidR="00132F06" w:rsidRPr="00117A30" w14:paraId="1AA89890" w14:textId="77777777" w:rsidTr="00D328BB">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tcPr>
          <w:p w14:paraId="0552CD88" w14:textId="70434F94" w:rsidR="00132F06" w:rsidRPr="00117A30" w:rsidRDefault="00132F06" w:rsidP="00D328BB">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Actividad</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14:paraId="54A392D4" w14:textId="1CEF2C2D"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C.3.A.3 - Impulso del Registro Estatal de Obligaciones y Financiamientos, mediante calidad total en la atención a Municipios y Organismos Descentralizados</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2244A03D" w14:textId="44589E82"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consultas realizadas por los ciudadanos del Registro Estatal de Obligaciones y Financiamientos.</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bottom"/>
          </w:tcPr>
          <w:p w14:paraId="3DC41A1A" w14:textId="2F318A0D" w:rsidR="00132F06" w:rsidRPr="00117A30" w:rsidRDefault="00132F06" w:rsidP="00D328BB">
            <w:pPr>
              <w:spacing w:after="0" w:line="240" w:lineRule="auto"/>
              <w:jc w:val="center"/>
              <w:rPr>
                <w:rFonts w:eastAsia="Carme" w:cs="Carme"/>
                <w:bCs/>
                <w:color w:val="595959"/>
                <w:sz w:val="16"/>
                <w:szCs w:val="16"/>
                <w:lang w:val="es-MX" w:eastAsia="es-MX"/>
              </w:rPr>
            </w:pPr>
            <w:proofErr w:type="spellStart"/>
            <w:r w:rsidRPr="002162EF">
              <w:rPr>
                <w:rFonts w:eastAsia="Carme" w:cs="Carme"/>
                <w:bCs/>
                <w:color w:val="595959"/>
                <w:sz w:val="16"/>
                <w:szCs w:val="16"/>
                <w:lang w:val="es-MX" w:eastAsia="es-MX"/>
              </w:rPr>
              <w:t>Pagina</w:t>
            </w:r>
            <w:proofErr w:type="spellEnd"/>
            <w:r w:rsidRPr="002162EF">
              <w:rPr>
                <w:rFonts w:eastAsia="Carme" w:cs="Carme"/>
                <w:bCs/>
                <w:color w:val="595959"/>
                <w:sz w:val="16"/>
                <w:szCs w:val="16"/>
                <w:lang w:val="es-MX" w:eastAsia="es-MX"/>
              </w:rPr>
              <w:t xml:space="preserve"> oficial de la SEFIPLAN</w:t>
            </w:r>
            <w:r w:rsidRPr="002162EF">
              <w:rPr>
                <w:rFonts w:eastAsia="Carme" w:cs="Carme"/>
                <w:bCs/>
                <w:color w:val="595959"/>
                <w:sz w:val="16"/>
                <w:szCs w:val="16"/>
                <w:lang w:val="es-MX" w:eastAsia="es-MX"/>
              </w:rPr>
              <w:br/>
              <w:t>http://www.sefiplan.qroo.gob.mx/dpublica/registro_unico.php</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272A3E66" w14:textId="2915CAA2"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Se actualizan los Registros Estatales de Obligaciones y Financiamientos.</w:t>
            </w:r>
          </w:p>
        </w:tc>
      </w:tr>
      <w:tr w:rsidR="00132F06" w:rsidRPr="00117A30" w14:paraId="6C622C48" w14:textId="77777777" w:rsidTr="00D328BB">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tcPr>
          <w:p w14:paraId="3AD2F4F0" w14:textId="6150CB3D" w:rsidR="00132F06" w:rsidRPr="00117A30" w:rsidRDefault="00132F06" w:rsidP="00D328BB">
            <w:pPr>
              <w:pStyle w:val="Ttulo1"/>
              <w:jc w:val="center"/>
              <w:rPr>
                <w:rFonts w:eastAsia="Carme" w:cs="Carme"/>
                <w:caps w:val="0"/>
                <w:color w:val="595959"/>
                <w:sz w:val="16"/>
                <w:szCs w:val="16"/>
                <w:lang w:eastAsia="es-MX"/>
              </w:rPr>
            </w:pPr>
            <w:r w:rsidRPr="001C7A59">
              <w:rPr>
                <w:rFonts w:eastAsia="Carme" w:cs="Carme"/>
                <w:caps w:val="0"/>
                <w:color w:val="595959"/>
                <w:sz w:val="16"/>
                <w:szCs w:val="16"/>
                <w:lang w:eastAsia="es-MX"/>
              </w:rPr>
              <w:t>Actividad</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14:paraId="4A0B71F4" w14:textId="1E7E6D87"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C.3.A.4 - Generación de informes del Estado, incluyendo a Municipios y Organismos Descentralizados  en el Sistema de Alertas.</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341F8485" w14:textId="46F3F2CF"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(Informes estimados   /   informes publicados)*100</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382BA4DB" w14:textId="1A89EECA" w:rsidR="00132F06" w:rsidRPr="00117A30" w:rsidRDefault="00132F06" w:rsidP="00D328BB">
            <w:pPr>
              <w:spacing w:after="0" w:line="240" w:lineRule="auto"/>
              <w:jc w:val="center"/>
              <w:rPr>
                <w:rFonts w:eastAsia="Carme" w:cs="Carme"/>
                <w:bCs/>
                <w:color w:val="595959"/>
                <w:sz w:val="16"/>
                <w:szCs w:val="16"/>
                <w:lang w:val="es-MX" w:eastAsia="es-MX"/>
              </w:rPr>
            </w:pPr>
            <w:proofErr w:type="spellStart"/>
            <w:r w:rsidRPr="002162EF">
              <w:rPr>
                <w:rFonts w:eastAsia="Carme" w:cs="Carme"/>
                <w:bCs/>
                <w:color w:val="595959"/>
                <w:sz w:val="16"/>
                <w:szCs w:val="16"/>
                <w:lang w:val="es-MX" w:eastAsia="es-MX"/>
              </w:rPr>
              <w:t>Pagina</w:t>
            </w:r>
            <w:proofErr w:type="spellEnd"/>
            <w:r w:rsidRPr="002162EF">
              <w:rPr>
                <w:rFonts w:eastAsia="Carme" w:cs="Carme"/>
                <w:bCs/>
                <w:color w:val="595959"/>
                <w:sz w:val="16"/>
                <w:szCs w:val="16"/>
                <w:lang w:val="es-MX" w:eastAsia="es-MX"/>
              </w:rPr>
              <w:t xml:space="preserve"> oficial de la SEFIPLAN</w:t>
            </w:r>
            <w:r w:rsidRPr="002162EF">
              <w:rPr>
                <w:rFonts w:eastAsia="Carme" w:cs="Carme"/>
                <w:bCs/>
                <w:color w:val="595959"/>
                <w:sz w:val="16"/>
                <w:szCs w:val="16"/>
                <w:lang w:val="es-MX" w:eastAsia="es-MX"/>
              </w:rPr>
              <w:br/>
              <w:t>https://www.disciplinafinanciera.hacienda.gob.mx/es/DISCIPLINA_FINANCIERA/Registro_Publico_Unico</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7D60246C" w14:textId="7ED1C4FB"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Se dispone de los insumos para consolidar la información</w:t>
            </w:r>
            <w:r>
              <w:rPr>
                <w:rFonts w:eastAsia="Carme" w:cs="Carme"/>
                <w:bCs/>
                <w:color w:val="595959"/>
                <w:sz w:val="16"/>
                <w:szCs w:val="16"/>
                <w:lang w:val="es-MX" w:eastAsia="es-MX"/>
              </w:rPr>
              <w:t xml:space="preserve"> </w:t>
            </w:r>
            <w:r w:rsidRPr="002162EF">
              <w:rPr>
                <w:rFonts w:eastAsia="Carme" w:cs="Carme"/>
                <w:bCs/>
                <w:color w:val="595959"/>
                <w:sz w:val="16"/>
                <w:szCs w:val="16"/>
                <w:lang w:val="es-MX" w:eastAsia="es-MX"/>
              </w:rPr>
              <w:t>relacionada con el Sistema de Alerta.</w:t>
            </w:r>
          </w:p>
        </w:tc>
      </w:tr>
      <w:tr w:rsidR="00132F06" w:rsidRPr="00117A30" w14:paraId="60C447FA" w14:textId="77777777" w:rsidTr="00D328BB">
        <w:trPr>
          <w:trHeight w:val="20"/>
        </w:trPr>
        <w:tc>
          <w:tcPr>
            <w:tcW w:w="368" w:type="pct"/>
            <w:tcBorders>
              <w:top w:val="single" w:sz="4" w:space="0" w:color="auto"/>
              <w:left w:val="single" w:sz="4" w:space="0" w:color="auto"/>
              <w:bottom w:val="single" w:sz="4" w:space="0" w:color="auto"/>
              <w:right w:val="single" w:sz="4" w:space="0" w:color="auto"/>
            </w:tcBorders>
            <w:shd w:val="clear" w:color="auto" w:fill="auto"/>
          </w:tcPr>
          <w:p w14:paraId="57FB85D3" w14:textId="64C35EB4" w:rsidR="00132F06" w:rsidRPr="00117A30" w:rsidRDefault="00D328BB" w:rsidP="00D328BB">
            <w:pPr>
              <w:pStyle w:val="Ttulo1"/>
              <w:jc w:val="center"/>
              <w:rPr>
                <w:rFonts w:eastAsia="Carme" w:cs="Carme"/>
                <w:caps w:val="0"/>
                <w:color w:val="595959"/>
                <w:sz w:val="16"/>
                <w:szCs w:val="16"/>
                <w:lang w:eastAsia="es-MX"/>
              </w:rPr>
            </w:pPr>
            <w:r>
              <w:rPr>
                <w:rFonts w:eastAsia="Carme" w:cs="Carme"/>
                <w:b w:val="0"/>
                <w:noProof/>
                <w:color w:val="595959"/>
                <w:sz w:val="20"/>
                <w:szCs w:val="20"/>
                <w:lang w:eastAsia="es-MX"/>
              </w:rPr>
              <mc:AlternateContent>
                <mc:Choice Requires="wps">
                  <w:drawing>
                    <wp:anchor distT="0" distB="0" distL="114300" distR="114300" simplePos="0" relativeHeight="251680768" behindDoc="0" locked="0" layoutInCell="1" allowOverlap="1" wp14:anchorId="77CE885D" wp14:editId="36150059">
                      <wp:simplePos x="0" y="0"/>
                      <wp:positionH relativeFrom="column">
                        <wp:posOffset>2540</wp:posOffset>
                      </wp:positionH>
                      <wp:positionV relativeFrom="paragraph">
                        <wp:posOffset>709930</wp:posOffset>
                      </wp:positionV>
                      <wp:extent cx="7867650" cy="457200"/>
                      <wp:effectExtent l="0" t="0" r="0" b="0"/>
                      <wp:wrapNone/>
                      <wp:docPr id="6" name="6 Cuadro de texto"/>
                      <wp:cNvGraphicFramePr/>
                      <a:graphic xmlns:a="http://schemas.openxmlformats.org/drawingml/2006/main">
                        <a:graphicData uri="http://schemas.microsoft.com/office/word/2010/wordprocessingShape">
                          <wps:wsp>
                            <wps:cNvSpPr txBox="1"/>
                            <wps:spPr>
                              <a:xfrm>
                                <a:off x="0" y="0"/>
                                <a:ext cx="786765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115DC" w14:textId="7F356131" w:rsidR="00EE7D8C" w:rsidRPr="00D328BB" w:rsidRDefault="00EE7D8C">
                                  <w:pPr>
                                    <w:rPr>
                                      <w:rFonts w:ascii="Futura Std Condensed Light" w:eastAsia="MS PGothic" w:hAnsi="Futura Std Condensed Light"/>
                                      <w:color w:val="595959" w:themeColor="text1" w:themeTint="A6"/>
                                      <w:sz w:val="16"/>
                                      <w:szCs w:val="16"/>
                                    </w:rPr>
                                  </w:pPr>
                                  <w:r w:rsidRPr="00D328BB">
                                    <w:rPr>
                                      <w:rFonts w:ascii="Futura Std Condensed Light" w:eastAsia="MS PGothic" w:hAnsi="Futura Std Condensed Light"/>
                                      <w:color w:val="595959" w:themeColor="text1" w:themeTint="A6"/>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6 Cuadro de texto" o:spid="_x0000_s1027" type="#_x0000_t202" style="position:absolute;left:0;text-align:left;margin-left:.2pt;margin-top:55.9pt;width:619.5pt;height:3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" filled="f" stroked="f" strokeweight=".5pt">
                      <v:textbox>
                        <w:txbxContent>
                          <w:p w14:paraId="511115DC" w14:textId="7F356131" w:rsidR="00EE7D8C" w:rsidRPr="00D328BB" w:rsidRDefault="00EE7D8C">
                            <w:pPr>
                              <w:rPr>
                                <w:rFonts w:ascii="Futura Std Condensed Light" w:eastAsia="MS PGothic" w:hAnsi="Futura Std Condensed Light"/>
                                <w:color w:val="595959" w:themeColor="text1" w:themeTint="A6"/>
                                <w:sz w:val="16"/>
                                <w:szCs w:val="16"/>
                              </w:rPr>
                            </w:pPr>
                            <w:r w:rsidRPr="00D328BB">
                              <w:rPr>
                                <w:rFonts w:ascii="Futura Std Condensed Light" w:eastAsia="MS PGothic" w:hAnsi="Futura Std Condensed Light"/>
                                <w:color w:val="595959" w:themeColor="text1" w:themeTint="A6"/>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txbxContent>
                      </v:textbox>
                    </v:shape>
                  </w:pict>
                </mc:Fallback>
              </mc:AlternateContent>
            </w:r>
            <w:r w:rsidR="00132F06" w:rsidRPr="001C7A59">
              <w:rPr>
                <w:rFonts w:eastAsia="Carme" w:cs="Carme"/>
                <w:caps w:val="0"/>
                <w:color w:val="595959"/>
                <w:sz w:val="16"/>
                <w:szCs w:val="16"/>
                <w:lang w:eastAsia="es-MX"/>
              </w:rPr>
              <w:t>Actividad</w:t>
            </w:r>
          </w:p>
        </w:tc>
        <w:tc>
          <w:tcPr>
            <w:tcW w:w="1616" w:type="pct"/>
            <w:tcBorders>
              <w:top w:val="single" w:sz="4" w:space="0" w:color="auto"/>
              <w:left w:val="single" w:sz="4" w:space="0" w:color="auto"/>
              <w:bottom w:val="single" w:sz="4" w:space="0" w:color="auto"/>
              <w:right w:val="single" w:sz="4" w:space="0" w:color="auto"/>
            </w:tcBorders>
            <w:shd w:val="clear" w:color="auto" w:fill="auto"/>
            <w:vAlign w:val="center"/>
          </w:tcPr>
          <w:p w14:paraId="6749CF42" w14:textId="733C89D7"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C.3.A.5 - Formulación y publicación de los informes trimestrales competencia de Deuda Pública para transparentar los fideicomisos relacionados con el Fondo General de Participaciones</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14:paraId="15A10E7D" w14:textId="645F0FF4"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(A/B)*100 A: Consultas realizadas en el trimestre actual a la página oficial B: Consultas trimestre</w:t>
            </w:r>
            <w:r>
              <w:rPr>
                <w:rFonts w:eastAsia="Carme" w:cs="Carme"/>
                <w:bCs/>
                <w:color w:val="595959"/>
                <w:sz w:val="16"/>
                <w:szCs w:val="16"/>
                <w:lang w:val="es-MX" w:eastAsia="es-MX"/>
              </w:rPr>
              <w:t xml:space="preserve"> </w:t>
            </w:r>
            <w:r w:rsidRPr="002162EF">
              <w:rPr>
                <w:rFonts w:eastAsia="Carme" w:cs="Carme"/>
                <w:bCs/>
                <w:color w:val="595959"/>
                <w:sz w:val="16"/>
                <w:szCs w:val="16"/>
                <w:lang w:val="es-MX" w:eastAsia="es-MX"/>
              </w:rPr>
              <w:t xml:space="preserve">anterior a la </w:t>
            </w:r>
            <w:proofErr w:type="spellStart"/>
            <w:r w:rsidRPr="002162EF">
              <w:rPr>
                <w:rFonts w:eastAsia="Carme" w:cs="Carme"/>
                <w:bCs/>
                <w:color w:val="595959"/>
                <w:sz w:val="16"/>
                <w:szCs w:val="16"/>
                <w:lang w:val="es-MX" w:eastAsia="es-MX"/>
              </w:rPr>
              <w:t>pagina</w:t>
            </w:r>
            <w:proofErr w:type="spellEnd"/>
            <w:r w:rsidRPr="002162EF">
              <w:rPr>
                <w:rFonts w:eastAsia="Carme" w:cs="Carme"/>
                <w:bCs/>
                <w:color w:val="595959"/>
                <w:sz w:val="16"/>
                <w:szCs w:val="16"/>
                <w:lang w:val="es-MX" w:eastAsia="es-MX"/>
              </w:rPr>
              <w:t xml:space="preserve"> oficial.</w:t>
            </w:r>
          </w:p>
        </w:tc>
        <w:tc>
          <w:tcPr>
            <w:tcW w:w="1217" w:type="pct"/>
            <w:tcBorders>
              <w:top w:val="single" w:sz="4" w:space="0" w:color="auto"/>
              <w:left w:val="single" w:sz="4" w:space="0" w:color="auto"/>
              <w:bottom w:val="single" w:sz="4" w:space="0" w:color="auto"/>
              <w:right w:val="single" w:sz="4" w:space="0" w:color="auto"/>
            </w:tcBorders>
            <w:shd w:val="clear" w:color="auto" w:fill="auto"/>
            <w:vAlign w:val="center"/>
          </w:tcPr>
          <w:p w14:paraId="5EB5A062" w14:textId="2AF0503C" w:rsidR="00132F06" w:rsidRPr="00117A30" w:rsidRDefault="00132F06" w:rsidP="00D328BB">
            <w:pPr>
              <w:spacing w:after="0" w:line="240" w:lineRule="auto"/>
              <w:jc w:val="center"/>
              <w:rPr>
                <w:rFonts w:eastAsia="Carme" w:cs="Carme"/>
                <w:bCs/>
                <w:color w:val="595959"/>
                <w:sz w:val="16"/>
                <w:szCs w:val="16"/>
                <w:lang w:val="es-MX" w:eastAsia="es-MX"/>
              </w:rPr>
            </w:pPr>
            <w:proofErr w:type="spellStart"/>
            <w:r w:rsidRPr="002162EF">
              <w:rPr>
                <w:rFonts w:eastAsia="Carme" w:cs="Carme"/>
                <w:bCs/>
                <w:color w:val="595959"/>
                <w:sz w:val="16"/>
                <w:szCs w:val="16"/>
                <w:lang w:val="es-MX" w:eastAsia="es-MX"/>
              </w:rPr>
              <w:t>Pagina</w:t>
            </w:r>
            <w:proofErr w:type="spellEnd"/>
            <w:r w:rsidRPr="002162EF">
              <w:rPr>
                <w:rFonts w:eastAsia="Carme" w:cs="Carme"/>
                <w:bCs/>
                <w:color w:val="595959"/>
                <w:sz w:val="16"/>
                <w:szCs w:val="16"/>
                <w:lang w:val="es-MX" w:eastAsia="es-MX"/>
              </w:rPr>
              <w:t xml:space="preserve"> oficial de la SEFIPLAN</w:t>
            </w:r>
            <w:r w:rsidRPr="002162EF">
              <w:rPr>
                <w:rFonts w:eastAsia="Carme" w:cs="Carme"/>
                <w:bCs/>
                <w:color w:val="595959"/>
                <w:sz w:val="16"/>
                <w:szCs w:val="16"/>
                <w:lang w:val="es-MX" w:eastAsia="es-MX"/>
              </w:rPr>
              <w:br/>
              <w:t>http://www.sefiplan.qroo.gob.mx/dpublica/nfideicomisos.php</w:t>
            </w:r>
          </w:p>
        </w:tc>
        <w:tc>
          <w:tcPr>
            <w:tcW w:w="1111" w:type="pct"/>
            <w:tcBorders>
              <w:top w:val="single" w:sz="4" w:space="0" w:color="auto"/>
              <w:left w:val="single" w:sz="4" w:space="0" w:color="auto"/>
              <w:bottom w:val="single" w:sz="4" w:space="0" w:color="auto"/>
              <w:right w:val="single" w:sz="4" w:space="0" w:color="auto"/>
            </w:tcBorders>
            <w:shd w:val="clear" w:color="auto" w:fill="auto"/>
            <w:vAlign w:val="center"/>
          </w:tcPr>
          <w:p w14:paraId="78D6BAAC" w14:textId="05BBF358" w:rsidR="00132F06" w:rsidRPr="00117A30" w:rsidRDefault="00132F06" w:rsidP="00D328BB">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Se reciben los Estados de Cuenta en tiempo y se elaboran los informes trimestrales.</w:t>
            </w:r>
          </w:p>
        </w:tc>
      </w:tr>
    </w:tbl>
    <w:p w14:paraId="6B18D9CA" w14:textId="0F08EEF1" w:rsidR="00FB3542" w:rsidRDefault="00FB3542">
      <w:pPr>
        <w:spacing w:after="0" w:line="240" w:lineRule="auto"/>
        <w:jc w:val="left"/>
        <w:rPr>
          <w:rFonts w:eastAsia="Carme" w:cs="Carme"/>
          <w:b/>
          <w:color w:val="595959"/>
          <w:sz w:val="20"/>
          <w:szCs w:val="20"/>
          <w:lang w:val="es-MX" w:eastAsia="es-MX"/>
        </w:rPr>
      </w:pPr>
      <w:r>
        <w:rPr>
          <w:rFonts w:eastAsia="Carme" w:cs="Carme"/>
          <w:b/>
          <w:color w:val="595959"/>
          <w:sz w:val="20"/>
          <w:szCs w:val="20"/>
          <w:lang w:val="es-MX" w:eastAsia="es-MX"/>
        </w:rPr>
        <w:br w:type="page"/>
      </w:r>
    </w:p>
    <w:tbl>
      <w:tblPr>
        <w:tblpPr w:leftFromText="141" w:rightFromText="141" w:horzAnchor="margin" w:tblpY="552"/>
        <w:tblW w:w="13340" w:type="dxa"/>
        <w:tblLayout w:type="fixed"/>
        <w:tblCellMar>
          <w:left w:w="70" w:type="dxa"/>
          <w:right w:w="70" w:type="dxa"/>
        </w:tblCellMar>
        <w:tblLook w:val="04A0" w:firstRow="1" w:lastRow="0" w:firstColumn="1" w:lastColumn="0" w:noHBand="0" w:noVBand="1"/>
      </w:tblPr>
      <w:tblGrid>
        <w:gridCol w:w="1220"/>
        <w:gridCol w:w="4040"/>
        <w:gridCol w:w="1843"/>
        <w:gridCol w:w="3260"/>
        <w:gridCol w:w="2977"/>
      </w:tblGrid>
      <w:tr w:rsidR="00FB3542" w:rsidRPr="00FB3542" w14:paraId="756AAFB6" w14:textId="77777777" w:rsidTr="00117A30">
        <w:trPr>
          <w:trHeight w:val="20"/>
        </w:trPr>
        <w:tc>
          <w:tcPr>
            <w:tcW w:w="52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95C23A7" w14:textId="77777777" w:rsidR="00FB3542" w:rsidRPr="00FB3542" w:rsidRDefault="00FB3542" w:rsidP="00117A30">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lastRenderedPageBreak/>
              <w:t>PROGRAMA PRESUPUESTARIO:</w:t>
            </w:r>
          </w:p>
        </w:tc>
        <w:tc>
          <w:tcPr>
            <w:tcW w:w="8080" w:type="dxa"/>
            <w:gridSpan w:val="3"/>
            <w:tcBorders>
              <w:top w:val="single" w:sz="4" w:space="0" w:color="auto"/>
              <w:left w:val="nil"/>
              <w:bottom w:val="single" w:sz="4" w:space="0" w:color="auto"/>
              <w:right w:val="single" w:sz="4" w:space="0" w:color="auto"/>
            </w:tcBorders>
            <w:shd w:val="clear" w:color="000000" w:fill="D9D9D9"/>
            <w:vAlign w:val="center"/>
            <w:hideMark/>
          </w:tcPr>
          <w:p w14:paraId="0ED0A586" w14:textId="77777777" w:rsidR="00FB3542" w:rsidRPr="00FB3542" w:rsidRDefault="00FB3542" w:rsidP="00117A30">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t>P003 - Gestión del Gasto Público Orientado a resultados</w:t>
            </w:r>
          </w:p>
        </w:tc>
      </w:tr>
      <w:tr w:rsidR="00FB3542" w:rsidRPr="00FB3542" w14:paraId="5E529FD5" w14:textId="77777777" w:rsidTr="00117A30">
        <w:trPr>
          <w:trHeight w:val="20"/>
        </w:trPr>
        <w:tc>
          <w:tcPr>
            <w:tcW w:w="52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E3D580" w14:textId="77777777" w:rsidR="00FB3542" w:rsidRPr="00FB3542" w:rsidRDefault="00FB3542" w:rsidP="00117A30">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t>INSTITUCIÓN:</w:t>
            </w:r>
          </w:p>
        </w:tc>
        <w:tc>
          <w:tcPr>
            <w:tcW w:w="8080" w:type="dxa"/>
            <w:gridSpan w:val="3"/>
            <w:tcBorders>
              <w:top w:val="single" w:sz="4" w:space="0" w:color="auto"/>
              <w:left w:val="nil"/>
              <w:bottom w:val="single" w:sz="4" w:space="0" w:color="auto"/>
              <w:right w:val="single" w:sz="4" w:space="0" w:color="auto"/>
            </w:tcBorders>
            <w:shd w:val="clear" w:color="000000" w:fill="D9D9D9"/>
            <w:vAlign w:val="center"/>
            <w:hideMark/>
          </w:tcPr>
          <w:p w14:paraId="7782570E" w14:textId="0503ABA3" w:rsidR="00FB3542" w:rsidRPr="00FB3542" w:rsidRDefault="00FB3542" w:rsidP="00132F06">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t>1106-- Subsecretaría de Política Hacendaria y Control Presupuestal</w:t>
            </w:r>
          </w:p>
        </w:tc>
      </w:tr>
      <w:tr w:rsidR="00117A30" w:rsidRPr="00FB3542" w14:paraId="75B3D961" w14:textId="77777777" w:rsidTr="00117A30">
        <w:trPr>
          <w:trHeight w:val="20"/>
        </w:trPr>
        <w:tc>
          <w:tcPr>
            <w:tcW w:w="1220" w:type="dxa"/>
            <w:tcBorders>
              <w:top w:val="nil"/>
              <w:left w:val="single" w:sz="8" w:space="0" w:color="auto"/>
              <w:bottom w:val="single" w:sz="8" w:space="0" w:color="auto"/>
              <w:right w:val="nil"/>
            </w:tcBorders>
            <w:shd w:val="clear" w:color="auto" w:fill="auto"/>
            <w:noWrap/>
            <w:vAlign w:val="center"/>
            <w:hideMark/>
          </w:tcPr>
          <w:p w14:paraId="22CA8FDD" w14:textId="77777777" w:rsidR="00FB3542" w:rsidRPr="00FB3542" w:rsidRDefault="00FB3542" w:rsidP="00117A30">
            <w:pPr>
              <w:spacing w:after="0" w:line="240" w:lineRule="auto"/>
              <w:jc w:val="left"/>
              <w:rPr>
                <w:rFonts w:ascii="Arial" w:eastAsia="Times New Roman" w:hAnsi="Arial" w:cs="Arial"/>
                <w:b/>
                <w:bCs/>
                <w:color w:val="595959"/>
                <w:sz w:val="20"/>
                <w:szCs w:val="20"/>
                <w:lang w:val="es-MX" w:eastAsia="es-MX"/>
              </w:rPr>
            </w:pPr>
            <w:r w:rsidRPr="00FB3542">
              <w:rPr>
                <w:rFonts w:ascii="Arial" w:eastAsia="Times New Roman" w:hAnsi="Arial" w:cs="Arial"/>
                <w:b/>
                <w:bCs/>
                <w:color w:val="595959"/>
                <w:sz w:val="20"/>
                <w:szCs w:val="20"/>
                <w:lang w:val="es-MX" w:eastAsia="es-MX"/>
              </w:rPr>
              <w:t> </w:t>
            </w:r>
          </w:p>
        </w:tc>
        <w:tc>
          <w:tcPr>
            <w:tcW w:w="4040" w:type="dxa"/>
            <w:tcBorders>
              <w:top w:val="nil"/>
              <w:left w:val="nil"/>
              <w:bottom w:val="single" w:sz="8" w:space="0" w:color="auto"/>
              <w:right w:val="nil"/>
            </w:tcBorders>
            <w:shd w:val="clear" w:color="auto" w:fill="auto"/>
            <w:vAlign w:val="center"/>
            <w:hideMark/>
          </w:tcPr>
          <w:p w14:paraId="4FFDD0D3" w14:textId="77777777" w:rsidR="00FB3542" w:rsidRPr="00FB3542" w:rsidRDefault="00FB3542" w:rsidP="00117A30">
            <w:pPr>
              <w:spacing w:after="0" w:line="240" w:lineRule="auto"/>
              <w:jc w:val="left"/>
              <w:rPr>
                <w:rFonts w:ascii="Arial" w:eastAsia="Times New Roman" w:hAnsi="Arial" w:cs="Arial"/>
                <w:b/>
                <w:bCs/>
                <w:color w:val="595959"/>
                <w:sz w:val="20"/>
                <w:szCs w:val="20"/>
                <w:lang w:val="es-MX" w:eastAsia="es-MX"/>
              </w:rPr>
            </w:pPr>
            <w:r w:rsidRPr="00FB3542">
              <w:rPr>
                <w:rFonts w:ascii="Arial" w:eastAsia="Times New Roman" w:hAnsi="Arial" w:cs="Arial"/>
                <w:b/>
                <w:bCs/>
                <w:color w:val="595959"/>
                <w:sz w:val="20"/>
                <w:szCs w:val="20"/>
                <w:lang w:val="es-MX" w:eastAsia="es-MX"/>
              </w:rPr>
              <w:t> </w:t>
            </w:r>
          </w:p>
        </w:tc>
        <w:tc>
          <w:tcPr>
            <w:tcW w:w="1843" w:type="dxa"/>
            <w:tcBorders>
              <w:top w:val="nil"/>
              <w:left w:val="nil"/>
              <w:bottom w:val="nil"/>
              <w:right w:val="nil"/>
            </w:tcBorders>
            <w:shd w:val="clear" w:color="auto" w:fill="auto"/>
            <w:noWrap/>
            <w:vAlign w:val="bottom"/>
            <w:hideMark/>
          </w:tcPr>
          <w:p w14:paraId="574109B0" w14:textId="77777777" w:rsidR="00FB3542" w:rsidRPr="00FB3542" w:rsidRDefault="00FB3542" w:rsidP="00117A30">
            <w:pPr>
              <w:spacing w:after="0" w:line="240" w:lineRule="auto"/>
              <w:jc w:val="left"/>
              <w:rPr>
                <w:rFonts w:ascii="Calibri" w:eastAsia="Times New Roman" w:hAnsi="Calibri" w:cs="Calibri"/>
                <w:color w:val="000000"/>
                <w:sz w:val="22"/>
                <w:szCs w:val="22"/>
                <w:lang w:val="es-MX" w:eastAsia="es-MX"/>
              </w:rPr>
            </w:pPr>
          </w:p>
        </w:tc>
        <w:tc>
          <w:tcPr>
            <w:tcW w:w="3260" w:type="dxa"/>
            <w:tcBorders>
              <w:top w:val="nil"/>
              <w:left w:val="nil"/>
              <w:bottom w:val="nil"/>
              <w:right w:val="nil"/>
            </w:tcBorders>
            <w:shd w:val="clear" w:color="auto" w:fill="auto"/>
            <w:noWrap/>
            <w:vAlign w:val="bottom"/>
            <w:hideMark/>
          </w:tcPr>
          <w:p w14:paraId="751D9960" w14:textId="77777777" w:rsidR="00FB3542" w:rsidRPr="00FB3542" w:rsidRDefault="00FB3542" w:rsidP="00117A30">
            <w:pPr>
              <w:spacing w:after="0" w:line="240" w:lineRule="auto"/>
              <w:jc w:val="left"/>
              <w:rPr>
                <w:rFonts w:ascii="Calibri" w:eastAsia="Times New Roman" w:hAnsi="Calibri" w:cs="Calibri"/>
                <w:color w:val="000000"/>
                <w:sz w:val="22"/>
                <w:szCs w:val="22"/>
                <w:lang w:val="es-MX" w:eastAsia="es-MX"/>
              </w:rPr>
            </w:pPr>
          </w:p>
        </w:tc>
        <w:tc>
          <w:tcPr>
            <w:tcW w:w="2977" w:type="dxa"/>
            <w:tcBorders>
              <w:top w:val="nil"/>
              <w:left w:val="nil"/>
              <w:bottom w:val="nil"/>
              <w:right w:val="nil"/>
            </w:tcBorders>
            <w:shd w:val="clear" w:color="auto" w:fill="auto"/>
            <w:noWrap/>
            <w:vAlign w:val="bottom"/>
            <w:hideMark/>
          </w:tcPr>
          <w:p w14:paraId="0B91DC0F" w14:textId="77777777" w:rsidR="00FB3542" w:rsidRPr="00FB3542" w:rsidRDefault="00FB3542" w:rsidP="00117A30">
            <w:pPr>
              <w:spacing w:after="0" w:line="240" w:lineRule="auto"/>
              <w:jc w:val="left"/>
              <w:rPr>
                <w:rFonts w:ascii="Calibri" w:eastAsia="Times New Roman" w:hAnsi="Calibri" w:cs="Calibri"/>
                <w:color w:val="000000"/>
                <w:sz w:val="22"/>
                <w:szCs w:val="22"/>
                <w:lang w:val="es-MX" w:eastAsia="es-MX"/>
              </w:rPr>
            </w:pPr>
          </w:p>
        </w:tc>
      </w:tr>
      <w:tr w:rsidR="00117A30" w:rsidRPr="00FB3542" w14:paraId="68A5D1F5" w14:textId="77777777" w:rsidTr="00117A30">
        <w:trPr>
          <w:trHeight w:val="20"/>
        </w:trPr>
        <w:tc>
          <w:tcPr>
            <w:tcW w:w="1220" w:type="dxa"/>
            <w:tcBorders>
              <w:top w:val="nil"/>
              <w:left w:val="single" w:sz="8" w:space="0" w:color="auto"/>
              <w:bottom w:val="single" w:sz="8" w:space="0" w:color="auto"/>
              <w:right w:val="single" w:sz="8" w:space="0" w:color="auto"/>
            </w:tcBorders>
            <w:shd w:val="clear" w:color="000000" w:fill="D9D9D9"/>
            <w:vAlign w:val="center"/>
            <w:hideMark/>
          </w:tcPr>
          <w:p w14:paraId="0FA74558" w14:textId="77777777" w:rsidR="00FB3542" w:rsidRPr="00FB3542" w:rsidRDefault="00FB3542" w:rsidP="00117A30">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NIVEL</w:t>
            </w:r>
          </w:p>
        </w:tc>
        <w:tc>
          <w:tcPr>
            <w:tcW w:w="4040" w:type="dxa"/>
            <w:tcBorders>
              <w:top w:val="nil"/>
              <w:left w:val="nil"/>
              <w:bottom w:val="single" w:sz="8" w:space="0" w:color="auto"/>
              <w:right w:val="single" w:sz="8" w:space="0" w:color="auto"/>
            </w:tcBorders>
            <w:shd w:val="clear" w:color="000000" w:fill="D9D9D9"/>
            <w:vAlign w:val="center"/>
            <w:hideMark/>
          </w:tcPr>
          <w:p w14:paraId="1F1BF20D" w14:textId="77777777" w:rsidR="00FB3542" w:rsidRPr="00FB3542" w:rsidRDefault="00FB3542" w:rsidP="00117A30">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OBJETIVO</w:t>
            </w:r>
          </w:p>
        </w:tc>
        <w:tc>
          <w:tcPr>
            <w:tcW w:w="1843" w:type="dxa"/>
            <w:tcBorders>
              <w:top w:val="single" w:sz="8" w:space="0" w:color="auto"/>
              <w:left w:val="nil"/>
              <w:bottom w:val="single" w:sz="8" w:space="0" w:color="auto"/>
              <w:right w:val="single" w:sz="8" w:space="0" w:color="auto"/>
            </w:tcBorders>
            <w:shd w:val="clear" w:color="000000" w:fill="D9D9D9"/>
            <w:vAlign w:val="center"/>
            <w:hideMark/>
          </w:tcPr>
          <w:p w14:paraId="0E218F3A" w14:textId="77777777" w:rsidR="00FB3542" w:rsidRPr="00FB3542" w:rsidRDefault="00FB3542" w:rsidP="00117A30">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INDICADOR</w:t>
            </w:r>
          </w:p>
        </w:tc>
        <w:tc>
          <w:tcPr>
            <w:tcW w:w="3260" w:type="dxa"/>
            <w:tcBorders>
              <w:top w:val="single" w:sz="8" w:space="0" w:color="auto"/>
              <w:left w:val="nil"/>
              <w:bottom w:val="single" w:sz="8" w:space="0" w:color="auto"/>
              <w:right w:val="single" w:sz="8" w:space="0" w:color="auto"/>
            </w:tcBorders>
            <w:shd w:val="clear" w:color="000000" w:fill="D9D9D9"/>
            <w:vAlign w:val="center"/>
            <w:hideMark/>
          </w:tcPr>
          <w:p w14:paraId="388067E2" w14:textId="77777777" w:rsidR="00FB3542" w:rsidRPr="00FB3542" w:rsidRDefault="00FB3542" w:rsidP="00117A30">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MEDIOS DE VERIFICACIÓN</w:t>
            </w:r>
          </w:p>
        </w:tc>
        <w:tc>
          <w:tcPr>
            <w:tcW w:w="2977" w:type="dxa"/>
            <w:tcBorders>
              <w:top w:val="single" w:sz="8" w:space="0" w:color="auto"/>
              <w:left w:val="nil"/>
              <w:bottom w:val="single" w:sz="8" w:space="0" w:color="auto"/>
              <w:right w:val="single" w:sz="8" w:space="0" w:color="auto"/>
            </w:tcBorders>
            <w:shd w:val="clear" w:color="000000" w:fill="D9D9D9"/>
            <w:vAlign w:val="center"/>
            <w:hideMark/>
          </w:tcPr>
          <w:p w14:paraId="311E0B57" w14:textId="77777777" w:rsidR="00FB3542" w:rsidRPr="00FB3542" w:rsidRDefault="00FB3542" w:rsidP="00117A30">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SUPUESTO</w:t>
            </w:r>
          </w:p>
        </w:tc>
      </w:tr>
      <w:tr w:rsidR="002162EF" w:rsidRPr="00FB3542" w14:paraId="6367A365" w14:textId="77777777" w:rsidTr="001C7A59">
        <w:trPr>
          <w:trHeight w:val="20"/>
        </w:trPr>
        <w:tc>
          <w:tcPr>
            <w:tcW w:w="1220" w:type="dxa"/>
            <w:tcBorders>
              <w:top w:val="nil"/>
              <w:left w:val="single" w:sz="8" w:space="0" w:color="auto"/>
              <w:bottom w:val="single" w:sz="8" w:space="0" w:color="auto"/>
              <w:right w:val="single" w:sz="8" w:space="0" w:color="auto"/>
            </w:tcBorders>
            <w:shd w:val="clear" w:color="auto" w:fill="auto"/>
            <w:vAlign w:val="center"/>
            <w:hideMark/>
          </w:tcPr>
          <w:p w14:paraId="3C749D8A" w14:textId="47C88040" w:rsidR="002162EF" w:rsidRPr="00FB3542" w:rsidRDefault="002162EF" w:rsidP="00117A30">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Fin</w:t>
            </w:r>
          </w:p>
        </w:tc>
        <w:tc>
          <w:tcPr>
            <w:tcW w:w="4040" w:type="dxa"/>
            <w:tcBorders>
              <w:top w:val="nil"/>
              <w:left w:val="nil"/>
              <w:bottom w:val="single" w:sz="8" w:space="0" w:color="auto"/>
              <w:right w:val="single" w:sz="8" w:space="0" w:color="auto"/>
            </w:tcBorders>
            <w:shd w:val="clear" w:color="auto" w:fill="auto"/>
            <w:vAlign w:val="center"/>
          </w:tcPr>
          <w:p w14:paraId="60CC826F" w14:textId="3C98AC47"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F - Contribuir a consolidar la Gestión para Resultados</w:t>
            </w:r>
            <w:r w:rsidRPr="002162EF">
              <w:rPr>
                <w:rFonts w:eastAsia="Carme" w:cs="Carme"/>
                <w:bCs/>
                <w:color w:val="595959"/>
                <w:sz w:val="16"/>
                <w:szCs w:val="16"/>
                <w:lang w:val="es-MX" w:eastAsia="es-MX"/>
              </w:rPr>
              <w:br/>
              <w:t>(</w:t>
            </w:r>
            <w:proofErr w:type="spellStart"/>
            <w:r w:rsidRPr="002162EF">
              <w:rPr>
                <w:rFonts w:eastAsia="Carme" w:cs="Carme"/>
                <w:bCs/>
                <w:color w:val="595959"/>
                <w:sz w:val="16"/>
                <w:szCs w:val="16"/>
                <w:lang w:val="es-MX" w:eastAsia="es-MX"/>
              </w:rPr>
              <w:t>GpR</w:t>
            </w:r>
            <w:proofErr w:type="spellEnd"/>
            <w:r w:rsidRPr="002162EF">
              <w:rPr>
                <w:rFonts w:eastAsia="Carme" w:cs="Carme"/>
                <w:bCs/>
                <w:color w:val="595959"/>
                <w:sz w:val="16"/>
                <w:szCs w:val="16"/>
                <w:lang w:val="es-MX" w:eastAsia="es-MX"/>
              </w:rPr>
              <w:t>) como un modelo de cultura organizacional, directiva</w:t>
            </w:r>
            <w:r w:rsidRPr="002162EF">
              <w:rPr>
                <w:rFonts w:eastAsia="Carme" w:cs="Carme"/>
                <w:bCs/>
                <w:color w:val="595959"/>
                <w:sz w:val="16"/>
                <w:szCs w:val="16"/>
                <w:lang w:val="es-MX" w:eastAsia="es-MX"/>
              </w:rPr>
              <w:br/>
              <w:t>y de gestión que permita la creación de valor público en la</w:t>
            </w:r>
            <w:r w:rsidRPr="002162EF">
              <w:rPr>
                <w:rFonts w:eastAsia="Carme" w:cs="Carme"/>
                <w:bCs/>
                <w:color w:val="595959"/>
                <w:sz w:val="16"/>
                <w:szCs w:val="16"/>
                <w:lang w:val="es-MX" w:eastAsia="es-MX"/>
              </w:rPr>
              <w:br/>
              <w:t>administración pública estatal mediante el fortalecimiento a</w:t>
            </w:r>
            <w:r w:rsidRPr="002162EF">
              <w:rPr>
                <w:rFonts w:eastAsia="Carme" w:cs="Carme"/>
                <w:bCs/>
                <w:color w:val="595959"/>
                <w:sz w:val="16"/>
                <w:szCs w:val="16"/>
                <w:lang w:val="es-MX" w:eastAsia="es-MX"/>
              </w:rPr>
              <w:br/>
              <w:t>la implementación del Presupuesto basado en Resultados</w:t>
            </w:r>
            <w:r w:rsidRPr="002162EF">
              <w:rPr>
                <w:rFonts w:eastAsia="Carme" w:cs="Carme"/>
                <w:bCs/>
                <w:color w:val="595959"/>
                <w:sz w:val="16"/>
                <w:szCs w:val="16"/>
                <w:lang w:val="es-MX" w:eastAsia="es-MX"/>
              </w:rPr>
              <w:br/>
              <w:t>(PbR) y el Sistema de Evaluación del Desempeño (SED) al</w:t>
            </w:r>
            <w:r w:rsidRPr="002162EF">
              <w:rPr>
                <w:rFonts w:eastAsia="Carme" w:cs="Carme"/>
                <w:bCs/>
                <w:color w:val="595959"/>
                <w:sz w:val="16"/>
                <w:szCs w:val="16"/>
                <w:lang w:val="es-MX" w:eastAsia="es-MX"/>
              </w:rPr>
              <w:br/>
              <w:t>interior de la administración pública estatal, para mejorar la</w:t>
            </w:r>
            <w:r w:rsidRPr="002162EF">
              <w:rPr>
                <w:rFonts w:eastAsia="Carme" w:cs="Carme"/>
                <w:bCs/>
                <w:color w:val="595959"/>
                <w:sz w:val="16"/>
                <w:szCs w:val="16"/>
                <w:lang w:val="es-MX" w:eastAsia="es-MX"/>
              </w:rPr>
              <w:br/>
              <w:t>calidad del gasto público y promover una adecuada</w:t>
            </w:r>
            <w:r w:rsidRPr="002162EF">
              <w:rPr>
                <w:rFonts w:eastAsia="Carme" w:cs="Carme"/>
                <w:bCs/>
                <w:color w:val="595959"/>
                <w:sz w:val="16"/>
                <w:szCs w:val="16"/>
                <w:lang w:val="es-MX" w:eastAsia="es-MX"/>
              </w:rPr>
              <w:br/>
              <w:t>rendición de cuentas.</w:t>
            </w:r>
          </w:p>
        </w:tc>
        <w:tc>
          <w:tcPr>
            <w:tcW w:w="1843" w:type="dxa"/>
            <w:tcBorders>
              <w:top w:val="nil"/>
              <w:left w:val="nil"/>
              <w:bottom w:val="single" w:sz="8" w:space="0" w:color="auto"/>
              <w:right w:val="single" w:sz="8" w:space="0" w:color="auto"/>
            </w:tcBorders>
            <w:shd w:val="clear" w:color="auto" w:fill="auto"/>
            <w:vAlign w:val="center"/>
          </w:tcPr>
          <w:p w14:paraId="20B4CB38" w14:textId="4815EFAB" w:rsidR="002162EF" w:rsidRPr="00FB3542" w:rsidRDefault="002162EF" w:rsidP="00117A30">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Índice General de Avance en PbR SED</w:t>
            </w:r>
          </w:p>
        </w:tc>
        <w:tc>
          <w:tcPr>
            <w:tcW w:w="3260" w:type="dxa"/>
            <w:tcBorders>
              <w:top w:val="nil"/>
              <w:left w:val="nil"/>
              <w:bottom w:val="single" w:sz="8" w:space="0" w:color="auto"/>
              <w:right w:val="single" w:sz="8" w:space="0" w:color="auto"/>
            </w:tcBorders>
            <w:shd w:val="clear" w:color="auto" w:fill="auto"/>
            <w:vAlign w:val="center"/>
          </w:tcPr>
          <w:p w14:paraId="52E4F697" w14:textId="0C983EBA" w:rsidR="002162EF" w:rsidRPr="00FB3542" w:rsidRDefault="002162EF" w:rsidP="00117A30">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Secretaria de Hacienda y Crédito Público.</w:t>
            </w:r>
          </w:p>
        </w:tc>
        <w:tc>
          <w:tcPr>
            <w:tcW w:w="2977" w:type="dxa"/>
            <w:tcBorders>
              <w:top w:val="nil"/>
              <w:left w:val="nil"/>
              <w:bottom w:val="single" w:sz="8" w:space="0" w:color="auto"/>
              <w:right w:val="single" w:sz="8" w:space="0" w:color="auto"/>
            </w:tcBorders>
            <w:shd w:val="clear" w:color="auto" w:fill="auto"/>
            <w:vAlign w:val="center"/>
          </w:tcPr>
          <w:p w14:paraId="34D4D121" w14:textId="47AB239C"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El modelo de presupuestación a nivel nacional se mantiene el tiempo  necesario para lograr su consolidación en todo el país.</w:t>
            </w:r>
          </w:p>
        </w:tc>
      </w:tr>
      <w:tr w:rsidR="002162EF" w:rsidRPr="00FB3542" w14:paraId="1C15A8C7" w14:textId="77777777" w:rsidTr="001C7A59">
        <w:trPr>
          <w:trHeight w:val="20"/>
        </w:trPr>
        <w:tc>
          <w:tcPr>
            <w:tcW w:w="1220" w:type="dxa"/>
            <w:tcBorders>
              <w:top w:val="nil"/>
              <w:left w:val="single" w:sz="8" w:space="0" w:color="auto"/>
              <w:bottom w:val="single" w:sz="8" w:space="0" w:color="auto"/>
              <w:right w:val="single" w:sz="8" w:space="0" w:color="auto"/>
            </w:tcBorders>
            <w:shd w:val="clear" w:color="auto" w:fill="auto"/>
            <w:vAlign w:val="center"/>
            <w:hideMark/>
          </w:tcPr>
          <w:p w14:paraId="19F453AD" w14:textId="2BCF9B2C" w:rsidR="002162EF" w:rsidRPr="00FB3542" w:rsidRDefault="002162EF" w:rsidP="00117A30">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Propósito</w:t>
            </w:r>
          </w:p>
        </w:tc>
        <w:tc>
          <w:tcPr>
            <w:tcW w:w="4040" w:type="dxa"/>
            <w:tcBorders>
              <w:top w:val="nil"/>
              <w:left w:val="nil"/>
              <w:bottom w:val="single" w:sz="8" w:space="0" w:color="auto"/>
              <w:right w:val="single" w:sz="8" w:space="0" w:color="auto"/>
            </w:tcBorders>
            <w:shd w:val="clear" w:color="auto" w:fill="auto"/>
            <w:vAlign w:val="center"/>
          </w:tcPr>
          <w:p w14:paraId="4D3AE299" w14:textId="19C29D3D"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 - La Gestión para Resultados (</w:t>
            </w:r>
            <w:proofErr w:type="spellStart"/>
            <w:r w:rsidRPr="002162EF">
              <w:rPr>
                <w:rFonts w:eastAsia="Carme" w:cs="Carme"/>
                <w:bCs/>
                <w:color w:val="595959"/>
                <w:sz w:val="16"/>
                <w:szCs w:val="16"/>
                <w:lang w:val="es-MX" w:eastAsia="es-MX"/>
              </w:rPr>
              <w:t>GpR</w:t>
            </w:r>
            <w:proofErr w:type="spellEnd"/>
            <w:r w:rsidRPr="002162EF">
              <w:rPr>
                <w:rFonts w:eastAsia="Carme" w:cs="Carme"/>
                <w:bCs/>
                <w:color w:val="595959"/>
                <w:sz w:val="16"/>
                <w:szCs w:val="16"/>
                <w:lang w:val="es-MX" w:eastAsia="es-MX"/>
              </w:rPr>
              <w:t xml:space="preserve">) se encuentra consolidada a través del ciclo presupuestario y con una </w:t>
            </w:r>
            <w:r w:rsidR="005E07C8" w:rsidRPr="002162EF">
              <w:rPr>
                <w:rFonts w:eastAsia="Carme" w:cs="Carme"/>
                <w:bCs/>
                <w:color w:val="595959"/>
                <w:sz w:val="16"/>
                <w:szCs w:val="16"/>
                <w:lang w:val="es-MX" w:eastAsia="es-MX"/>
              </w:rPr>
              <w:t>política</w:t>
            </w:r>
            <w:r w:rsidRPr="002162EF">
              <w:rPr>
                <w:rFonts w:eastAsia="Carme" w:cs="Carme"/>
                <w:bCs/>
                <w:color w:val="595959"/>
                <w:sz w:val="16"/>
                <w:szCs w:val="16"/>
                <w:lang w:val="es-MX" w:eastAsia="es-MX"/>
              </w:rPr>
              <w:t xml:space="preserve"> hacendaria integral y transparente, que permite al gobierno mantener estabilidad económica y  sustentabilidad de las finanzas públicas.</w:t>
            </w:r>
          </w:p>
        </w:tc>
        <w:tc>
          <w:tcPr>
            <w:tcW w:w="1843" w:type="dxa"/>
            <w:tcBorders>
              <w:top w:val="nil"/>
              <w:left w:val="nil"/>
              <w:bottom w:val="single" w:sz="8" w:space="0" w:color="auto"/>
              <w:right w:val="single" w:sz="8" w:space="0" w:color="auto"/>
            </w:tcBorders>
            <w:shd w:val="clear" w:color="auto" w:fill="auto"/>
            <w:vAlign w:val="center"/>
          </w:tcPr>
          <w:p w14:paraId="6713DDBF" w14:textId="156565E2"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del Gasto Público aplicado bajo PbR</w:t>
            </w:r>
          </w:p>
        </w:tc>
        <w:tc>
          <w:tcPr>
            <w:tcW w:w="3260" w:type="dxa"/>
            <w:tcBorders>
              <w:top w:val="nil"/>
              <w:left w:val="nil"/>
              <w:bottom w:val="single" w:sz="8" w:space="0" w:color="auto"/>
              <w:right w:val="single" w:sz="8" w:space="0" w:color="auto"/>
            </w:tcBorders>
            <w:shd w:val="clear" w:color="auto" w:fill="auto"/>
            <w:vAlign w:val="center"/>
          </w:tcPr>
          <w:p w14:paraId="002EE43F" w14:textId="6E02456C" w:rsidR="002162EF" w:rsidRPr="00FB3542" w:rsidRDefault="002162EF" w:rsidP="00117A30">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SEFIPLAN, SSPHCP</w:t>
            </w:r>
          </w:p>
        </w:tc>
        <w:tc>
          <w:tcPr>
            <w:tcW w:w="2977" w:type="dxa"/>
            <w:tcBorders>
              <w:top w:val="nil"/>
              <w:left w:val="nil"/>
              <w:bottom w:val="single" w:sz="8" w:space="0" w:color="auto"/>
              <w:right w:val="single" w:sz="8" w:space="0" w:color="auto"/>
            </w:tcBorders>
            <w:shd w:val="clear" w:color="auto" w:fill="auto"/>
            <w:vAlign w:val="center"/>
          </w:tcPr>
          <w:p w14:paraId="21F70208" w14:textId="1B6D2AD5"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Los actores involucrados en el ciclo presupuestario cumplen en tiempo y forma con los requerimientos </w:t>
            </w:r>
            <w:r w:rsidR="005E07C8" w:rsidRPr="002162EF">
              <w:rPr>
                <w:rFonts w:eastAsia="Carme" w:cs="Carme"/>
                <w:bCs/>
                <w:color w:val="595959"/>
                <w:sz w:val="16"/>
                <w:szCs w:val="16"/>
                <w:lang w:val="es-MX" w:eastAsia="es-MX"/>
              </w:rPr>
              <w:t>presupuestales</w:t>
            </w:r>
            <w:r w:rsidRPr="002162EF">
              <w:rPr>
                <w:rFonts w:eastAsia="Carme" w:cs="Carme"/>
                <w:bCs/>
                <w:color w:val="595959"/>
                <w:sz w:val="16"/>
                <w:szCs w:val="16"/>
                <w:lang w:val="es-MX" w:eastAsia="es-MX"/>
              </w:rPr>
              <w:t xml:space="preserve"> y administrativos para facilitar el proceso de consolidación del modelo </w:t>
            </w:r>
            <w:proofErr w:type="spellStart"/>
            <w:r w:rsidRPr="002162EF">
              <w:rPr>
                <w:rFonts w:eastAsia="Carme" w:cs="Carme"/>
                <w:bCs/>
                <w:color w:val="595959"/>
                <w:sz w:val="16"/>
                <w:szCs w:val="16"/>
                <w:lang w:val="es-MX" w:eastAsia="es-MX"/>
              </w:rPr>
              <w:t>GpR</w:t>
            </w:r>
            <w:proofErr w:type="spellEnd"/>
            <w:r w:rsidRPr="002162EF">
              <w:rPr>
                <w:rFonts w:eastAsia="Carme" w:cs="Carme"/>
                <w:bCs/>
                <w:color w:val="595959"/>
                <w:sz w:val="16"/>
                <w:szCs w:val="16"/>
                <w:lang w:val="es-MX" w:eastAsia="es-MX"/>
              </w:rPr>
              <w:t>.</w:t>
            </w:r>
          </w:p>
        </w:tc>
      </w:tr>
      <w:tr w:rsidR="002162EF" w:rsidRPr="00FB3542" w14:paraId="0CEF9128" w14:textId="77777777" w:rsidTr="001C7A59">
        <w:trPr>
          <w:trHeight w:val="20"/>
        </w:trPr>
        <w:tc>
          <w:tcPr>
            <w:tcW w:w="1220" w:type="dxa"/>
            <w:tcBorders>
              <w:top w:val="nil"/>
              <w:left w:val="single" w:sz="8" w:space="0" w:color="auto"/>
              <w:bottom w:val="single" w:sz="8" w:space="0" w:color="auto"/>
              <w:right w:val="single" w:sz="8" w:space="0" w:color="auto"/>
            </w:tcBorders>
            <w:shd w:val="clear" w:color="auto" w:fill="auto"/>
            <w:vAlign w:val="center"/>
            <w:hideMark/>
          </w:tcPr>
          <w:p w14:paraId="05F8A12E" w14:textId="2380BB31" w:rsidR="002162EF" w:rsidRPr="00FB3542" w:rsidRDefault="002162EF" w:rsidP="00117A30">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Componente</w:t>
            </w:r>
          </w:p>
        </w:tc>
        <w:tc>
          <w:tcPr>
            <w:tcW w:w="4040" w:type="dxa"/>
            <w:tcBorders>
              <w:top w:val="nil"/>
              <w:left w:val="nil"/>
              <w:bottom w:val="single" w:sz="8" w:space="0" w:color="auto"/>
              <w:right w:val="single" w:sz="8" w:space="0" w:color="auto"/>
            </w:tcBorders>
            <w:shd w:val="clear" w:color="auto" w:fill="auto"/>
            <w:vAlign w:val="center"/>
          </w:tcPr>
          <w:p w14:paraId="2E4C0EBF" w14:textId="4FA1CEEC"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C01.- Participación en los consejos Interinstitucionales de apoyo a la planeación del estado, instaurada.</w:t>
            </w:r>
          </w:p>
        </w:tc>
        <w:tc>
          <w:tcPr>
            <w:tcW w:w="1843" w:type="dxa"/>
            <w:tcBorders>
              <w:top w:val="nil"/>
              <w:left w:val="nil"/>
              <w:bottom w:val="single" w:sz="8" w:space="0" w:color="auto"/>
              <w:right w:val="single" w:sz="8" w:space="0" w:color="auto"/>
            </w:tcBorders>
            <w:shd w:val="clear" w:color="auto" w:fill="auto"/>
            <w:vAlign w:val="center"/>
          </w:tcPr>
          <w:p w14:paraId="36DE6F3B" w14:textId="0D8C1033"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C1 - Porcentaje de cumplimiento de metas de los Entes de</w:t>
            </w:r>
            <w:r w:rsidRPr="002162EF">
              <w:rPr>
                <w:rFonts w:eastAsia="Carme" w:cs="Carme"/>
                <w:bCs/>
                <w:color w:val="595959"/>
                <w:sz w:val="16"/>
                <w:szCs w:val="16"/>
                <w:lang w:val="es-MX" w:eastAsia="es-MX"/>
              </w:rPr>
              <w:br/>
              <w:t>la Administración Pública Estatal</w:t>
            </w:r>
          </w:p>
        </w:tc>
        <w:tc>
          <w:tcPr>
            <w:tcW w:w="3260" w:type="dxa"/>
            <w:tcBorders>
              <w:top w:val="nil"/>
              <w:left w:val="nil"/>
              <w:bottom w:val="single" w:sz="8" w:space="0" w:color="auto"/>
              <w:right w:val="single" w:sz="8" w:space="0" w:color="auto"/>
            </w:tcBorders>
            <w:shd w:val="clear" w:color="auto" w:fill="auto"/>
            <w:vAlign w:val="center"/>
          </w:tcPr>
          <w:p w14:paraId="0E5E0CF8" w14:textId="51562D8C" w:rsidR="002162EF" w:rsidRPr="00FB3542" w:rsidRDefault="002162EF" w:rsidP="00117A30">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Informe de Ejecución de los Programas de Desarrollo</w:t>
            </w:r>
          </w:p>
        </w:tc>
        <w:tc>
          <w:tcPr>
            <w:tcW w:w="2977" w:type="dxa"/>
            <w:tcBorders>
              <w:top w:val="nil"/>
              <w:left w:val="nil"/>
              <w:bottom w:val="single" w:sz="8" w:space="0" w:color="auto"/>
              <w:right w:val="single" w:sz="8" w:space="0" w:color="auto"/>
            </w:tcBorders>
            <w:shd w:val="clear" w:color="auto" w:fill="auto"/>
            <w:vAlign w:val="center"/>
          </w:tcPr>
          <w:p w14:paraId="49243419" w14:textId="32573838"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Las dependencias y </w:t>
            </w:r>
            <w:r w:rsidR="005E07C8" w:rsidRPr="002162EF">
              <w:rPr>
                <w:rFonts w:eastAsia="Carme" w:cs="Carme"/>
                <w:bCs/>
                <w:color w:val="595959"/>
                <w:sz w:val="16"/>
                <w:szCs w:val="16"/>
                <w:lang w:val="es-MX" w:eastAsia="es-MX"/>
              </w:rPr>
              <w:t>Entidades</w:t>
            </w:r>
            <w:r w:rsidRPr="002162EF">
              <w:rPr>
                <w:rFonts w:eastAsia="Carme" w:cs="Carme"/>
                <w:bCs/>
                <w:color w:val="595959"/>
                <w:sz w:val="16"/>
                <w:szCs w:val="16"/>
                <w:lang w:val="es-MX" w:eastAsia="es-MX"/>
              </w:rPr>
              <w:t xml:space="preserve"> participaran en los Consejos </w:t>
            </w:r>
            <w:r w:rsidR="005E07C8" w:rsidRPr="002162EF">
              <w:rPr>
                <w:rFonts w:eastAsia="Carme" w:cs="Carme"/>
                <w:bCs/>
                <w:color w:val="595959"/>
                <w:sz w:val="16"/>
                <w:szCs w:val="16"/>
                <w:lang w:val="es-MX" w:eastAsia="es-MX"/>
              </w:rPr>
              <w:t>Interinstitucionales</w:t>
            </w:r>
            <w:r w:rsidRPr="002162EF">
              <w:rPr>
                <w:rFonts w:eastAsia="Carme" w:cs="Carme"/>
                <w:bCs/>
                <w:color w:val="595959"/>
                <w:sz w:val="16"/>
                <w:szCs w:val="16"/>
                <w:lang w:val="es-MX" w:eastAsia="es-MX"/>
              </w:rPr>
              <w:t xml:space="preserve"> de apoyo a la Planeación</w:t>
            </w:r>
          </w:p>
        </w:tc>
      </w:tr>
      <w:tr w:rsidR="002162EF" w:rsidRPr="00FB3542" w14:paraId="4B34A4FF" w14:textId="77777777" w:rsidTr="001C7A59">
        <w:trPr>
          <w:trHeight w:val="20"/>
        </w:trPr>
        <w:tc>
          <w:tcPr>
            <w:tcW w:w="1220" w:type="dxa"/>
            <w:tcBorders>
              <w:top w:val="nil"/>
              <w:left w:val="single" w:sz="8" w:space="0" w:color="auto"/>
              <w:bottom w:val="single" w:sz="8" w:space="0" w:color="auto"/>
              <w:right w:val="single" w:sz="8" w:space="0" w:color="auto"/>
            </w:tcBorders>
            <w:shd w:val="clear" w:color="auto" w:fill="auto"/>
            <w:vAlign w:val="center"/>
            <w:hideMark/>
          </w:tcPr>
          <w:p w14:paraId="5DA0587D" w14:textId="5A3486B0" w:rsidR="002162EF" w:rsidRPr="00FB3542" w:rsidRDefault="002162EF" w:rsidP="00117A30">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nil"/>
              <w:left w:val="nil"/>
              <w:bottom w:val="single" w:sz="8" w:space="0" w:color="auto"/>
              <w:right w:val="single" w:sz="8" w:space="0" w:color="auto"/>
            </w:tcBorders>
            <w:shd w:val="clear" w:color="auto" w:fill="auto"/>
            <w:vAlign w:val="center"/>
          </w:tcPr>
          <w:p w14:paraId="6B6F8CA6" w14:textId="0C1C4E92"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C.1.A.1 - Actualización del Marco Normativo del Sistema Estatal de Planeación.</w:t>
            </w:r>
          </w:p>
        </w:tc>
        <w:tc>
          <w:tcPr>
            <w:tcW w:w="1843" w:type="dxa"/>
            <w:tcBorders>
              <w:top w:val="nil"/>
              <w:left w:val="nil"/>
              <w:bottom w:val="single" w:sz="8" w:space="0" w:color="auto"/>
              <w:right w:val="single" w:sz="8" w:space="0" w:color="auto"/>
            </w:tcBorders>
            <w:shd w:val="clear" w:color="auto" w:fill="auto"/>
            <w:vAlign w:val="center"/>
          </w:tcPr>
          <w:p w14:paraId="3173A2F5" w14:textId="56D30BF5"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Proyectos de </w:t>
            </w:r>
            <w:r w:rsidR="005E07C8" w:rsidRPr="002162EF">
              <w:rPr>
                <w:rFonts w:eastAsia="Carme" w:cs="Carme"/>
                <w:bCs/>
                <w:color w:val="595959"/>
                <w:sz w:val="16"/>
                <w:szCs w:val="16"/>
                <w:lang w:val="es-MX" w:eastAsia="es-MX"/>
              </w:rPr>
              <w:t>Actualización</w:t>
            </w:r>
            <w:r w:rsidRPr="002162EF">
              <w:rPr>
                <w:rFonts w:eastAsia="Carme" w:cs="Carme"/>
                <w:bCs/>
                <w:color w:val="595959"/>
                <w:sz w:val="16"/>
                <w:szCs w:val="16"/>
                <w:lang w:val="es-MX" w:eastAsia="es-MX"/>
              </w:rPr>
              <w:t xml:space="preserve"> de Marcos normativos presentados</w:t>
            </w:r>
          </w:p>
        </w:tc>
        <w:tc>
          <w:tcPr>
            <w:tcW w:w="3260" w:type="dxa"/>
            <w:tcBorders>
              <w:top w:val="nil"/>
              <w:left w:val="nil"/>
              <w:bottom w:val="single" w:sz="8" w:space="0" w:color="auto"/>
              <w:right w:val="single" w:sz="8" w:space="0" w:color="auto"/>
            </w:tcBorders>
            <w:shd w:val="clear" w:color="auto" w:fill="auto"/>
            <w:vAlign w:val="center"/>
          </w:tcPr>
          <w:p w14:paraId="3C3F6500" w14:textId="34E47FB1" w:rsidR="002162EF" w:rsidRPr="00FB3542" w:rsidRDefault="002162EF" w:rsidP="00117A30">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Periódico Oficial del Estado</w:t>
            </w:r>
          </w:p>
        </w:tc>
        <w:tc>
          <w:tcPr>
            <w:tcW w:w="2977" w:type="dxa"/>
            <w:tcBorders>
              <w:top w:val="nil"/>
              <w:left w:val="nil"/>
              <w:bottom w:val="single" w:sz="8" w:space="0" w:color="auto"/>
              <w:right w:val="single" w:sz="8" w:space="0" w:color="auto"/>
            </w:tcBorders>
            <w:shd w:val="clear" w:color="auto" w:fill="auto"/>
            <w:vAlign w:val="center"/>
          </w:tcPr>
          <w:p w14:paraId="67127C3A" w14:textId="3D037AE6"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 legislatura del estado promueve las reformas presentadas.</w:t>
            </w:r>
          </w:p>
        </w:tc>
      </w:tr>
      <w:tr w:rsidR="002162EF" w:rsidRPr="00FB3542" w14:paraId="34DD320A" w14:textId="77777777" w:rsidTr="001C7A59">
        <w:trPr>
          <w:trHeight w:val="20"/>
        </w:trPr>
        <w:tc>
          <w:tcPr>
            <w:tcW w:w="1220" w:type="dxa"/>
            <w:tcBorders>
              <w:top w:val="nil"/>
              <w:left w:val="single" w:sz="8" w:space="0" w:color="auto"/>
              <w:bottom w:val="single" w:sz="8" w:space="0" w:color="auto"/>
              <w:right w:val="single" w:sz="8" w:space="0" w:color="auto"/>
            </w:tcBorders>
            <w:shd w:val="clear" w:color="auto" w:fill="auto"/>
            <w:vAlign w:val="center"/>
            <w:hideMark/>
          </w:tcPr>
          <w:p w14:paraId="3DAAA201" w14:textId="61057834" w:rsidR="002162EF" w:rsidRPr="00FB3542" w:rsidRDefault="002162EF" w:rsidP="00117A30">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nil"/>
              <w:left w:val="nil"/>
              <w:bottom w:val="single" w:sz="8" w:space="0" w:color="auto"/>
              <w:right w:val="single" w:sz="8" w:space="0" w:color="auto"/>
            </w:tcBorders>
            <w:shd w:val="clear" w:color="auto" w:fill="auto"/>
            <w:vAlign w:val="center"/>
          </w:tcPr>
          <w:p w14:paraId="5615D242" w14:textId="29B8D91D"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C.1.A.2 -Implementación y Consolidación de la Política de Desarrollo Municipal y Estatal a través de los </w:t>
            </w:r>
            <w:r w:rsidR="005E07C8" w:rsidRPr="002162EF">
              <w:rPr>
                <w:rFonts w:eastAsia="Carme" w:cs="Carme"/>
                <w:bCs/>
                <w:color w:val="595959"/>
                <w:sz w:val="16"/>
                <w:szCs w:val="16"/>
                <w:lang w:val="es-MX" w:eastAsia="es-MX"/>
              </w:rPr>
              <w:t>Comités</w:t>
            </w:r>
            <w:r w:rsidRPr="002162EF">
              <w:rPr>
                <w:rFonts w:eastAsia="Carme" w:cs="Carme"/>
                <w:bCs/>
                <w:color w:val="595959"/>
                <w:sz w:val="16"/>
                <w:szCs w:val="16"/>
                <w:lang w:val="es-MX" w:eastAsia="es-MX"/>
              </w:rPr>
              <w:t xml:space="preserve"> y </w:t>
            </w:r>
            <w:r w:rsidR="005E07C8" w:rsidRPr="002162EF">
              <w:rPr>
                <w:rFonts w:eastAsia="Carme" w:cs="Carme"/>
                <w:bCs/>
                <w:color w:val="595959"/>
                <w:sz w:val="16"/>
                <w:szCs w:val="16"/>
                <w:lang w:val="es-MX" w:eastAsia="es-MX"/>
              </w:rPr>
              <w:t>Subcomités</w:t>
            </w:r>
            <w:r w:rsidRPr="002162EF">
              <w:rPr>
                <w:rFonts w:eastAsia="Carme" w:cs="Carme"/>
                <w:bCs/>
                <w:color w:val="595959"/>
                <w:sz w:val="16"/>
                <w:szCs w:val="16"/>
                <w:lang w:val="es-MX" w:eastAsia="es-MX"/>
              </w:rPr>
              <w:t xml:space="preserve"> de Planeación para el Desarrollo del Estado</w:t>
            </w:r>
          </w:p>
        </w:tc>
        <w:tc>
          <w:tcPr>
            <w:tcW w:w="1843" w:type="dxa"/>
            <w:tcBorders>
              <w:top w:val="nil"/>
              <w:left w:val="nil"/>
              <w:bottom w:val="single" w:sz="8" w:space="0" w:color="auto"/>
              <w:right w:val="single" w:sz="8" w:space="0" w:color="auto"/>
            </w:tcBorders>
            <w:shd w:val="clear" w:color="auto" w:fill="auto"/>
            <w:vAlign w:val="center"/>
          </w:tcPr>
          <w:p w14:paraId="1E301C46" w14:textId="7F02982A" w:rsidR="002162EF" w:rsidRPr="00FB3542" w:rsidRDefault="002162EF" w:rsidP="00117A30">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Subcomités del COPLADE instalados</w:t>
            </w:r>
          </w:p>
        </w:tc>
        <w:tc>
          <w:tcPr>
            <w:tcW w:w="3260" w:type="dxa"/>
            <w:tcBorders>
              <w:top w:val="nil"/>
              <w:left w:val="nil"/>
              <w:bottom w:val="single" w:sz="8" w:space="0" w:color="auto"/>
              <w:right w:val="single" w:sz="8" w:space="0" w:color="auto"/>
            </w:tcBorders>
            <w:shd w:val="clear" w:color="auto" w:fill="auto"/>
            <w:vAlign w:val="center"/>
          </w:tcPr>
          <w:p w14:paraId="36B96B4B" w14:textId="21947500" w:rsidR="002162EF" w:rsidRPr="00FB3542" w:rsidRDefault="002162EF" w:rsidP="00117A30">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Actas de Subcomités</w:t>
            </w:r>
          </w:p>
        </w:tc>
        <w:tc>
          <w:tcPr>
            <w:tcW w:w="2977" w:type="dxa"/>
            <w:tcBorders>
              <w:top w:val="nil"/>
              <w:left w:val="nil"/>
              <w:bottom w:val="single" w:sz="8" w:space="0" w:color="auto"/>
              <w:right w:val="single" w:sz="8" w:space="0" w:color="auto"/>
            </w:tcBorders>
            <w:shd w:val="clear" w:color="auto" w:fill="auto"/>
            <w:vAlign w:val="center"/>
          </w:tcPr>
          <w:p w14:paraId="0255E920" w14:textId="5759507F" w:rsidR="002162EF" w:rsidRPr="00FB3542" w:rsidRDefault="002162EF" w:rsidP="00425825">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Las Dependencias y Entidades de la administración pública presentan sus programas, proyectos y acciones en los subcomités de planeación para el desarrollo</w:t>
            </w:r>
            <w:proofErr w:type="gramStart"/>
            <w:r w:rsidRPr="002162EF">
              <w:rPr>
                <w:rFonts w:eastAsia="Carme" w:cs="Carme"/>
                <w:bCs/>
                <w:color w:val="595959"/>
                <w:sz w:val="16"/>
                <w:szCs w:val="16"/>
                <w:lang w:val="es-MX" w:eastAsia="es-MX"/>
              </w:rPr>
              <w:t>..</w:t>
            </w:r>
            <w:proofErr w:type="gramEnd"/>
          </w:p>
        </w:tc>
      </w:tr>
    </w:tbl>
    <w:p w14:paraId="339E4552" w14:textId="77777777" w:rsidR="00132F06" w:rsidRDefault="00132F06">
      <w:r>
        <w:rPr>
          <w:b/>
          <w:bCs/>
          <w:caps/>
        </w:rPr>
        <w:br w:type="page"/>
      </w:r>
    </w:p>
    <w:tbl>
      <w:tblPr>
        <w:tblpPr w:leftFromText="141" w:rightFromText="141" w:horzAnchor="margin" w:tblpY="552"/>
        <w:tblW w:w="13340" w:type="dxa"/>
        <w:tblLayout w:type="fixed"/>
        <w:tblCellMar>
          <w:left w:w="70" w:type="dxa"/>
          <w:right w:w="70" w:type="dxa"/>
        </w:tblCellMar>
        <w:tblLook w:val="04A0" w:firstRow="1" w:lastRow="0" w:firstColumn="1" w:lastColumn="0" w:noHBand="0" w:noVBand="1"/>
      </w:tblPr>
      <w:tblGrid>
        <w:gridCol w:w="1220"/>
        <w:gridCol w:w="4040"/>
        <w:gridCol w:w="1843"/>
        <w:gridCol w:w="3260"/>
        <w:gridCol w:w="2977"/>
      </w:tblGrid>
      <w:tr w:rsidR="00132F06" w:rsidRPr="00FB3542" w14:paraId="1E6B9CC3"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42FC13" w14:textId="0D74DFE0"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32F06">
              <w:rPr>
                <w:rFonts w:eastAsia="Carme" w:cs="Carme"/>
                <w:b/>
                <w:color w:val="595959"/>
                <w:sz w:val="16"/>
                <w:szCs w:val="16"/>
                <w:lang w:val="es-MX" w:eastAsia="es-MX"/>
              </w:rPr>
              <w:lastRenderedPageBreak/>
              <w:t>NIVEL</w:t>
            </w:r>
          </w:p>
        </w:tc>
        <w:tc>
          <w:tcPr>
            <w:tcW w:w="4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CD5AEA" w14:textId="57BD5171"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OBJETIVO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25A025" w14:textId="14EA3751"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INDICADOR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D7CD1" w14:textId="7858DB0A"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MEDIOS DE VERIFICACIÓN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A1B71" w14:textId="03D80CD1"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SUPUESTO</w:t>
            </w:r>
          </w:p>
        </w:tc>
      </w:tr>
      <w:tr w:rsidR="002162EF" w:rsidRPr="00FB3542" w14:paraId="5C3891CB" w14:textId="77777777" w:rsidTr="00132F06">
        <w:trPr>
          <w:trHeight w:val="20"/>
        </w:trPr>
        <w:tc>
          <w:tcPr>
            <w:tcW w:w="122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24D57311" w14:textId="78DC39B1"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nil"/>
              <w:bottom w:val="single" w:sz="8" w:space="0" w:color="auto"/>
              <w:right w:val="single" w:sz="8" w:space="0" w:color="auto"/>
            </w:tcBorders>
            <w:shd w:val="clear" w:color="auto" w:fill="auto"/>
            <w:vAlign w:val="center"/>
          </w:tcPr>
          <w:p w14:paraId="2BAC1DF5" w14:textId="1B71C0DB"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C.1.A.3 - Atención de las </w:t>
            </w:r>
            <w:r w:rsidR="005E07C8" w:rsidRPr="002162EF">
              <w:rPr>
                <w:rFonts w:eastAsia="Carme" w:cs="Carme"/>
                <w:bCs/>
                <w:color w:val="595959"/>
                <w:sz w:val="16"/>
                <w:szCs w:val="16"/>
                <w:lang w:val="es-MX" w:eastAsia="es-MX"/>
              </w:rPr>
              <w:t>Líneas</w:t>
            </w:r>
            <w:r w:rsidRPr="002162EF">
              <w:rPr>
                <w:rFonts w:eastAsia="Carme" w:cs="Carme"/>
                <w:bCs/>
                <w:color w:val="595959"/>
                <w:sz w:val="16"/>
                <w:szCs w:val="16"/>
                <w:lang w:val="es-MX" w:eastAsia="es-MX"/>
              </w:rPr>
              <w:t xml:space="preserve"> de acción para el cumplimiento de metas de los Entes de la Administración Pública Estatal</w:t>
            </w:r>
          </w:p>
        </w:tc>
        <w:tc>
          <w:tcPr>
            <w:tcW w:w="1843" w:type="dxa"/>
            <w:tcBorders>
              <w:top w:val="single" w:sz="4" w:space="0" w:color="auto"/>
              <w:left w:val="nil"/>
              <w:bottom w:val="single" w:sz="8" w:space="0" w:color="auto"/>
              <w:right w:val="single" w:sz="8" w:space="0" w:color="auto"/>
            </w:tcBorders>
            <w:shd w:val="clear" w:color="auto" w:fill="auto"/>
            <w:vAlign w:val="center"/>
          </w:tcPr>
          <w:p w14:paraId="0505FE20" w14:textId="0A9FDDC5"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w:t>
            </w:r>
            <w:r w:rsidR="005E07C8" w:rsidRPr="002162EF">
              <w:rPr>
                <w:rFonts w:eastAsia="Carme" w:cs="Carme"/>
                <w:bCs/>
                <w:color w:val="595959"/>
                <w:sz w:val="16"/>
                <w:szCs w:val="16"/>
                <w:lang w:val="es-MX" w:eastAsia="es-MX"/>
              </w:rPr>
              <w:t>número</w:t>
            </w:r>
            <w:r w:rsidRPr="002162EF">
              <w:rPr>
                <w:rFonts w:eastAsia="Carme" w:cs="Carme"/>
                <w:bCs/>
                <w:color w:val="595959"/>
                <w:sz w:val="16"/>
                <w:szCs w:val="16"/>
                <w:lang w:val="es-MX" w:eastAsia="es-MX"/>
              </w:rPr>
              <w:t xml:space="preserve"> de Consejos atendidos</w:t>
            </w:r>
          </w:p>
        </w:tc>
        <w:tc>
          <w:tcPr>
            <w:tcW w:w="3260" w:type="dxa"/>
            <w:tcBorders>
              <w:top w:val="single" w:sz="4" w:space="0" w:color="auto"/>
              <w:left w:val="nil"/>
              <w:bottom w:val="single" w:sz="8" w:space="0" w:color="auto"/>
              <w:right w:val="single" w:sz="8" w:space="0" w:color="auto"/>
            </w:tcBorders>
            <w:shd w:val="clear" w:color="auto" w:fill="auto"/>
            <w:vAlign w:val="center"/>
          </w:tcPr>
          <w:p w14:paraId="51F2B4FE" w14:textId="05F5BDD2"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Actas de Consejos</w:t>
            </w:r>
          </w:p>
        </w:tc>
        <w:tc>
          <w:tcPr>
            <w:tcW w:w="2977" w:type="dxa"/>
            <w:tcBorders>
              <w:top w:val="single" w:sz="4" w:space="0" w:color="auto"/>
              <w:left w:val="nil"/>
              <w:bottom w:val="single" w:sz="8" w:space="0" w:color="auto"/>
              <w:right w:val="single" w:sz="8" w:space="0" w:color="auto"/>
            </w:tcBorders>
            <w:shd w:val="clear" w:color="auto" w:fill="auto"/>
            <w:vAlign w:val="center"/>
          </w:tcPr>
          <w:p w14:paraId="671643EC" w14:textId="3F7FE04E"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Las dependencias, instituciones y órganos autónomos atienden las líneas de acción del Plan Estatal de Desarrollo.</w:t>
            </w:r>
          </w:p>
        </w:tc>
      </w:tr>
      <w:tr w:rsidR="002162EF" w:rsidRPr="00FB3542" w14:paraId="6C20F483" w14:textId="77777777" w:rsidTr="00132F06">
        <w:trPr>
          <w:trHeight w:val="20"/>
        </w:trPr>
        <w:tc>
          <w:tcPr>
            <w:tcW w:w="1220" w:type="dxa"/>
            <w:tcBorders>
              <w:top w:val="nil"/>
              <w:left w:val="single" w:sz="8" w:space="0" w:color="auto"/>
              <w:bottom w:val="single" w:sz="4" w:space="0" w:color="auto"/>
              <w:right w:val="single" w:sz="8" w:space="0" w:color="auto"/>
            </w:tcBorders>
            <w:shd w:val="clear" w:color="auto" w:fill="auto"/>
            <w:vAlign w:val="center"/>
            <w:hideMark/>
          </w:tcPr>
          <w:p w14:paraId="013E0984" w14:textId="7BABABC4"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nil"/>
              <w:left w:val="nil"/>
              <w:bottom w:val="single" w:sz="4" w:space="0" w:color="auto"/>
              <w:right w:val="single" w:sz="8" w:space="0" w:color="auto"/>
            </w:tcBorders>
            <w:shd w:val="clear" w:color="auto" w:fill="auto"/>
            <w:vAlign w:val="center"/>
          </w:tcPr>
          <w:p w14:paraId="43FFCE97" w14:textId="27CCE0F6"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C.1.A.4 - Capacitación a los gobiernos municipales en la integración de sus modelos de planeación en materia de administración pública.</w:t>
            </w:r>
          </w:p>
        </w:tc>
        <w:tc>
          <w:tcPr>
            <w:tcW w:w="1843" w:type="dxa"/>
            <w:tcBorders>
              <w:top w:val="nil"/>
              <w:left w:val="nil"/>
              <w:bottom w:val="single" w:sz="4" w:space="0" w:color="auto"/>
              <w:right w:val="single" w:sz="8" w:space="0" w:color="auto"/>
            </w:tcBorders>
            <w:shd w:val="clear" w:color="auto" w:fill="auto"/>
            <w:vAlign w:val="center"/>
          </w:tcPr>
          <w:p w14:paraId="47A55531" w14:textId="79DF01EC"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municipios que participan en la evaluación de los indicadores de la Guía Consultiva de Desempeño Municipal</w:t>
            </w:r>
          </w:p>
        </w:tc>
        <w:tc>
          <w:tcPr>
            <w:tcW w:w="3260" w:type="dxa"/>
            <w:tcBorders>
              <w:top w:val="nil"/>
              <w:left w:val="nil"/>
              <w:bottom w:val="single" w:sz="4" w:space="0" w:color="auto"/>
              <w:right w:val="single" w:sz="8" w:space="0" w:color="auto"/>
            </w:tcBorders>
            <w:shd w:val="clear" w:color="auto" w:fill="auto"/>
            <w:vAlign w:val="center"/>
          </w:tcPr>
          <w:p w14:paraId="2CC2120B" w14:textId="7B59C2A7"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Reportes del Sistema de la Guía Consultiva de Desempeño Municipal</w:t>
            </w:r>
          </w:p>
        </w:tc>
        <w:tc>
          <w:tcPr>
            <w:tcW w:w="2977" w:type="dxa"/>
            <w:tcBorders>
              <w:top w:val="nil"/>
              <w:left w:val="nil"/>
              <w:bottom w:val="single" w:sz="4" w:space="0" w:color="auto"/>
              <w:right w:val="single" w:sz="8" w:space="0" w:color="auto"/>
            </w:tcBorders>
            <w:shd w:val="clear" w:color="auto" w:fill="auto"/>
            <w:vAlign w:val="center"/>
          </w:tcPr>
          <w:p w14:paraId="2C3AF049" w14:textId="3D8D6D8A"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 información la proporcionan en el tiempo establecido en el calendario anual, las áreas responsables de los municipios.</w:t>
            </w:r>
          </w:p>
        </w:tc>
      </w:tr>
      <w:tr w:rsidR="002162EF" w:rsidRPr="00FB3542" w14:paraId="67EFAF2E"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1372E" w14:textId="2E5B7C46"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11BEC7A4" w14:textId="75B01E1F"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C.1.A.5 - Elaboración del calendario y distribución del Ramo 33 General, FORTAMUNDF y FISMDF, con sustento en el Sistema Nacional de Coordinación Fiscal.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EFD8F94" w14:textId="1628268A"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publicaciones del </w:t>
            </w:r>
            <w:proofErr w:type="gramStart"/>
            <w:r w:rsidRPr="002162EF">
              <w:rPr>
                <w:rFonts w:eastAsia="Carme" w:cs="Carme"/>
                <w:bCs/>
                <w:color w:val="595959"/>
                <w:sz w:val="16"/>
                <w:szCs w:val="16"/>
                <w:lang w:val="es-MX" w:eastAsia="es-MX"/>
              </w:rPr>
              <w:t>Calculo</w:t>
            </w:r>
            <w:proofErr w:type="gramEnd"/>
            <w:r w:rsidRPr="002162EF">
              <w:rPr>
                <w:rFonts w:eastAsia="Carme" w:cs="Carme"/>
                <w:bCs/>
                <w:color w:val="595959"/>
                <w:sz w:val="16"/>
                <w:szCs w:val="16"/>
                <w:lang w:val="es-MX" w:eastAsia="es-MX"/>
              </w:rPr>
              <w:t xml:space="preserve"> mediante la </w:t>
            </w:r>
            <w:proofErr w:type="spellStart"/>
            <w:r w:rsidRPr="002162EF">
              <w:rPr>
                <w:rFonts w:eastAsia="Carme" w:cs="Carme"/>
                <w:bCs/>
                <w:color w:val="595959"/>
                <w:sz w:val="16"/>
                <w:szCs w:val="16"/>
                <w:lang w:val="es-MX" w:eastAsia="es-MX"/>
              </w:rPr>
              <w:t>formula</w:t>
            </w:r>
            <w:proofErr w:type="spellEnd"/>
            <w:r w:rsidRPr="002162EF">
              <w:rPr>
                <w:rFonts w:eastAsia="Carme" w:cs="Carme"/>
                <w:bCs/>
                <w:color w:val="595959"/>
                <w:sz w:val="16"/>
                <w:szCs w:val="16"/>
                <w:lang w:val="es-MX" w:eastAsia="es-MX"/>
              </w:rPr>
              <w:t xml:space="preserve"> para la distribución y Calendarización de las participaciones y aportaciones del Fondo para la Infraestructura Social Municipal (FISM), del Fondo de Aportaciones para el </w:t>
            </w:r>
            <w:r w:rsidR="005E07C8" w:rsidRPr="002162EF">
              <w:rPr>
                <w:rFonts w:eastAsia="Carme" w:cs="Carme"/>
                <w:bCs/>
                <w:color w:val="595959"/>
                <w:sz w:val="16"/>
                <w:szCs w:val="16"/>
                <w:lang w:val="es-MX" w:eastAsia="es-MX"/>
              </w:rPr>
              <w:t>Fortalecimiento</w:t>
            </w:r>
            <w:r w:rsidRPr="002162EF">
              <w:rPr>
                <w:rFonts w:eastAsia="Carme" w:cs="Carme"/>
                <w:bCs/>
                <w:color w:val="595959"/>
                <w:sz w:val="16"/>
                <w:szCs w:val="16"/>
                <w:lang w:val="es-MX" w:eastAsia="es-MX"/>
              </w:rPr>
              <w:t xml:space="preserve"> de los Municipios (FORTAMUN) y el Ramo 33 en general.</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07A1907" w14:textId="51887F73"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Publicación en el </w:t>
            </w:r>
            <w:r w:rsidR="005E07C8" w:rsidRPr="002162EF">
              <w:rPr>
                <w:rFonts w:eastAsia="Carme" w:cs="Carme"/>
                <w:bCs/>
                <w:color w:val="595959"/>
                <w:sz w:val="16"/>
                <w:szCs w:val="16"/>
                <w:lang w:val="es-MX" w:eastAsia="es-MX"/>
              </w:rPr>
              <w:t>Periódico</w:t>
            </w:r>
            <w:r w:rsidRPr="002162EF">
              <w:rPr>
                <w:rFonts w:eastAsia="Carme" w:cs="Carme"/>
                <w:bCs/>
                <w:color w:val="595959"/>
                <w:sz w:val="16"/>
                <w:szCs w:val="16"/>
                <w:lang w:val="es-MX" w:eastAsia="es-MX"/>
              </w:rPr>
              <w:t xml:space="preserve"> Oficial del  Gobierno del Estado de Quintana Roo, a más tardar el 31 de enero del 2020. http://www.sefiplan.qroo.gob.mx/site/pagina.php?id=203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71EE97A" w14:textId="184780C3"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 federación publique la distribución de recursos del RAMO 33 en tiempo y forma.</w:t>
            </w:r>
          </w:p>
        </w:tc>
      </w:tr>
      <w:tr w:rsidR="002162EF" w:rsidRPr="00FB3542" w14:paraId="4165C819"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FF8D485" w14:textId="06BB4CDE"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27FDA3B2" w14:textId="0A237C6E"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C.1.A.6 - Actualización de la Cartera Estatal de Proyectos de Inversión.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87DB20A" w14:textId="0E69354C"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Informe trimestral de la cartera estatal de inversión pública publicado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9240353" w14:textId="752E53F6"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Informe trimestral de la cartera estatal de inversión pública, Publicado por la Dirección de Estudios y Proyectos de Inversión en el Sistema Estatal de Planeación http://www.sefiplan.qroo.gob.mx/coplade/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5A04AE4" w14:textId="0D57FCC8"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Las instancias </w:t>
            </w:r>
            <w:proofErr w:type="spellStart"/>
            <w:r w:rsidRPr="002162EF">
              <w:rPr>
                <w:rFonts w:eastAsia="Carme" w:cs="Carme"/>
                <w:bCs/>
                <w:color w:val="595959"/>
                <w:sz w:val="16"/>
                <w:szCs w:val="16"/>
                <w:lang w:val="es-MX" w:eastAsia="es-MX"/>
              </w:rPr>
              <w:t>promoventes</w:t>
            </w:r>
            <w:proofErr w:type="spellEnd"/>
            <w:r w:rsidRPr="002162EF">
              <w:rPr>
                <w:rFonts w:eastAsia="Carme" w:cs="Carme"/>
                <w:bCs/>
                <w:color w:val="595959"/>
                <w:sz w:val="16"/>
                <w:szCs w:val="16"/>
                <w:lang w:val="es-MX" w:eastAsia="es-MX"/>
              </w:rPr>
              <w:t xml:space="preserve"> de proyectos de inversión informan los proyectos que se incluirán en la Cartera Estatal de Proyectos</w:t>
            </w:r>
          </w:p>
        </w:tc>
      </w:tr>
    </w:tbl>
    <w:p w14:paraId="483E80DD" w14:textId="77777777" w:rsidR="00132F06" w:rsidRDefault="00132F06">
      <w:r>
        <w:rPr>
          <w:b/>
          <w:bCs/>
          <w:caps/>
        </w:rPr>
        <w:br w:type="page"/>
      </w:r>
    </w:p>
    <w:tbl>
      <w:tblPr>
        <w:tblpPr w:leftFromText="141" w:rightFromText="141" w:horzAnchor="margin" w:tblpY="552"/>
        <w:tblW w:w="13340" w:type="dxa"/>
        <w:tblLayout w:type="fixed"/>
        <w:tblCellMar>
          <w:left w:w="70" w:type="dxa"/>
          <w:right w:w="70" w:type="dxa"/>
        </w:tblCellMar>
        <w:tblLook w:val="04A0" w:firstRow="1" w:lastRow="0" w:firstColumn="1" w:lastColumn="0" w:noHBand="0" w:noVBand="1"/>
      </w:tblPr>
      <w:tblGrid>
        <w:gridCol w:w="1220"/>
        <w:gridCol w:w="4040"/>
        <w:gridCol w:w="1843"/>
        <w:gridCol w:w="3260"/>
        <w:gridCol w:w="2977"/>
      </w:tblGrid>
      <w:tr w:rsidR="00132F06" w:rsidRPr="00FB3542" w14:paraId="30A0DFCB"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E9F301" w14:textId="211A2AFC"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lastRenderedPageBreak/>
              <w:t>NIVEL</w:t>
            </w:r>
          </w:p>
        </w:tc>
        <w:tc>
          <w:tcPr>
            <w:tcW w:w="4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1C1839" w14:textId="03EFDC65"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OBJETIVO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DA18A7" w14:textId="23E6AFD0"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INDICADOR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F07F42" w14:textId="63F37CFA"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MEDIOS DE VERIFICACIÓN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4ED07A" w14:textId="0F0E686D"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SUPUESTO</w:t>
            </w:r>
          </w:p>
        </w:tc>
      </w:tr>
      <w:tr w:rsidR="002162EF" w:rsidRPr="00FB3542" w14:paraId="410C776B"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F429021" w14:textId="5FF4AA84"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47A01D2D" w14:textId="0389343D"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C.1.A.7 -Revisión y en su caso actualización de los procesos de integración y de seguimiento de la Propuesta Anual de Inversión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48C235C" w14:textId="41A5C8C0"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procesos de integración y de seguimiento de la Propuesta Anual de Inversión revisados y en su caso actualizados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F355C5B" w14:textId="10133742"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Procesos de seguimiento de la Propuesta Anual de Inversión actualizados de integración revisados y en su caso actualizados,  publicados anualmente por la Dirección de Estudios y Proyectos de Inversión en el Sistema Estatal de Planeación http://www.sefiplan.qroo.gob.mx/coplade/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D250A63" w14:textId="4C3B99B8"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No hay cambios importantes en las políticas públicas, las estrategias y prioridades estatales y nacionales.</w:t>
            </w:r>
          </w:p>
        </w:tc>
      </w:tr>
      <w:tr w:rsidR="002162EF" w:rsidRPr="00FB3542" w14:paraId="42225E66"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39B75CE" w14:textId="147CC1BF"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0E034CDC" w14:textId="25851145"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C.1.A.8 - Implementación y actualización de la normatividad para promover la adecuada integración de proyectos de inversión pública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FA8526A" w14:textId="7CF44D58"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instrumentos normativos para promover la adecuada integración de proyectos de inversión pública implementados y actualizados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76E72B7" w14:textId="4761A2FE" w:rsidR="002162EF" w:rsidRPr="00FB3542" w:rsidRDefault="005E07C8"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Normatividad</w:t>
            </w:r>
            <w:r w:rsidR="002162EF" w:rsidRPr="002162EF">
              <w:rPr>
                <w:rFonts w:eastAsia="Carme" w:cs="Carme"/>
                <w:bCs/>
                <w:color w:val="595959"/>
                <w:sz w:val="16"/>
                <w:szCs w:val="16"/>
                <w:lang w:val="es-MX" w:eastAsia="es-MX"/>
              </w:rPr>
              <w:t xml:space="preserve"> estatal vigente para promover la adecuada integración de proyectos de inversión pública implementados y actualizados publicados anualmente por la Dirección de Estudios y Proyectos de Inversión en el Sistema Estatal de Planeación http://www.sefiplan.qroo.gob.mx/coplade/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333B7E4" w14:textId="40552645"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Las dependencias siguen en tiempo y forma los procesos</w:t>
            </w:r>
          </w:p>
        </w:tc>
      </w:tr>
      <w:tr w:rsidR="002162EF" w:rsidRPr="00FB3542" w14:paraId="3ADD88F6"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8C62B5E" w14:textId="11216753"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757A8193" w14:textId="1DA9F431"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C.1.A.9 - Implementación y actualización de la normatividad en materia de planeación de las necesidades de infraestructura pública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C9C8BA" w14:textId="1C09CE73"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instrumentos normativos en materia de planeación de las necesidades de infraestructura pública implementados y actualizados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326902B" w14:textId="6684594F" w:rsidR="002162EF" w:rsidRPr="00FB3542" w:rsidRDefault="005E07C8"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Normatividad</w:t>
            </w:r>
            <w:r w:rsidR="002162EF" w:rsidRPr="002162EF">
              <w:rPr>
                <w:rFonts w:eastAsia="Carme" w:cs="Carme"/>
                <w:bCs/>
                <w:color w:val="595959"/>
                <w:sz w:val="16"/>
                <w:szCs w:val="16"/>
                <w:lang w:val="es-MX" w:eastAsia="es-MX"/>
              </w:rPr>
              <w:t xml:space="preserve"> estatal vigente en materia de planeación de las necesidades de infraestructura pública implementados y actualizados publicados anualmente por la Dirección de Estudios y Proyectos de Inversión en el Sistema Estatal de Planeación http://www.sefiplan.qroo.gob.mx/coplade/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9757A31" w14:textId="5B3BA922"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Las dependencias siguen en tiempo y forma los procesos</w:t>
            </w:r>
          </w:p>
        </w:tc>
      </w:tr>
      <w:tr w:rsidR="002162EF" w:rsidRPr="00FB3542" w14:paraId="3B851395"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D5F6E3B" w14:textId="498591B3"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71148B66" w14:textId="1AD47457"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C.1.A.10 - Elaboración e implementación de la normatividad para la operación de la Unidad de Inversión Pública Estatal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C34AA36" w14:textId="637FF22A"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instrumentos normativos  para la operación de la Unidad de Inversión Pública Estatal elaborados e implementados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4B72B182" w14:textId="6BEF9E6F" w:rsidR="002162EF" w:rsidRPr="00FB3542" w:rsidRDefault="005E07C8"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Normatividad</w:t>
            </w:r>
            <w:r w:rsidR="002162EF" w:rsidRPr="002162EF">
              <w:rPr>
                <w:rFonts w:eastAsia="Carme" w:cs="Carme"/>
                <w:bCs/>
                <w:color w:val="595959"/>
                <w:sz w:val="16"/>
                <w:szCs w:val="16"/>
                <w:lang w:val="es-MX" w:eastAsia="es-MX"/>
              </w:rPr>
              <w:t xml:space="preserve"> estatal vigente para la operación de la Unidad de Inversión Pública Estatal elaborados e implementados publicados anualmente por la Dirección de Estudios y Proyectos de Inversión en el Sistema Estatal de Planeación http://www.sefiplan.qroo.gob.mx/coplade/</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A10A48B" w14:textId="6CCA166E"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Las condiciones sociales, económicas y de seguridad se mantienen.</w:t>
            </w:r>
          </w:p>
        </w:tc>
      </w:tr>
      <w:tr w:rsidR="002162EF" w:rsidRPr="00FB3542" w14:paraId="499B1B9A"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41225277" w14:textId="243362DC"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Componente 2</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5CC27FD0" w14:textId="1FCB773E"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C.2 - Rendición de cuentas de las finanzas públicas, en atención al Plan Estatal de Desarrollo y la normatividad vigente en materia Presupuestal, determinada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AE2D93" w14:textId="5BAA53F9"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Estados Analíticos del Gasto publicados de acuerdo con la normatividad aplicable.</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117202B" w14:textId="3064581E"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Cumplimiento a la Ley General de Contabilidad Gubernamental” Apartado “Información Financiera Gubernamental” en la Página de la Secretaría de Finanzas y Planeación.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39DB33" w14:textId="14953684"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Existe estabilidad en las finanzas públicas del Estado y en el país.</w:t>
            </w:r>
          </w:p>
        </w:tc>
      </w:tr>
      <w:tr w:rsidR="002162EF" w:rsidRPr="00FB3542" w14:paraId="1FD9B638"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0A1053C7" w14:textId="62645BCD"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2F6A9F82" w14:textId="3B592199"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C.2.A.1 - Generación de herramientas de programación, presupuestación, ejercicio y control que permitan la consolidación del Presupuesto basado en Resultados.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8760A21" w14:textId="656AB489"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Sistemas Informáticos diseñados y puestos en marcha.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36F6DE7" w14:textId="499CD053"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Comprobantes de los sistemas implementados y funcionando, generados por la Subsecretaría de Política Hacendaria y Control Presupuestal de la SEFIPLAN.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4D80F8E" w14:textId="1FF0D0DA"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Los servidores públicos colaboran a realizar los trámites pertinentes mediante el uso de tecnologías de la información.</w:t>
            </w:r>
          </w:p>
        </w:tc>
      </w:tr>
      <w:tr w:rsidR="00132F06" w:rsidRPr="00FB3542" w14:paraId="182B6F7D"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FB90F8" w14:textId="3438DB11"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lastRenderedPageBreak/>
              <w:t>NIVEL</w:t>
            </w:r>
          </w:p>
        </w:tc>
        <w:tc>
          <w:tcPr>
            <w:tcW w:w="4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F551D6" w14:textId="0438D8B3"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OBJETIVO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14D1F" w14:textId="13DDF404"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INDICADOR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085197" w14:textId="44E6FEA4"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MEDIOS DE VERIFICACIÓN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ED197" w14:textId="6CC3B477" w:rsidR="00132F06" w:rsidRPr="00132F06" w:rsidRDefault="00132F06" w:rsidP="00132F06">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SUPUESTO</w:t>
            </w:r>
          </w:p>
        </w:tc>
      </w:tr>
      <w:tr w:rsidR="002162EF" w:rsidRPr="00FB3542" w14:paraId="62CB9031"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5EDA9C8C" w14:textId="3F22A50F"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03B4A1AC" w14:textId="748906B8"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C.2.A.2 - Capacitación y asistencia técnica a los servidores públicos sobre la implementación y métodos del Presupuesto basado en Resultados.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AAEBCC" w14:textId="47D3C4A4"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entes públicos asesorados en materia de PbR</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F24C050" w14:textId="222BB4E7"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Informes Finales de Capacitación y Asistencia Técnica” del apartado de Publicaciones del Sistema de Integración Programática y Presupuestal de la SEFIPLAN.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FF27051" w14:textId="01C7B5EC"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Los servidores públicos asisten y participan de manera activa en los cursos de capacitación y asistencia técnica.</w:t>
            </w:r>
          </w:p>
        </w:tc>
      </w:tr>
      <w:tr w:rsidR="002162EF" w:rsidRPr="00FB3542" w14:paraId="7B6A6B13"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75EF7F4" w14:textId="2F230545"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115B49D3" w14:textId="659AD475"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C.2.A.3. - Validación de las Matrices de Indicadores para Resultados de las dependencias, entidades y organismos autónomos en el proceso de programación y presupuestación de cada ejercicio fiscal.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62BD2A1" w14:textId="7FD56F68"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Cédulas de Validación  de Programas Presupuestarios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A3C666C" w14:textId="3A1FF6FF"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Cédulas de Validación generados por la Dirección de Política y Programación Presupuestal de la SEFIPLAN.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A320158" w14:textId="77536508"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Los programas presupuestarios están diseñados conforme a la metodología de marco lógico que establece el Presupuesto basado en Resultados.</w:t>
            </w:r>
          </w:p>
        </w:tc>
      </w:tr>
      <w:tr w:rsidR="002162EF" w:rsidRPr="00FB3542" w14:paraId="5C2F43D4"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889E2A1" w14:textId="6D8DF338"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5CC840E8" w14:textId="5557E049"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C.2.A.4 - Integración del control, seguimiento y análisis de las etapas del autorizado, comprometido y devengado de la Inversión Pública en coordinación con las dependencias, entidades y organismos.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96EFF3E" w14:textId="27443E71"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proyectos de inversión pública comprometidos.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242A3C7" w14:textId="001C3A70"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Reporte de los avances de proyectos comprometidos de la Dirección de Control y Seguimiento de Inversión Pública de la SEFIPLAN.</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191A9E3" w14:textId="55FA95CE"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Los entes públicos tramitan sus proyectos de inversión pública conforme a la metodología marcada para el correcto control y seguimiento.</w:t>
            </w:r>
          </w:p>
        </w:tc>
      </w:tr>
      <w:tr w:rsidR="002162EF" w:rsidRPr="00FB3542" w14:paraId="4CF82DBB"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2D97838" w14:textId="79B88C4C"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4BE5EEAF" w14:textId="0951E5BE"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C.2.A.5 - Seguimiento a la ejecución de los recursos de los servicios personales de las entidades y organismos con base al Decreto del Presupuesto autorizado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F029075" w14:textId="25E76D16"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Estados Analíticos del Gasto publicados relacionados con el recurso de los servicios personales.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06CAD06" w14:textId="3A50AE46"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“Cumplimiento a la Ley General de Contabilidad Gubernamental” Apartado “Información Financiera Gubernamental” en la Página de la Secretaría de Finanzas y Planeación. </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43694D2" w14:textId="443A7FA2"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Las entidades y organismos cumplen en tiempo y forma con su registro y control de plantillas de personal y presupuesto destinado a los servicios personales.</w:t>
            </w:r>
          </w:p>
        </w:tc>
      </w:tr>
      <w:tr w:rsidR="002162EF" w:rsidRPr="00FB3542" w14:paraId="13712031"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7FB58081" w14:textId="37EB4176"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710FDB0F" w14:textId="133F3947"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C.2.A.6 - Actualización del marco normativo y de operación presupuestal-financiera de la administración pública estatal con base en los principios establecidos en la Ley de Disciplina Financiera de las Entidades y Municipios.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853B495" w14:textId="7B8520F2"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catálogos y clasificadores actualizados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E435B6C" w14:textId="3D4DE10B"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Apartado de Publicaciones del Sistema de Integración Programática y Presupuestal de la SEFIPLAN. Liga de acceso: http://www.sefiplan.qroo.gob.mx/pbr/normatividad.php</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91706EA" w14:textId="6FBF49DF"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Los entes públicos otorgan sus propuestas de modificaciones en tiempo y forma a la SEFIPLAN para que sean consideradas dentro de la actualización de las guías y manuales.</w:t>
            </w:r>
          </w:p>
        </w:tc>
      </w:tr>
      <w:tr w:rsidR="002162EF" w:rsidRPr="00FB3542" w14:paraId="077ACCD0" w14:textId="77777777" w:rsidTr="00132F06">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6C09A4C6" w14:textId="573B1D77" w:rsidR="002162EF" w:rsidRPr="00FB3542" w:rsidRDefault="002162EF" w:rsidP="00132F06">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4903380A" w14:textId="1881D8EA"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C.2.A.7 - Revisión del  ejercicio de los recursos públicos asignados a las Entidades Paraestatales y Fideicomisos, mediante el análisis e interpretación de la información  financiera y presupuestal, en apego a la normatividad aplicable.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B89B811" w14:textId="486B47DF"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reportes financieros emitidos, de los estados financieros recibidos de las Entidades y Fideicomisos. </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0D673540" w14:textId="56B11F0F"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Informe trimestral http://egresos.sefiplan.qroo.gob.mx/PBR_2020</w:t>
            </w:r>
            <w:r w:rsidRPr="002162EF">
              <w:rPr>
                <w:rFonts w:eastAsia="Carme" w:cs="Carme"/>
                <w:bCs/>
                <w:color w:val="595959"/>
                <w:sz w:val="16"/>
                <w:szCs w:val="16"/>
                <w:lang w:val="es-MX" w:eastAsia="es-MX"/>
              </w:rPr>
              <w:br/>
              <w:t>_M/Web/ReportesLaunch.aspx</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B72A041" w14:textId="6401759D" w:rsidR="002162EF" w:rsidRPr="00FB3542" w:rsidRDefault="002162EF" w:rsidP="00132F06">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Las Entidades  y Fideicomisos entregan la </w:t>
            </w:r>
            <w:proofErr w:type="spellStart"/>
            <w:r w:rsidRPr="002162EF">
              <w:rPr>
                <w:rFonts w:eastAsia="Carme" w:cs="Carme"/>
                <w:bCs/>
                <w:color w:val="595959"/>
                <w:sz w:val="16"/>
                <w:szCs w:val="16"/>
                <w:lang w:val="es-MX" w:eastAsia="es-MX"/>
              </w:rPr>
              <w:t>ios</w:t>
            </w:r>
            <w:proofErr w:type="spellEnd"/>
            <w:r w:rsidRPr="002162EF">
              <w:rPr>
                <w:rFonts w:eastAsia="Carme" w:cs="Carme"/>
                <w:bCs/>
                <w:color w:val="595959"/>
                <w:sz w:val="16"/>
                <w:szCs w:val="16"/>
                <w:lang w:val="es-MX" w:eastAsia="es-MX"/>
              </w:rPr>
              <w:t xml:space="preserve"> estados financieros en tiempo y forma, conforme a lo establecido por la norma.</w:t>
            </w:r>
          </w:p>
        </w:tc>
      </w:tr>
    </w:tbl>
    <w:p w14:paraId="30F59D38" w14:textId="77777777" w:rsidR="00132F06" w:rsidRDefault="00132F06">
      <w:pPr>
        <w:rPr>
          <w:b/>
          <w:bCs/>
          <w:caps/>
        </w:rPr>
      </w:pPr>
      <w:r>
        <w:rPr>
          <w:b/>
          <w:bCs/>
          <w:caps/>
        </w:rPr>
        <w:br w:type="page"/>
      </w:r>
    </w:p>
    <w:tbl>
      <w:tblPr>
        <w:tblpPr w:leftFromText="141" w:rightFromText="141" w:vertAnchor="page" w:horzAnchor="margin" w:tblpY="2680"/>
        <w:tblW w:w="13340" w:type="dxa"/>
        <w:tblLayout w:type="fixed"/>
        <w:tblCellMar>
          <w:left w:w="70" w:type="dxa"/>
          <w:right w:w="70" w:type="dxa"/>
        </w:tblCellMar>
        <w:tblLook w:val="04A0" w:firstRow="1" w:lastRow="0" w:firstColumn="1" w:lastColumn="0" w:noHBand="0" w:noVBand="1"/>
      </w:tblPr>
      <w:tblGrid>
        <w:gridCol w:w="1220"/>
        <w:gridCol w:w="4040"/>
        <w:gridCol w:w="1843"/>
        <w:gridCol w:w="3260"/>
        <w:gridCol w:w="2977"/>
      </w:tblGrid>
      <w:tr w:rsidR="00D27AE7" w:rsidRPr="00FB3542" w14:paraId="701C8522" w14:textId="77777777" w:rsidTr="00D27AE7">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67D3CB"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lastRenderedPageBreak/>
              <w:t>NIVEL</w:t>
            </w:r>
          </w:p>
        </w:tc>
        <w:tc>
          <w:tcPr>
            <w:tcW w:w="4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34DBBB"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OBJETIVO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DE4542"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INDICADOR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13FB3F"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MEDIOS DE VERIFICACIÓN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9A8CE9"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SUPUESTO</w:t>
            </w:r>
          </w:p>
        </w:tc>
      </w:tr>
      <w:tr w:rsidR="00D27AE7" w:rsidRPr="00FB3542" w14:paraId="1B7A535A" w14:textId="77777777" w:rsidTr="00D27AE7">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vAlign w:val="center"/>
          </w:tcPr>
          <w:p w14:paraId="112C55ED" w14:textId="77777777" w:rsidR="00D27AE7" w:rsidRPr="00FB3542" w:rsidRDefault="00D27AE7" w:rsidP="00D27AE7">
            <w:pPr>
              <w:pStyle w:val="Ttulo1"/>
              <w:jc w:val="center"/>
              <w:rPr>
                <w:rFonts w:eastAsia="Carme" w:cs="Carme"/>
                <w:caps w:val="0"/>
                <w:color w:val="595959"/>
                <w:sz w:val="16"/>
                <w:szCs w:val="16"/>
                <w:lang w:eastAsia="es-MX"/>
              </w:rPr>
            </w:pPr>
            <w:r w:rsidRPr="002162EF">
              <w:rPr>
                <w:rFonts w:eastAsia="Carme" w:cs="Carme"/>
                <w:caps w:val="0"/>
                <w:color w:val="595959"/>
                <w:sz w:val="16"/>
                <w:szCs w:val="16"/>
                <w:lang w:eastAsia="es-MX"/>
              </w:rPr>
              <w:t>Componente 4</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6CE92037"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C4.- Contabilidad gubernamental armonizada con la finalidad de mejorar la transparencia y la rendición de cuentas.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685C3E2"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avance en el  Proceso de Armonización Contable en el Estado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4B89024"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Informe del Sistema de Evaluaciones de la Armonización</w:t>
            </w:r>
            <w:r w:rsidRPr="002162EF">
              <w:rPr>
                <w:rFonts w:eastAsia="Carme" w:cs="Carme"/>
                <w:bCs/>
                <w:color w:val="595959"/>
                <w:sz w:val="16"/>
                <w:szCs w:val="16"/>
                <w:lang w:val="es-MX" w:eastAsia="es-MX"/>
              </w:rPr>
              <w:br/>
              <w:t>Contable (</w:t>
            </w:r>
            <w:proofErr w:type="spellStart"/>
            <w:r w:rsidRPr="002162EF">
              <w:rPr>
                <w:rFonts w:eastAsia="Carme" w:cs="Carme"/>
                <w:bCs/>
                <w:color w:val="595959"/>
                <w:sz w:val="16"/>
                <w:szCs w:val="16"/>
                <w:lang w:val="es-MX" w:eastAsia="es-MX"/>
              </w:rPr>
              <w:t>SEvAC</w:t>
            </w:r>
            <w:proofErr w:type="spellEnd"/>
            <w:r w:rsidRPr="002162EF">
              <w:rPr>
                <w:rFonts w:eastAsia="Carme" w:cs="Carme"/>
                <w:bCs/>
                <w:color w:val="595959"/>
                <w:sz w:val="16"/>
                <w:szCs w:val="16"/>
                <w:lang w:val="es-MX" w:eastAsia="es-MX"/>
              </w:rPr>
              <w:t>), generado por la Unidad de</w:t>
            </w:r>
            <w:r w:rsidRPr="002162EF">
              <w:rPr>
                <w:rFonts w:eastAsia="Carme" w:cs="Carme"/>
                <w:bCs/>
                <w:color w:val="595959"/>
                <w:sz w:val="16"/>
                <w:szCs w:val="16"/>
                <w:lang w:val="es-MX" w:eastAsia="es-MX"/>
              </w:rPr>
              <w:br/>
              <w:t>Contabilidad Gubernamental del Consejo Nacional de</w:t>
            </w:r>
            <w:r w:rsidRPr="002162EF">
              <w:rPr>
                <w:rFonts w:eastAsia="Carme" w:cs="Carme"/>
                <w:bCs/>
                <w:color w:val="595959"/>
                <w:sz w:val="16"/>
                <w:szCs w:val="16"/>
                <w:lang w:val="es-MX" w:eastAsia="es-MX"/>
              </w:rPr>
              <w:br/>
              <w:t>Armonización Contable (CONAC).</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77E8328"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 Administración Pública se involucra en la aplicación de la Contabilidad Gubernamental y genera información con los criterios, lineamientos y disposiciones normativas  emitidas por el Consejo Nacional de Armonización Contable (CONAC)</w:t>
            </w:r>
          </w:p>
        </w:tc>
      </w:tr>
      <w:tr w:rsidR="00D27AE7" w:rsidRPr="00FB3542" w14:paraId="15523EA1" w14:textId="77777777" w:rsidTr="00D27AE7">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3EDC518D" w14:textId="77777777" w:rsidR="00D27AE7" w:rsidRPr="00FB3542" w:rsidRDefault="00D27AE7" w:rsidP="00D27AE7">
            <w:pPr>
              <w:pStyle w:val="Ttulo1"/>
              <w:jc w:val="center"/>
              <w:rPr>
                <w:rFonts w:eastAsia="Carme" w:cs="Carme"/>
                <w:caps w:val="0"/>
                <w:color w:val="595959"/>
                <w:sz w:val="16"/>
                <w:szCs w:val="16"/>
                <w:lang w:eastAsia="es-MX"/>
              </w:rPr>
            </w:pPr>
            <w:r w:rsidRPr="00107280">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25316E5C"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C.4.A.1 - Autorización y validación de todas las</w:t>
            </w:r>
            <w:r w:rsidRPr="002162EF">
              <w:rPr>
                <w:rFonts w:eastAsia="Carme" w:cs="Carme"/>
                <w:bCs/>
                <w:color w:val="595959"/>
                <w:sz w:val="16"/>
                <w:szCs w:val="16"/>
                <w:lang w:val="es-MX" w:eastAsia="es-MX"/>
              </w:rPr>
              <w:br/>
              <w:t>Erogaciones con cargo al Presupuesto de Egresos que cumplan con la normatividad aplicable, de acuerdo a la Propuesta de pagos de la Dirección de Egresos.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463749E"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pagos autorizados por el Tesorero General del Estado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67DD041"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Expediente de Reportes definitivos de pagos diarios autorizados por el Tesorero General del Estado.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3AB1505"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La Tesorería General del Gobierno, al ser la instancia encargada de Autorizar las Erogaciones con cargo al Presupuesto de Egresos del Estado; procura la  aplicación y validación de la Normatividad de carácter administrativo, establecida en la Ley General de Contabilidad gubernamental y demás lineamientos normativos emitidos por la CONAC; así como, las demás Disposiciones Fiscales de carácter Local y Federal que le sean aplicables.</w:t>
            </w:r>
          </w:p>
        </w:tc>
      </w:tr>
      <w:tr w:rsidR="00D27AE7" w:rsidRPr="00FB3542" w14:paraId="65170AD6" w14:textId="77777777" w:rsidTr="00D27AE7">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0F3969DA" w14:textId="77777777" w:rsidR="00D27AE7" w:rsidRPr="002162EF" w:rsidRDefault="00D27AE7" w:rsidP="00D27AE7">
            <w:pPr>
              <w:pStyle w:val="Ttulo1"/>
              <w:jc w:val="center"/>
              <w:rPr>
                <w:rFonts w:eastAsia="Carme" w:cs="Carme"/>
                <w:caps w:val="0"/>
                <w:color w:val="595959"/>
                <w:sz w:val="16"/>
                <w:szCs w:val="16"/>
                <w:lang w:eastAsia="es-MX"/>
              </w:rPr>
            </w:pPr>
            <w:r w:rsidRPr="00107280">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289E8EFD"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C.4.A.2 -  Aplicación de manera efectiva de las órdenes de pago registrando y verificando que la documentación cumpla con todos los requisitos fiscales y administrativos para su correcta aplicación a fin de </w:t>
            </w:r>
            <w:proofErr w:type="spellStart"/>
            <w:r w:rsidRPr="002162EF">
              <w:rPr>
                <w:rFonts w:eastAsia="Carme" w:cs="Carme"/>
                <w:bCs/>
                <w:color w:val="595959"/>
                <w:sz w:val="16"/>
                <w:szCs w:val="16"/>
                <w:lang w:val="es-MX" w:eastAsia="es-MX"/>
              </w:rPr>
              <w:t>eficientar</w:t>
            </w:r>
            <w:proofErr w:type="spellEnd"/>
            <w:r w:rsidRPr="002162EF">
              <w:rPr>
                <w:rFonts w:eastAsia="Carme" w:cs="Carme"/>
                <w:bCs/>
                <w:color w:val="595959"/>
                <w:sz w:val="16"/>
                <w:szCs w:val="16"/>
                <w:lang w:val="es-MX" w:eastAsia="es-MX"/>
              </w:rPr>
              <w:t xml:space="preserve"> el trámite.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E03BA0"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w:t>
            </w:r>
            <w:proofErr w:type="spellStart"/>
            <w:r w:rsidRPr="002162EF">
              <w:rPr>
                <w:rFonts w:eastAsia="Carme" w:cs="Carme"/>
                <w:bCs/>
                <w:color w:val="595959"/>
                <w:sz w:val="16"/>
                <w:szCs w:val="16"/>
                <w:lang w:val="es-MX" w:eastAsia="es-MX"/>
              </w:rPr>
              <w:t>ordenes</w:t>
            </w:r>
            <w:proofErr w:type="spellEnd"/>
            <w:r w:rsidRPr="002162EF">
              <w:rPr>
                <w:rFonts w:eastAsia="Carme" w:cs="Carme"/>
                <w:bCs/>
                <w:color w:val="595959"/>
                <w:sz w:val="16"/>
                <w:szCs w:val="16"/>
                <w:lang w:val="es-MX" w:eastAsia="es-MX"/>
              </w:rPr>
              <w:t xml:space="preserve"> de pago autorizadas en la Dirección de  Caja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65C6069"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Reportes mensuales del Sistema Integral de Gestión Gubernamental de la Dirección General de Egresos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00EB7C95"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Los usuarios tramitan adecuadamente los documentos con los requisitos fiscales y administrativos establecidos.</w:t>
            </w:r>
          </w:p>
        </w:tc>
      </w:tr>
      <w:tr w:rsidR="00D27AE7" w:rsidRPr="00FB3542" w14:paraId="342DC7C5" w14:textId="77777777" w:rsidTr="00D27AE7">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4007A21D" w14:textId="77777777" w:rsidR="00D27AE7" w:rsidRPr="002162EF" w:rsidRDefault="00D27AE7" w:rsidP="00D27AE7">
            <w:pPr>
              <w:pStyle w:val="Ttulo1"/>
              <w:jc w:val="center"/>
              <w:rPr>
                <w:rFonts w:eastAsia="Carme" w:cs="Carme"/>
                <w:caps w:val="0"/>
                <w:color w:val="595959"/>
                <w:sz w:val="16"/>
                <w:szCs w:val="16"/>
                <w:lang w:eastAsia="es-MX"/>
              </w:rPr>
            </w:pPr>
            <w:r w:rsidRPr="00107280">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7FE306D3"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C.4.A.3 - Realización de pagos de los fondos públicos, así como efectuar inversiones públicas dentro de la plataforma destinada para tal efecto y tener la  administración  del Fondo para el Financiamiento y Ahorro para los trabajadores del Poder Ejecutivo del Estado.</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389DA1E"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avance del  presupuesto pagado</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A818858"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Relación del número de cheques del corte de caja proporcionado de manera mensual por el departamento de control de pagos obtenidos</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6584A78"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Las instituciones cumplen con la documentación debidamente integrada, revisada y requisitado  para que se </w:t>
            </w:r>
            <w:proofErr w:type="gramStart"/>
            <w:r w:rsidRPr="002162EF">
              <w:rPr>
                <w:rFonts w:eastAsia="Carme" w:cs="Carme"/>
                <w:bCs/>
                <w:color w:val="595959"/>
                <w:sz w:val="16"/>
                <w:szCs w:val="16"/>
                <w:lang w:val="es-MX" w:eastAsia="es-MX"/>
              </w:rPr>
              <w:t>efectué</w:t>
            </w:r>
            <w:proofErr w:type="gramEnd"/>
            <w:r w:rsidRPr="002162EF">
              <w:rPr>
                <w:rFonts w:eastAsia="Carme" w:cs="Carme"/>
                <w:bCs/>
                <w:color w:val="595959"/>
                <w:sz w:val="16"/>
                <w:szCs w:val="16"/>
                <w:lang w:val="es-MX" w:eastAsia="es-MX"/>
              </w:rPr>
              <w:t xml:space="preserve"> el pago correspondiente en función de lo programado.</w:t>
            </w:r>
          </w:p>
        </w:tc>
      </w:tr>
      <w:tr w:rsidR="00D27AE7" w:rsidRPr="00FB3542" w14:paraId="3057708E" w14:textId="77777777" w:rsidTr="00D27AE7">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5B5592E0" w14:textId="77777777" w:rsidR="00D27AE7" w:rsidRPr="002162EF" w:rsidRDefault="00D27AE7" w:rsidP="00D27AE7">
            <w:pPr>
              <w:pStyle w:val="Ttulo1"/>
              <w:jc w:val="center"/>
              <w:rPr>
                <w:rFonts w:eastAsia="Carme" w:cs="Carme"/>
                <w:caps w:val="0"/>
                <w:color w:val="595959"/>
                <w:sz w:val="16"/>
                <w:szCs w:val="16"/>
                <w:lang w:eastAsia="es-MX"/>
              </w:rPr>
            </w:pPr>
            <w:r w:rsidRPr="00107280">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7CF0920F"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C.4.A.4 - Difusión de los datos estadísticos de los subsistemas de información estadística.</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4203EDD"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Porcentaje de visitas al </w:t>
            </w:r>
            <w:proofErr w:type="spellStart"/>
            <w:r w:rsidRPr="002162EF">
              <w:rPr>
                <w:rFonts w:eastAsia="Carme" w:cs="Carme"/>
                <w:bCs/>
                <w:color w:val="595959"/>
                <w:sz w:val="16"/>
                <w:szCs w:val="16"/>
                <w:lang w:val="es-MX" w:eastAsia="es-MX"/>
              </w:rPr>
              <w:t>micrositio</w:t>
            </w:r>
            <w:proofErr w:type="spellEnd"/>
            <w:r w:rsidRPr="002162EF">
              <w:rPr>
                <w:rFonts w:eastAsia="Carme" w:cs="Carme"/>
                <w:bCs/>
                <w:color w:val="595959"/>
                <w:sz w:val="16"/>
                <w:szCs w:val="16"/>
                <w:lang w:val="es-MX" w:eastAsia="es-MX"/>
              </w:rPr>
              <w:t xml:space="preserve"> del Centro de Información Estadística y Geográfica</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4187009" w14:textId="77777777" w:rsidR="00D27AE7" w:rsidRPr="00FB3542" w:rsidRDefault="00D27AE7" w:rsidP="00D27AE7">
            <w:pPr>
              <w:spacing w:after="0" w:line="240" w:lineRule="auto"/>
              <w:jc w:val="center"/>
              <w:rPr>
                <w:rFonts w:eastAsia="Carme" w:cs="Carme"/>
                <w:bCs/>
                <w:color w:val="595959"/>
                <w:sz w:val="16"/>
                <w:szCs w:val="16"/>
                <w:lang w:val="es-MX" w:eastAsia="es-MX"/>
              </w:rPr>
            </w:pPr>
            <w:proofErr w:type="spellStart"/>
            <w:r w:rsidRPr="002162EF">
              <w:rPr>
                <w:rFonts w:eastAsia="Carme" w:cs="Carme"/>
                <w:bCs/>
                <w:color w:val="595959"/>
                <w:sz w:val="16"/>
                <w:szCs w:val="16"/>
                <w:lang w:val="es-MX" w:eastAsia="es-MX"/>
              </w:rPr>
              <w:t>Micrositio</w:t>
            </w:r>
            <w:proofErr w:type="spellEnd"/>
            <w:r w:rsidRPr="002162EF">
              <w:rPr>
                <w:rFonts w:eastAsia="Carme" w:cs="Carme"/>
                <w:bCs/>
                <w:color w:val="595959"/>
                <w:sz w:val="16"/>
                <w:szCs w:val="16"/>
                <w:lang w:val="es-MX" w:eastAsia="es-MX"/>
              </w:rPr>
              <w:t xml:space="preserve"> del Centro de Información Estadística y Geográfica                        http://www.sefiplan.qroo.gob.mx/CIEGEQROO/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488EFB9C"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La población de la sociedad pública y privada </w:t>
            </w:r>
            <w:proofErr w:type="gramStart"/>
            <w:r w:rsidRPr="002162EF">
              <w:rPr>
                <w:rFonts w:eastAsia="Carme" w:cs="Carme"/>
                <w:bCs/>
                <w:color w:val="595959"/>
                <w:sz w:val="16"/>
                <w:szCs w:val="16"/>
                <w:lang w:val="es-MX" w:eastAsia="es-MX"/>
              </w:rPr>
              <w:t>hacen</w:t>
            </w:r>
            <w:proofErr w:type="gramEnd"/>
            <w:r w:rsidRPr="002162EF">
              <w:rPr>
                <w:rFonts w:eastAsia="Carme" w:cs="Carme"/>
                <w:bCs/>
                <w:color w:val="595959"/>
                <w:sz w:val="16"/>
                <w:szCs w:val="16"/>
                <w:lang w:val="es-MX" w:eastAsia="es-MX"/>
              </w:rPr>
              <w:t xml:space="preserve"> uso de la información estadística de los subsistemas publicados.</w:t>
            </w:r>
          </w:p>
        </w:tc>
      </w:tr>
      <w:tr w:rsidR="00D27AE7" w:rsidRPr="00FB3542" w14:paraId="50C4548F" w14:textId="77777777" w:rsidTr="00D27AE7">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2585CC1B" w14:textId="77777777" w:rsidR="00D27AE7" w:rsidRPr="002162EF" w:rsidRDefault="00D27AE7" w:rsidP="00D27AE7">
            <w:pPr>
              <w:pStyle w:val="Ttulo1"/>
              <w:jc w:val="center"/>
              <w:rPr>
                <w:rFonts w:eastAsia="Carme" w:cs="Carme"/>
                <w:caps w:val="0"/>
                <w:color w:val="595959"/>
                <w:sz w:val="16"/>
                <w:szCs w:val="16"/>
                <w:lang w:eastAsia="es-MX"/>
              </w:rPr>
            </w:pPr>
            <w:r w:rsidRPr="00107280">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18F3FD74"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C.4.A.5 - Promoción de la participación ciudadana en los eventos que transmiten conocimientos sobre finanzas públicas.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34F1638"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participantes capacitados en eventos que brindan conocimiento sobre las finanzas públicas.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C143C55"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Fichas técnicas de eventos, bajo el resguardo de la Subsecretaría Técnica de la SEFIPLAN, publicadas de forma trimestral en el </w:t>
            </w:r>
            <w:proofErr w:type="spellStart"/>
            <w:r w:rsidRPr="002162EF">
              <w:rPr>
                <w:rFonts w:eastAsia="Carme" w:cs="Carme"/>
                <w:bCs/>
                <w:color w:val="595959"/>
                <w:sz w:val="16"/>
                <w:szCs w:val="16"/>
                <w:lang w:val="es-MX" w:eastAsia="es-MX"/>
              </w:rPr>
              <w:t>micrositio</w:t>
            </w:r>
            <w:proofErr w:type="spellEnd"/>
            <w:r w:rsidRPr="002162EF">
              <w:rPr>
                <w:rFonts w:eastAsia="Carme" w:cs="Carme"/>
                <w:bCs/>
                <w:color w:val="595959"/>
                <w:sz w:val="16"/>
                <w:szCs w:val="16"/>
                <w:lang w:val="es-MX" w:eastAsia="es-MX"/>
              </w:rPr>
              <w:t>: http://www.sefiplan.qroo.gob.mx/CIEGEQROO/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F5B687C"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Existen participantes que se involucran de forma activa y democrática aportando ideas tendientes al desarrollo del estado basadas en el interés de las finanzas públicas y fomentando la transparencia, la participación y la colaboración.</w:t>
            </w:r>
          </w:p>
        </w:tc>
      </w:tr>
      <w:tr w:rsidR="00D27AE7" w:rsidRPr="00FB3542" w14:paraId="479D1194" w14:textId="77777777" w:rsidTr="00D27AE7">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ECC0ED"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lastRenderedPageBreak/>
              <w:t>NIVEL</w:t>
            </w:r>
          </w:p>
        </w:tc>
        <w:tc>
          <w:tcPr>
            <w:tcW w:w="40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208CF"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OBJETIVO</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08B655"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INDICADOR</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479925"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MEDIOS DE VERIFICACIÓN</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AF81C" w14:textId="77777777" w:rsidR="00D27AE7" w:rsidRPr="00132F06" w:rsidRDefault="00D27AE7" w:rsidP="00D27AE7">
            <w:pPr>
              <w:widowControl w:val="0"/>
              <w:spacing w:after="0"/>
              <w:contextualSpacing/>
              <w:jc w:val="center"/>
              <w:rPr>
                <w:rFonts w:eastAsia="Carme" w:cs="Carme"/>
                <w:b/>
                <w:color w:val="595959"/>
                <w:sz w:val="16"/>
                <w:szCs w:val="16"/>
                <w:lang w:val="es-MX" w:eastAsia="es-MX"/>
              </w:rPr>
            </w:pPr>
            <w:r w:rsidRPr="00117A30">
              <w:rPr>
                <w:rFonts w:eastAsia="Carme" w:cs="Carme"/>
                <w:b/>
                <w:color w:val="595959"/>
                <w:sz w:val="16"/>
                <w:szCs w:val="16"/>
                <w:lang w:val="es-MX" w:eastAsia="es-MX"/>
              </w:rPr>
              <w:t>SUPUESTO</w:t>
            </w:r>
          </w:p>
        </w:tc>
      </w:tr>
      <w:tr w:rsidR="00D27AE7" w:rsidRPr="00FB3542" w14:paraId="2E58A6BF" w14:textId="77777777" w:rsidTr="00D27AE7">
        <w:trPr>
          <w:trHeight w:val="20"/>
        </w:trPr>
        <w:tc>
          <w:tcPr>
            <w:tcW w:w="1220" w:type="dxa"/>
            <w:tcBorders>
              <w:top w:val="single" w:sz="4" w:space="0" w:color="auto"/>
              <w:left w:val="single" w:sz="4" w:space="0" w:color="auto"/>
              <w:bottom w:val="single" w:sz="4" w:space="0" w:color="auto"/>
              <w:right w:val="single" w:sz="4" w:space="0" w:color="auto"/>
            </w:tcBorders>
            <w:shd w:val="clear" w:color="auto" w:fill="auto"/>
          </w:tcPr>
          <w:p w14:paraId="6FB83893" w14:textId="77777777" w:rsidR="00D27AE7" w:rsidRPr="002162EF" w:rsidRDefault="00D27AE7" w:rsidP="00D27AE7">
            <w:pPr>
              <w:pStyle w:val="Ttulo1"/>
              <w:jc w:val="center"/>
              <w:rPr>
                <w:rFonts w:eastAsia="Carme" w:cs="Carme"/>
                <w:caps w:val="0"/>
                <w:color w:val="595959"/>
                <w:sz w:val="16"/>
                <w:szCs w:val="16"/>
                <w:lang w:eastAsia="es-MX"/>
              </w:rPr>
            </w:pPr>
            <w:r w:rsidRPr="00107280">
              <w:rPr>
                <w:rFonts w:eastAsia="Carme" w:cs="Carme"/>
                <w:caps w:val="0"/>
                <w:color w:val="595959"/>
                <w:sz w:val="16"/>
                <w:szCs w:val="16"/>
                <w:lang w:eastAsia="es-MX"/>
              </w:rPr>
              <w:t>Actividad</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tcPr>
          <w:p w14:paraId="095F4921"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C.4.A.6 - Asesoramiento a los usuarios del módulo de información y  atención Chetumal, para interponer sus quejas y  dudas relacionadas con servicios financieros ante la Subdelegación CONDUSEF Cancún.</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78535DB"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Porcentaje de usuarios del módulo de la CONDUSEF Chetumal que son asesorados y/o vinculados ante la subdelegación correspondientes para realizar el trámite, aclaración y/o duda relacionada con servicios financieros.</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C6FD53F"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Reporte del Número de usuarios atendidos en el módulo de la CONDUSEF Chetumal, bajo el resguardo de la Dirección Técnica de la SEFIPLAN, publicados de manera trimestral en:  http://www.sefiplan.qroo.gob.mx/CIEGEQROO/</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9549EB1" w14:textId="77777777" w:rsidR="00D27AE7" w:rsidRPr="00FB3542" w:rsidRDefault="00D27AE7" w:rsidP="00D27AE7">
            <w:pPr>
              <w:spacing w:after="0" w:line="240" w:lineRule="auto"/>
              <w:jc w:val="center"/>
              <w:rPr>
                <w:rFonts w:eastAsia="Carme" w:cs="Carme"/>
                <w:bCs/>
                <w:color w:val="595959"/>
                <w:sz w:val="16"/>
                <w:szCs w:val="16"/>
                <w:lang w:val="es-MX" w:eastAsia="es-MX"/>
              </w:rPr>
            </w:pPr>
            <w:r w:rsidRPr="002162EF">
              <w:rPr>
                <w:rFonts w:eastAsia="Carme" w:cs="Carme"/>
                <w:bCs/>
                <w:color w:val="595959"/>
                <w:sz w:val="16"/>
                <w:szCs w:val="16"/>
                <w:lang w:val="es-MX" w:eastAsia="es-MX"/>
              </w:rPr>
              <w:t xml:space="preserve"> Los usuarios de servicios financieros acuden al módulo de la CONDUSEF Chetumal a solicitar asesorías para interponer quejas ante las instancias correspondientes.</w:t>
            </w:r>
          </w:p>
        </w:tc>
      </w:tr>
    </w:tbl>
    <w:p w14:paraId="5CDC3377" w14:textId="77777777" w:rsidR="00D27AE7" w:rsidRDefault="00D27AE7"/>
    <w:p w14:paraId="291FA60B" w14:textId="12030237" w:rsidR="00132F06" w:rsidRDefault="00132F06"/>
    <w:p w14:paraId="16CCE8BB" w14:textId="487C1FC9" w:rsidR="00132F06" w:rsidRDefault="00132F06"/>
    <w:p w14:paraId="422F8A4D" w14:textId="77777777" w:rsidR="002162EF" w:rsidRDefault="002162EF" w:rsidP="002162EF">
      <w:pPr>
        <w:keepNext/>
        <w:keepLines/>
        <w:spacing w:before="200" w:line="240" w:lineRule="auto"/>
        <w:outlineLvl w:val="1"/>
        <w:rPr>
          <w:rFonts w:ascii="Futura Std Condensed Light" w:eastAsia="MS PGothic" w:hAnsi="Futura Std Condensed Light"/>
          <w:color w:val="595959" w:themeColor="text1" w:themeTint="A6"/>
          <w:sz w:val="16"/>
          <w:szCs w:val="16"/>
        </w:rPr>
      </w:pPr>
      <w:r>
        <w:rPr>
          <w:rFonts w:ascii="Futura Std Condensed Light" w:eastAsia="MS PGothic" w:hAnsi="Futura Std Condensed Light"/>
          <w:color w:val="595959" w:themeColor="text1" w:themeTint="A6"/>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7B573818" w14:textId="07392432" w:rsidR="00BA14BE" w:rsidRDefault="00BA14BE">
      <w:pPr>
        <w:spacing w:after="0" w:line="240" w:lineRule="auto"/>
        <w:jc w:val="left"/>
        <w:rPr>
          <w:rFonts w:eastAsia="Carme" w:cs="Carme"/>
          <w:b/>
          <w:color w:val="595959"/>
          <w:sz w:val="20"/>
          <w:szCs w:val="20"/>
          <w:lang w:val="es-MX" w:eastAsia="es-MX"/>
        </w:rPr>
      </w:pPr>
      <w:r>
        <w:rPr>
          <w:rFonts w:eastAsia="Carme" w:cs="Carme"/>
          <w:b/>
          <w:color w:val="595959"/>
          <w:sz w:val="20"/>
          <w:szCs w:val="20"/>
          <w:lang w:val="es-MX" w:eastAsia="es-MX"/>
        </w:rPr>
        <w:br w:type="page"/>
      </w:r>
    </w:p>
    <w:tbl>
      <w:tblPr>
        <w:tblW w:w="5643" w:type="pct"/>
        <w:tblCellMar>
          <w:left w:w="70" w:type="dxa"/>
          <w:right w:w="70" w:type="dxa"/>
        </w:tblCellMar>
        <w:tblLook w:val="04A0" w:firstRow="1" w:lastRow="0" w:firstColumn="1" w:lastColumn="0" w:noHBand="0" w:noVBand="1"/>
      </w:tblPr>
      <w:tblGrid>
        <w:gridCol w:w="1191"/>
        <w:gridCol w:w="4067"/>
        <w:gridCol w:w="1814"/>
        <w:gridCol w:w="3373"/>
        <w:gridCol w:w="2950"/>
      </w:tblGrid>
      <w:tr w:rsidR="00BA14BE" w:rsidRPr="00FB3542" w14:paraId="77DDDC51" w14:textId="77777777" w:rsidTr="004B2E3F">
        <w:trPr>
          <w:trHeight w:val="300"/>
        </w:trPr>
        <w:tc>
          <w:tcPr>
            <w:tcW w:w="196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B1AF4C2" w14:textId="77777777" w:rsidR="00BA14BE" w:rsidRPr="00FB3542" w:rsidRDefault="00BA14BE" w:rsidP="004B2E3F">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lastRenderedPageBreak/>
              <w:t>PROGRAMA PRESUPUESTARIO:</w:t>
            </w:r>
          </w:p>
        </w:tc>
        <w:tc>
          <w:tcPr>
            <w:tcW w:w="3037" w:type="pct"/>
            <w:gridSpan w:val="3"/>
            <w:tcBorders>
              <w:top w:val="single" w:sz="4" w:space="0" w:color="auto"/>
              <w:left w:val="nil"/>
              <w:bottom w:val="single" w:sz="4" w:space="0" w:color="auto"/>
              <w:right w:val="single" w:sz="4" w:space="0" w:color="auto"/>
            </w:tcBorders>
            <w:shd w:val="clear" w:color="000000" w:fill="D9D9D9"/>
            <w:vAlign w:val="center"/>
            <w:hideMark/>
          </w:tcPr>
          <w:p w14:paraId="442C7052" w14:textId="77777777" w:rsidR="00BA14BE" w:rsidRPr="00FB3542" w:rsidRDefault="00BA14BE" w:rsidP="004B2E3F">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t>M001 - Gestión y Apoyo Institucional</w:t>
            </w:r>
          </w:p>
        </w:tc>
      </w:tr>
      <w:tr w:rsidR="00BA14BE" w:rsidRPr="00FB3542" w14:paraId="731F7D43" w14:textId="77777777" w:rsidTr="004B2E3F">
        <w:trPr>
          <w:trHeight w:val="525"/>
        </w:trPr>
        <w:tc>
          <w:tcPr>
            <w:tcW w:w="196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55A0A29" w14:textId="77777777" w:rsidR="00BA14BE" w:rsidRPr="00FB3542" w:rsidRDefault="00BA14BE" w:rsidP="004B2E3F">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t>INSTITUCIÓN:</w:t>
            </w:r>
          </w:p>
        </w:tc>
        <w:tc>
          <w:tcPr>
            <w:tcW w:w="3037" w:type="pct"/>
            <w:gridSpan w:val="3"/>
            <w:tcBorders>
              <w:top w:val="single" w:sz="4" w:space="0" w:color="auto"/>
              <w:left w:val="nil"/>
              <w:bottom w:val="single" w:sz="4" w:space="0" w:color="auto"/>
              <w:right w:val="single" w:sz="4" w:space="0" w:color="auto"/>
            </w:tcBorders>
            <w:shd w:val="clear" w:color="000000" w:fill="D9D9D9"/>
            <w:vAlign w:val="center"/>
            <w:hideMark/>
          </w:tcPr>
          <w:p w14:paraId="3A448E9A" w14:textId="03F91508" w:rsidR="00BA14BE" w:rsidRPr="00FB3542" w:rsidRDefault="00BA14BE" w:rsidP="00D27AE7">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t>1106-- Subsecretaría de Política Hacendaria y Control Presupuestal</w:t>
            </w:r>
          </w:p>
        </w:tc>
      </w:tr>
      <w:tr w:rsidR="00BA14BE" w:rsidRPr="00FB3542" w14:paraId="5AFAC0CE" w14:textId="77777777" w:rsidTr="004B2E3F">
        <w:trPr>
          <w:trHeight w:val="315"/>
        </w:trPr>
        <w:tc>
          <w:tcPr>
            <w:tcW w:w="445" w:type="pct"/>
            <w:tcBorders>
              <w:top w:val="nil"/>
              <w:bottom w:val="single" w:sz="4" w:space="0" w:color="auto"/>
              <w:right w:val="nil"/>
            </w:tcBorders>
            <w:shd w:val="clear" w:color="auto" w:fill="auto"/>
            <w:noWrap/>
            <w:vAlign w:val="center"/>
            <w:hideMark/>
          </w:tcPr>
          <w:p w14:paraId="1A1572F2" w14:textId="77777777" w:rsidR="00BA14BE" w:rsidRPr="00FB3542" w:rsidRDefault="00BA14BE" w:rsidP="004B2E3F">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t> </w:t>
            </w:r>
          </w:p>
        </w:tc>
        <w:tc>
          <w:tcPr>
            <w:tcW w:w="1518" w:type="pct"/>
            <w:tcBorders>
              <w:top w:val="nil"/>
              <w:left w:val="nil"/>
              <w:bottom w:val="single" w:sz="8" w:space="0" w:color="auto"/>
              <w:right w:val="nil"/>
            </w:tcBorders>
            <w:shd w:val="clear" w:color="auto" w:fill="auto"/>
            <w:vAlign w:val="center"/>
            <w:hideMark/>
          </w:tcPr>
          <w:p w14:paraId="43E76E47" w14:textId="77777777" w:rsidR="00BA14BE" w:rsidRPr="00FB3542" w:rsidRDefault="00BA14BE" w:rsidP="004B2E3F">
            <w:pPr>
              <w:widowControl w:val="0"/>
              <w:spacing w:after="0"/>
              <w:contextualSpacing/>
              <w:rPr>
                <w:rFonts w:eastAsia="Carme" w:cs="Carme"/>
                <w:b/>
                <w:color w:val="595959"/>
                <w:sz w:val="20"/>
                <w:szCs w:val="20"/>
                <w:lang w:val="es-MX" w:eastAsia="es-MX"/>
              </w:rPr>
            </w:pPr>
            <w:r w:rsidRPr="00FB3542">
              <w:rPr>
                <w:rFonts w:eastAsia="Carme" w:cs="Carme"/>
                <w:b/>
                <w:color w:val="595959"/>
                <w:sz w:val="20"/>
                <w:szCs w:val="20"/>
                <w:lang w:val="es-MX" w:eastAsia="es-MX"/>
              </w:rPr>
              <w:t> </w:t>
            </w:r>
          </w:p>
        </w:tc>
        <w:tc>
          <w:tcPr>
            <w:tcW w:w="677" w:type="pct"/>
            <w:tcBorders>
              <w:top w:val="nil"/>
              <w:left w:val="nil"/>
              <w:bottom w:val="nil"/>
              <w:right w:val="nil"/>
            </w:tcBorders>
            <w:shd w:val="clear" w:color="auto" w:fill="auto"/>
            <w:noWrap/>
            <w:vAlign w:val="bottom"/>
            <w:hideMark/>
          </w:tcPr>
          <w:p w14:paraId="207E74C2" w14:textId="77777777" w:rsidR="00BA14BE" w:rsidRPr="00FB3542" w:rsidRDefault="00BA14BE" w:rsidP="004B2E3F">
            <w:pPr>
              <w:widowControl w:val="0"/>
              <w:spacing w:after="0"/>
              <w:contextualSpacing/>
              <w:rPr>
                <w:rFonts w:eastAsia="Carme" w:cs="Carme"/>
                <w:b/>
                <w:color w:val="595959"/>
                <w:sz w:val="20"/>
                <w:szCs w:val="20"/>
                <w:lang w:val="es-MX" w:eastAsia="es-MX"/>
              </w:rPr>
            </w:pPr>
          </w:p>
        </w:tc>
        <w:tc>
          <w:tcPr>
            <w:tcW w:w="1259" w:type="pct"/>
            <w:tcBorders>
              <w:top w:val="nil"/>
              <w:left w:val="nil"/>
              <w:bottom w:val="nil"/>
              <w:right w:val="nil"/>
            </w:tcBorders>
            <w:shd w:val="clear" w:color="auto" w:fill="auto"/>
            <w:noWrap/>
            <w:vAlign w:val="bottom"/>
            <w:hideMark/>
          </w:tcPr>
          <w:p w14:paraId="2E51FD96" w14:textId="77777777" w:rsidR="00BA14BE" w:rsidRPr="00FB3542" w:rsidRDefault="00BA14BE" w:rsidP="004B2E3F">
            <w:pPr>
              <w:widowControl w:val="0"/>
              <w:spacing w:after="0"/>
              <w:contextualSpacing/>
              <w:rPr>
                <w:rFonts w:eastAsia="Carme" w:cs="Carme"/>
                <w:b/>
                <w:color w:val="595959"/>
                <w:sz w:val="20"/>
                <w:szCs w:val="20"/>
                <w:lang w:val="es-MX" w:eastAsia="es-MX"/>
              </w:rPr>
            </w:pPr>
          </w:p>
        </w:tc>
        <w:tc>
          <w:tcPr>
            <w:tcW w:w="1101" w:type="pct"/>
            <w:tcBorders>
              <w:top w:val="nil"/>
              <w:left w:val="nil"/>
              <w:bottom w:val="nil"/>
              <w:right w:val="nil"/>
            </w:tcBorders>
            <w:shd w:val="clear" w:color="auto" w:fill="auto"/>
            <w:noWrap/>
            <w:vAlign w:val="bottom"/>
            <w:hideMark/>
          </w:tcPr>
          <w:p w14:paraId="1A7A256F" w14:textId="77777777" w:rsidR="00BA14BE" w:rsidRPr="00FB3542" w:rsidRDefault="00BA14BE" w:rsidP="004B2E3F">
            <w:pPr>
              <w:widowControl w:val="0"/>
              <w:spacing w:after="0"/>
              <w:contextualSpacing/>
              <w:rPr>
                <w:rFonts w:eastAsia="Carme" w:cs="Carme"/>
                <w:b/>
                <w:color w:val="595959"/>
                <w:sz w:val="20"/>
                <w:szCs w:val="20"/>
                <w:lang w:val="es-MX" w:eastAsia="es-MX"/>
              </w:rPr>
            </w:pPr>
          </w:p>
        </w:tc>
      </w:tr>
      <w:tr w:rsidR="00BA14BE" w:rsidRPr="00FB3542" w14:paraId="7DDED5C7" w14:textId="77777777" w:rsidTr="004B2E3F">
        <w:trPr>
          <w:trHeight w:val="315"/>
        </w:trPr>
        <w:tc>
          <w:tcPr>
            <w:tcW w:w="445" w:type="pct"/>
            <w:tcBorders>
              <w:top w:val="single" w:sz="4" w:space="0" w:color="auto"/>
              <w:left w:val="single" w:sz="8" w:space="0" w:color="auto"/>
              <w:bottom w:val="single" w:sz="8" w:space="0" w:color="auto"/>
              <w:right w:val="single" w:sz="8" w:space="0" w:color="auto"/>
            </w:tcBorders>
            <w:shd w:val="clear" w:color="000000" w:fill="D9D9D9"/>
            <w:vAlign w:val="center"/>
            <w:hideMark/>
          </w:tcPr>
          <w:p w14:paraId="60C3827D" w14:textId="77777777" w:rsidR="00BA14BE" w:rsidRPr="00FB3542" w:rsidRDefault="00BA14BE" w:rsidP="004B2E3F">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NIVEL</w:t>
            </w:r>
          </w:p>
        </w:tc>
        <w:tc>
          <w:tcPr>
            <w:tcW w:w="1518" w:type="pct"/>
            <w:tcBorders>
              <w:top w:val="nil"/>
              <w:left w:val="nil"/>
              <w:bottom w:val="single" w:sz="8" w:space="0" w:color="auto"/>
              <w:right w:val="single" w:sz="8" w:space="0" w:color="auto"/>
            </w:tcBorders>
            <w:shd w:val="clear" w:color="000000" w:fill="D9D9D9"/>
            <w:vAlign w:val="center"/>
            <w:hideMark/>
          </w:tcPr>
          <w:p w14:paraId="4771E594" w14:textId="77777777" w:rsidR="00BA14BE" w:rsidRPr="00FB3542" w:rsidRDefault="00BA14BE" w:rsidP="004B2E3F">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OBJETIVO</w:t>
            </w:r>
          </w:p>
        </w:tc>
        <w:tc>
          <w:tcPr>
            <w:tcW w:w="677" w:type="pct"/>
            <w:tcBorders>
              <w:top w:val="single" w:sz="8" w:space="0" w:color="auto"/>
              <w:left w:val="nil"/>
              <w:bottom w:val="single" w:sz="8" w:space="0" w:color="auto"/>
              <w:right w:val="single" w:sz="8" w:space="0" w:color="auto"/>
            </w:tcBorders>
            <w:shd w:val="clear" w:color="000000" w:fill="D9D9D9"/>
            <w:vAlign w:val="center"/>
            <w:hideMark/>
          </w:tcPr>
          <w:p w14:paraId="77813561" w14:textId="77777777" w:rsidR="00BA14BE" w:rsidRPr="00FB3542" w:rsidRDefault="00BA14BE" w:rsidP="004B2E3F">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INDICADOR</w:t>
            </w:r>
          </w:p>
        </w:tc>
        <w:tc>
          <w:tcPr>
            <w:tcW w:w="1259" w:type="pct"/>
            <w:tcBorders>
              <w:top w:val="single" w:sz="8" w:space="0" w:color="auto"/>
              <w:left w:val="nil"/>
              <w:bottom w:val="single" w:sz="8" w:space="0" w:color="auto"/>
              <w:right w:val="single" w:sz="8" w:space="0" w:color="auto"/>
            </w:tcBorders>
            <w:shd w:val="clear" w:color="000000" w:fill="D9D9D9"/>
            <w:vAlign w:val="center"/>
            <w:hideMark/>
          </w:tcPr>
          <w:p w14:paraId="32E9C98B" w14:textId="77777777" w:rsidR="00BA14BE" w:rsidRPr="00FB3542" w:rsidRDefault="00BA14BE" w:rsidP="004B2E3F">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MEDIOS DE VERIFICACIÓN</w:t>
            </w:r>
          </w:p>
        </w:tc>
        <w:tc>
          <w:tcPr>
            <w:tcW w:w="1101" w:type="pct"/>
            <w:tcBorders>
              <w:top w:val="single" w:sz="8" w:space="0" w:color="auto"/>
              <w:left w:val="nil"/>
              <w:bottom w:val="single" w:sz="8" w:space="0" w:color="auto"/>
              <w:right w:val="single" w:sz="8" w:space="0" w:color="auto"/>
            </w:tcBorders>
            <w:shd w:val="clear" w:color="000000" w:fill="D9D9D9"/>
            <w:vAlign w:val="center"/>
            <w:hideMark/>
          </w:tcPr>
          <w:p w14:paraId="4DE5A459" w14:textId="77777777" w:rsidR="00BA14BE" w:rsidRPr="00FB3542" w:rsidRDefault="00BA14BE" w:rsidP="004B2E3F">
            <w:pPr>
              <w:widowControl w:val="0"/>
              <w:spacing w:after="0"/>
              <w:contextualSpacing/>
              <w:jc w:val="center"/>
              <w:rPr>
                <w:rFonts w:eastAsia="Carme" w:cs="Carme"/>
                <w:b/>
                <w:color w:val="595959"/>
                <w:sz w:val="16"/>
                <w:szCs w:val="16"/>
                <w:lang w:val="es-MX" w:eastAsia="es-MX"/>
              </w:rPr>
            </w:pPr>
            <w:r w:rsidRPr="00FB3542">
              <w:rPr>
                <w:rFonts w:eastAsia="Carme" w:cs="Carme"/>
                <w:b/>
                <w:color w:val="595959"/>
                <w:sz w:val="16"/>
                <w:szCs w:val="16"/>
                <w:lang w:val="es-MX" w:eastAsia="es-MX"/>
              </w:rPr>
              <w:t>SUPUESTO</w:t>
            </w:r>
          </w:p>
        </w:tc>
      </w:tr>
      <w:tr w:rsidR="00BA14BE" w:rsidRPr="00FB3542" w14:paraId="73812C35" w14:textId="77777777" w:rsidTr="004B2E3F">
        <w:trPr>
          <w:trHeight w:val="1140"/>
        </w:trPr>
        <w:tc>
          <w:tcPr>
            <w:tcW w:w="445" w:type="pct"/>
            <w:tcBorders>
              <w:top w:val="nil"/>
              <w:left w:val="single" w:sz="8" w:space="0" w:color="auto"/>
              <w:bottom w:val="single" w:sz="8" w:space="0" w:color="auto"/>
              <w:right w:val="single" w:sz="8" w:space="0" w:color="auto"/>
            </w:tcBorders>
            <w:shd w:val="clear" w:color="auto" w:fill="auto"/>
            <w:vAlign w:val="center"/>
            <w:hideMark/>
          </w:tcPr>
          <w:p w14:paraId="68BC1F43" w14:textId="77777777" w:rsidR="00BA14BE" w:rsidRPr="00FB3542" w:rsidRDefault="00BA14BE" w:rsidP="004B2E3F">
            <w:pPr>
              <w:pStyle w:val="Ttulo1"/>
              <w:jc w:val="center"/>
              <w:rPr>
                <w:rFonts w:cs="Calibri"/>
                <w:color w:val="595959"/>
                <w:sz w:val="16"/>
                <w:szCs w:val="16"/>
                <w:lang w:eastAsia="es-MX"/>
              </w:rPr>
            </w:pPr>
            <w:r w:rsidRPr="00FB3542">
              <w:rPr>
                <w:rFonts w:eastAsia="Carme" w:cs="Carme"/>
                <w:caps w:val="0"/>
                <w:color w:val="595959"/>
                <w:sz w:val="16"/>
                <w:szCs w:val="16"/>
                <w:lang w:eastAsia="es-MX"/>
              </w:rPr>
              <w:t>Fin</w:t>
            </w:r>
          </w:p>
        </w:tc>
        <w:tc>
          <w:tcPr>
            <w:tcW w:w="1518" w:type="pct"/>
            <w:tcBorders>
              <w:top w:val="nil"/>
              <w:left w:val="nil"/>
              <w:bottom w:val="single" w:sz="8" w:space="0" w:color="auto"/>
              <w:right w:val="single" w:sz="8" w:space="0" w:color="auto"/>
            </w:tcBorders>
            <w:shd w:val="clear" w:color="auto" w:fill="auto"/>
            <w:vAlign w:val="center"/>
            <w:hideMark/>
          </w:tcPr>
          <w:p w14:paraId="140843CE" w14:textId="77777777" w:rsidR="00BA14BE" w:rsidRPr="00FB3542" w:rsidRDefault="00BA14BE" w:rsidP="004B2E3F">
            <w:pPr>
              <w:spacing w:after="0" w:line="240" w:lineRule="auto"/>
              <w:jc w:val="center"/>
              <w:rPr>
                <w:rFonts w:eastAsia="Carme" w:cs="Carme"/>
                <w:bCs/>
                <w:color w:val="595959"/>
                <w:sz w:val="16"/>
                <w:szCs w:val="16"/>
                <w:lang w:val="es-MX" w:eastAsia="es-MX"/>
              </w:rPr>
            </w:pPr>
            <w:r w:rsidRPr="00FB3542">
              <w:rPr>
                <w:rFonts w:eastAsia="Carme" w:cs="Carme"/>
                <w:bCs/>
                <w:color w:val="595959"/>
                <w:sz w:val="16"/>
                <w:szCs w:val="16"/>
                <w:lang w:val="es-MX" w:eastAsia="es-MX"/>
              </w:rPr>
              <w:t>F - Contribuir a consolidar la Gestión para Resultados</w:t>
            </w:r>
            <w:r>
              <w:rPr>
                <w:rFonts w:eastAsia="Carme" w:cs="Carme"/>
                <w:bCs/>
                <w:color w:val="595959"/>
                <w:sz w:val="16"/>
                <w:szCs w:val="16"/>
                <w:lang w:val="es-MX" w:eastAsia="es-MX"/>
              </w:rPr>
              <w:t xml:space="preserve"> </w:t>
            </w:r>
            <w:r w:rsidRPr="00FB3542">
              <w:rPr>
                <w:rFonts w:eastAsia="Carme" w:cs="Carme"/>
                <w:bCs/>
                <w:color w:val="595959"/>
                <w:sz w:val="16"/>
                <w:szCs w:val="16"/>
                <w:lang w:val="es-MX" w:eastAsia="es-MX"/>
              </w:rPr>
              <w:t>como un modelo de cultura organizacional, directiva y de</w:t>
            </w:r>
            <w:r>
              <w:rPr>
                <w:rFonts w:eastAsia="Carme" w:cs="Carme"/>
                <w:bCs/>
                <w:color w:val="595959"/>
                <w:sz w:val="16"/>
                <w:szCs w:val="16"/>
                <w:lang w:val="es-MX" w:eastAsia="es-MX"/>
              </w:rPr>
              <w:t xml:space="preserve"> </w:t>
            </w:r>
            <w:r w:rsidRPr="00FB3542">
              <w:rPr>
                <w:rFonts w:eastAsia="Carme" w:cs="Carme"/>
                <w:bCs/>
                <w:color w:val="595959"/>
                <w:sz w:val="16"/>
                <w:szCs w:val="16"/>
                <w:lang w:val="es-MX" w:eastAsia="es-MX"/>
              </w:rPr>
              <w:t>gestión que permita la creación de valor público en la</w:t>
            </w:r>
            <w:r>
              <w:rPr>
                <w:rFonts w:eastAsia="Carme" w:cs="Carme"/>
                <w:bCs/>
                <w:color w:val="595959"/>
                <w:sz w:val="16"/>
                <w:szCs w:val="16"/>
                <w:lang w:val="es-MX" w:eastAsia="es-MX"/>
              </w:rPr>
              <w:t xml:space="preserve"> </w:t>
            </w:r>
            <w:r w:rsidRPr="00FB3542">
              <w:rPr>
                <w:rFonts w:eastAsia="Carme" w:cs="Carme"/>
                <w:bCs/>
                <w:color w:val="595959"/>
                <w:sz w:val="16"/>
                <w:szCs w:val="16"/>
                <w:lang w:val="es-MX" w:eastAsia="es-MX"/>
              </w:rPr>
              <w:t>administración pública estatal., mediante acciones de</w:t>
            </w:r>
            <w:r>
              <w:rPr>
                <w:rFonts w:eastAsia="Carme" w:cs="Carme"/>
                <w:bCs/>
                <w:color w:val="595959"/>
                <w:sz w:val="16"/>
                <w:szCs w:val="16"/>
                <w:lang w:val="es-MX" w:eastAsia="es-MX"/>
              </w:rPr>
              <w:t xml:space="preserve"> </w:t>
            </w:r>
            <w:r w:rsidRPr="00FB3542">
              <w:rPr>
                <w:rFonts w:eastAsia="Carme" w:cs="Carme"/>
                <w:bCs/>
                <w:color w:val="595959"/>
                <w:sz w:val="16"/>
                <w:szCs w:val="16"/>
                <w:lang w:val="es-MX" w:eastAsia="es-MX"/>
              </w:rPr>
              <w:t>facilitación para el cumplimiento de metas sustantivas</w:t>
            </w:r>
          </w:p>
        </w:tc>
        <w:tc>
          <w:tcPr>
            <w:tcW w:w="677" w:type="pct"/>
            <w:tcBorders>
              <w:top w:val="nil"/>
              <w:left w:val="nil"/>
              <w:bottom w:val="single" w:sz="8" w:space="0" w:color="auto"/>
              <w:right w:val="single" w:sz="8" w:space="0" w:color="auto"/>
            </w:tcBorders>
            <w:shd w:val="clear" w:color="auto" w:fill="auto"/>
            <w:vAlign w:val="center"/>
            <w:hideMark/>
          </w:tcPr>
          <w:p w14:paraId="1C1DEFFC" w14:textId="77777777" w:rsidR="00BA14BE" w:rsidRPr="00FB3542" w:rsidRDefault="00BA14BE" w:rsidP="004B2E3F">
            <w:pPr>
              <w:spacing w:after="0" w:line="240" w:lineRule="auto"/>
              <w:jc w:val="center"/>
              <w:rPr>
                <w:rFonts w:eastAsia="Carme" w:cs="Carme"/>
                <w:bCs/>
                <w:color w:val="595959"/>
                <w:sz w:val="16"/>
                <w:szCs w:val="16"/>
                <w:lang w:val="es-MX" w:eastAsia="es-MX"/>
              </w:rPr>
            </w:pPr>
            <w:r w:rsidRPr="00FB3542">
              <w:rPr>
                <w:rFonts w:eastAsia="Carme" w:cs="Carme"/>
                <w:bCs/>
                <w:color w:val="595959"/>
                <w:sz w:val="16"/>
                <w:szCs w:val="16"/>
                <w:lang w:val="es-MX" w:eastAsia="es-MX"/>
              </w:rPr>
              <w:t xml:space="preserve">PED19I1 - Índice General de Avance en PbR SED </w:t>
            </w:r>
          </w:p>
        </w:tc>
        <w:tc>
          <w:tcPr>
            <w:tcW w:w="1259" w:type="pct"/>
            <w:tcBorders>
              <w:top w:val="nil"/>
              <w:left w:val="nil"/>
              <w:bottom w:val="single" w:sz="8" w:space="0" w:color="auto"/>
              <w:right w:val="single" w:sz="8" w:space="0" w:color="auto"/>
            </w:tcBorders>
            <w:shd w:val="clear" w:color="auto" w:fill="auto"/>
            <w:vAlign w:val="center"/>
            <w:hideMark/>
          </w:tcPr>
          <w:p w14:paraId="438C4839" w14:textId="77777777" w:rsidR="00BA14BE" w:rsidRPr="00FB3542" w:rsidRDefault="00BA14BE" w:rsidP="004B2E3F">
            <w:pPr>
              <w:spacing w:after="0" w:line="240" w:lineRule="auto"/>
              <w:jc w:val="center"/>
              <w:rPr>
                <w:rFonts w:eastAsia="Carme" w:cs="Carme"/>
                <w:bCs/>
                <w:color w:val="595959"/>
                <w:sz w:val="16"/>
                <w:szCs w:val="16"/>
                <w:lang w:val="es-MX" w:eastAsia="es-MX"/>
              </w:rPr>
            </w:pPr>
            <w:r w:rsidRPr="00FB3542">
              <w:rPr>
                <w:rFonts w:eastAsia="Carme" w:cs="Carme"/>
                <w:bCs/>
                <w:color w:val="595959"/>
                <w:sz w:val="16"/>
                <w:szCs w:val="16"/>
                <w:lang w:val="es-MX" w:eastAsia="es-MX"/>
              </w:rPr>
              <w:t xml:space="preserve">Secretaria de Hacienda y Crédito Público. </w:t>
            </w:r>
          </w:p>
        </w:tc>
        <w:tc>
          <w:tcPr>
            <w:tcW w:w="1101" w:type="pct"/>
            <w:tcBorders>
              <w:top w:val="nil"/>
              <w:left w:val="nil"/>
              <w:bottom w:val="single" w:sz="8" w:space="0" w:color="auto"/>
              <w:right w:val="single" w:sz="8" w:space="0" w:color="auto"/>
            </w:tcBorders>
            <w:shd w:val="clear" w:color="auto" w:fill="auto"/>
            <w:vAlign w:val="center"/>
            <w:hideMark/>
          </w:tcPr>
          <w:p w14:paraId="77BB9CF4" w14:textId="77777777" w:rsidR="00BA14BE" w:rsidRPr="00FB3542" w:rsidRDefault="00BA14BE" w:rsidP="004B2E3F">
            <w:pPr>
              <w:spacing w:after="0" w:line="240" w:lineRule="auto"/>
              <w:jc w:val="center"/>
              <w:rPr>
                <w:rFonts w:eastAsia="Carme" w:cs="Carme"/>
                <w:bCs/>
                <w:color w:val="595959"/>
                <w:sz w:val="16"/>
                <w:szCs w:val="16"/>
                <w:lang w:val="es-MX" w:eastAsia="es-MX"/>
              </w:rPr>
            </w:pPr>
            <w:r w:rsidRPr="00FB3542">
              <w:rPr>
                <w:rFonts w:eastAsia="Carme" w:cs="Carme"/>
                <w:bCs/>
                <w:color w:val="595959"/>
                <w:sz w:val="16"/>
                <w:szCs w:val="16"/>
                <w:lang w:val="es-MX" w:eastAsia="es-MX"/>
              </w:rPr>
              <w:t>La Secretaría de Hacienda y Crédito Público continúa</w:t>
            </w:r>
            <w:r>
              <w:rPr>
                <w:rFonts w:eastAsia="Carme" w:cs="Carme"/>
                <w:bCs/>
                <w:color w:val="595959"/>
                <w:sz w:val="16"/>
                <w:szCs w:val="16"/>
                <w:lang w:val="es-MX" w:eastAsia="es-MX"/>
              </w:rPr>
              <w:t xml:space="preserve"> </w:t>
            </w:r>
            <w:r w:rsidRPr="00FB3542">
              <w:rPr>
                <w:rFonts w:eastAsia="Carme" w:cs="Carme"/>
                <w:bCs/>
                <w:color w:val="595959"/>
                <w:sz w:val="16"/>
                <w:szCs w:val="16"/>
                <w:lang w:val="es-MX" w:eastAsia="es-MX"/>
              </w:rPr>
              <w:t>haciendo las evaluaciones en las entidades federativas</w:t>
            </w:r>
          </w:p>
        </w:tc>
      </w:tr>
      <w:tr w:rsidR="00BA14BE" w:rsidRPr="00FB3542" w14:paraId="4421F153" w14:textId="77777777" w:rsidTr="004B2E3F">
        <w:trPr>
          <w:trHeight w:val="690"/>
        </w:trPr>
        <w:tc>
          <w:tcPr>
            <w:tcW w:w="445" w:type="pct"/>
            <w:tcBorders>
              <w:top w:val="nil"/>
              <w:left w:val="single" w:sz="8" w:space="0" w:color="auto"/>
              <w:bottom w:val="single" w:sz="8" w:space="0" w:color="auto"/>
              <w:right w:val="single" w:sz="8" w:space="0" w:color="auto"/>
            </w:tcBorders>
            <w:shd w:val="clear" w:color="auto" w:fill="auto"/>
            <w:vAlign w:val="center"/>
            <w:hideMark/>
          </w:tcPr>
          <w:p w14:paraId="3D89D8ED" w14:textId="77777777" w:rsidR="00BA14BE" w:rsidRPr="00FB3542" w:rsidRDefault="00BA14BE" w:rsidP="004B2E3F">
            <w:pPr>
              <w:pStyle w:val="Ttulo1"/>
              <w:jc w:val="center"/>
              <w:rPr>
                <w:rFonts w:eastAsia="Carme" w:cs="Carme"/>
                <w:caps w:val="0"/>
                <w:color w:val="595959"/>
                <w:sz w:val="16"/>
                <w:szCs w:val="16"/>
                <w:lang w:eastAsia="es-MX"/>
              </w:rPr>
            </w:pPr>
            <w:r w:rsidRPr="00FB3542">
              <w:rPr>
                <w:rFonts w:eastAsia="Carme" w:cs="Carme"/>
                <w:caps w:val="0"/>
                <w:color w:val="595959"/>
                <w:sz w:val="16"/>
                <w:szCs w:val="16"/>
                <w:lang w:eastAsia="es-MX"/>
              </w:rPr>
              <w:t>Propósito</w:t>
            </w:r>
          </w:p>
        </w:tc>
        <w:tc>
          <w:tcPr>
            <w:tcW w:w="1518" w:type="pct"/>
            <w:tcBorders>
              <w:top w:val="nil"/>
              <w:left w:val="nil"/>
              <w:bottom w:val="single" w:sz="8" w:space="0" w:color="auto"/>
              <w:right w:val="single" w:sz="8" w:space="0" w:color="auto"/>
            </w:tcBorders>
            <w:shd w:val="clear" w:color="auto" w:fill="auto"/>
            <w:vAlign w:val="center"/>
            <w:hideMark/>
          </w:tcPr>
          <w:p w14:paraId="6C53D6AF"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P - La Administración Pública Estatal mejora la calidad del</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gasto público y promueve una adecuada rendición de</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cuentas</w:t>
            </w:r>
          </w:p>
        </w:tc>
        <w:tc>
          <w:tcPr>
            <w:tcW w:w="677" w:type="pct"/>
            <w:tcBorders>
              <w:top w:val="nil"/>
              <w:left w:val="nil"/>
              <w:bottom w:val="single" w:sz="8" w:space="0" w:color="auto"/>
              <w:right w:val="single" w:sz="8" w:space="0" w:color="auto"/>
            </w:tcBorders>
            <w:shd w:val="clear" w:color="auto" w:fill="auto"/>
            <w:vAlign w:val="center"/>
            <w:hideMark/>
          </w:tcPr>
          <w:p w14:paraId="675FE890"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09O1IO2 - Porcentaje de cumplimiento programático de</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metas sustantivas del Gobierno del Estado</w:t>
            </w:r>
          </w:p>
        </w:tc>
        <w:tc>
          <w:tcPr>
            <w:tcW w:w="1259" w:type="pct"/>
            <w:tcBorders>
              <w:top w:val="nil"/>
              <w:left w:val="nil"/>
              <w:bottom w:val="single" w:sz="8" w:space="0" w:color="auto"/>
              <w:right w:val="single" w:sz="8" w:space="0" w:color="auto"/>
            </w:tcBorders>
            <w:shd w:val="clear" w:color="auto" w:fill="auto"/>
            <w:vAlign w:val="center"/>
            <w:hideMark/>
          </w:tcPr>
          <w:p w14:paraId="6569D937"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SEFIPLAN</w:t>
            </w:r>
          </w:p>
        </w:tc>
        <w:tc>
          <w:tcPr>
            <w:tcW w:w="1101" w:type="pct"/>
            <w:tcBorders>
              <w:top w:val="nil"/>
              <w:left w:val="nil"/>
              <w:bottom w:val="single" w:sz="8" w:space="0" w:color="auto"/>
              <w:right w:val="single" w:sz="8" w:space="0" w:color="auto"/>
            </w:tcBorders>
            <w:shd w:val="clear" w:color="auto" w:fill="auto"/>
            <w:vAlign w:val="center"/>
            <w:hideMark/>
          </w:tcPr>
          <w:p w14:paraId="28BF0B51"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Las Dependencias, Órganos Administrativos</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Desconcentrados, Entidades Paraestatales y Organismos</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Autónomos cumplen con las metas sustantivas</w:t>
            </w:r>
          </w:p>
        </w:tc>
      </w:tr>
      <w:tr w:rsidR="00BA14BE" w:rsidRPr="00FB3542" w14:paraId="12E8A61B" w14:textId="77777777" w:rsidTr="004B2E3F">
        <w:trPr>
          <w:trHeight w:val="690"/>
        </w:trPr>
        <w:tc>
          <w:tcPr>
            <w:tcW w:w="445" w:type="pct"/>
            <w:tcBorders>
              <w:top w:val="nil"/>
              <w:left w:val="single" w:sz="8" w:space="0" w:color="auto"/>
              <w:bottom w:val="single" w:sz="8" w:space="0" w:color="auto"/>
              <w:right w:val="single" w:sz="8" w:space="0" w:color="auto"/>
            </w:tcBorders>
            <w:shd w:val="clear" w:color="auto" w:fill="auto"/>
            <w:vAlign w:val="center"/>
            <w:hideMark/>
          </w:tcPr>
          <w:p w14:paraId="6533E141" w14:textId="77777777" w:rsidR="00BA14BE" w:rsidRPr="00FB3542" w:rsidRDefault="00BA14BE" w:rsidP="004B2E3F">
            <w:pPr>
              <w:pStyle w:val="Ttulo1"/>
              <w:jc w:val="center"/>
              <w:rPr>
                <w:rFonts w:eastAsia="Carme" w:cs="Carme"/>
                <w:caps w:val="0"/>
                <w:color w:val="595959"/>
                <w:sz w:val="16"/>
                <w:szCs w:val="16"/>
                <w:lang w:eastAsia="es-MX"/>
              </w:rPr>
            </w:pPr>
            <w:r w:rsidRPr="00FB3542">
              <w:rPr>
                <w:rFonts w:eastAsia="Carme" w:cs="Carme"/>
                <w:caps w:val="0"/>
                <w:color w:val="595959"/>
                <w:sz w:val="16"/>
                <w:szCs w:val="16"/>
                <w:lang w:eastAsia="es-MX"/>
              </w:rPr>
              <w:t>Componente</w:t>
            </w:r>
          </w:p>
        </w:tc>
        <w:tc>
          <w:tcPr>
            <w:tcW w:w="1518" w:type="pct"/>
            <w:tcBorders>
              <w:top w:val="nil"/>
              <w:left w:val="nil"/>
              <w:bottom w:val="single" w:sz="8" w:space="0" w:color="auto"/>
              <w:right w:val="single" w:sz="8" w:space="0" w:color="auto"/>
            </w:tcBorders>
            <w:shd w:val="clear" w:color="auto" w:fill="auto"/>
            <w:vAlign w:val="center"/>
            <w:hideMark/>
          </w:tcPr>
          <w:p w14:paraId="12556E3B"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C01 - Actividades de facilitación (apoyo) desarrolladas para</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el cumplimiento de metas de las áreas sustantivas</w:t>
            </w:r>
          </w:p>
        </w:tc>
        <w:tc>
          <w:tcPr>
            <w:tcW w:w="677" w:type="pct"/>
            <w:tcBorders>
              <w:top w:val="nil"/>
              <w:left w:val="nil"/>
              <w:bottom w:val="single" w:sz="8" w:space="0" w:color="auto"/>
              <w:right w:val="single" w:sz="8" w:space="0" w:color="auto"/>
            </w:tcBorders>
            <w:shd w:val="clear" w:color="auto" w:fill="auto"/>
            <w:vAlign w:val="center"/>
            <w:hideMark/>
          </w:tcPr>
          <w:p w14:paraId="72728B52"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C01 - Porcentaje de cumplimiento programático de metas</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sustantivas de la institución</w:t>
            </w:r>
          </w:p>
        </w:tc>
        <w:tc>
          <w:tcPr>
            <w:tcW w:w="1259" w:type="pct"/>
            <w:tcBorders>
              <w:top w:val="nil"/>
              <w:left w:val="nil"/>
              <w:bottom w:val="single" w:sz="8" w:space="0" w:color="auto"/>
              <w:right w:val="single" w:sz="8" w:space="0" w:color="auto"/>
            </w:tcBorders>
            <w:shd w:val="clear" w:color="auto" w:fill="auto"/>
            <w:vAlign w:val="center"/>
            <w:hideMark/>
          </w:tcPr>
          <w:p w14:paraId="2F57CA57" w14:textId="77777777" w:rsidR="00BA14BE"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Reportes de SIPPRES</w:t>
            </w:r>
            <w:r>
              <w:rPr>
                <w:rFonts w:eastAsia="Times New Roman" w:cs="Calibri"/>
                <w:color w:val="595959"/>
                <w:sz w:val="16"/>
                <w:szCs w:val="16"/>
                <w:lang w:val="es-MX" w:eastAsia="es-MX"/>
              </w:rPr>
              <w:t xml:space="preserve"> </w:t>
            </w:r>
            <w:r w:rsidRPr="00425825">
              <w:rPr>
                <w:rFonts w:eastAsia="Times New Roman" w:cs="Calibri"/>
                <w:color w:val="595959"/>
                <w:sz w:val="16"/>
                <w:szCs w:val="16"/>
                <w:lang w:val="es-MX" w:eastAsia="es-MX"/>
              </w:rPr>
              <w:t>http://egresos.sefiplan.qroo.gob.mx/PBR_2020_M</w:t>
            </w:r>
          </w:p>
          <w:p w14:paraId="55FA47B1"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/Web/ReportesLaunch.aspx</w:t>
            </w:r>
          </w:p>
        </w:tc>
        <w:tc>
          <w:tcPr>
            <w:tcW w:w="1101" w:type="pct"/>
            <w:tcBorders>
              <w:top w:val="nil"/>
              <w:left w:val="nil"/>
              <w:bottom w:val="single" w:sz="8" w:space="0" w:color="auto"/>
              <w:right w:val="single" w:sz="8" w:space="0" w:color="auto"/>
            </w:tcBorders>
            <w:shd w:val="clear" w:color="auto" w:fill="auto"/>
            <w:vAlign w:val="center"/>
            <w:hideMark/>
          </w:tcPr>
          <w:p w14:paraId="7D9D3434"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Las áreas sustantivas programan metas realistas de</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lograrse</w:t>
            </w:r>
          </w:p>
        </w:tc>
      </w:tr>
      <w:tr w:rsidR="00BA14BE" w:rsidRPr="00FB3542" w14:paraId="7F64CE64" w14:textId="77777777" w:rsidTr="004B2E3F">
        <w:trPr>
          <w:trHeight w:val="690"/>
        </w:trPr>
        <w:tc>
          <w:tcPr>
            <w:tcW w:w="445" w:type="pct"/>
            <w:tcBorders>
              <w:top w:val="nil"/>
              <w:left w:val="single" w:sz="8" w:space="0" w:color="auto"/>
              <w:bottom w:val="single" w:sz="8" w:space="0" w:color="auto"/>
              <w:right w:val="single" w:sz="8" w:space="0" w:color="auto"/>
            </w:tcBorders>
            <w:shd w:val="clear" w:color="auto" w:fill="auto"/>
            <w:vAlign w:val="center"/>
            <w:hideMark/>
          </w:tcPr>
          <w:p w14:paraId="02390CFD" w14:textId="77777777" w:rsidR="00BA14BE" w:rsidRPr="00FB3542" w:rsidRDefault="00BA14BE" w:rsidP="004B2E3F">
            <w:pPr>
              <w:pStyle w:val="Ttulo1"/>
              <w:jc w:val="center"/>
              <w:rPr>
                <w:rFonts w:eastAsia="Carme" w:cs="Carme"/>
                <w:caps w:val="0"/>
                <w:color w:val="595959"/>
                <w:sz w:val="16"/>
                <w:szCs w:val="16"/>
                <w:lang w:eastAsia="es-MX"/>
              </w:rPr>
            </w:pPr>
            <w:r w:rsidRPr="00FB3542">
              <w:rPr>
                <w:rFonts w:eastAsia="Carme" w:cs="Carme"/>
                <w:caps w:val="0"/>
                <w:color w:val="595959"/>
                <w:sz w:val="16"/>
                <w:szCs w:val="16"/>
                <w:lang w:eastAsia="es-MX"/>
              </w:rPr>
              <w:t>Actividades</w:t>
            </w:r>
          </w:p>
        </w:tc>
        <w:tc>
          <w:tcPr>
            <w:tcW w:w="1518" w:type="pct"/>
            <w:tcBorders>
              <w:top w:val="nil"/>
              <w:left w:val="nil"/>
              <w:bottom w:val="single" w:sz="8" w:space="0" w:color="auto"/>
              <w:right w:val="single" w:sz="8" w:space="0" w:color="auto"/>
            </w:tcBorders>
            <w:shd w:val="clear" w:color="auto" w:fill="auto"/>
            <w:vAlign w:val="center"/>
            <w:hideMark/>
          </w:tcPr>
          <w:p w14:paraId="61B3FBB5"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C01.A01 - Asistencia a las áreas sustantivas en funciones</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administrativas, jurídicas, de planeación, relaciones</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públicas u otras funciones de staff</w:t>
            </w:r>
          </w:p>
        </w:tc>
        <w:tc>
          <w:tcPr>
            <w:tcW w:w="677" w:type="pct"/>
            <w:tcBorders>
              <w:top w:val="nil"/>
              <w:left w:val="nil"/>
              <w:bottom w:val="single" w:sz="8" w:space="0" w:color="auto"/>
              <w:right w:val="single" w:sz="8" w:space="0" w:color="auto"/>
            </w:tcBorders>
            <w:shd w:val="clear" w:color="auto" w:fill="auto"/>
            <w:vAlign w:val="center"/>
            <w:hideMark/>
          </w:tcPr>
          <w:p w14:paraId="50CC38A1"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 xml:space="preserve">C01A01 - Porcentaje del Presupuesto Ejercido destinado </w:t>
            </w:r>
            <w:proofErr w:type="spellStart"/>
            <w:r w:rsidRPr="00FB3542">
              <w:rPr>
                <w:rFonts w:eastAsia="Times New Roman" w:cs="Calibri"/>
                <w:color w:val="595959"/>
                <w:sz w:val="16"/>
                <w:szCs w:val="16"/>
                <w:lang w:val="es-MX" w:eastAsia="es-MX"/>
              </w:rPr>
              <w:t>alas</w:t>
            </w:r>
            <w:proofErr w:type="spellEnd"/>
            <w:r w:rsidRPr="00FB3542">
              <w:rPr>
                <w:rFonts w:eastAsia="Times New Roman" w:cs="Calibri"/>
                <w:color w:val="595959"/>
                <w:sz w:val="16"/>
                <w:szCs w:val="16"/>
                <w:lang w:val="es-MX" w:eastAsia="es-MX"/>
              </w:rPr>
              <w:t xml:space="preserve"> áreas staff</w:t>
            </w:r>
          </w:p>
        </w:tc>
        <w:tc>
          <w:tcPr>
            <w:tcW w:w="1259" w:type="pct"/>
            <w:tcBorders>
              <w:top w:val="nil"/>
              <w:left w:val="nil"/>
              <w:bottom w:val="single" w:sz="8" w:space="0" w:color="auto"/>
              <w:right w:val="single" w:sz="8" w:space="0" w:color="auto"/>
            </w:tcBorders>
            <w:shd w:val="clear" w:color="auto" w:fill="auto"/>
            <w:vAlign w:val="center"/>
            <w:hideMark/>
          </w:tcPr>
          <w:p w14:paraId="45A55C38"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Reportes Presupuestales</w:t>
            </w:r>
          </w:p>
        </w:tc>
        <w:tc>
          <w:tcPr>
            <w:tcW w:w="1101" w:type="pct"/>
            <w:tcBorders>
              <w:top w:val="nil"/>
              <w:left w:val="nil"/>
              <w:bottom w:val="single" w:sz="8" w:space="0" w:color="auto"/>
              <w:right w:val="single" w:sz="8" w:space="0" w:color="auto"/>
            </w:tcBorders>
            <w:shd w:val="clear" w:color="auto" w:fill="auto"/>
            <w:vAlign w:val="center"/>
            <w:hideMark/>
          </w:tcPr>
          <w:p w14:paraId="73CFA11D" w14:textId="77777777" w:rsidR="00BA14BE" w:rsidRPr="00FB3542" w:rsidRDefault="00BA14BE" w:rsidP="004B2E3F">
            <w:pPr>
              <w:spacing w:after="0" w:line="240" w:lineRule="auto"/>
              <w:jc w:val="center"/>
              <w:rPr>
                <w:rFonts w:eastAsia="Times New Roman" w:cs="Calibri"/>
                <w:color w:val="595959"/>
                <w:sz w:val="16"/>
                <w:szCs w:val="16"/>
                <w:lang w:val="es-MX" w:eastAsia="es-MX"/>
              </w:rPr>
            </w:pPr>
            <w:r w:rsidRPr="00FB3542">
              <w:rPr>
                <w:rFonts w:eastAsia="Times New Roman" w:cs="Calibri"/>
                <w:color w:val="595959"/>
                <w:sz w:val="16"/>
                <w:szCs w:val="16"/>
                <w:lang w:val="es-MX" w:eastAsia="es-MX"/>
              </w:rPr>
              <w:t>Las áreas sustantivas solicitan con oportunidad funciones</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administrativas, jurídicas, de planeación, relaciones</w:t>
            </w:r>
            <w:r>
              <w:rPr>
                <w:rFonts w:eastAsia="Times New Roman" w:cs="Calibri"/>
                <w:color w:val="595959"/>
                <w:sz w:val="16"/>
                <w:szCs w:val="16"/>
                <w:lang w:val="es-MX" w:eastAsia="es-MX"/>
              </w:rPr>
              <w:t xml:space="preserve"> </w:t>
            </w:r>
            <w:r w:rsidRPr="00FB3542">
              <w:rPr>
                <w:rFonts w:eastAsia="Times New Roman" w:cs="Calibri"/>
                <w:color w:val="595959"/>
                <w:sz w:val="16"/>
                <w:szCs w:val="16"/>
                <w:lang w:val="es-MX" w:eastAsia="es-MX"/>
              </w:rPr>
              <w:t>públicas u otras funciones de staff</w:t>
            </w:r>
          </w:p>
        </w:tc>
      </w:tr>
    </w:tbl>
    <w:p w14:paraId="3FDE3DEE" w14:textId="77777777" w:rsidR="00BA14BE" w:rsidRDefault="00BA14BE" w:rsidP="00BA14BE">
      <w:pPr>
        <w:keepNext/>
        <w:keepLines/>
        <w:spacing w:before="200" w:line="240" w:lineRule="auto"/>
        <w:outlineLvl w:val="1"/>
        <w:rPr>
          <w:rFonts w:ascii="Futura Std Condensed Light" w:eastAsia="MS PGothic" w:hAnsi="Futura Std Condensed Light"/>
          <w:color w:val="595959" w:themeColor="text1" w:themeTint="A6"/>
          <w:sz w:val="16"/>
          <w:szCs w:val="16"/>
        </w:rPr>
      </w:pPr>
      <w:r>
        <w:rPr>
          <w:rFonts w:ascii="Futura Std Condensed Light" w:eastAsia="MS PGothic" w:hAnsi="Futura Std Condensed Light"/>
          <w:color w:val="595959" w:themeColor="text1" w:themeTint="A6"/>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362E590C" w14:textId="77777777" w:rsidR="0022309F" w:rsidRDefault="0022309F" w:rsidP="0022309F">
      <w:pPr>
        <w:widowControl w:val="0"/>
        <w:spacing w:after="0"/>
        <w:contextualSpacing/>
        <w:rPr>
          <w:rFonts w:eastAsia="Carme" w:cs="Carme"/>
          <w:b/>
          <w:color w:val="595959"/>
          <w:sz w:val="20"/>
          <w:szCs w:val="20"/>
          <w:lang w:val="es-MX" w:eastAsia="es-MX"/>
        </w:rPr>
      </w:pPr>
    </w:p>
    <w:p w14:paraId="1DDDBB93" w14:textId="68BC1CF5" w:rsidR="00CB4247" w:rsidRDefault="0022309F">
      <w:pPr>
        <w:spacing w:after="0" w:line="240" w:lineRule="auto"/>
        <w:jc w:val="left"/>
        <w:rPr>
          <w:rFonts w:eastAsia="Carme" w:cs="Carme"/>
          <w:b/>
          <w:color w:val="595959"/>
          <w:sz w:val="20"/>
          <w:szCs w:val="20"/>
          <w:lang w:val="es-MX" w:eastAsia="es-MX"/>
        </w:rPr>
      </w:pPr>
      <w:r>
        <w:rPr>
          <w:rFonts w:eastAsia="Carme" w:cs="Carme"/>
          <w:b/>
          <w:color w:val="595959"/>
          <w:sz w:val="20"/>
          <w:szCs w:val="20"/>
          <w:lang w:val="es-MX" w:eastAsia="es-MX"/>
        </w:rPr>
        <w:br w:type="page"/>
      </w:r>
    </w:p>
    <w:tbl>
      <w:tblPr>
        <w:tblpPr w:leftFromText="141" w:rightFromText="141" w:tblpY="569"/>
        <w:tblW w:w="5672" w:type="pct"/>
        <w:tblLayout w:type="fixed"/>
        <w:tblCellMar>
          <w:left w:w="70" w:type="dxa"/>
          <w:right w:w="70" w:type="dxa"/>
        </w:tblCellMar>
        <w:tblLook w:val="04A0" w:firstRow="1" w:lastRow="0" w:firstColumn="1" w:lastColumn="0" w:noHBand="0" w:noVBand="1"/>
      </w:tblPr>
      <w:tblGrid>
        <w:gridCol w:w="985"/>
        <w:gridCol w:w="4330"/>
        <w:gridCol w:w="1842"/>
        <w:gridCol w:w="3261"/>
        <w:gridCol w:w="3046"/>
      </w:tblGrid>
      <w:tr w:rsidR="00CB4247" w:rsidRPr="00CB4247" w14:paraId="17BFC96E" w14:textId="77777777" w:rsidTr="00CB4247">
        <w:trPr>
          <w:trHeight w:val="300"/>
        </w:trPr>
        <w:tc>
          <w:tcPr>
            <w:tcW w:w="1974"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1928A9" w14:textId="77777777" w:rsidR="00CB4247" w:rsidRPr="00CB4247" w:rsidRDefault="00CB4247" w:rsidP="00CB4247">
            <w:pPr>
              <w:widowControl w:val="0"/>
              <w:spacing w:after="0"/>
              <w:contextualSpacing/>
              <w:jc w:val="center"/>
              <w:rPr>
                <w:rFonts w:eastAsia="Carme" w:cs="Carme"/>
                <w:b/>
                <w:color w:val="595959"/>
                <w:sz w:val="20"/>
                <w:szCs w:val="20"/>
                <w:lang w:val="es-MX" w:eastAsia="es-MX"/>
              </w:rPr>
            </w:pPr>
            <w:r w:rsidRPr="00CB4247">
              <w:rPr>
                <w:rFonts w:eastAsia="Carme" w:cs="Carme"/>
                <w:b/>
                <w:color w:val="595959"/>
                <w:sz w:val="20"/>
                <w:szCs w:val="20"/>
                <w:lang w:val="es-MX" w:eastAsia="es-MX"/>
              </w:rPr>
              <w:lastRenderedPageBreak/>
              <w:t>PROGRAMA PRESUPUESTARIO:</w:t>
            </w:r>
          </w:p>
        </w:tc>
        <w:tc>
          <w:tcPr>
            <w:tcW w:w="3026" w:type="pct"/>
            <w:gridSpan w:val="3"/>
            <w:tcBorders>
              <w:top w:val="single" w:sz="4" w:space="0" w:color="auto"/>
              <w:left w:val="nil"/>
              <w:bottom w:val="single" w:sz="4" w:space="0" w:color="auto"/>
              <w:right w:val="single" w:sz="4" w:space="0" w:color="auto"/>
            </w:tcBorders>
            <w:shd w:val="clear" w:color="000000" w:fill="D9D9D9"/>
            <w:vAlign w:val="center"/>
            <w:hideMark/>
          </w:tcPr>
          <w:p w14:paraId="2D39A6C6" w14:textId="77777777" w:rsidR="00CB4247" w:rsidRPr="00CB4247" w:rsidRDefault="00CB4247" w:rsidP="00CB4247">
            <w:pPr>
              <w:widowControl w:val="0"/>
              <w:spacing w:after="0"/>
              <w:contextualSpacing/>
              <w:jc w:val="center"/>
              <w:rPr>
                <w:rFonts w:eastAsia="Carme" w:cs="Carme"/>
                <w:b/>
                <w:color w:val="595959"/>
                <w:sz w:val="20"/>
                <w:szCs w:val="20"/>
                <w:lang w:val="es-MX" w:eastAsia="es-MX"/>
              </w:rPr>
            </w:pPr>
            <w:r w:rsidRPr="00CB4247">
              <w:rPr>
                <w:rFonts w:eastAsia="Carme" w:cs="Carme"/>
                <w:b/>
                <w:color w:val="595959"/>
                <w:sz w:val="20"/>
                <w:szCs w:val="20"/>
                <w:lang w:val="es-MX" w:eastAsia="es-MX"/>
              </w:rPr>
              <w:t>E159 FORTALECIMIENTO DEL INGRESO</w:t>
            </w:r>
          </w:p>
        </w:tc>
      </w:tr>
      <w:tr w:rsidR="00CB4247" w:rsidRPr="00CB4247" w14:paraId="2A9A0A78" w14:textId="77777777" w:rsidTr="00CB4247">
        <w:trPr>
          <w:trHeight w:val="525"/>
        </w:trPr>
        <w:tc>
          <w:tcPr>
            <w:tcW w:w="1974"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9F5016" w14:textId="77777777" w:rsidR="00CB4247" w:rsidRPr="00CB4247" w:rsidRDefault="00CB4247" w:rsidP="00CB4247">
            <w:pPr>
              <w:widowControl w:val="0"/>
              <w:spacing w:after="0"/>
              <w:contextualSpacing/>
              <w:jc w:val="center"/>
              <w:rPr>
                <w:rFonts w:eastAsia="Carme" w:cs="Carme"/>
                <w:b/>
                <w:color w:val="595959"/>
                <w:sz w:val="20"/>
                <w:szCs w:val="20"/>
                <w:lang w:val="es-MX" w:eastAsia="es-MX"/>
              </w:rPr>
            </w:pPr>
            <w:r w:rsidRPr="00CB4247">
              <w:rPr>
                <w:rFonts w:eastAsia="Carme" w:cs="Carme"/>
                <w:b/>
                <w:color w:val="595959"/>
                <w:sz w:val="20"/>
                <w:szCs w:val="20"/>
                <w:lang w:val="es-MX" w:eastAsia="es-MX"/>
              </w:rPr>
              <w:t>INSTITUCIÓN:</w:t>
            </w:r>
          </w:p>
        </w:tc>
        <w:tc>
          <w:tcPr>
            <w:tcW w:w="3026" w:type="pct"/>
            <w:gridSpan w:val="3"/>
            <w:tcBorders>
              <w:top w:val="single" w:sz="4" w:space="0" w:color="auto"/>
              <w:left w:val="nil"/>
              <w:bottom w:val="single" w:sz="4" w:space="0" w:color="auto"/>
              <w:right w:val="single" w:sz="4" w:space="0" w:color="auto"/>
            </w:tcBorders>
            <w:shd w:val="clear" w:color="000000" w:fill="D9D9D9"/>
            <w:vAlign w:val="center"/>
            <w:hideMark/>
          </w:tcPr>
          <w:p w14:paraId="01D02EA4" w14:textId="790C8C7B" w:rsidR="00CB4247" w:rsidRPr="00CB4247" w:rsidRDefault="00CB4247" w:rsidP="00CB4247">
            <w:pPr>
              <w:widowControl w:val="0"/>
              <w:spacing w:after="0"/>
              <w:contextualSpacing/>
              <w:jc w:val="center"/>
              <w:rPr>
                <w:rFonts w:eastAsia="Carme" w:cs="Carme"/>
                <w:b/>
                <w:color w:val="595959"/>
                <w:sz w:val="20"/>
                <w:szCs w:val="20"/>
                <w:lang w:val="es-MX" w:eastAsia="es-MX"/>
              </w:rPr>
            </w:pPr>
            <w:r w:rsidRPr="00CB4247">
              <w:rPr>
                <w:rFonts w:eastAsia="Carme" w:cs="Carme"/>
                <w:b/>
                <w:color w:val="595959"/>
                <w:sz w:val="20"/>
                <w:szCs w:val="20"/>
                <w:lang w:val="es-MX" w:eastAsia="es-MX"/>
              </w:rPr>
              <w:t xml:space="preserve">1209- Procuraduría Fiscal del Estado </w:t>
            </w:r>
          </w:p>
        </w:tc>
      </w:tr>
      <w:tr w:rsidR="00CB4247" w:rsidRPr="00CB4247" w14:paraId="186F10BF" w14:textId="77777777" w:rsidTr="00CB4247">
        <w:trPr>
          <w:trHeight w:val="315"/>
        </w:trPr>
        <w:tc>
          <w:tcPr>
            <w:tcW w:w="366" w:type="pct"/>
            <w:tcBorders>
              <w:top w:val="nil"/>
              <w:left w:val="single" w:sz="8" w:space="0" w:color="auto"/>
              <w:bottom w:val="single" w:sz="8" w:space="0" w:color="auto"/>
              <w:right w:val="nil"/>
            </w:tcBorders>
            <w:shd w:val="clear" w:color="auto" w:fill="auto"/>
            <w:noWrap/>
            <w:vAlign w:val="center"/>
            <w:hideMark/>
          </w:tcPr>
          <w:p w14:paraId="72905C9C" w14:textId="77777777" w:rsidR="00CB4247" w:rsidRPr="00CB4247" w:rsidRDefault="00CB4247" w:rsidP="00CB4247">
            <w:pPr>
              <w:spacing w:after="0" w:line="240" w:lineRule="auto"/>
              <w:jc w:val="left"/>
              <w:rPr>
                <w:rFonts w:ascii="Arial" w:eastAsia="Times New Roman" w:hAnsi="Arial" w:cs="Arial"/>
                <w:b/>
                <w:bCs/>
                <w:color w:val="595959"/>
                <w:sz w:val="20"/>
                <w:szCs w:val="20"/>
                <w:lang w:val="es-MX" w:eastAsia="es-MX"/>
              </w:rPr>
            </w:pPr>
            <w:r w:rsidRPr="00CB4247">
              <w:rPr>
                <w:rFonts w:ascii="Arial" w:eastAsia="Times New Roman" w:hAnsi="Arial" w:cs="Arial"/>
                <w:b/>
                <w:bCs/>
                <w:color w:val="595959"/>
                <w:sz w:val="20"/>
                <w:szCs w:val="20"/>
                <w:lang w:val="es-MX" w:eastAsia="es-MX"/>
              </w:rPr>
              <w:t> </w:t>
            </w:r>
          </w:p>
        </w:tc>
        <w:tc>
          <w:tcPr>
            <w:tcW w:w="1608" w:type="pct"/>
            <w:tcBorders>
              <w:top w:val="nil"/>
              <w:left w:val="nil"/>
              <w:bottom w:val="single" w:sz="8" w:space="0" w:color="auto"/>
              <w:right w:val="nil"/>
            </w:tcBorders>
            <w:shd w:val="clear" w:color="auto" w:fill="auto"/>
            <w:vAlign w:val="center"/>
            <w:hideMark/>
          </w:tcPr>
          <w:p w14:paraId="273DB44D" w14:textId="77777777" w:rsidR="00CB4247" w:rsidRPr="00CB4247" w:rsidRDefault="00CB4247" w:rsidP="00CB4247">
            <w:pPr>
              <w:spacing w:after="0" w:line="240" w:lineRule="auto"/>
              <w:jc w:val="left"/>
              <w:rPr>
                <w:rFonts w:ascii="Arial" w:eastAsia="Times New Roman" w:hAnsi="Arial" w:cs="Arial"/>
                <w:b/>
                <w:bCs/>
                <w:color w:val="595959"/>
                <w:sz w:val="20"/>
                <w:szCs w:val="20"/>
                <w:lang w:val="es-MX" w:eastAsia="es-MX"/>
              </w:rPr>
            </w:pPr>
            <w:r w:rsidRPr="00CB4247">
              <w:rPr>
                <w:rFonts w:ascii="Arial" w:eastAsia="Times New Roman" w:hAnsi="Arial" w:cs="Arial"/>
                <w:b/>
                <w:bCs/>
                <w:color w:val="595959"/>
                <w:sz w:val="20"/>
                <w:szCs w:val="20"/>
                <w:lang w:val="es-MX" w:eastAsia="es-MX"/>
              </w:rPr>
              <w:t> </w:t>
            </w:r>
          </w:p>
        </w:tc>
        <w:tc>
          <w:tcPr>
            <w:tcW w:w="684" w:type="pct"/>
            <w:tcBorders>
              <w:top w:val="nil"/>
              <w:left w:val="nil"/>
              <w:bottom w:val="nil"/>
              <w:right w:val="nil"/>
            </w:tcBorders>
            <w:shd w:val="clear" w:color="auto" w:fill="auto"/>
            <w:noWrap/>
            <w:vAlign w:val="bottom"/>
            <w:hideMark/>
          </w:tcPr>
          <w:p w14:paraId="053AA98B" w14:textId="77777777" w:rsidR="00CB4247" w:rsidRPr="00CB4247" w:rsidRDefault="00CB4247" w:rsidP="00CB4247">
            <w:pPr>
              <w:spacing w:after="0" w:line="240" w:lineRule="auto"/>
              <w:jc w:val="left"/>
              <w:rPr>
                <w:rFonts w:ascii="Calibri" w:eastAsia="Times New Roman" w:hAnsi="Calibri" w:cs="Calibri"/>
                <w:color w:val="000000"/>
                <w:sz w:val="22"/>
                <w:szCs w:val="22"/>
                <w:lang w:val="es-MX" w:eastAsia="es-MX"/>
              </w:rPr>
            </w:pPr>
          </w:p>
        </w:tc>
        <w:tc>
          <w:tcPr>
            <w:tcW w:w="1211" w:type="pct"/>
            <w:tcBorders>
              <w:top w:val="nil"/>
              <w:left w:val="nil"/>
              <w:bottom w:val="nil"/>
              <w:right w:val="nil"/>
            </w:tcBorders>
            <w:shd w:val="clear" w:color="auto" w:fill="auto"/>
            <w:noWrap/>
            <w:vAlign w:val="bottom"/>
            <w:hideMark/>
          </w:tcPr>
          <w:p w14:paraId="3686FC7C" w14:textId="77777777" w:rsidR="00CB4247" w:rsidRPr="00CB4247" w:rsidRDefault="00CB4247" w:rsidP="00CB4247">
            <w:pPr>
              <w:spacing w:after="0" w:line="240" w:lineRule="auto"/>
              <w:jc w:val="left"/>
              <w:rPr>
                <w:rFonts w:ascii="Calibri" w:eastAsia="Times New Roman" w:hAnsi="Calibri" w:cs="Calibri"/>
                <w:color w:val="000000"/>
                <w:sz w:val="22"/>
                <w:szCs w:val="22"/>
                <w:lang w:val="es-MX" w:eastAsia="es-MX"/>
              </w:rPr>
            </w:pPr>
          </w:p>
        </w:tc>
        <w:tc>
          <w:tcPr>
            <w:tcW w:w="1131" w:type="pct"/>
            <w:tcBorders>
              <w:top w:val="nil"/>
              <w:left w:val="nil"/>
              <w:bottom w:val="nil"/>
              <w:right w:val="nil"/>
            </w:tcBorders>
            <w:shd w:val="clear" w:color="auto" w:fill="auto"/>
            <w:noWrap/>
            <w:vAlign w:val="bottom"/>
            <w:hideMark/>
          </w:tcPr>
          <w:p w14:paraId="7390E35B" w14:textId="77777777" w:rsidR="00CB4247" w:rsidRPr="00CB4247" w:rsidRDefault="00CB4247" w:rsidP="00CB4247">
            <w:pPr>
              <w:spacing w:after="0" w:line="240" w:lineRule="auto"/>
              <w:jc w:val="left"/>
              <w:rPr>
                <w:rFonts w:ascii="Calibri" w:eastAsia="Times New Roman" w:hAnsi="Calibri" w:cs="Calibri"/>
                <w:color w:val="000000"/>
                <w:sz w:val="22"/>
                <w:szCs w:val="22"/>
                <w:lang w:val="es-MX" w:eastAsia="es-MX"/>
              </w:rPr>
            </w:pPr>
          </w:p>
        </w:tc>
      </w:tr>
      <w:tr w:rsidR="00CB4247" w:rsidRPr="00CB4247" w14:paraId="4D86B52C" w14:textId="77777777" w:rsidTr="00CB4247">
        <w:trPr>
          <w:trHeight w:val="315"/>
        </w:trPr>
        <w:tc>
          <w:tcPr>
            <w:tcW w:w="366" w:type="pct"/>
            <w:tcBorders>
              <w:top w:val="nil"/>
              <w:left w:val="single" w:sz="8" w:space="0" w:color="auto"/>
              <w:bottom w:val="single" w:sz="8" w:space="0" w:color="auto"/>
              <w:right w:val="single" w:sz="8" w:space="0" w:color="auto"/>
            </w:tcBorders>
            <w:shd w:val="clear" w:color="000000" w:fill="D9D9D9"/>
            <w:vAlign w:val="center"/>
            <w:hideMark/>
          </w:tcPr>
          <w:p w14:paraId="77E23E6F"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NIVEL</w:t>
            </w:r>
          </w:p>
        </w:tc>
        <w:tc>
          <w:tcPr>
            <w:tcW w:w="1608" w:type="pct"/>
            <w:tcBorders>
              <w:top w:val="nil"/>
              <w:left w:val="nil"/>
              <w:bottom w:val="single" w:sz="8" w:space="0" w:color="auto"/>
              <w:right w:val="single" w:sz="8" w:space="0" w:color="auto"/>
            </w:tcBorders>
            <w:shd w:val="clear" w:color="000000" w:fill="D9D9D9"/>
            <w:vAlign w:val="center"/>
            <w:hideMark/>
          </w:tcPr>
          <w:p w14:paraId="3D821A5E"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OBJETIVO</w:t>
            </w:r>
          </w:p>
        </w:tc>
        <w:tc>
          <w:tcPr>
            <w:tcW w:w="684" w:type="pct"/>
            <w:tcBorders>
              <w:top w:val="single" w:sz="8" w:space="0" w:color="auto"/>
              <w:left w:val="nil"/>
              <w:bottom w:val="single" w:sz="8" w:space="0" w:color="auto"/>
              <w:right w:val="single" w:sz="8" w:space="0" w:color="auto"/>
            </w:tcBorders>
            <w:shd w:val="clear" w:color="000000" w:fill="D9D9D9"/>
            <w:vAlign w:val="center"/>
            <w:hideMark/>
          </w:tcPr>
          <w:p w14:paraId="433A4D28"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INDICADOR</w:t>
            </w:r>
          </w:p>
        </w:tc>
        <w:tc>
          <w:tcPr>
            <w:tcW w:w="1211" w:type="pct"/>
            <w:tcBorders>
              <w:top w:val="single" w:sz="8" w:space="0" w:color="auto"/>
              <w:left w:val="nil"/>
              <w:bottom w:val="single" w:sz="8" w:space="0" w:color="auto"/>
              <w:right w:val="single" w:sz="8" w:space="0" w:color="auto"/>
            </w:tcBorders>
            <w:shd w:val="clear" w:color="000000" w:fill="D9D9D9"/>
            <w:vAlign w:val="center"/>
            <w:hideMark/>
          </w:tcPr>
          <w:p w14:paraId="2EAEDC89"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MEDIOS DE VERIFICACIÓN</w:t>
            </w:r>
          </w:p>
        </w:tc>
        <w:tc>
          <w:tcPr>
            <w:tcW w:w="1131" w:type="pct"/>
            <w:tcBorders>
              <w:top w:val="single" w:sz="8" w:space="0" w:color="auto"/>
              <w:left w:val="nil"/>
              <w:bottom w:val="single" w:sz="8" w:space="0" w:color="auto"/>
              <w:right w:val="single" w:sz="8" w:space="0" w:color="auto"/>
            </w:tcBorders>
            <w:shd w:val="clear" w:color="000000" w:fill="D9D9D9"/>
            <w:vAlign w:val="center"/>
            <w:hideMark/>
          </w:tcPr>
          <w:p w14:paraId="054F47EB"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SUPUESTO</w:t>
            </w:r>
          </w:p>
        </w:tc>
      </w:tr>
      <w:tr w:rsidR="00CB4247" w:rsidRPr="00CB4247" w14:paraId="43BD590C" w14:textId="77777777" w:rsidTr="00CB4247">
        <w:trPr>
          <w:trHeight w:val="1590"/>
        </w:trPr>
        <w:tc>
          <w:tcPr>
            <w:tcW w:w="366" w:type="pct"/>
            <w:tcBorders>
              <w:top w:val="nil"/>
              <w:left w:val="single" w:sz="8" w:space="0" w:color="auto"/>
              <w:bottom w:val="single" w:sz="8" w:space="0" w:color="auto"/>
              <w:right w:val="single" w:sz="8" w:space="0" w:color="auto"/>
            </w:tcBorders>
            <w:shd w:val="clear" w:color="auto" w:fill="auto"/>
            <w:vAlign w:val="center"/>
            <w:hideMark/>
          </w:tcPr>
          <w:p w14:paraId="43E138AB" w14:textId="77777777" w:rsidR="00CB4247" w:rsidRPr="00CB4247" w:rsidRDefault="00CB4247" w:rsidP="00CB4247">
            <w:pPr>
              <w:pStyle w:val="Ttulo1"/>
              <w:jc w:val="center"/>
              <w:rPr>
                <w:rFonts w:eastAsia="Carme" w:cs="Carme"/>
                <w:caps w:val="0"/>
                <w:color w:val="595959"/>
                <w:sz w:val="16"/>
                <w:szCs w:val="16"/>
                <w:lang w:eastAsia="es-MX"/>
              </w:rPr>
            </w:pPr>
            <w:r w:rsidRPr="00CB4247">
              <w:rPr>
                <w:rFonts w:eastAsia="Carme" w:cs="Carme"/>
                <w:caps w:val="0"/>
                <w:color w:val="595959"/>
                <w:sz w:val="16"/>
                <w:szCs w:val="16"/>
                <w:lang w:eastAsia="es-MX"/>
              </w:rPr>
              <w:t>Fin</w:t>
            </w:r>
          </w:p>
        </w:tc>
        <w:tc>
          <w:tcPr>
            <w:tcW w:w="1608" w:type="pct"/>
            <w:tcBorders>
              <w:top w:val="nil"/>
              <w:left w:val="nil"/>
              <w:bottom w:val="single" w:sz="8" w:space="0" w:color="auto"/>
              <w:right w:val="single" w:sz="8" w:space="0" w:color="auto"/>
            </w:tcBorders>
            <w:shd w:val="clear" w:color="auto" w:fill="auto"/>
            <w:vAlign w:val="center"/>
            <w:hideMark/>
          </w:tcPr>
          <w:p w14:paraId="3247D03D"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Contribuir a implementar una política hacendaria integral a través del incremento de los ingresos propios que permita al gobierno mantener una estabilidad económica y la sustentabilidad de las finanzas públicas mediante el desarrollo de proyectos y programas para fortalecer las acciones de recaudación de las contribuciones estatales que favorezcan el equilibrio financiero, en estricto apego a los principios de la disciplina financiera. </w:t>
            </w:r>
          </w:p>
        </w:tc>
        <w:tc>
          <w:tcPr>
            <w:tcW w:w="684" w:type="pct"/>
            <w:tcBorders>
              <w:top w:val="nil"/>
              <w:left w:val="nil"/>
              <w:bottom w:val="single" w:sz="8" w:space="0" w:color="auto"/>
              <w:right w:val="single" w:sz="8" w:space="0" w:color="auto"/>
            </w:tcBorders>
            <w:shd w:val="clear" w:color="auto" w:fill="auto"/>
            <w:vAlign w:val="center"/>
            <w:hideMark/>
          </w:tcPr>
          <w:p w14:paraId="080C7F04"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Índice de Autonomía Financiera </w:t>
            </w:r>
          </w:p>
        </w:tc>
        <w:tc>
          <w:tcPr>
            <w:tcW w:w="1211" w:type="pct"/>
            <w:tcBorders>
              <w:top w:val="nil"/>
              <w:left w:val="nil"/>
              <w:bottom w:val="single" w:sz="8" w:space="0" w:color="auto"/>
              <w:right w:val="single" w:sz="8" w:space="0" w:color="auto"/>
            </w:tcBorders>
            <w:shd w:val="clear" w:color="auto" w:fill="auto"/>
            <w:vAlign w:val="center"/>
            <w:hideMark/>
          </w:tcPr>
          <w:p w14:paraId="62718189"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Portal de la Secretaria de Finanzas y Planeación                            http://www.sefiplan.qroo.gob.mx/sistemas/itdif/subidos/1591929553_Formato_Anual_Subsecretatia_de_ingresos_19.pdf                                       En la página de SEFIPLAN se muestra el cálculo del indicador ( información emitida por la Subsecretaria de Ingresos)                           </w:t>
            </w:r>
          </w:p>
        </w:tc>
        <w:tc>
          <w:tcPr>
            <w:tcW w:w="1131" w:type="pct"/>
            <w:tcBorders>
              <w:top w:val="nil"/>
              <w:left w:val="nil"/>
              <w:bottom w:val="single" w:sz="8" w:space="0" w:color="auto"/>
              <w:right w:val="single" w:sz="8" w:space="0" w:color="auto"/>
            </w:tcBorders>
            <w:shd w:val="clear" w:color="auto" w:fill="auto"/>
            <w:vAlign w:val="center"/>
            <w:hideMark/>
          </w:tcPr>
          <w:p w14:paraId="378350BE"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 En el Estado de Quintana Roo existe estabilidad  económica, política y social.              </w:t>
            </w:r>
          </w:p>
        </w:tc>
      </w:tr>
      <w:tr w:rsidR="00CB4247" w:rsidRPr="00CB4247" w14:paraId="151E557D" w14:textId="77777777" w:rsidTr="00CB4247">
        <w:trPr>
          <w:trHeight w:val="1140"/>
        </w:trPr>
        <w:tc>
          <w:tcPr>
            <w:tcW w:w="366" w:type="pct"/>
            <w:tcBorders>
              <w:top w:val="nil"/>
              <w:left w:val="single" w:sz="8" w:space="0" w:color="auto"/>
              <w:bottom w:val="single" w:sz="8" w:space="0" w:color="auto"/>
              <w:right w:val="single" w:sz="8" w:space="0" w:color="auto"/>
            </w:tcBorders>
            <w:shd w:val="clear" w:color="auto" w:fill="auto"/>
            <w:vAlign w:val="center"/>
            <w:hideMark/>
          </w:tcPr>
          <w:p w14:paraId="520DFAE6" w14:textId="77777777" w:rsidR="00CB4247" w:rsidRPr="00CB4247" w:rsidRDefault="00CB4247" w:rsidP="00CB4247">
            <w:pPr>
              <w:pStyle w:val="Ttulo1"/>
              <w:jc w:val="center"/>
              <w:rPr>
                <w:rFonts w:eastAsia="Carme" w:cs="Carme"/>
                <w:caps w:val="0"/>
                <w:color w:val="595959"/>
                <w:sz w:val="16"/>
                <w:szCs w:val="16"/>
                <w:lang w:eastAsia="es-MX"/>
              </w:rPr>
            </w:pPr>
            <w:proofErr w:type="spellStart"/>
            <w:r w:rsidRPr="00CB4247">
              <w:rPr>
                <w:rFonts w:eastAsia="Carme" w:cs="Carme"/>
                <w:caps w:val="0"/>
                <w:color w:val="595959"/>
                <w:sz w:val="16"/>
                <w:szCs w:val="16"/>
                <w:lang w:eastAsia="es-MX"/>
              </w:rPr>
              <w:t>Proposito</w:t>
            </w:r>
            <w:proofErr w:type="spellEnd"/>
          </w:p>
        </w:tc>
        <w:tc>
          <w:tcPr>
            <w:tcW w:w="1608" w:type="pct"/>
            <w:tcBorders>
              <w:top w:val="nil"/>
              <w:left w:val="nil"/>
              <w:bottom w:val="single" w:sz="8" w:space="0" w:color="auto"/>
              <w:right w:val="single" w:sz="8" w:space="0" w:color="auto"/>
            </w:tcBorders>
            <w:shd w:val="clear" w:color="auto" w:fill="auto"/>
            <w:vAlign w:val="center"/>
            <w:hideMark/>
          </w:tcPr>
          <w:p w14:paraId="7D5F25B7"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Los niveles de captación de ingresos propios y federales se encuentran aumentados y las condiciones de la deuda se han renegociado.</w:t>
            </w:r>
          </w:p>
        </w:tc>
        <w:tc>
          <w:tcPr>
            <w:tcW w:w="684" w:type="pct"/>
            <w:tcBorders>
              <w:top w:val="nil"/>
              <w:left w:val="nil"/>
              <w:bottom w:val="single" w:sz="8" w:space="0" w:color="auto"/>
              <w:right w:val="single" w:sz="8" w:space="0" w:color="auto"/>
            </w:tcBorders>
            <w:shd w:val="clear" w:color="auto" w:fill="auto"/>
            <w:vAlign w:val="center"/>
            <w:hideMark/>
          </w:tcPr>
          <w:p w14:paraId="4636C75B"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Índice de Capacidad de Generar Ingresos</w:t>
            </w:r>
          </w:p>
        </w:tc>
        <w:tc>
          <w:tcPr>
            <w:tcW w:w="1211" w:type="pct"/>
            <w:tcBorders>
              <w:top w:val="nil"/>
              <w:left w:val="nil"/>
              <w:bottom w:val="single" w:sz="8" w:space="0" w:color="auto"/>
              <w:right w:val="single" w:sz="8" w:space="0" w:color="auto"/>
            </w:tcBorders>
            <w:shd w:val="clear" w:color="auto" w:fill="auto"/>
            <w:vAlign w:val="center"/>
            <w:hideMark/>
          </w:tcPr>
          <w:p w14:paraId="3E8ABADC"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Portal de la Secretaria de Finanzas y Planeación                            http://www.sefiplan.qroo.gob.mx/sistemas/itdif/subidos/1591929553_Formato_Anual_Subsecretatia_de_ingresos_19.pdf                                                                             En la página de SEFIPLAN se muestra el cálculo del indicador ( información emitida por la Subsecretaria de Ingresos)                     </w:t>
            </w:r>
          </w:p>
        </w:tc>
        <w:tc>
          <w:tcPr>
            <w:tcW w:w="1131" w:type="pct"/>
            <w:tcBorders>
              <w:top w:val="nil"/>
              <w:left w:val="nil"/>
              <w:bottom w:val="single" w:sz="8" w:space="0" w:color="auto"/>
              <w:right w:val="single" w:sz="8" w:space="0" w:color="auto"/>
            </w:tcBorders>
            <w:shd w:val="clear" w:color="auto" w:fill="auto"/>
            <w:vAlign w:val="center"/>
            <w:hideMark/>
          </w:tcPr>
          <w:p w14:paraId="6B2F6ABA"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 Los </w:t>
            </w:r>
            <w:proofErr w:type="spellStart"/>
            <w:r w:rsidRPr="00CB4247">
              <w:rPr>
                <w:rFonts w:eastAsia="Carme" w:cs="Carme"/>
                <w:bCs/>
                <w:color w:val="595959"/>
                <w:sz w:val="16"/>
                <w:szCs w:val="16"/>
                <w:lang w:val="es-MX" w:eastAsia="es-MX"/>
              </w:rPr>
              <w:t>Quintarroenses</w:t>
            </w:r>
            <w:proofErr w:type="spellEnd"/>
            <w:r w:rsidRPr="00CB4247">
              <w:rPr>
                <w:rFonts w:eastAsia="Carme" w:cs="Carme"/>
                <w:bCs/>
                <w:color w:val="595959"/>
                <w:sz w:val="16"/>
                <w:szCs w:val="16"/>
                <w:lang w:val="es-MX" w:eastAsia="es-MX"/>
              </w:rPr>
              <w:t xml:space="preserve"> contribuyen al Desarrollo Económico del Estado. </w:t>
            </w:r>
          </w:p>
        </w:tc>
      </w:tr>
    </w:tbl>
    <w:p w14:paraId="3BDA5A0A" w14:textId="77777777" w:rsidR="00BA14BE" w:rsidRDefault="00BA14BE">
      <w:r>
        <w:rPr>
          <w:b/>
          <w:bCs/>
          <w:caps/>
        </w:rPr>
        <w:br w:type="page"/>
      </w:r>
    </w:p>
    <w:tbl>
      <w:tblPr>
        <w:tblpPr w:leftFromText="141" w:rightFromText="141" w:tblpY="569"/>
        <w:tblW w:w="5672" w:type="pct"/>
        <w:tblLayout w:type="fixed"/>
        <w:tblCellMar>
          <w:left w:w="70" w:type="dxa"/>
          <w:right w:w="70" w:type="dxa"/>
        </w:tblCellMar>
        <w:tblLook w:val="04A0" w:firstRow="1" w:lastRow="0" w:firstColumn="1" w:lastColumn="0" w:noHBand="0" w:noVBand="1"/>
      </w:tblPr>
      <w:tblGrid>
        <w:gridCol w:w="985"/>
        <w:gridCol w:w="4330"/>
        <w:gridCol w:w="1842"/>
        <w:gridCol w:w="3261"/>
        <w:gridCol w:w="3046"/>
      </w:tblGrid>
      <w:tr w:rsidR="00BA14BE" w:rsidRPr="00CB4247" w14:paraId="6555059E" w14:textId="77777777" w:rsidTr="00BA14BE">
        <w:trPr>
          <w:trHeight w:val="170"/>
        </w:trPr>
        <w:tc>
          <w:tcPr>
            <w:tcW w:w="3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04E45B" w14:textId="0FFB7659"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lastRenderedPageBreak/>
              <w:t>NIVEL</w:t>
            </w:r>
          </w:p>
        </w:tc>
        <w:tc>
          <w:tcPr>
            <w:tcW w:w="160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95D1C" w14:textId="3CF7E111"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OBJETIVO</w:t>
            </w:r>
          </w:p>
        </w:tc>
        <w:tc>
          <w:tcPr>
            <w:tcW w:w="6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35E425" w14:textId="0C820D84"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INDICADOR</w:t>
            </w:r>
          </w:p>
        </w:tc>
        <w:tc>
          <w:tcPr>
            <w:tcW w:w="12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7E4BA3" w14:textId="744D273D"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MEDIOS DE VERIFICACIÓN</w:t>
            </w:r>
          </w:p>
        </w:tc>
        <w:tc>
          <w:tcPr>
            <w:tcW w:w="11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89125" w14:textId="4EE74865"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SUPUESTO</w:t>
            </w:r>
          </w:p>
        </w:tc>
      </w:tr>
      <w:tr w:rsidR="00CB4247" w:rsidRPr="00CB4247" w14:paraId="6E349E28" w14:textId="77777777" w:rsidTr="00BA14BE">
        <w:trPr>
          <w:trHeight w:val="1815"/>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C24FE3" w14:textId="7993F2E6" w:rsidR="00CB4247" w:rsidRPr="00CB4247" w:rsidRDefault="00CB4247" w:rsidP="00BA14BE">
            <w:pPr>
              <w:pStyle w:val="Ttulo1"/>
              <w:jc w:val="center"/>
              <w:rPr>
                <w:rFonts w:eastAsia="Carme" w:cs="Carme"/>
                <w:caps w:val="0"/>
                <w:color w:val="595959"/>
                <w:sz w:val="16"/>
                <w:szCs w:val="16"/>
                <w:lang w:eastAsia="es-MX"/>
              </w:rPr>
            </w:pPr>
            <w:r w:rsidRPr="00CB4247">
              <w:rPr>
                <w:rFonts w:eastAsia="Carme" w:cs="Carme"/>
                <w:caps w:val="0"/>
                <w:color w:val="595959"/>
                <w:sz w:val="16"/>
                <w:szCs w:val="16"/>
                <w:lang w:eastAsia="es-MX"/>
              </w:rPr>
              <w:t>Componente</w:t>
            </w:r>
          </w:p>
        </w:tc>
        <w:tc>
          <w:tcPr>
            <w:tcW w:w="1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F8924" w14:textId="138EFB80" w:rsidR="00CB4247" w:rsidRPr="00CB4247" w:rsidRDefault="00CB4247" w:rsidP="00BA14BE">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Atención de las demandas de  juicios y recursos interpuestos  por contribuyentes</w:t>
            </w:r>
            <w:r w:rsidR="00682261">
              <w:rPr>
                <w:rFonts w:eastAsia="Carme" w:cs="Carme"/>
                <w:bCs/>
                <w:color w:val="595959"/>
                <w:sz w:val="16"/>
                <w:szCs w:val="16"/>
                <w:lang w:val="es-MX" w:eastAsia="es-MX"/>
              </w:rPr>
              <w:t xml:space="preserve"> respecto de  créditos fiscales</w:t>
            </w:r>
            <w:r w:rsidRPr="00CB4247">
              <w:rPr>
                <w:rFonts w:eastAsia="Carme" w:cs="Carme"/>
                <w:bCs/>
                <w:color w:val="595959"/>
                <w:sz w:val="16"/>
                <w:szCs w:val="16"/>
                <w:lang w:val="es-MX" w:eastAsia="es-MX"/>
              </w:rPr>
              <w:t xml:space="preserve">, multas y resoluciones en contra de actos emitidos por </w:t>
            </w:r>
            <w:proofErr w:type="gramStart"/>
            <w:r w:rsidRPr="00CB4247">
              <w:rPr>
                <w:rFonts w:eastAsia="Carme" w:cs="Carme"/>
                <w:bCs/>
                <w:color w:val="595959"/>
                <w:sz w:val="16"/>
                <w:szCs w:val="16"/>
                <w:lang w:val="es-MX" w:eastAsia="es-MX"/>
              </w:rPr>
              <w:t>las área</w:t>
            </w:r>
            <w:proofErr w:type="gramEnd"/>
            <w:r w:rsidRPr="00CB4247">
              <w:rPr>
                <w:rFonts w:eastAsia="Carme" w:cs="Carme"/>
                <w:bCs/>
                <w:color w:val="595959"/>
                <w:sz w:val="16"/>
                <w:szCs w:val="16"/>
                <w:lang w:val="es-MX" w:eastAsia="es-MX"/>
              </w:rPr>
              <w:t xml:space="preserve"> de la Secretaria de Finanzas y Planeación.</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CDD1B" w14:textId="77777777" w:rsidR="00CB4247" w:rsidRPr="00CB4247" w:rsidRDefault="00CB4247" w:rsidP="00BA14BE">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Porcentaje de demandas contestadas</w:t>
            </w:r>
          </w:p>
        </w:tc>
        <w:tc>
          <w:tcPr>
            <w:tcW w:w="121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E4F4E" w14:textId="77777777" w:rsidR="00682261" w:rsidRDefault="00CB4247" w:rsidP="00BA14BE">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Portal de Transparencia de la Procuraduría Fiscal, artículo  91 de la Ley de Trasparencia  del Estado, fracción VI, formato 6 que se emite de manera trimestral referente a los indicadores que permiten rendir cuenta de sus objetivos y resultados, así como los indicadores de impacto y evaluación de los proyectos y procesos y toda atribución de funciones</w:t>
            </w:r>
          </w:p>
          <w:p w14:paraId="077B230A" w14:textId="2F354A37" w:rsidR="00CB4247" w:rsidRPr="00CB4247" w:rsidRDefault="00CB4247" w:rsidP="00BA14BE">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Link                     http://www.sefiplan.qroo.gob.mx/pf/transparencia/             </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FBDC06" w14:textId="6B4C7B21" w:rsidR="00CB4247" w:rsidRPr="00CB4247" w:rsidRDefault="00CB4247" w:rsidP="00BA14BE">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Las Autoridades determinan los créditos, multas y resoluciones conforme a </w:t>
            </w:r>
            <w:r w:rsidR="00682261" w:rsidRPr="00CB4247">
              <w:rPr>
                <w:rFonts w:eastAsia="Carme" w:cs="Carme"/>
                <w:bCs/>
                <w:color w:val="595959"/>
                <w:sz w:val="16"/>
                <w:szCs w:val="16"/>
                <w:lang w:val="es-MX" w:eastAsia="es-MX"/>
              </w:rPr>
              <w:t>las disposiciones fiscales aplicables</w:t>
            </w:r>
            <w:r w:rsidRPr="00CB4247">
              <w:rPr>
                <w:rFonts w:eastAsia="Carme" w:cs="Carme"/>
                <w:bCs/>
                <w:color w:val="595959"/>
                <w:sz w:val="16"/>
                <w:szCs w:val="16"/>
                <w:lang w:val="es-MX" w:eastAsia="es-MX"/>
              </w:rPr>
              <w:t>.</w:t>
            </w:r>
          </w:p>
        </w:tc>
      </w:tr>
      <w:tr w:rsidR="00CB4247" w:rsidRPr="00CB4247" w14:paraId="2F4E5832" w14:textId="77777777" w:rsidTr="00BA14BE">
        <w:trPr>
          <w:trHeight w:val="915"/>
        </w:trPr>
        <w:tc>
          <w:tcPr>
            <w:tcW w:w="366"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3A44569" w14:textId="77777777" w:rsidR="00CB4247" w:rsidRPr="00CB4247" w:rsidRDefault="00CB4247" w:rsidP="00BA14BE">
            <w:pPr>
              <w:pStyle w:val="Ttulo1"/>
              <w:jc w:val="center"/>
              <w:rPr>
                <w:rFonts w:eastAsia="Carme" w:cs="Carme"/>
                <w:caps w:val="0"/>
                <w:color w:val="595959"/>
                <w:sz w:val="16"/>
                <w:szCs w:val="16"/>
                <w:lang w:eastAsia="es-MX"/>
              </w:rPr>
            </w:pPr>
            <w:r w:rsidRPr="00CB4247">
              <w:rPr>
                <w:rFonts w:eastAsia="Carme" w:cs="Carme"/>
                <w:caps w:val="0"/>
                <w:color w:val="595959"/>
                <w:sz w:val="16"/>
                <w:szCs w:val="16"/>
                <w:lang w:eastAsia="es-MX"/>
              </w:rPr>
              <w:t>Actividades</w:t>
            </w:r>
          </w:p>
        </w:tc>
        <w:tc>
          <w:tcPr>
            <w:tcW w:w="1608" w:type="pct"/>
            <w:tcBorders>
              <w:top w:val="single" w:sz="4" w:space="0" w:color="auto"/>
              <w:left w:val="nil"/>
              <w:bottom w:val="single" w:sz="8" w:space="0" w:color="auto"/>
              <w:right w:val="single" w:sz="8" w:space="0" w:color="auto"/>
            </w:tcBorders>
            <w:shd w:val="clear" w:color="auto" w:fill="auto"/>
            <w:vAlign w:val="center"/>
            <w:hideMark/>
          </w:tcPr>
          <w:p w14:paraId="0007C81B" w14:textId="77777777" w:rsidR="00CB4247" w:rsidRPr="00CB4247" w:rsidRDefault="00CB4247" w:rsidP="00BA14BE">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Revisión y validación de las propuestas de iniciativas de ley, reglamentos, acuerdos, decretos emitidos por las unidades administrativas de la secretaría y/o dependencias gubernamentales que deba suscribir la Secretaria de Finanzas y Planeación.</w:t>
            </w:r>
          </w:p>
        </w:tc>
        <w:tc>
          <w:tcPr>
            <w:tcW w:w="684" w:type="pct"/>
            <w:tcBorders>
              <w:top w:val="single" w:sz="4" w:space="0" w:color="auto"/>
              <w:left w:val="nil"/>
              <w:bottom w:val="single" w:sz="8" w:space="0" w:color="auto"/>
              <w:right w:val="single" w:sz="8" w:space="0" w:color="auto"/>
            </w:tcBorders>
            <w:shd w:val="clear" w:color="auto" w:fill="auto"/>
            <w:vAlign w:val="center"/>
            <w:hideMark/>
          </w:tcPr>
          <w:p w14:paraId="45946A22" w14:textId="77777777" w:rsidR="00CB4247" w:rsidRPr="00CB4247" w:rsidRDefault="00CB4247" w:rsidP="00BA14BE">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Porcentaje de disposiciones normativas validadas </w:t>
            </w:r>
          </w:p>
        </w:tc>
        <w:tc>
          <w:tcPr>
            <w:tcW w:w="1211" w:type="pct"/>
            <w:tcBorders>
              <w:top w:val="single" w:sz="4" w:space="0" w:color="auto"/>
              <w:left w:val="nil"/>
              <w:bottom w:val="single" w:sz="8" w:space="0" w:color="auto"/>
              <w:right w:val="single" w:sz="8" w:space="0" w:color="auto"/>
            </w:tcBorders>
            <w:shd w:val="clear" w:color="auto" w:fill="auto"/>
            <w:vAlign w:val="center"/>
            <w:hideMark/>
          </w:tcPr>
          <w:p w14:paraId="69B86847" w14:textId="51910E63" w:rsidR="00CB4247" w:rsidRPr="00CB4247" w:rsidRDefault="00CB4247" w:rsidP="00BA14BE">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Base de datos de control de documentos jurídicos                     (En una base de datos e registran los documentos jurídicos que se emiten y se reciben en la Procuraduría Fiscal para llevar el control de los que se validan)</w:t>
            </w:r>
          </w:p>
        </w:tc>
        <w:tc>
          <w:tcPr>
            <w:tcW w:w="1131" w:type="pct"/>
            <w:tcBorders>
              <w:top w:val="single" w:sz="4" w:space="0" w:color="auto"/>
              <w:left w:val="nil"/>
              <w:bottom w:val="single" w:sz="8" w:space="0" w:color="auto"/>
              <w:right w:val="single" w:sz="8" w:space="0" w:color="auto"/>
            </w:tcBorders>
            <w:shd w:val="clear" w:color="auto" w:fill="auto"/>
            <w:vAlign w:val="center"/>
            <w:hideMark/>
          </w:tcPr>
          <w:p w14:paraId="62854FAC" w14:textId="77777777" w:rsidR="00CB4247" w:rsidRPr="00CB4247" w:rsidRDefault="00CB4247" w:rsidP="00BA14BE">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Las disposiciones normativas cumplen con los principios de transparencia, legalidad y certeza jurídica</w:t>
            </w:r>
          </w:p>
        </w:tc>
      </w:tr>
    </w:tbl>
    <w:p w14:paraId="13AFC52A" w14:textId="77777777" w:rsidR="002162EF" w:rsidRDefault="002162EF" w:rsidP="002162EF">
      <w:pPr>
        <w:keepNext/>
        <w:keepLines/>
        <w:spacing w:before="200" w:line="240" w:lineRule="auto"/>
        <w:outlineLvl w:val="1"/>
        <w:rPr>
          <w:rFonts w:ascii="Futura Std Condensed Light" w:eastAsia="MS PGothic" w:hAnsi="Futura Std Condensed Light"/>
          <w:color w:val="595959" w:themeColor="text1" w:themeTint="A6"/>
          <w:sz w:val="16"/>
          <w:szCs w:val="16"/>
        </w:rPr>
      </w:pPr>
      <w:r>
        <w:rPr>
          <w:rFonts w:ascii="Futura Std Condensed Light" w:eastAsia="MS PGothic" w:hAnsi="Futura Std Condensed Light"/>
          <w:color w:val="595959" w:themeColor="text1" w:themeTint="A6"/>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7D4CD964" w14:textId="3A4A6398" w:rsidR="00CB4247" w:rsidRDefault="00CB4247" w:rsidP="0022309F">
      <w:pPr>
        <w:widowControl w:val="0"/>
        <w:spacing w:after="0"/>
        <w:contextualSpacing/>
        <w:rPr>
          <w:rFonts w:eastAsia="Carme" w:cs="Carme"/>
          <w:b/>
          <w:color w:val="595959"/>
          <w:sz w:val="20"/>
          <w:szCs w:val="20"/>
          <w:lang w:val="es-MX" w:eastAsia="es-MX"/>
        </w:rPr>
      </w:pPr>
    </w:p>
    <w:p w14:paraId="52DB98E2" w14:textId="77777777" w:rsidR="00CB4247" w:rsidRDefault="00CB4247">
      <w:pPr>
        <w:spacing w:after="0" w:line="240" w:lineRule="auto"/>
        <w:jc w:val="left"/>
        <w:rPr>
          <w:rFonts w:eastAsia="Carme" w:cs="Carme"/>
          <w:b/>
          <w:color w:val="595959"/>
          <w:sz w:val="20"/>
          <w:szCs w:val="20"/>
          <w:lang w:val="es-MX" w:eastAsia="es-MX"/>
        </w:rPr>
      </w:pPr>
      <w:r>
        <w:rPr>
          <w:rFonts w:eastAsia="Carme" w:cs="Carme"/>
          <w:b/>
          <w:color w:val="595959"/>
          <w:sz w:val="20"/>
          <w:szCs w:val="20"/>
          <w:lang w:val="es-MX" w:eastAsia="es-MX"/>
        </w:rPr>
        <w:br w:type="page"/>
      </w:r>
    </w:p>
    <w:tbl>
      <w:tblPr>
        <w:tblW w:w="5703" w:type="pct"/>
        <w:tblLayout w:type="fixed"/>
        <w:tblCellMar>
          <w:left w:w="70" w:type="dxa"/>
          <w:right w:w="70" w:type="dxa"/>
        </w:tblCellMar>
        <w:tblLook w:val="04A0" w:firstRow="1" w:lastRow="0" w:firstColumn="1" w:lastColumn="0" w:noHBand="0" w:noVBand="1"/>
      </w:tblPr>
      <w:tblGrid>
        <w:gridCol w:w="986"/>
        <w:gridCol w:w="4329"/>
        <w:gridCol w:w="1844"/>
        <w:gridCol w:w="3257"/>
        <w:gridCol w:w="3122"/>
      </w:tblGrid>
      <w:tr w:rsidR="00CB4247" w:rsidRPr="00CB4247" w14:paraId="245B4398" w14:textId="77777777" w:rsidTr="00CB4247">
        <w:trPr>
          <w:trHeight w:val="300"/>
        </w:trPr>
        <w:tc>
          <w:tcPr>
            <w:tcW w:w="196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C056D5" w14:textId="77777777" w:rsidR="00CB4247" w:rsidRPr="00CB4247" w:rsidRDefault="00CB4247" w:rsidP="00CB4247">
            <w:pPr>
              <w:widowControl w:val="0"/>
              <w:spacing w:after="0"/>
              <w:contextualSpacing/>
              <w:jc w:val="center"/>
              <w:rPr>
                <w:rFonts w:eastAsia="Carme" w:cs="Carme"/>
                <w:b/>
                <w:color w:val="595959"/>
                <w:sz w:val="20"/>
                <w:szCs w:val="20"/>
                <w:lang w:val="es-MX" w:eastAsia="es-MX"/>
              </w:rPr>
            </w:pPr>
            <w:r w:rsidRPr="00CB4247">
              <w:rPr>
                <w:rFonts w:eastAsia="Carme" w:cs="Carme"/>
                <w:b/>
                <w:color w:val="595959"/>
                <w:sz w:val="20"/>
                <w:szCs w:val="20"/>
                <w:lang w:val="es-MX" w:eastAsia="es-MX"/>
              </w:rPr>
              <w:lastRenderedPageBreak/>
              <w:t>PROGRAMA PRESUPUESTARIO:</w:t>
            </w:r>
          </w:p>
        </w:tc>
        <w:tc>
          <w:tcPr>
            <w:tcW w:w="3037" w:type="pct"/>
            <w:gridSpan w:val="3"/>
            <w:tcBorders>
              <w:top w:val="single" w:sz="4" w:space="0" w:color="auto"/>
              <w:left w:val="nil"/>
              <w:bottom w:val="single" w:sz="4" w:space="0" w:color="auto"/>
              <w:right w:val="single" w:sz="4" w:space="0" w:color="auto"/>
            </w:tcBorders>
            <w:shd w:val="clear" w:color="000000" w:fill="D9D9D9"/>
            <w:vAlign w:val="center"/>
            <w:hideMark/>
          </w:tcPr>
          <w:p w14:paraId="4ACFE399" w14:textId="77777777" w:rsidR="00CB4247" w:rsidRPr="00CB4247" w:rsidRDefault="00CB4247" w:rsidP="00CB4247">
            <w:pPr>
              <w:widowControl w:val="0"/>
              <w:spacing w:after="0"/>
              <w:contextualSpacing/>
              <w:jc w:val="center"/>
              <w:rPr>
                <w:rFonts w:eastAsia="Carme" w:cs="Carme"/>
                <w:b/>
                <w:color w:val="595959"/>
                <w:sz w:val="20"/>
                <w:szCs w:val="20"/>
                <w:lang w:val="es-MX" w:eastAsia="es-MX"/>
              </w:rPr>
            </w:pPr>
            <w:r w:rsidRPr="00CB4247">
              <w:rPr>
                <w:rFonts w:eastAsia="Carme" w:cs="Carme"/>
                <w:b/>
                <w:color w:val="595959"/>
                <w:sz w:val="20"/>
                <w:szCs w:val="20"/>
                <w:lang w:val="es-MX" w:eastAsia="es-MX"/>
              </w:rPr>
              <w:t>E064 - FORTALECIMIENTO DEL INGRESO</w:t>
            </w:r>
          </w:p>
        </w:tc>
      </w:tr>
      <w:tr w:rsidR="00CB4247" w:rsidRPr="00CB4247" w14:paraId="79C06E21" w14:textId="77777777" w:rsidTr="00CB4247">
        <w:trPr>
          <w:trHeight w:val="525"/>
        </w:trPr>
        <w:tc>
          <w:tcPr>
            <w:tcW w:w="1963" w:type="pct"/>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3CF4FC" w14:textId="77777777" w:rsidR="00CB4247" w:rsidRPr="00CB4247" w:rsidRDefault="00CB4247" w:rsidP="00CB4247">
            <w:pPr>
              <w:widowControl w:val="0"/>
              <w:spacing w:after="0"/>
              <w:contextualSpacing/>
              <w:jc w:val="center"/>
              <w:rPr>
                <w:rFonts w:eastAsia="Carme" w:cs="Carme"/>
                <w:b/>
                <w:color w:val="595959"/>
                <w:sz w:val="20"/>
                <w:szCs w:val="20"/>
                <w:lang w:val="es-MX" w:eastAsia="es-MX"/>
              </w:rPr>
            </w:pPr>
            <w:r w:rsidRPr="00CB4247">
              <w:rPr>
                <w:rFonts w:eastAsia="Carme" w:cs="Carme"/>
                <w:b/>
                <w:color w:val="595959"/>
                <w:sz w:val="20"/>
                <w:szCs w:val="20"/>
                <w:lang w:val="es-MX" w:eastAsia="es-MX"/>
              </w:rPr>
              <w:t>INSTITUCIÓN:</w:t>
            </w:r>
          </w:p>
        </w:tc>
        <w:tc>
          <w:tcPr>
            <w:tcW w:w="3037" w:type="pct"/>
            <w:gridSpan w:val="3"/>
            <w:tcBorders>
              <w:top w:val="single" w:sz="4" w:space="0" w:color="auto"/>
              <w:left w:val="nil"/>
              <w:bottom w:val="single" w:sz="4" w:space="0" w:color="auto"/>
              <w:right w:val="single" w:sz="4" w:space="0" w:color="auto"/>
            </w:tcBorders>
            <w:shd w:val="clear" w:color="000000" w:fill="D9D9D9"/>
            <w:vAlign w:val="center"/>
            <w:hideMark/>
          </w:tcPr>
          <w:p w14:paraId="298F4E6D" w14:textId="77777777" w:rsidR="00CB4247" w:rsidRPr="00CB4247" w:rsidRDefault="00CB4247" w:rsidP="00CB4247">
            <w:pPr>
              <w:widowControl w:val="0"/>
              <w:spacing w:after="0"/>
              <w:contextualSpacing/>
              <w:jc w:val="center"/>
              <w:rPr>
                <w:rFonts w:eastAsia="Carme" w:cs="Carme"/>
                <w:b/>
                <w:color w:val="595959"/>
                <w:sz w:val="20"/>
                <w:szCs w:val="20"/>
                <w:lang w:val="es-MX" w:eastAsia="es-MX"/>
              </w:rPr>
            </w:pPr>
            <w:r w:rsidRPr="00CB4247">
              <w:rPr>
                <w:rFonts w:eastAsia="Carme" w:cs="Carme"/>
                <w:b/>
                <w:color w:val="595959"/>
                <w:sz w:val="20"/>
                <w:szCs w:val="20"/>
                <w:lang w:val="es-MX" w:eastAsia="es-MX"/>
              </w:rPr>
              <w:t>1241  - SERVICIO DE ADMINISTRACIÓN TRIBUTARIA DEL ESTADO DE QUINTANA ROO</w:t>
            </w:r>
          </w:p>
        </w:tc>
      </w:tr>
      <w:tr w:rsidR="00CB4247" w:rsidRPr="00CB4247" w14:paraId="0FA67785" w14:textId="77777777" w:rsidTr="00CB4247">
        <w:trPr>
          <w:trHeight w:val="315"/>
        </w:trPr>
        <w:tc>
          <w:tcPr>
            <w:tcW w:w="364" w:type="pct"/>
            <w:tcBorders>
              <w:top w:val="nil"/>
              <w:left w:val="single" w:sz="8" w:space="0" w:color="auto"/>
              <w:bottom w:val="single" w:sz="8" w:space="0" w:color="auto"/>
              <w:right w:val="nil"/>
            </w:tcBorders>
            <w:shd w:val="clear" w:color="auto" w:fill="auto"/>
            <w:noWrap/>
            <w:vAlign w:val="center"/>
            <w:hideMark/>
          </w:tcPr>
          <w:p w14:paraId="664DF394" w14:textId="77777777" w:rsidR="00CB4247" w:rsidRPr="00CB4247" w:rsidRDefault="00CB4247" w:rsidP="00CB4247">
            <w:pPr>
              <w:spacing w:after="0" w:line="240" w:lineRule="auto"/>
              <w:jc w:val="left"/>
              <w:rPr>
                <w:rFonts w:ascii="Arial" w:eastAsia="Times New Roman" w:hAnsi="Arial" w:cs="Arial"/>
                <w:b/>
                <w:bCs/>
                <w:color w:val="595959"/>
                <w:sz w:val="20"/>
                <w:szCs w:val="20"/>
                <w:lang w:val="es-MX" w:eastAsia="es-MX"/>
              </w:rPr>
            </w:pPr>
            <w:r w:rsidRPr="00CB4247">
              <w:rPr>
                <w:rFonts w:ascii="Arial" w:eastAsia="Times New Roman" w:hAnsi="Arial" w:cs="Arial"/>
                <w:b/>
                <w:bCs/>
                <w:color w:val="595959"/>
                <w:sz w:val="20"/>
                <w:szCs w:val="20"/>
                <w:lang w:val="es-MX" w:eastAsia="es-MX"/>
              </w:rPr>
              <w:t> </w:t>
            </w:r>
          </w:p>
        </w:tc>
        <w:tc>
          <w:tcPr>
            <w:tcW w:w="1599" w:type="pct"/>
            <w:tcBorders>
              <w:top w:val="nil"/>
              <w:left w:val="nil"/>
              <w:bottom w:val="single" w:sz="8" w:space="0" w:color="auto"/>
              <w:right w:val="nil"/>
            </w:tcBorders>
            <w:shd w:val="clear" w:color="auto" w:fill="auto"/>
            <w:vAlign w:val="center"/>
            <w:hideMark/>
          </w:tcPr>
          <w:p w14:paraId="57865DE4" w14:textId="77777777" w:rsidR="00CB4247" w:rsidRPr="00CB4247" w:rsidRDefault="00CB4247" w:rsidP="00CB4247">
            <w:pPr>
              <w:spacing w:after="0" w:line="240" w:lineRule="auto"/>
              <w:jc w:val="left"/>
              <w:rPr>
                <w:rFonts w:ascii="Arial" w:eastAsia="Times New Roman" w:hAnsi="Arial" w:cs="Arial"/>
                <w:b/>
                <w:bCs/>
                <w:color w:val="595959"/>
                <w:sz w:val="20"/>
                <w:szCs w:val="20"/>
                <w:lang w:val="es-MX" w:eastAsia="es-MX"/>
              </w:rPr>
            </w:pPr>
            <w:r w:rsidRPr="00CB4247">
              <w:rPr>
                <w:rFonts w:ascii="Arial" w:eastAsia="Times New Roman" w:hAnsi="Arial" w:cs="Arial"/>
                <w:b/>
                <w:bCs/>
                <w:color w:val="595959"/>
                <w:sz w:val="20"/>
                <w:szCs w:val="20"/>
                <w:lang w:val="es-MX" w:eastAsia="es-MX"/>
              </w:rPr>
              <w:t> </w:t>
            </w:r>
          </w:p>
        </w:tc>
        <w:tc>
          <w:tcPr>
            <w:tcW w:w="681" w:type="pct"/>
            <w:tcBorders>
              <w:top w:val="nil"/>
              <w:left w:val="nil"/>
              <w:bottom w:val="nil"/>
              <w:right w:val="nil"/>
            </w:tcBorders>
            <w:shd w:val="clear" w:color="auto" w:fill="auto"/>
            <w:noWrap/>
            <w:vAlign w:val="bottom"/>
            <w:hideMark/>
          </w:tcPr>
          <w:p w14:paraId="58CCC799" w14:textId="77777777" w:rsidR="00CB4247" w:rsidRPr="00CB4247" w:rsidRDefault="00CB4247" w:rsidP="00CB4247">
            <w:pPr>
              <w:spacing w:after="0" w:line="240" w:lineRule="auto"/>
              <w:jc w:val="left"/>
              <w:rPr>
                <w:rFonts w:ascii="Calibri" w:eastAsia="Times New Roman" w:hAnsi="Calibri" w:cs="Calibri"/>
                <w:color w:val="000000"/>
                <w:sz w:val="22"/>
                <w:szCs w:val="22"/>
                <w:lang w:val="es-MX" w:eastAsia="es-MX"/>
              </w:rPr>
            </w:pPr>
          </w:p>
        </w:tc>
        <w:tc>
          <w:tcPr>
            <w:tcW w:w="1203" w:type="pct"/>
            <w:tcBorders>
              <w:top w:val="nil"/>
              <w:left w:val="nil"/>
              <w:bottom w:val="nil"/>
              <w:right w:val="nil"/>
            </w:tcBorders>
            <w:shd w:val="clear" w:color="auto" w:fill="auto"/>
            <w:noWrap/>
            <w:vAlign w:val="bottom"/>
            <w:hideMark/>
          </w:tcPr>
          <w:p w14:paraId="43121545" w14:textId="77777777" w:rsidR="00CB4247" w:rsidRPr="00CB4247" w:rsidRDefault="00CB4247" w:rsidP="00CB4247">
            <w:pPr>
              <w:spacing w:after="0" w:line="240" w:lineRule="auto"/>
              <w:jc w:val="left"/>
              <w:rPr>
                <w:rFonts w:ascii="Calibri" w:eastAsia="Times New Roman" w:hAnsi="Calibri" w:cs="Calibri"/>
                <w:color w:val="000000"/>
                <w:sz w:val="22"/>
                <w:szCs w:val="22"/>
                <w:lang w:val="es-MX" w:eastAsia="es-MX"/>
              </w:rPr>
            </w:pPr>
          </w:p>
        </w:tc>
        <w:tc>
          <w:tcPr>
            <w:tcW w:w="1153" w:type="pct"/>
            <w:tcBorders>
              <w:top w:val="nil"/>
              <w:left w:val="nil"/>
              <w:bottom w:val="nil"/>
              <w:right w:val="nil"/>
            </w:tcBorders>
            <w:shd w:val="clear" w:color="auto" w:fill="auto"/>
            <w:noWrap/>
            <w:vAlign w:val="bottom"/>
            <w:hideMark/>
          </w:tcPr>
          <w:p w14:paraId="27C6C5FE" w14:textId="77777777" w:rsidR="00CB4247" w:rsidRPr="00CB4247" w:rsidRDefault="00CB4247" w:rsidP="00CB4247">
            <w:pPr>
              <w:spacing w:after="0" w:line="240" w:lineRule="auto"/>
              <w:jc w:val="left"/>
              <w:rPr>
                <w:rFonts w:ascii="Calibri" w:eastAsia="Times New Roman" w:hAnsi="Calibri" w:cs="Calibri"/>
                <w:color w:val="000000"/>
                <w:sz w:val="22"/>
                <w:szCs w:val="22"/>
                <w:lang w:val="es-MX" w:eastAsia="es-MX"/>
              </w:rPr>
            </w:pPr>
          </w:p>
        </w:tc>
      </w:tr>
      <w:tr w:rsidR="00CB4247" w:rsidRPr="00CB4247" w14:paraId="2A1BE18B" w14:textId="77777777" w:rsidTr="00CB4247">
        <w:trPr>
          <w:trHeight w:val="315"/>
        </w:trPr>
        <w:tc>
          <w:tcPr>
            <w:tcW w:w="364" w:type="pct"/>
            <w:tcBorders>
              <w:top w:val="nil"/>
              <w:left w:val="single" w:sz="8" w:space="0" w:color="auto"/>
              <w:bottom w:val="single" w:sz="8" w:space="0" w:color="auto"/>
              <w:right w:val="single" w:sz="8" w:space="0" w:color="auto"/>
            </w:tcBorders>
            <w:shd w:val="clear" w:color="000000" w:fill="D9D9D9"/>
            <w:vAlign w:val="center"/>
            <w:hideMark/>
          </w:tcPr>
          <w:p w14:paraId="0043DF6B"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NIVEL</w:t>
            </w:r>
          </w:p>
        </w:tc>
        <w:tc>
          <w:tcPr>
            <w:tcW w:w="1599" w:type="pct"/>
            <w:tcBorders>
              <w:top w:val="nil"/>
              <w:left w:val="nil"/>
              <w:bottom w:val="single" w:sz="8" w:space="0" w:color="auto"/>
              <w:right w:val="single" w:sz="8" w:space="0" w:color="auto"/>
            </w:tcBorders>
            <w:shd w:val="clear" w:color="000000" w:fill="D9D9D9"/>
            <w:vAlign w:val="center"/>
            <w:hideMark/>
          </w:tcPr>
          <w:p w14:paraId="46DEC4E4"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OBJETIVO</w:t>
            </w:r>
          </w:p>
        </w:tc>
        <w:tc>
          <w:tcPr>
            <w:tcW w:w="681" w:type="pct"/>
            <w:tcBorders>
              <w:top w:val="single" w:sz="8" w:space="0" w:color="auto"/>
              <w:left w:val="nil"/>
              <w:bottom w:val="single" w:sz="8" w:space="0" w:color="auto"/>
              <w:right w:val="single" w:sz="8" w:space="0" w:color="auto"/>
            </w:tcBorders>
            <w:shd w:val="clear" w:color="000000" w:fill="D9D9D9"/>
            <w:vAlign w:val="center"/>
            <w:hideMark/>
          </w:tcPr>
          <w:p w14:paraId="6B34416F"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INDICADOR</w:t>
            </w:r>
          </w:p>
        </w:tc>
        <w:tc>
          <w:tcPr>
            <w:tcW w:w="1203" w:type="pct"/>
            <w:tcBorders>
              <w:top w:val="single" w:sz="8" w:space="0" w:color="auto"/>
              <w:left w:val="nil"/>
              <w:bottom w:val="single" w:sz="8" w:space="0" w:color="auto"/>
              <w:right w:val="single" w:sz="8" w:space="0" w:color="auto"/>
            </w:tcBorders>
            <w:shd w:val="clear" w:color="000000" w:fill="D9D9D9"/>
            <w:vAlign w:val="center"/>
            <w:hideMark/>
          </w:tcPr>
          <w:p w14:paraId="4EBF290C"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MEDIOS DE VERIFICACIÓN</w:t>
            </w:r>
          </w:p>
        </w:tc>
        <w:tc>
          <w:tcPr>
            <w:tcW w:w="1153" w:type="pct"/>
            <w:tcBorders>
              <w:top w:val="single" w:sz="8" w:space="0" w:color="auto"/>
              <w:left w:val="nil"/>
              <w:bottom w:val="single" w:sz="8" w:space="0" w:color="auto"/>
              <w:right w:val="single" w:sz="8" w:space="0" w:color="auto"/>
            </w:tcBorders>
            <w:shd w:val="clear" w:color="000000" w:fill="D9D9D9"/>
            <w:vAlign w:val="center"/>
            <w:hideMark/>
          </w:tcPr>
          <w:p w14:paraId="16969697" w14:textId="77777777" w:rsidR="00CB4247" w:rsidRPr="00CB4247" w:rsidRDefault="00CB4247" w:rsidP="00CB4247">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SUPUESTO</w:t>
            </w:r>
          </w:p>
        </w:tc>
      </w:tr>
      <w:tr w:rsidR="00CB4247" w:rsidRPr="00CB4247" w14:paraId="6D536BCA" w14:textId="77777777" w:rsidTr="00CB4247">
        <w:trPr>
          <w:trHeight w:val="91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0AA85E4D"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Fin</w:t>
            </w:r>
          </w:p>
        </w:tc>
        <w:tc>
          <w:tcPr>
            <w:tcW w:w="1599" w:type="pct"/>
            <w:tcBorders>
              <w:top w:val="nil"/>
              <w:left w:val="nil"/>
              <w:bottom w:val="single" w:sz="8" w:space="0" w:color="auto"/>
              <w:right w:val="single" w:sz="8" w:space="0" w:color="auto"/>
            </w:tcBorders>
            <w:shd w:val="clear" w:color="auto" w:fill="auto"/>
            <w:vAlign w:val="center"/>
            <w:hideMark/>
          </w:tcPr>
          <w:p w14:paraId="78366A6A"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F - Implementar una política hacendaria integral a través del incremento de los ingresos propios que permita al gobierno mantener una estabilidad económica y la sustentabilidad de las finanzas públicas.</w:t>
            </w:r>
          </w:p>
        </w:tc>
        <w:tc>
          <w:tcPr>
            <w:tcW w:w="681" w:type="pct"/>
            <w:tcBorders>
              <w:top w:val="nil"/>
              <w:left w:val="nil"/>
              <w:bottom w:val="single" w:sz="8" w:space="0" w:color="auto"/>
              <w:right w:val="single" w:sz="8" w:space="0" w:color="auto"/>
            </w:tcBorders>
            <w:shd w:val="clear" w:color="auto" w:fill="auto"/>
            <w:vAlign w:val="center"/>
            <w:hideMark/>
          </w:tcPr>
          <w:p w14:paraId="5A9D586C"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Índice de Autonomía Financiera</w:t>
            </w:r>
          </w:p>
        </w:tc>
        <w:tc>
          <w:tcPr>
            <w:tcW w:w="1203" w:type="pct"/>
            <w:tcBorders>
              <w:top w:val="nil"/>
              <w:left w:val="nil"/>
              <w:bottom w:val="single" w:sz="8" w:space="0" w:color="auto"/>
              <w:right w:val="single" w:sz="8" w:space="0" w:color="auto"/>
            </w:tcBorders>
            <w:shd w:val="clear" w:color="auto" w:fill="auto"/>
            <w:vAlign w:val="center"/>
            <w:hideMark/>
          </w:tcPr>
          <w:p w14:paraId="61560112"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Aregional</w:t>
            </w:r>
          </w:p>
        </w:tc>
        <w:tc>
          <w:tcPr>
            <w:tcW w:w="1153" w:type="pct"/>
            <w:tcBorders>
              <w:top w:val="nil"/>
              <w:left w:val="nil"/>
              <w:bottom w:val="single" w:sz="8" w:space="0" w:color="auto"/>
              <w:right w:val="single" w:sz="8" w:space="0" w:color="auto"/>
            </w:tcBorders>
            <w:shd w:val="clear" w:color="auto" w:fill="auto"/>
            <w:vAlign w:val="center"/>
            <w:hideMark/>
          </w:tcPr>
          <w:p w14:paraId="3B740793"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Que en el Estado de Quintana Roo exista estabilidad  económica, política y social.</w:t>
            </w:r>
          </w:p>
        </w:tc>
      </w:tr>
      <w:tr w:rsidR="00CB4247" w:rsidRPr="00CB4247" w14:paraId="62A4795F"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345B18F9" w14:textId="6066629A"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Propósito</w:t>
            </w:r>
          </w:p>
        </w:tc>
        <w:tc>
          <w:tcPr>
            <w:tcW w:w="1599" w:type="pct"/>
            <w:tcBorders>
              <w:top w:val="nil"/>
              <w:left w:val="nil"/>
              <w:bottom w:val="single" w:sz="8" w:space="0" w:color="auto"/>
              <w:right w:val="single" w:sz="8" w:space="0" w:color="auto"/>
            </w:tcBorders>
            <w:shd w:val="clear" w:color="auto" w:fill="auto"/>
            <w:vAlign w:val="center"/>
            <w:hideMark/>
          </w:tcPr>
          <w:p w14:paraId="25D9D436"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 - Aumentar los niveles de captación de ingresos propios y federales, así como renegociar las condiciones de la deuda.</w:t>
            </w:r>
          </w:p>
        </w:tc>
        <w:tc>
          <w:tcPr>
            <w:tcW w:w="681" w:type="pct"/>
            <w:tcBorders>
              <w:top w:val="nil"/>
              <w:left w:val="nil"/>
              <w:bottom w:val="single" w:sz="8" w:space="0" w:color="auto"/>
              <w:right w:val="single" w:sz="8" w:space="0" w:color="auto"/>
            </w:tcBorders>
            <w:shd w:val="clear" w:color="auto" w:fill="auto"/>
            <w:vAlign w:val="center"/>
            <w:hideMark/>
          </w:tcPr>
          <w:p w14:paraId="30AEE799"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Índice de Capacidad de Generar Ingresos </w:t>
            </w:r>
          </w:p>
        </w:tc>
        <w:tc>
          <w:tcPr>
            <w:tcW w:w="1203" w:type="pct"/>
            <w:tcBorders>
              <w:top w:val="nil"/>
              <w:left w:val="nil"/>
              <w:bottom w:val="single" w:sz="8" w:space="0" w:color="auto"/>
              <w:right w:val="single" w:sz="8" w:space="0" w:color="auto"/>
            </w:tcBorders>
            <w:shd w:val="clear" w:color="auto" w:fill="auto"/>
            <w:vAlign w:val="center"/>
            <w:hideMark/>
          </w:tcPr>
          <w:p w14:paraId="40F7931A"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Revista Aregional</w:t>
            </w:r>
          </w:p>
        </w:tc>
        <w:tc>
          <w:tcPr>
            <w:tcW w:w="1153" w:type="pct"/>
            <w:tcBorders>
              <w:top w:val="nil"/>
              <w:left w:val="nil"/>
              <w:bottom w:val="single" w:sz="8" w:space="0" w:color="auto"/>
              <w:right w:val="single" w:sz="8" w:space="0" w:color="auto"/>
            </w:tcBorders>
            <w:shd w:val="clear" w:color="auto" w:fill="auto"/>
            <w:vAlign w:val="center"/>
            <w:hideMark/>
          </w:tcPr>
          <w:p w14:paraId="74D320F6"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Que los </w:t>
            </w:r>
            <w:proofErr w:type="spellStart"/>
            <w:r w:rsidRPr="00CB4247">
              <w:rPr>
                <w:rFonts w:eastAsia="Carme" w:cs="Carme"/>
                <w:bCs/>
                <w:color w:val="595959"/>
                <w:sz w:val="16"/>
                <w:szCs w:val="16"/>
                <w:lang w:val="es-MX" w:eastAsia="es-MX"/>
              </w:rPr>
              <w:t>Quintarroenses</w:t>
            </w:r>
            <w:proofErr w:type="spellEnd"/>
            <w:r w:rsidRPr="00CB4247">
              <w:rPr>
                <w:rFonts w:eastAsia="Carme" w:cs="Carme"/>
                <w:bCs/>
                <w:color w:val="595959"/>
                <w:sz w:val="16"/>
                <w:szCs w:val="16"/>
                <w:lang w:val="es-MX" w:eastAsia="es-MX"/>
              </w:rPr>
              <w:t xml:space="preserve"> contribuyen al Desarrollo Económico del Estado</w:t>
            </w:r>
          </w:p>
        </w:tc>
      </w:tr>
      <w:tr w:rsidR="00CB4247" w:rsidRPr="00CB4247" w14:paraId="64A025C2"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5AD12307"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Componente</w:t>
            </w:r>
          </w:p>
        </w:tc>
        <w:tc>
          <w:tcPr>
            <w:tcW w:w="1599" w:type="pct"/>
            <w:tcBorders>
              <w:top w:val="nil"/>
              <w:left w:val="nil"/>
              <w:bottom w:val="single" w:sz="8" w:space="0" w:color="auto"/>
              <w:right w:val="single" w:sz="8" w:space="0" w:color="auto"/>
            </w:tcBorders>
            <w:shd w:val="clear" w:color="auto" w:fill="auto"/>
            <w:vAlign w:val="center"/>
            <w:hideMark/>
          </w:tcPr>
          <w:p w14:paraId="2439A481"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C.1 - Estrategias encaminadas a elevar los ingresos propios diseñadas y en marcha. </w:t>
            </w:r>
          </w:p>
        </w:tc>
        <w:tc>
          <w:tcPr>
            <w:tcW w:w="681" w:type="pct"/>
            <w:tcBorders>
              <w:top w:val="nil"/>
              <w:left w:val="nil"/>
              <w:bottom w:val="single" w:sz="8" w:space="0" w:color="auto"/>
              <w:right w:val="single" w:sz="8" w:space="0" w:color="auto"/>
            </w:tcBorders>
            <w:shd w:val="clear" w:color="auto" w:fill="auto"/>
            <w:vAlign w:val="center"/>
            <w:hideMark/>
          </w:tcPr>
          <w:p w14:paraId="52689DFD"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Porcentaje de lo recaudado respecto al proyecto de estimación de los Ingresos</w:t>
            </w:r>
          </w:p>
        </w:tc>
        <w:tc>
          <w:tcPr>
            <w:tcW w:w="1203" w:type="pct"/>
            <w:tcBorders>
              <w:top w:val="nil"/>
              <w:left w:val="nil"/>
              <w:bottom w:val="single" w:sz="8" w:space="0" w:color="auto"/>
              <w:right w:val="single" w:sz="8" w:space="0" w:color="auto"/>
            </w:tcBorders>
            <w:shd w:val="clear" w:color="auto" w:fill="auto"/>
            <w:vAlign w:val="center"/>
            <w:hideMark/>
          </w:tcPr>
          <w:p w14:paraId="1281C46F"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Estado Analítico generado por la Dirección General de Ingresos</w:t>
            </w:r>
          </w:p>
        </w:tc>
        <w:tc>
          <w:tcPr>
            <w:tcW w:w="1153" w:type="pct"/>
            <w:tcBorders>
              <w:top w:val="nil"/>
              <w:left w:val="nil"/>
              <w:bottom w:val="single" w:sz="8" w:space="0" w:color="auto"/>
              <w:right w:val="single" w:sz="8" w:space="0" w:color="auto"/>
            </w:tcBorders>
            <w:shd w:val="clear" w:color="auto" w:fill="auto"/>
            <w:vAlign w:val="center"/>
            <w:hideMark/>
          </w:tcPr>
          <w:p w14:paraId="1759A1C8"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Las Entidades logran sus metas de Recaudación.</w:t>
            </w:r>
          </w:p>
        </w:tc>
      </w:tr>
      <w:tr w:rsidR="00CB4247" w:rsidRPr="00CB4247" w14:paraId="74E6E5B0" w14:textId="77777777" w:rsidTr="00CB4247">
        <w:trPr>
          <w:trHeight w:val="690"/>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6ED574D7"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0DF0557E"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C.1.A.1 -  Inscripciones y movimientos  al Registro Federal de Contribuyentes </w:t>
            </w:r>
          </w:p>
        </w:tc>
        <w:tc>
          <w:tcPr>
            <w:tcW w:w="681" w:type="pct"/>
            <w:tcBorders>
              <w:top w:val="nil"/>
              <w:left w:val="nil"/>
              <w:bottom w:val="single" w:sz="8" w:space="0" w:color="auto"/>
              <w:right w:val="single" w:sz="8" w:space="0" w:color="auto"/>
            </w:tcBorders>
            <w:shd w:val="clear" w:color="auto" w:fill="auto"/>
            <w:vAlign w:val="center"/>
            <w:hideMark/>
          </w:tcPr>
          <w:p w14:paraId="580C8023" w14:textId="2E3AC72F"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Tasa de variación de </w:t>
            </w:r>
            <w:r w:rsidR="00682261" w:rsidRPr="00CB4247">
              <w:rPr>
                <w:rFonts w:eastAsia="Carme" w:cs="Carme"/>
                <w:bCs/>
                <w:color w:val="595959"/>
                <w:sz w:val="16"/>
                <w:szCs w:val="16"/>
                <w:lang w:val="es-MX" w:eastAsia="es-MX"/>
              </w:rPr>
              <w:t>inscripción</w:t>
            </w:r>
            <w:r w:rsidRPr="00CB4247">
              <w:rPr>
                <w:rFonts w:eastAsia="Carme" w:cs="Carme"/>
                <w:bCs/>
                <w:color w:val="595959"/>
                <w:sz w:val="16"/>
                <w:szCs w:val="16"/>
                <w:lang w:val="es-MX" w:eastAsia="es-MX"/>
              </w:rPr>
              <w:t xml:space="preserve"> y movimientos al registro federal de contribuyentes</w:t>
            </w:r>
          </w:p>
        </w:tc>
        <w:tc>
          <w:tcPr>
            <w:tcW w:w="1203" w:type="pct"/>
            <w:tcBorders>
              <w:top w:val="nil"/>
              <w:left w:val="nil"/>
              <w:bottom w:val="single" w:sz="8" w:space="0" w:color="auto"/>
              <w:right w:val="single" w:sz="8" w:space="0" w:color="auto"/>
            </w:tcBorders>
            <w:shd w:val="clear" w:color="auto" w:fill="auto"/>
            <w:vAlign w:val="center"/>
            <w:hideMark/>
          </w:tcPr>
          <w:p w14:paraId="729CB5D9" w14:textId="0BDABDA5" w:rsidR="00CB4247" w:rsidRPr="00CB4247" w:rsidRDefault="00682261"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Notificación</w:t>
            </w:r>
            <w:r w:rsidR="00CB4247" w:rsidRPr="00CB4247">
              <w:rPr>
                <w:rFonts w:eastAsia="Carme" w:cs="Carme"/>
                <w:bCs/>
                <w:color w:val="595959"/>
                <w:sz w:val="16"/>
                <w:szCs w:val="16"/>
                <w:lang w:val="es-MX" w:eastAsia="es-MX"/>
              </w:rPr>
              <w:t xml:space="preserve"> de Formato de la Dirección Estatal de Recaudación de altas y bajas de movimientos al Registro Federal de Contribuyentes (RFC) </w:t>
            </w:r>
          </w:p>
        </w:tc>
        <w:tc>
          <w:tcPr>
            <w:tcW w:w="1153" w:type="pct"/>
            <w:tcBorders>
              <w:top w:val="nil"/>
              <w:left w:val="nil"/>
              <w:bottom w:val="single" w:sz="8" w:space="0" w:color="auto"/>
              <w:right w:val="single" w:sz="8" w:space="0" w:color="auto"/>
            </w:tcBorders>
            <w:shd w:val="clear" w:color="auto" w:fill="auto"/>
            <w:vAlign w:val="center"/>
            <w:hideMark/>
          </w:tcPr>
          <w:p w14:paraId="00F93EB2"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Los contribuyentes cumplen oportunamente.</w:t>
            </w:r>
          </w:p>
        </w:tc>
      </w:tr>
      <w:tr w:rsidR="00CB4247" w:rsidRPr="00CB4247" w14:paraId="0C55CFAA" w14:textId="77777777" w:rsidTr="00CB4247">
        <w:trPr>
          <w:trHeight w:val="690"/>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59068587"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6A3D6355"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C.1.A.2 - Recursos de incentivos obtenidos por parte de la Federación derivado de estrategias de recaudación</w:t>
            </w:r>
          </w:p>
        </w:tc>
        <w:tc>
          <w:tcPr>
            <w:tcW w:w="681" w:type="pct"/>
            <w:tcBorders>
              <w:top w:val="nil"/>
              <w:left w:val="nil"/>
              <w:bottom w:val="single" w:sz="8" w:space="0" w:color="auto"/>
              <w:right w:val="single" w:sz="8" w:space="0" w:color="auto"/>
            </w:tcBorders>
            <w:shd w:val="clear" w:color="auto" w:fill="auto"/>
            <w:vAlign w:val="center"/>
            <w:hideMark/>
          </w:tcPr>
          <w:p w14:paraId="5018A52B"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Tasa de variación de la recaudación federal coordinada</w:t>
            </w:r>
          </w:p>
        </w:tc>
        <w:tc>
          <w:tcPr>
            <w:tcW w:w="1203" w:type="pct"/>
            <w:tcBorders>
              <w:top w:val="nil"/>
              <w:left w:val="nil"/>
              <w:bottom w:val="single" w:sz="8" w:space="0" w:color="auto"/>
              <w:right w:val="single" w:sz="8" w:space="0" w:color="auto"/>
            </w:tcBorders>
            <w:shd w:val="clear" w:color="auto" w:fill="auto"/>
            <w:vAlign w:val="center"/>
            <w:hideMark/>
          </w:tcPr>
          <w:p w14:paraId="5C855509"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Estado Analítico de Ingresos, que se publica en la página de información financiera gubernamental que se encuentra en ww.sefiplan.gob.mx</w:t>
            </w:r>
          </w:p>
        </w:tc>
        <w:tc>
          <w:tcPr>
            <w:tcW w:w="1153" w:type="pct"/>
            <w:tcBorders>
              <w:top w:val="nil"/>
              <w:left w:val="nil"/>
              <w:bottom w:val="single" w:sz="8" w:space="0" w:color="auto"/>
              <w:right w:val="single" w:sz="8" w:space="0" w:color="auto"/>
            </w:tcBorders>
            <w:shd w:val="clear" w:color="auto" w:fill="auto"/>
            <w:vAlign w:val="center"/>
            <w:hideMark/>
          </w:tcPr>
          <w:p w14:paraId="021C2220"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Las dependencias, entidades y organismos se coordinan para recaudar.</w:t>
            </w:r>
          </w:p>
        </w:tc>
      </w:tr>
      <w:tr w:rsidR="00CB4247" w:rsidRPr="00CB4247" w14:paraId="2FB7559C"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530C5C6A"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1C422D0F"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C.1.A.3 - Simplificación de los tiempos para la resolución de trámites y servicios estatales </w:t>
            </w:r>
          </w:p>
        </w:tc>
        <w:tc>
          <w:tcPr>
            <w:tcW w:w="681" w:type="pct"/>
            <w:tcBorders>
              <w:top w:val="nil"/>
              <w:left w:val="nil"/>
              <w:bottom w:val="single" w:sz="8" w:space="0" w:color="auto"/>
              <w:right w:val="single" w:sz="8" w:space="0" w:color="auto"/>
            </w:tcBorders>
            <w:shd w:val="clear" w:color="auto" w:fill="auto"/>
            <w:vAlign w:val="center"/>
            <w:hideMark/>
          </w:tcPr>
          <w:p w14:paraId="31C76BD8"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Porcentaje de orientación e información digital a los contribuyentes atendidos mediante nuestros canales de servicios </w:t>
            </w:r>
          </w:p>
        </w:tc>
        <w:tc>
          <w:tcPr>
            <w:tcW w:w="1203" w:type="pct"/>
            <w:tcBorders>
              <w:top w:val="nil"/>
              <w:left w:val="nil"/>
              <w:bottom w:val="single" w:sz="8" w:space="0" w:color="auto"/>
              <w:right w:val="single" w:sz="8" w:space="0" w:color="auto"/>
            </w:tcBorders>
            <w:shd w:val="clear" w:color="auto" w:fill="auto"/>
            <w:vAlign w:val="center"/>
            <w:hideMark/>
          </w:tcPr>
          <w:p w14:paraId="4A811DAD" w14:textId="50ED668C" w:rsidR="00CB4247" w:rsidRPr="00CB4247" w:rsidRDefault="00682261"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Bitácora</w:t>
            </w:r>
            <w:r w:rsidR="00CB4247" w:rsidRPr="00CB4247">
              <w:rPr>
                <w:rFonts w:eastAsia="Carme" w:cs="Carme"/>
                <w:bCs/>
                <w:color w:val="595959"/>
                <w:sz w:val="16"/>
                <w:szCs w:val="16"/>
                <w:lang w:val="es-MX" w:eastAsia="es-MX"/>
              </w:rPr>
              <w:t xml:space="preserve"> del seguimiento </w:t>
            </w:r>
            <w:r w:rsidRPr="00CB4247">
              <w:rPr>
                <w:rFonts w:eastAsia="Carme" w:cs="Carme"/>
                <w:bCs/>
                <w:color w:val="595959"/>
                <w:sz w:val="16"/>
                <w:szCs w:val="16"/>
                <w:lang w:val="es-MX" w:eastAsia="es-MX"/>
              </w:rPr>
              <w:t>numérico</w:t>
            </w:r>
            <w:r w:rsidR="00CB4247" w:rsidRPr="00CB4247">
              <w:rPr>
                <w:rFonts w:eastAsia="Carme" w:cs="Carme"/>
                <w:bCs/>
                <w:color w:val="595959"/>
                <w:sz w:val="16"/>
                <w:szCs w:val="16"/>
                <w:lang w:val="es-MX" w:eastAsia="es-MX"/>
              </w:rPr>
              <w:t xml:space="preserve"> segmentado a trámites y servicios atendidos</w:t>
            </w:r>
          </w:p>
        </w:tc>
        <w:tc>
          <w:tcPr>
            <w:tcW w:w="1153" w:type="pct"/>
            <w:tcBorders>
              <w:top w:val="nil"/>
              <w:left w:val="nil"/>
              <w:bottom w:val="single" w:sz="8" w:space="0" w:color="auto"/>
              <w:right w:val="single" w:sz="8" w:space="0" w:color="auto"/>
            </w:tcBorders>
            <w:shd w:val="clear" w:color="auto" w:fill="auto"/>
            <w:vAlign w:val="center"/>
            <w:hideMark/>
          </w:tcPr>
          <w:p w14:paraId="565C5861" w14:textId="652C783B" w:rsidR="00CB4247" w:rsidRPr="00CB4247" w:rsidRDefault="00682261"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Promover</w:t>
            </w:r>
            <w:r w:rsidR="00CB4247" w:rsidRPr="00CB4247">
              <w:rPr>
                <w:rFonts w:eastAsia="Carme" w:cs="Carme"/>
                <w:bCs/>
                <w:color w:val="595959"/>
                <w:sz w:val="16"/>
                <w:szCs w:val="16"/>
                <w:lang w:val="es-MX" w:eastAsia="es-MX"/>
              </w:rPr>
              <w:t xml:space="preserve"> modernización los medios digitales como alternativa eficaz a un cumplimiento de las obligaciones fiscales</w:t>
            </w:r>
          </w:p>
        </w:tc>
      </w:tr>
    </w:tbl>
    <w:p w14:paraId="05CC4750" w14:textId="77777777" w:rsidR="00BA14BE" w:rsidRDefault="00BA14BE">
      <w:r>
        <w:br w:type="page"/>
      </w:r>
    </w:p>
    <w:tbl>
      <w:tblPr>
        <w:tblW w:w="5703" w:type="pct"/>
        <w:tblLayout w:type="fixed"/>
        <w:tblCellMar>
          <w:left w:w="70" w:type="dxa"/>
          <w:right w:w="70" w:type="dxa"/>
        </w:tblCellMar>
        <w:tblLook w:val="04A0" w:firstRow="1" w:lastRow="0" w:firstColumn="1" w:lastColumn="0" w:noHBand="0" w:noVBand="1"/>
      </w:tblPr>
      <w:tblGrid>
        <w:gridCol w:w="986"/>
        <w:gridCol w:w="4329"/>
        <w:gridCol w:w="1844"/>
        <w:gridCol w:w="3257"/>
        <w:gridCol w:w="3122"/>
      </w:tblGrid>
      <w:tr w:rsidR="00BA14BE" w:rsidRPr="00CB4247" w14:paraId="7037BA38" w14:textId="77777777" w:rsidTr="00BA14BE">
        <w:trPr>
          <w:trHeight w:val="465"/>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AF4A4E" w14:textId="14D686BF"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lastRenderedPageBreak/>
              <w:t>NIVEL</w:t>
            </w:r>
          </w:p>
        </w:tc>
        <w:tc>
          <w:tcPr>
            <w:tcW w:w="1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C260CA" w14:textId="04FC0BA8"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OBJETIVO</w:t>
            </w:r>
          </w:p>
        </w:tc>
        <w:tc>
          <w:tcPr>
            <w:tcW w:w="6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07DFAD" w14:textId="5457DD55"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INDICADOR</w:t>
            </w:r>
          </w:p>
        </w:tc>
        <w:tc>
          <w:tcPr>
            <w:tcW w:w="1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1CD5D4" w14:textId="49D2F3A6"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MEDIOS DE VERIFICACIÓN</w:t>
            </w:r>
          </w:p>
        </w:tc>
        <w:tc>
          <w:tcPr>
            <w:tcW w:w="11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43E1BC" w14:textId="3CDA051E"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SUPUESTO</w:t>
            </w:r>
          </w:p>
        </w:tc>
      </w:tr>
      <w:tr w:rsidR="00CB4247" w:rsidRPr="00CB4247" w14:paraId="773461EC" w14:textId="77777777" w:rsidTr="00BA14BE">
        <w:trPr>
          <w:trHeight w:val="465"/>
        </w:trPr>
        <w:tc>
          <w:tcPr>
            <w:tcW w:w="364"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75C0961" w14:textId="29A04D90"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single" w:sz="4" w:space="0" w:color="auto"/>
              <w:left w:val="nil"/>
              <w:bottom w:val="single" w:sz="8" w:space="0" w:color="auto"/>
              <w:right w:val="single" w:sz="8" w:space="0" w:color="auto"/>
            </w:tcBorders>
            <w:shd w:val="clear" w:color="auto" w:fill="auto"/>
            <w:vAlign w:val="center"/>
            <w:hideMark/>
          </w:tcPr>
          <w:p w14:paraId="10E0A190"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C. 1.A.4 - Celebración de convenios con más instituciones Bancarias.</w:t>
            </w:r>
          </w:p>
        </w:tc>
        <w:tc>
          <w:tcPr>
            <w:tcW w:w="681" w:type="pct"/>
            <w:tcBorders>
              <w:top w:val="single" w:sz="4" w:space="0" w:color="auto"/>
              <w:left w:val="nil"/>
              <w:bottom w:val="single" w:sz="8" w:space="0" w:color="auto"/>
              <w:right w:val="single" w:sz="8" w:space="0" w:color="auto"/>
            </w:tcBorders>
            <w:shd w:val="clear" w:color="auto" w:fill="auto"/>
            <w:vAlign w:val="center"/>
            <w:hideMark/>
          </w:tcPr>
          <w:p w14:paraId="14A2C431"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Porcentaje de convenios celebrados en el Estado Federales y Municipales</w:t>
            </w:r>
          </w:p>
        </w:tc>
        <w:tc>
          <w:tcPr>
            <w:tcW w:w="1203" w:type="pct"/>
            <w:tcBorders>
              <w:top w:val="single" w:sz="4" w:space="0" w:color="auto"/>
              <w:left w:val="nil"/>
              <w:bottom w:val="single" w:sz="8" w:space="0" w:color="auto"/>
              <w:right w:val="single" w:sz="8" w:space="0" w:color="auto"/>
            </w:tcBorders>
            <w:shd w:val="clear" w:color="auto" w:fill="auto"/>
            <w:vAlign w:val="center"/>
            <w:hideMark/>
          </w:tcPr>
          <w:p w14:paraId="434D4C17"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Reporte publicado en la página de la SEFIPLAN www.sefiplan.qroo.gob.mx/site/pagina.php?id=207</w:t>
            </w:r>
          </w:p>
        </w:tc>
        <w:tc>
          <w:tcPr>
            <w:tcW w:w="1153" w:type="pct"/>
            <w:tcBorders>
              <w:top w:val="single" w:sz="4" w:space="0" w:color="auto"/>
              <w:left w:val="nil"/>
              <w:bottom w:val="single" w:sz="8" w:space="0" w:color="auto"/>
              <w:right w:val="single" w:sz="8" w:space="0" w:color="auto"/>
            </w:tcBorders>
            <w:shd w:val="clear" w:color="auto" w:fill="auto"/>
            <w:vAlign w:val="center"/>
            <w:hideMark/>
          </w:tcPr>
          <w:p w14:paraId="076CE25B"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Las instituciones bancarias acceden a firmar convenios con el Estado</w:t>
            </w:r>
          </w:p>
        </w:tc>
      </w:tr>
      <w:tr w:rsidR="00CB4247" w:rsidRPr="00CB4247" w14:paraId="5460CEE0"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2F9D82A9"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48AA64D6"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C. 1.A.5 - Fortalecer  el sistema de recaudación mediante la actualización  equipos de cómputo </w:t>
            </w:r>
          </w:p>
        </w:tc>
        <w:tc>
          <w:tcPr>
            <w:tcW w:w="681" w:type="pct"/>
            <w:tcBorders>
              <w:top w:val="nil"/>
              <w:left w:val="nil"/>
              <w:bottom w:val="single" w:sz="8" w:space="0" w:color="auto"/>
              <w:right w:val="single" w:sz="8" w:space="0" w:color="auto"/>
            </w:tcBorders>
            <w:shd w:val="clear" w:color="auto" w:fill="auto"/>
            <w:vAlign w:val="center"/>
            <w:hideMark/>
          </w:tcPr>
          <w:p w14:paraId="4BEB3E9B" w14:textId="7D807848"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Tasa de Variación de</w:t>
            </w:r>
            <w:r w:rsidR="00682261">
              <w:rPr>
                <w:rFonts w:eastAsia="Carme" w:cs="Carme"/>
                <w:bCs/>
                <w:color w:val="595959"/>
                <w:sz w:val="16"/>
                <w:szCs w:val="16"/>
                <w:lang w:val="es-MX" w:eastAsia="es-MX"/>
              </w:rPr>
              <w:t xml:space="preserve"> e</w:t>
            </w:r>
            <w:r w:rsidRPr="00CB4247">
              <w:rPr>
                <w:rFonts w:eastAsia="Carme" w:cs="Carme"/>
                <w:bCs/>
                <w:color w:val="595959"/>
                <w:sz w:val="16"/>
                <w:szCs w:val="16"/>
                <w:lang w:val="es-MX" w:eastAsia="es-MX"/>
              </w:rPr>
              <w:t xml:space="preserve">quipos actualizados en los </w:t>
            </w:r>
            <w:r w:rsidR="00682261" w:rsidRPr="00CB4247">
              <w:rPr>
                <w:rFonts w:eastAsia="Carme" w:cs="Carme"/>
                <w:bCs/>
                <w:color w:val="595959"/>
                <w:sz w:val="16"/>
                <w:szCs w:val="16"/>
                <w:lang w:val="es-MX" w:eastAsia="es-MX"/>
              </w:rPr>
              <w:t>módulos</w:t>
            </w:r>
            <w:r w:rsidRPr="00CB4247">
              <w:rPr>
                <w:rFonts w:eastAsia="Carme" w:cs="Carme"/>
                <w:bCs/>
                <w:color w:val="595959"/>
                <w:sz w:val="16"/>
                <w:szCs w:val="16"/>
                <w:lang w:val="es-MX" w:eastAsia="es-MX"/>
              </w:rPr>
              <w:t xml:space="preserve"> de asistencia al contribuyente  en recaudación</w:t>
            </w:r>
          </w:p>
        </w:tc>
        <w:tc>
          <w:tcPr>
            <w:tcW w:w="1203" w:type="pct"/>
            <w:tcBorders>
              <w:top w:val="nil"/>
              <w:left w:val="nil"/>
              <w:bottom w:val="single" w:sz="8" w:space="0" w:color="auto"/>
              <w:right w:val="single" w:sz="8" w:space="0" w:color="auto"/>
            </w:tcBorders>
            <w:shd w:val="clear" w:color="auto" w:fill="auto"/>
            <w:vAlign w:val="center"/>
            <w:hideMark/>
          </w:tcPr>
          <w:p w14:paraId="1ACDAA7C"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Inventario de actualizaciones </w:t>
            </w:r>
          </w:p>
        </w:tc>
        <w:tc>
          <w:tcPr>
            <w:tcW w:w="1153" w:type="pct"/>
            <w:tcBorders>
              <w:top w:val="nil"/>
              <w:left w:val="nil"/>
              <w:bottom w:val="single" w:sz="8" w:space="0" w:color="auto"/>
              <w:right w:val="single" w:sz="8" w:space="0" w:color="auto"/>
            </w:tcBorders>
            <w:shd w:val="clear" w:color="auto" w:fill="auto"/>
            <w:vAlign w:val="center"/>
            <w:hideMark/>
          </w:tcPr>
          <w:p w14:paraId="5F121948" w14:textId="3741ABD6"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Las equipos de </w:t>
            </w:r>
            <w:r w:rsidR="00682261" w:rsidRPr="00CB4247">
              <w:rPr>
                <w:rFonts w:eastAsia="Carme" w:cs="Carme"/>
                <w:bCs/>
                <w:color w:val="595959"/>
                <w:sz w:val="16"/>
                <w:szCs w:val="16"/>
                <w:lang w:val="es-MX" w:eastAsia="es-MX"/>
              </w:rPr>
              <w:t>cómputo</w:t>
            </w:r>
            <w:r w:rsidRPr="00CB4247">
              <w:rPr>
                <w:rFonts w:eastAsia="Carme" w:cs="Carme"/>
                <w:bCs/>
                <w:color w:val="595959"/>
                <w:sz w:val="16"/>
                <w:szCs w:val="16"/>
                <w:lang w:val="es-MX" w:eastAsia="es-MX"/>
              </w:rPr>
              <w:t xml:space="preserve"> </w:t>
            </w:r>
            <w:r w:rsidR="00682261" w:rsidRPr="00CB4247">
              <w:rPr>
                <w:rFonts w:eastAsia="Carme" w:cs="Carme"/>
                <w:bCs/>
                <w:color w:val="595959"/>
                <w:sz w:val="16"/>
                <w:szCs w:val="16"/>
                <w:lang w:val="es-MX" w:eastAsia="es-MX"/>
              </w:rPr>
              <w:t>están</w:t>
            </w:r>
            <w:r w:rsidRPr="00CB4247">
              <w:rPr>
                <w:rFonts w:eastAsia="Carme" w:cs="Carme"/>
                <w:bCs/>
                <w:color w:val="595959"/>
                <w:sz w:val="16"/>
                <w:szCs w:val="16"/>
                <w:lang w:val="es-MX" w:eastAsia="es-MX"/>
              </w:rPr>
              <w:t xml:space="preserve"> en </w:t>
            </w:r>
            <w:r w:rsidR="00682261" w:rsidRPr="00CB4247">
              <w:rPr>
                <w:rFonts w:eastAsia="Carme" w:cs="Carme"/>
                <w:bCs/>
                <w:color w:val="595959"/>
                <w:sz w:val="16"/>
                <w:szCs w:val="16"/>
                <w:lang w:val="es-MX" w:eastAsia="es-MX"/>
              </w:rPr>
              <w:t>óptimas</w:t>
            </w:r>
            <w:r w:rsidRPr="00CB4247">
              <w:rPr>
                <w:rFonts w:eastAsia="Carme" w:cs="Carme"/>
                <w:bCs/>
                <w:color w:val="595959"/>
                <w:sz w:val="16"/>
                <w:szCs w:val="16"/>
                <w:lang w:val="es-MX" w:eastAsia="es-MX"/>
              </w:rPr>
              <w:t xml:space="preserve"> condiciones</w:t>
            </w:r>
          </w:p>
        </w:tc>
      </w:tr>
      <w:tr w:rsidR="00CB4247" w:rsidRPr="00CB4247" w14:paraId="33BA7640"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20ED3A8C"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47EBD82A" w14:textId="575DE4F8"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C. 1.A.6 - Mantener actualizado el </w:t>
            </w:r>
            <w:r w:rsidR="00682261" w:rsidRPr="00CB4247">
              <w:rPr>
                <w:rFonts w:eastAsia="Carme" w:cs="Carme"/>
                <w:bCs/>
                <w:color w:val="595959"/>
                <w:sz w:val="16"/>
                <w:szCs w:val="16"/>
                <w:lang w:val="es-MX" w:eastAsia="es-MX"/>
              </w:rPr>
              <w:t>padrón</w:t>
            </w:r>
            <w:r w:rsidRPr="00CB4247">
              <w:rPr>
                <w:rFonts w:eastAsia="Carme" w:cs="Carme"/>
                <w:bCs/>
                <w:color w:val="595959"/>
                <w:sz w:val="16"/>
                <w:szCs w:val="16"/>
                <w:lang w:val="es-MX" w:eastAsia="es-MX"/>
              </w:rPr>
              <w:t xml:space="preserve"> </w:t>
            </w:r>
            <w:r w:rsidR="00682261" w:rsidRPr="00CB4247">
              <w:rPr>
                <w:rFonts w:eastAsia="Carme" w:cs="Carme"/>
                <w:bCs/>
                <w:color w:val="595959"/>
                <w:sz w:val="16"/>
                <w:szCs w:val="16"/>
                <w:lang w:val="es-MX" w:eastAsia="es-MX"/>
              </w:rPr>
              <w:t>vehicular</w:t>
            </w:r>
            <w:r w:rsidRPr="00CB4247">
              <w:rPr>
                <w:rFonts w:eastAsia="Carme" w:cs="Carme"/>
                <w:bCs/>
                <w:color w:val="595959"/>
                <w:sz w:val="16"/>
                <w:szCs w:val="16"/>
                <w:lang w:val="es-MX" w:eastAsia="es-MX"/>
              </w:rPr>
              <w:t>.</w:t>
            </w:r>
          </w:p>
        </w:tc>
        <w:tc>
          <w:tcPr>
            <w:tcW w:w="681" w:type="pct"/>
            <w:tcBorders>
              <w:top w:val="nil"/>
              <w:left w:val="nil"/>
              <w:bottom w:val="single" w:sz="8" w:space="0" w:color="auto"/>
              <w:right w:val="single" w:sz="8" w:space="0" w:color="auto"/>
            </w:tcBorders>
            <w:shd w:val="clear" w:color="auto" w:fill="auto"/>
            <w:vAlign w:val="center"/>
            <w:hideMark/>
          </w:tcPr>
          <w:p w14:paraId="3DD08BCA" w14:textId="723256F4"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Total de actualizaciones del padrón </w:t>
            </w:r>
            <w:r w:rsidR="00682261" w:rsidRPr="00CB4247">
              <w:rPr>
                <w:rFonts w:eastAsia="Carme" w:cs="Carme"/>
                <w:bCs/>
                <w:color w:val="595959"/>
                <w:sz w:val="16"/>
                <w:szCs w:val="16"/>
                <w:lang w:val="es-MX" w:eastAsia="es-MX"/>
              </w:rPr>
              <w:t>vehicular</w:t>
            </w:r>
          </w:p>
        </w:tc>
        <w:tc>
          <w:tcPr>
            <w:tcW w:w="1203" w:type="pct"/>
            <w:tcBorders>
              <w:top w:val="nil"/>
              <w:left w:val="nil"/>
              <w:bottom w:val="single" w:sz="8" w:space="0" w:color="auto"/>
              <w:right w:val="single" w:sz="8" w:space="0" w:color="auto"/>
            </w:tcBorders>
            <w:shd w:val="clear" w:color="auto" w:fill="auto"/>
            <w:vAlign w:val="center"/>
            <w:hideMark/>
          </w:tcPr>
          <w:p w14:paraId="048F97A2" w14:textId="180DC778"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Sistema Administrativo de </w:t>
            </w:r>
            <w:r w:rsidR="00682261" w:rsidRPr="00CB4247">
              <w:rPr>
                <w:rFonts w:eastAsia="Carme" w:cs="Carme"/>
                <w:bCs/>
                <w:color w:val="595959"/>
                <w:sz w:val="16"/>
                <w:szCs w:val="16"/>
                <w:lang w:val="es-MX" w:eastAsia="es-MX"/>
              </w:rPr>
              <w:t>Recaudación</w:t>
            </w:r>
            <w:r w:rsidRPr="00CB4247">
              <w:rPr>
                <w:rFonts w:eastAsia="Carme" w:cs="Carme"/>
                <w:bCs/>
                <w:color w:val="595959"/>
                <w:sz w:val="16"/>
                <w:szCs w:val="16"/>
                <w:lang w:val="es-MX" w:eastAsia="es-MX"/>
              </w:rPr>
              <w:t xml:space="preserve"> Hacendaria (SARH), </w:t>
            </w:r>
            <w:r w:rsidR="00682261" w:rsidRPr="00CB4247">
              <w:rPr>
                <w:rFonts w:eastAsia="Carme" w:cs="Carme"/>
                <w:bCs/>
                <w:color w:val="595959"/>
                <w:sz w:val="16"/>
                <w:szCs w:val="16"/>
                <w:lang w:val="es-MX" w:eastAsia="es-MX"/>
              </w:rPr>
              <w:t>módulo</w:t>
            </w:r>
            <w:r w:rsidRPr="00CB4247">
              <w:rPr>
                <w:rFonts w:eastAsia="Carme" w:cs="Carme"/>
                <w:bCs/>
                <w:color w:val="595959"/>
                <w:sz w:val="16"/>
                <w:szCs w:val="16"/>
                <w:lang w:val="es-MX" w:eastAsia="es-MX"/>
              </w:rPr>
              <w:t xml:space="preserve"> "Reporte de movimientos al padrón </w:t>
            </w:r>
            <w:r w:rsidR="00682261" w:rsidRPr="00CB4247">
              <w:rPr>
                <w:rFonts w:eastAsia="Carme" w:cs="Carme"/>
                <w:bCs/>
                <w:color w:val="595959"/>
                <w:sz w:val="16"/>
                <w:szCs w:val="16"/>
                <w:lang w:val="es-MX" w:eastAsia="es-MX"/>
              </w:rPr>
              <w:t>vehicular</w:t>
            </w:r>
            <w:r w:rsidRPr="00CB4247">
              <w:rPr>
                <w:rFonts w:eastAsia="Carme" w:cs="Carme"/>
                <w:bCs/>
                <w:color w:val="595959"/>
                <w:sz w:val="16"/>
                <w:szCs w:val="16"/>
                <w:lang w:val="es-MX" w:eastAsia="es-MX"/>
              </w:rPr>
              <w:t xml:space="preserve">" </w:t>
            </w:r>
          </w:p>
        </w:tc>
        <w:tc>
          <w:tcPr>
            <w:tcW w:w="1153" w:type="pct"/>
            <w:tcBorders>
              <w:top w:val="nil"/>
              <w:left w:val="nil"/>
              <w:bottom w:val="single" w:sz="8" w:space="0" w:color="auto"/>
              <w:right w:val="single" w:sz="8" w:space="0" w:color="auto"/>
            </w:tcBorders>
            <w:shd w:val="clear" w:color="auto" w:fill="auto"/>
            <w:vAlign w:val="center"/>
            <w:hideMark/>
          </w:tcPr>
          <w:p w14:paraId="13B8CDC3"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Existe un padrón vehicular actualizado</w:t>
            </w:r>
          </w:p>
        </w:tc>
      </w:tr>
      <w:tr w:rsidR="00CB4247" w:rsidRPr="00CB4247" w14:paraId="02BF6011"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135748DF"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169361C4" w14:textId="3052C6CA"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C. 1.A.7 - </w:t>
            </w:r>
            <w:r w:rsidR="00682261" w:rsidRPr="00CB4247">
              <w:rPr>
                <w:rFonts w:eastAsia="Carme" w:cs="Carme"/>
                <w:bCs/>
                <w:color w:val="595959"/>
                <w:sz w:val="16"/>
                <w:szCs w:val="16"/>
                <w:lang w:val="es-MX" w:eastAsia="es-MX"/>
              </w:rPr>
              <w:t>Envió</w:t>
            </w:r>
            <w:r w:rsidRPr="00CB4247">
              <w:rPr>
                <w:rFonts w:eastAsia="Carme" w:cs="Carme"/>
                <w:bCs/>
                <w:color w:val="595959"/>
                <w:sz w:val="16"/>
                <w:szCs w:val="16"/>
                <w:lang w:val="es-MX" w:eastAsia="es-MX"/>
              </w:rPr>
              <w:t xml:space="preserve"> masivo de cartas invitación por correo electrónico a los contribuyentes morosos para su regularización fiscal.</w:t>
            </w:r>
          </w:p>
        </w:tc>
        <w:tc>
          <w:tcPr>
            <w:tcW w:w="681" w:type="pct"/>
            <w:tcBorders>
              <w:top w:val="nil"/>
              <w:left w:val="nil"/>
              <w:bottom w:val="single" w:sz="8" w:space="0" w:color="auto"/>
              <w:right w:val="single" w:sz="8" w:space="0" w:color="auto"/>
            </w:tcBorders>
            <w:shd w:val="clear" w:color="auto" w:fill="auto"/>
            <w:vAlign w:val="center"/>
            <w:hideMark/>
          </w:tcPr>
          <w:p w14:paraId="2F1A4C02" w14:textId="6EF0E43C"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Total de cartas invitación  por correo </w:t>
            </w:r>
            <w:r w:rsidR="00682261" w:rsidRPr="00CB4247">
              <w:rPr>
                <w:rFonts w:eastAsia="Carme" w:cs="Carme"/>
                <w:bCs/>
                <w:color w:val="595959"/>
                <w:sz w:val="16"/>
                <w:szCs w:val="16"/>
                <w:lang w:val="es-MX" w:eastAsia="es-MX"/>
              </w:rPr>
              <w:t>electrónico</w:t>
            </w:r>
            <w:r w:rsidRPr="00CB4247">
              <w:rPr>
                <w:rFonts w:eastAsia="Carme" w:cs="Carme"/>
                <w:bCs/>
                <w:color w:val="595959"/>
                <w:sz w:val="16"/>
                <w:szCs w:val="16"/>
                <w:lang w:val="es-MX" w:eastAsia="es-MX"/>
              </w:rPr>
              <w:t xml:space="preserve"> cobradas</w:t>
            </w:r>
          </w:p>
        </w:tc>
        <w:tc>
          <w:tcPr>
            <w:tcW w:w="1203" w:type="pct"/>
            <w:tcBorders>
              <w:top w:val="nil"/>
              <w:left w:val="nil"/>
              <w:bottom w:val="single" w:sz="8" w:space="0" w:color="auto"/>
              <w:right w:val="single" w:sz="8" w:space="0" w:color="auto"/>
            </w:tcBorders>
            <w:shd w:val="clear" w:color="auto" w:fill="auto"/>
            <w:vAlign w:val="center"/>
            <w:hideMark/>
          </w:tcPr>
          <w:p w14:paraId="1EE2BE39" w14:textId="7CF32F7F"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Sistema Administrativo de </w:t>
            </w:r>
            <w:r w:rsidR="00682261" w:rsidRPr="00CB4247">
              <w:rPr>
                <w:rFonts w:eastAsia="Carme" w:cs="Carme"/>
                <w:bCs/>
                <w:color w:val="595959"/>
                <w:sz w:val="16"/>
                <w:szCs w:val="16"/>
                <w:lang w:val="es-MX" w:eastAsia="es-MX"/>
              </w:rPr>
              <w:t>Recaudación</w:t>
            </w:r>
            <w:r w:rsidRPr="00CB4247">
              <w:rPr>
                <w:rFonts w:eastAsia="Carme" w:cs="Carme"/>
                <w:bCs/>
                <w:color w:val="595959"/>
                <w:sz w:val="16"/>
                <w:szCs w:val="16"/>
                <w:lang w:val="es-MX" w:eastAsia="es-MX"/>
              </w:rPr>
              <w:t xml:space="preserve"> Hacendaria (SARH), </w:t>
            </w:r>
            <w:r w:rsidR="00682261" w:rsidRPr="00CB4247">
              <w:rPr>
                <w:rFonts w:eastAsia="Carme" w:cs="Carme"/>
                <w:bCs/>
                <w:color w:val="595959"/>
                <w:sz w:val="16"/>
                <w:szCs w:val="16"/>
                <w:lang w:val="es-MX" w:eastAsia="es-MX"/>
              </w:rPr>
              <w:t>módulo</w:t>
            </w:r>
            <w:r w:rsidRPr="00CB4247">
              <w:rPr>
                <w:rFonts w:eastAsia="Carme" w:cs="Carme"/>
                <w:bCs/>
                <w:color w:val="595959"/>
                <w:sz w:val="16"/>
                <w:szCs w:val="16"/>
                <w:lang w:val="es-MX" w:eastAsia="es-MX"/>
              </w:rPr>
              <w:t xml:space="preserve"> "Invitaciones por correo </w:t>
            </w:r>
            <w:r w:rsidR="00682261" w:rsidRPr="00CB4247">
              <w:rPr>
                <w:rFonts w:eastAsia="Carme" w:cs="Carme"/>
                <w:bCs/>
                <w:color w:val="595959"/>
                <w:sz w:val="16"/>
                <w:szCs w:val="16"/>
                <w:lang w:val="es-MX" w:eastAsia="es-MX"/>
              </w:rPr>
              <w:t>electrónico</w:t>
            </w:r>
            <w:r w:rsidRPr="00CB4247">
              <w:rPr>
                <w:rFonts w:eastAsia="Carme" w:cs="Carme"/>
                <w:bCs/>
                <w:color w:val="595959"/>
                <w:sz w:val="16"/>
                <w:szCs w:val="16"/>
                <w:lang w:val="es-MX" w:eastAsia="es-MX"/>
              </w:rPr>
              <w:t>"</w:t>
            </w:r>
          </w:p>
        </w:tc>
        <w:tc>
          <w:tcPr>
            <w:tcW w:w="1153" w:type="pct"/>
            <w:tcBorders>
              <w:top w:val="nil"/>
              <w:left w:val="nil"/>
              <w:bottom w:val="single" w:sz="8" w:space="0" w:color="auto"/>
              <w:right w:val="single" w:sz="8" w:space="0" w:color="auto"/>
            </w:tcBorders>
            <w:shd w:val="clear" w:color="auto" w:fill="auto"/>
            <w:vAlign w:val="center"/>
            <w:hideMark/>
          </w:tcPr>
          <w:p w14:paraId="7BA84DD8"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Los contribuyentes reciben en tiempo y forma las invitaciones para su regularización fiscal</w:t>
            </w:r>
          </w:p>
        </w:tc>
      </w:tr>
      <w:tr w:rsidR="00CB4247" w:rsidRPr="00CB4247" w14:paraId="1D36E1A2"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02D524C0"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45EF928C"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C. 1.A.8 - Ejecución del Programa Barrido de Calles en todo el Estado</w:t>
            </w:r>
          </w:p>
        </w:tc>
        <w:tc>
          <w:tcPr>
            <w:tcW w:w="681" w:type="pct"/>
            <w:tcBorders>
              <w:top w:val="nil"/>
              <w:left w:val="nil"/>
              <w:bottom w:val="single" w:sz="8" w:space="0" w:color="auto"/>
              <w:right w:val="single" w:sz="8" w:space="0" w:color="auto"/>
            </w:tcBorders>
            <w:shd w:val="clear" w:color="auto" w:fill="auto"/>
            <w:vAlign w:val="center"/>
            <w:hideMark/>
          </w:tcPr>
          <w:p w14:paraId="12D5E990"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Porcentaje de actas de inspección atendidas.</w:t>
            </w:r>
          </w:p>
        </w:tc>
        <w:tc>
          <w:tcPr>
            <w:tcW w:w="1203" w:type="pct"/>
            <w:tcBorders>
              <w:top w:val="nil"/>
              <w:left w:val="nil"/>
              <w:bottom w:val="single" w:sz="8" w:space="0" w:color="auto"/>
              <w:right w:val="single" w:sz="8" w:space="0" w:color="auto"/>
            </w:tcBorders>
            <w:shd w:val="clear" w:color="auto" w:fill="auto"/>
            <w:vAlign w:val="center"/>
            <w:hideMark/>
          </w:tcPr>
          <w:p w14:paraId="336DE9F1"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Reportes de números de actas entregados</w:t>
            </w:r>
          </w:p>
        </w:tc>
        <w:tc>
          <w:tcPr>
            <w:tcW w:w="1153" w:type="pct"/>
            <w:tcBorders>
              <w:top w:val="nil"/>
              <w:left w:val="nil"/>
              <w:bottom w:val="single" w:sz="8" w:space="0" w:color="auto"/>
              <w:right w:val="single" w:sz="8" w:space="0" w:color="auto"/>
            </w:tcBorders>
            <w:shd w:val="clear" w:color="auto" w:fill="auto"/>
            <w:vAlign w:val="center"/>
            <w:hideMark/>
          </w:tcPr>
          <w:p w14:paraId="1AB497F9"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Los contribuyentes notifican en tiempo y forma el cambio de domicilio</w:t>
            </w:r>
          </w:p>
        </w:tc>
      </w:tr>
      <w:tr w:rsidR="00CB4247" w:rsidRPr="00CB4247" w14:paraId="30670326" w14:textId="77777777" w:rsidTr="00CB4247">
        <w:trPr>
          <w:trHeight w:val="690"/>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5D7AC3D7"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49B7ED97"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C. 1.A.9 - Realización de Actos de Presencia Fiscal por medio de Cartas Invitación y Verificación de Comprobantes Fiscales.</w:t>
            </w:r>
          </w:p>
        </w:tc>
        <w:tc>
          <w:tcPr>
            <w:tcW w:w="681" w:type="pct"/>
            <w:tcBorders>
              <w:top w:val="nil"/>
              <w:left w:val="nil"/>
              <w:bottom w:val="single" w:sz="8" w:space="0" w:color="auto"/>
              <w:right w:val="single" w:sz="8" w:space="0" w:color="auto"/>
            </w:tcBorders>
            <w:shd w:val="clear" w:color="auto" w:fill="auto"/>
            <w:vAlign w:val="center"/>
            <w:hideMark/>
          </w:tcPr>
          <w:p w14:paraId="30229592"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Porcentaje de usuarios regularizados posterior a la entrega de cartas invitación, así como corrección en la emisión de comprobantes fiscales.</w:t>
            </w:r>
          </w:p>
        </w:tc>
        <w:tc>
          <w:tcPr>
            <w:tcW w:w="1203" w:type="pct"/>
            <w:tcBorders>
              <w:top w:val="nil"/>
              <w:left w:val="nil"/>
              <w:bottom w:val="single" w:sz="8" w:space="0" w:color="auto"/>
              <w:right w:val="single" w:sz="8" w:space="0" w:color="auto"/>
            </w:tcBorders>
            <w:shd w:val="clear" w:color="auto" w:fill="auto"/>
            <w:vAlign w:val="center"/>
            <w:hideMark/>
          </w:tcPr>
          <w:p w14:paraId="39D0C21A"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Informe mensual emitido del sistema administrativo de recaudación hacendaria.</w:t>
            </w:r>
          </w:p>
        </w:tc>
        <w:tc>
          <w:tcPr>
            <w:tcW w:w="1153" w:type="pct"/>
            <w:tcBorders>
              <w:top w:val="nil"/>
              <w:left w:val="nil"/>
              <w:bottom w:val="single" w:sz="8" w:space="0" w:color="auto"/>
              <w:right w:val="single" w:sz="8" w:space="0" w:color="auto"/>
            </w:tcBorders>
            <w:shd w:val="clear" w:color="auto" w:fill="auto"/>
            <w:vAlign w:val="center"/>
            <w:hideMark/>
          </w:tcPr>
          <w:p w14:paraId="18B344E7"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Los contribuyentes morosos atienden las invitaciones.</w:t>
            </w:r>
          </w:p>
        </w:tc>
      </w:tr>
      <w:tr w:rsidR="00CB4247" w:rsidRPr="00CB4247" w14:paraId="68E1D491" w14:textId="77777777" w:rsidTr="00CB4247">
        <w:trPr>
          <w:trHeight w:val="690"/>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7AF0893D"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78CDF174"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C. 1.A.10 - Elaboración de propuestas de Casos de Ejemplaridad, Delitos en el Registro Federal de Contribuyentes, Cancelación del Sello Digital y Delitos por Defraudación Fiscal.</w:t>
            </w:r>
          </w:p>
        </w:tc>
        <w:tc>
          <w:tcPr>
            <w:tcW w:w="681" w:type="pct"/>
            <w:tcBorders>
              <w:top w:val="nil"/>
              <w:left w:val="nil"/>
              <w:bottom w:val="single" w:sz="8" w:space="0" w:color="auto"/>
              <w:right w:val="single" w:sz="8" w:space="0" w:color="auto"/>
            </w:tcBorders>
            <w:shd w:val="clear" w:color="auto" w:fill="auto"/>
            <w:vAlign w:val="center"/>
            <w:hideMark/>
          </w:tcPr>
          <w:p w14:paraId="0FB4D891" w14:textId="6A7BE233"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Porcentaje de propuestas presentadas de casos de ejemplaridad, delitos en el registro federal de contribuyentes, </w:t>
            </w:r>
            <w:r w:rsidR="00682261" w:rsidRPr="00CB4247">
              <w:rPr>
                <w:rFonts w:eastAsia="Carme" w:cs="Carme"/>
                <w:bCs/>
                <w:color w:val="595959"/>
                <w:sz w:val="16"/>
                <w:szCs w:val="16"/>
                <w:lang w:val="es-MX" w:eastAsia="es-MX"/>
              </w:rPr>
              <w:t>cancelación</w:t>
            </w:r>
            <w:r w:rsidRPr="00CB4247">
              <w:rPr>
                <w:rFonts w:eastAsia="Carme" w:cs="Carme"/>
                <w:bCs/>
                <w:color w:val="595959"/>
                <w:sz w:val="16"/>
                <w:szCs w:val="16"/>
                <w:lang w:val="es-MX" w:eastAsia="es-MX"/>
              </w:rPr>
              <w:t xml:space="preserve"> de sellos digitales y delitos de defraudación fiscal</w:t>
            </w:r>
          </w:p>
        </w:tc>
        <w:tc>
          <w:tcPr>
            <w:tcW w:w="1203" w:type="pct"/>
            <w:tcBorders>
              <w:top w:val="nil"/>
              <w:left w:val="nil"/>
              <w:bottom w:val="single" w:sz="8" w:space="0" w:color="auto"/>
              <w:right w:val="single" w:sz="8" w:space="0" w:color="auto"/>
            </w:tcBorders>
            <w:shd w:val="clear" w:color="auto" w:fill="auto"/>
            <w:vAlign w:val="center"/>
            <w:hideMark/>
          </w:tcPr>
          <w:p w14:paraId="27E4FC08"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Minutario de entrada de la Dirección Estatal de Auditoría Fiscal</w:t>
            </w:r>
          </w:p>
        </w:tc>
        <w:tc>
          <w:tcPr>
            <w:tcW w:w="1153" w:type="pct"/>
            <w:tcBorders>
              <w:top w:val="nil"/>
              <w:left w:val="nil"/>
              <w:bottom w:val="single" w:sz="8" w:space="0" w:color="auto"/>
              <w:right w:val="single" w:sz="8" w:space="0" w:color="auto"/>
            </w:tcBorders>
            <w:shd w:val="clear" w:color="auto" w:fill="auto"/>
            <w:vAlign w:val="center"/>
            <w:hideMark/>
          </w:tcPr>
          <w:p w14:paraId="16A59214"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Las querellas son aceptadas por la Fiscalía General de la República</w:t>
            </w:r>
          </w:p>
        </w:tc>
      </w:tr>
    </w:tbl>
    <w:p w14:paraId="1331B78A" w14:textId="77777777" w:rsidR="00BA14BE" w:rsidRDefault="00BA14BE">
      <w:r>
        <w:br w:type="page"/>
      </w:r>
    </w:p>
    <w:tbl>
      <w:tblPr>
        <w:tblW w:w="5703" w:type="pct"/>
        <w:tblLayout w:type="fixed"/>
        <w:tblCellMar>
          <w:left w:w="70" w:type="dxa"/>
          <w:right w:w="70" w:type="dxa"/>
        </w:tblCellMar>
        <w:tblLook w:val="04A0" w:firstRow="1" w:lastRow="0" w:firstColumn="1" w:lastColumn="0" w:noHBand="0" w:noVBand="1"/>
      </w:tblPr>
      <w:tblGrid>
        <w:gridCol w:w="986"/>
        <w:gridCol w:w="4329"/>
        <w:gridCol w:w="1844"/>
        <w:gridCol w:w="3257"/>
        <w:gridCol w:w="3122"/>
      </w:tblGrid>
      <w:tr w:rsidR="00BA14BE" w:rsidRPr="00CB4247" w14:paraId="002D68D4" w14:textId="77777777" w:rsidTr="00BA14BE">
        <w:trPr>
          <w:trHeight w:val="465"/>
        </w:trPr>
        <w:tc>
          <w:tcPr>
            <w:tcW w:w="36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E5FB1" w14:textId="4D87CD47"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lastRenderedPageBreak/>
              <w:t>NIVEL</w:t>
            </w:r>
          </w:p>
        </w:tc>
        <w:tc>
          <w:tcPr>
            <w:tcW w:w="1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4A06CE" w14:textId="6DDAF8BA"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OBJETIVO</w:t>
            </w:r>
          </w:p>
        </w:tc>
        <w:tc>
          <w:tcPr>
            <w:tcW w:w="68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F3F044" w14:textId="0484F2E8"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INDICADOR</w:t>
            </w:r>
          </w:p>
        </w:tc>
        <w:tc>
          <w:tcPr>
            <w:tcW w:w="120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53C0B" w14:textId="7B676101"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MEDIOS DE VERIFICACIÓN</w:t>
            </w:r>
          </w:p>
        </w:tc>
        <w:tc>
          <w:tcPr>
            <w:tcW w:w="11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D3595" w14:textId="48016271" w:rsidR="00BA14BE" w:rsidRPr="00BA14BE" w:rsidRDefault="00BA14BE" w:rsidP="00BA14BE">
            <w:pPr>
              <w:widowControl w:val="0"/>
              <w:spacing w:after="0"/>
              <w:contextualSpacing/>
              <w:jc w:val="center"/>
              <w:rPr>
                <w:rFonts w:eastAsia="Carme" w:cs="Carme"/>
                <w:b/>
                <w:color w:val="595959"/>
                <w:sz w:val="16"/>
                <w:szCs w:val="16"/>
                <w:lang w:val="es-MX" w:eastAsia="es-MX"/>
              </w:rPr>
            </w:pPr>
            <w:r w:rsidRPr="00CB4247">
              <w:rPr>
                <w:rFonts w:eastAsia="Carme" w:cs="Carme"/>
                <w:b/>
                <w:color w:val="595959"/>
                <w:sz w:val="16"/>
                <w:szCs w:val="16"/>
                <w:lang w:val="es-MX" w:eastAsia="es-MX"/>
              </w:rPr>
              <w:t>SUPUESTO</w:t>
            </w:r>
          </w:p>
        </w:tc>
      </w:tr>
      <w:tr w:rsidR="00CB4247" w:rsidRPr="00CB4247" w14:paraId="2DB587EB" w14:textId="77777777" w:rsidTr="00BA14BE">
        <w:trPr>
          <w:trHeight w:val="465"/>
        </w:trPr>
        <w:tc>
          <w:tcPr>
            <w:tcW w:w="364"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AA4AD92" w14:textId="339FC412"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single" w:sz="4" w:space="0" w:color="auto"/>
              <w:left w:val="nil"/>
              <w:bottom w:val="single" w:sz="8" w:space="0" w:color="auto"/>
              <w:right w:val="single" w:sz="8" w:space="0" w:color="auto"/>
            </w:tcBorders>
            <w:shd w:val="clear" w:color="auto" w:fill="auto"/>
            <w:vAlign w:val="center"/>
            <w:hideMark/>
          </w:tcPr>
          <w:p w14:paraId="5AA38D48"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C. 1.A.11 - Realización de Visitas Domiciliarias y revisión de dictámenes y gabinete.</w:t>
            </w:r>
          </w:p>
        </w:tc>
        <w:tc>
          <w:tcPr>
            <w:tcW w:w="681" w:type="pct"/>
            <w:tcBorders>
              <w:top w:val="single" w:sz="4" w:space="0" w:color="auto"/>
              <w:left w:val="nil"/>
              <w:bottom w:val="single" w:sz="8" w:space="0" w:color="auto"/>
              <w:right w:val="single" w:sz="8" w:space="0" w:color="auto"/>
            </w:tcBorders>
            <w:shd w:val="clear" w:color="auto" w:fill="auto"/>
            <w:vAlign w:val="center"/>
            <w:hideMark/>
          </w:tcPr>
          <w:p w14:paraId="4F6FFBCA"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Porcentaje de usuarios atendidos en las visitas domiciliarias.</w:t>
            </w:r>
          </w:p>
        </w:tc>
        <w:tc>
          <w:tcPr>
            <w:tcW w:w="1203" w:type="pct"/>
            <w:tcBorders>
              <w:top w:val="single" w:sz="4" w:space="0" w:color="auto"/>
              <w:left w:val="nil"/>
              <w:bottom w:val="single" w:sz="8" w:space="0" w:color="auto"/>
              <w:right w:val="single" w:sz="8" w:space="0" w:color="auto"/>
            </w:tcBorders>
            <w:shd w:val="clear" w:color="auto" w:fill="auto"/>
            <w:vAlign w:val="center"/>
            <w:hideMark/>
          </w:tcPr>
          <w:p w14:paraId="161B5F29"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Reporte Trimestral SATQ</w:t>
            </w:r>
          </w:p>
        </w:tc>
        <w:tc>
          <w:tcPr>
            <w:tcW w:w="1153" w:type="pct"/>
            <w:tcBorders>
              <w:top w:val="single" w:sz="4" w:space="0" w:color="auto"/>
              <w:left w:val="nil"/>
              <w:bottom w:val="single" w:sz="8" w:space="0" w:color="auto"/>
              <w:right w:val="single" w:sz="8" w:space="0" w:color="auto"/>
            </w:tcBorders>
            <w:shd w:val="clear" w:color="auto" w:fill="auto"/>
            <w:vAlign w:val="center"/>
            <w:hideMark/>
          </w:tcPr>
          <w:p w14:paraId="331E5527"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Los contribuyentes notifican en tiempo y forma el cambio de domicilio</w:t>
            </w:r>
          </w:p>
        </w:tc>
      </w:tr>
      <w:tr w:rsidR="00CB4247" w:rsidRPr="00CB4247" w14:paraId="7A0DCC73"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282C188A"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3EB63BA0" w14:textId="254ECEDC"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C.1.A.12 - Actualizaciones de </w:t>
            </w:r>
            <w:r w:rsidR="00682261" w:rsidRPr="00CB4247">
              <w:rPr>
                <w:rFonts w:eastAsia="Carme" w:cs="Carme"/>
                <w:bCs/>
                <w:color w:val="595959"/>
                <w:sz w:val="16"/>
                <w:szCs w:val="16"/>
                <w:lang w:val="es-MX" w:eastAsia="es-MX"/>
              </w:rPr>
              <w:t>Trámites</w:t>
            </w:r>
            <w:r w:rsidRPr="00CB4247">
              <w:rPr>
                <w:rFonts w:eastAsia="Carme" w:cs="Carme"/>
                <w:bCs/>
                <w:color w:val="595959"/>
                <w:sz w:val="16"/>
                <w:szCs w:val="16"/>
                <w:lang w:val="es-MX" w:eastAsia="es-MX"/>
              </w:rPr>
              <w:t xml:space="preserve"> y Servicios</w:t>
            </w:r>
          </w:p>
        </w:tc>
        <w:tc>
          <w:tcPr>
            <w:tcW w:w="681" w:type="pct"/>
            <w:tcBorders>
              <w:top w:val="nil"/>
              <w:left w:val="nil"/>
              <w:bottom w:val="single" w:sz="8" w:space="0" w:color="auto"/>
              <w:right w:val="single" w:sz="8" w:space="0" w:color="auto"/>
            </w:tcBorders>
            <w:shd w:val="clear" w:color="auto" w:fill="auto"/>
            <w:vAlign w:val="center"/>
            <w:hideMark/>
          </w:tcPr>
          <w:p w14:paraId="701A4CA1"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Porcentaje de actualizaciones de trámites y servicios</w:t>
            </w:r>
          </w:p>
        </w:tc>
        <w:tc>
          <w:tcPr>
            <w:tcW w:w="1203" w:type="pct"/>
            <w:tcBorders>
              <w:top w:val="nil"/>
              <w:left w:val="nil"/>
              <w:bottom w:val="single" w:sz="8" w:space="0" w:color="auto"/>
              <w:right w:val="single" w:sz="8" w:space="0" w:color="auto"/>
            </w:tcBorders>
            <w:shd w:val="clear" w:color="auto" w:fill="auto"/>
            <w:vAlign w:val="center"/>
            <w:hideMark/>
          </w:tcPr>
          <w:p w14:paraId="3BFA9EB8"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Portal del SATQ (http://www.satq.qroo.gob.mx/) Ciudadano - Trámites y Servicio - Fichas de  Requisitos.</w:t>
            </w:r>
          </w:p>
        </w:tc>
        <w:tc>
          <w:tcPr>
            <w:tcW w:w="1153" w:type="pct"/>
            <w:tcBorders>
              <w:top w:val="nil"/>
              <w:left w:val="nil"/>
              <w:bottom w:val="single" w:sz="8" w:space="0" w:color="auto"/>
              <w:right w:val="single" w:sz="8" w:space="0" w:color="auto"/>
            </w:tcBorders>
            <w:shd w:val="clear" w:color="auto" w:fill="auto"/>
            <w:vAlign w:val="center"/>
            <w:hideMark/>
          </w:tcPr>
          <w:p w14:paraId="18A7D7C8" w14:textId="6DEB2DA3"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Los contribuyentes cuentan con una base actualizada para </w:t>
            </w:r>
            <w:r w:rsidR="00682261" w:rsidRPr="00CB4247">
              <w:rPr>
                <w:rFonts w:eastAsia="Carme" w:cs="Carme"/>
                <w:bCs/>
                <w:color w:val="595959"/>
                <w:sz w:val="16"/>
                <w:szCs w:val="16"/>
                <w:lang w:val="es-MX" w:eastAsia="es-MX"/>
              </w:rPr>
              <w:t>trámites</w:t>
            </w:r>
            <w:r w:rsidRPr="00CB4247">
              <w:rPr>
                <w:rFonts w:eastAsia="Carme" w:cs="Carme"/>
                <w:bCs/>
                <w:color w:val="595959"/>
                <w:sz w:val="16"/>
                <w:szCs w:val="16"/>
                <w:lang w:val="es-MX" w:eastAsia="es-MX"/>
              </w:rPr>
              <w:t xml:space="preserve"> y servicios</w:t>
            </w:r>
          </w:p>
        </w:tc>
      </w:tr>
      <w:tr w:rsidR="00CB4247" w:rsidRPr="00CB4247" w14:paraId="024F8D1C"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7E694BD6"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288F5EE2"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C. 1.A.13 - Emitir Resoluciones a los Recursos de Revocación interpuestos por los contribuyentes</w:t>
            </w:r>
          </w:p>
        </w:tc>
        <w:tc>
          <w:tcPr>
            <w:tcW w:w="681" w:type="pct"/>
            <w:tcBorders>
              <w:top w:val="nil"/>
              <w:left w:val="nil"/>
              <w:bottom w:val="single" w:sz="8" w:space="0" w:color="auto"/>
              <w:right w:val="single" w:sz="8" w:space="0" w:color="auto"/>
            </w:tcBorders>
            <w:shd w:val="clear" w:color="auto" w:fill="auto"/>
            <w:vAlign w:val="center"/>
            <w:hideMark/>
          </w:tcPr>
          <w:p w14:paraId="1F37CD9C"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Porcentaje de Resoluciones de Recursos de Revocación favorables emitidos </w:t>
            </w:r>
          </w:p>
        </w:tc>
        <w:tc>
          <w:tcPr>
            <w:tcW w:w="1203" w:type="pct"/>
            <w:tcBorders>
              <w:top w:val="nil"/>
              <w:left w:val="nil"/>
              <w:bottom w:val="single" w:sz="8" w:space="0" w:color="auto"/>
              <w:right w:val="single" w:sz="8" w:space="0" w:color="auto"/>
            </w:tcBorders>
            <w:shd w:val="clear" w:color="auto" w:fill="auto"/>
            <w:vAlign w:val="center"/>
            <w:hideMark/>
          </w:tcPr>
          <w:p w14:paraId="3AD7946B"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Sistema de Seguimiento de Recursos de Revocación, Juicios de Nulidad y Amparos</w:t>
            </w:r>
          </w:p>
        </w:tc>
        <w:tc>
          <w:tcPr>
            <w:tcW w:w="1153" w:type="pct"/>
            <w:tcBorders>
              <w:top w:val="nil"/>
              <w:left w:val="nil"/>
              <w:bottom w:val="single" w:sz="8" w:space="0" w:color="auto"/>
              <w:right w:val="single" w:sz="8" w:space="0" w:color="auto"/>
            </w:tcBorders>
            <w:shd w:val="clear" w:color="auto" w:fill="auto"/>
            <w:vAlign w:val="center"/>
            <w:hideMark/>
          </w:tcPr>
          <w:p w14:paraId="7B658FEE"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Que las autoridades fiscales fundamenten y motiven debidamente sus actos.</w:t>
            </w:r>
          </w:p>
        </w:tc>
      </w:tr>
      <w:tr w:rsidR="00CB4247" w:rsidRPr="00CB4247" w14:paraId="2A9FD9F7" w14:textId="77777777" w:rsidTr="00CB4247">
        <w:trPr>
          <w:trHeight w:val="465"/>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40E51103"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2ECA6F84"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C. 1.A.14 - Elaborar los Informes previos y justificados a los juicios de Amparo</w:t>
            </w:r>
          </w:p>
        </w:tc>
        <w:tc>
          <w:tcPr>
            <w:tcW w:w="681" w:type="pct"/>
            <w:tcBorders>
              <w:top w:val="nil"/>
              <w:left w:val="nil"/>
              <w:bottom w:val="single" w:sz="8" w:space="0" w:color="auto"/>
              <w:right w:val="single" w:sz="8" w:space="0" w:color="auto"/>
            </w:tcBorders>
            <w:shd w:val="clear" w:color="auto" w:fill="auto"/>
            <w:vAlign w:val="center"/>
            <w:hideMark/>
          </w:tcPr>
          <w:p w14:paraId="2724FA1D"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Porcentaje de juicios de Amparo contestados </w:t>
            </w:r>
          </w:p>
        </w:tc>
        <w:tc>
          <w:tcPr>
            <w:tcW w:w="1203" w:type="pct"/>
            <w:tcBorders>
              <w:top w:val="nil"/>
              <w:left w:val="nil"/>
              <w:bottom w:val="single" w:sz="8" w:space="0" w:color="auto"/>
              <w:right w:val="single" w:sz="8" w:space="0" w:color="auto"/>
            </w:tcBorders>
            <w:shd w:val="clear" w:color="auto" w:fill="auto"/>
            <w:vAlign w:val="center"/>
            <w:hideMark/>
          </w:tcPr>
          <w:p w14:paraId="509BF83C"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Sistema de Seguimiento de Recursos de Revocación, Juicios de Nulidad y Amparos</w:t>
            </w:r>
          </w:p>
        </w:tc>
        <w:tc>
          <w:tcPr>
            <w:tcW w:w="1153" w:type="pct"/>
            <w:tcBorders>
              <w:top w:val="nil"/>
              <w:left w:val="nil"/>
              <w:bottom w:val="single" w:sz="8" w:space="0" w:color="auto"/>
              <w:right w:val="single" w:sz="8" w:space="0" w:color="auto"/>
            </w:tcBorders>
            <w:shd w:val="clear" w:color="auto" w:fill="auto"/>
            <w:vAlign w:val="center"/>
            <w:hideMark/>
          </w:tcPr>
          <w:p w14:paraId="0A8EFD80"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Que las autoridades fiscales actúen conforme a derecho</w:t>
            </w:r>
          </w:p>
        </w:tc>
      </w:tr>
      <w:tr w:rsidR="00CB4247" w:rsidRPr="00CB4247" w14:paraId="7E71198C" w14:textId="77777777" w:rsidTr="00CB4247">
        <w:trPr>
          <w:trHeight w:val="690"/>
        </w:trPr>
        <w:tc>
          <w:tcPr>
            <w:tcW w:w="364" w:type="pct"/>
            <w:tcBorders>
              <w:top w:val="nil"/>
              <w:left w:val="single" w:sz="8" w:space="0" w:color="auto"/>
              <w:bottom w:val="single" w:sz="8" w:space="0" w:color="auto"/>
              <w:right w:val="single" w:sz="8" w:space="0" w:color="auto"/>
            </w:tcBorders>
            <w:shd w:val="clear" w:color="auto" w:fill="auto"/>
            <w:vAlign w:val="center"/>
            <w:hideMark/>
          </w:tcPr>
          <w:p w14:paraId="517990A0" w14:textId="77777777" w:rsidR="00CB4247" w:rsidRPr="00CB4247" w:rsidRDefault="00CB4247" w:rsidP="00CB4247">
            <w:pPr>
              <w:spacing w:after="0" w:line="240" w:lineRule="auto"/>
              <w:jc w:val="center"/>
              <w:rPr>
                <w:rFonts w:eastAsia="Times New Roman" w:cs="Calibri"/>
                <w:b/>
                <w:bCs/>
                <w:color w:val="595959"/>
                <w:sz w:val="16"/>
                <w:szCs w:val="16"/>
                <w:lang w:val="es-MX" w:eastAsia="es-MX"/>
              </w:rPr>
            </w:pPr>
            <w:r w:rsidRPr="00CB4247">
              <w:rPr>
                <w:rFonts w:eastAsia="Times New Roman" w:cs="Calibri"/>
                <w:b/>
                <w:bCs/>
                <w:color w:val="595959"/>
                <w:sz w:val="16"/>
                <w:szCs w:val="16"/>
                <w:lang w:val="es-MX" w:eastAsia="es-MX"/>
              </w:rPr>
              <w:t>Actividades</w:t>
            </w:r>
          </w:p>
        </w:tc>
        <w:tc>
          <w:tcPr>
            <w:tcW w:w="1599" w:type="pct"/>
            <w:tcBorders>
              <w:top w:val="nil"/>
              <w:left w:val="nil"/>
              <w:bottom w:val="single" w:sz="8" w:space="0" w:color="auto"/>
              <w:right w:val="single" w:sz="8" w:space="0" w:color="auto"/>
            </w:tcBorders>
            <w:shd w:val="clear" w:color="auto" w:fill="auto"/>
            <w:vAlign w:val="center"/>
            <w:hideMark/>
          </w:tcPr>
          <w:p w14:paraId="3FAE374C"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C. 1.A. 15 - Implementación de  medidas de coordinación con las autoridades vinculadas para vigilar la debida garantía del interés fiscal</w:t>
            </w:r>
          </w:p>
        </w:tc>
        <w:tc>
          <w:tcPr>
            <w:tcW w:w="681" w:type="pct"/>
            <w:tcBorders>
              <w:top w:val="nil"/>
              <w:left w:val="nil"/>
              <w:bottom w:val="single" w:sz="8" w:space="0" w:color="auto"/>
              <w:right w:val="single" w:sz="8" w:space="0" w:color="auto"/>
            </w:tcBorders>
            <w:shd w:val="clear" w:color="auto" w:fill="auto"/>
            <w:vAlign w:val="center"/>
            <w:hideMark/>
          </w:tcPr>
          <w:p w14:paraId="198C2B0A"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 xml:space="preserve">Porcentaje de Juicios de Nulidad Contestados  </w:t>
            </w:r>
          </w:p>
        </w:tc>
        <w:tc>
          <w:tcPr>
            <w:tcW w:w="1203" w:type="pct"/>
            <w:tcBorders>
              <w:top w:val="nil"/>
              <w:left w:val="nil"/>
              <w:bottom w:val="single" w:sz="8" w:space="0" w:color="auto"/>
              <w:right w:val="single" w:sz="8" w:space="0" w:color="auto"/>
            </w:tcBorders>
            <w:shd w:val="clear" w:color="auto" w:fill="auto"/>
            <w:vAlign w:val="center"/>
            <w:hideMark/>
          </w:tcPr>
          <w:p w14:paraId="315BDC9A"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Sistema de Seguimiento de Recursos de Revocación, Juicios de Nulidad y Amparos</w:t>
            </w:r>
          </w:p>
        </w:tc>
        <w:tc>
          <w:tcPr>
            <w:tcW w:w="1153" w:type="pct"/>
            <w:tcBorders>
              <w:top w:val="nil"/>
              <w:left w:val="nil"/>
              <w:bottom w:val="single" w:sz="8" w:space="0" w:color="auto"/>
              <w:right w:val="single" w:sz="8" w:space="0" w:color="auto"/>
            </w:tcBorders>
            <w:shd w:val="clear" w:color="auto" w:fill="auto"/>
            <w:vAlign w:val="center"/>
            <w:hideMark/>
          </w:tcPr>
          <w:p w14:paraId="2C2ABBBD" w14:textId="77777777" w:rsidR="00CB4247" w:rsidRPr="00CB4247" w:rsidRDefault="00CB4247" w:rsidP="00CB4247">
            <w:pPr>
              <w:spacing w:after="0" w:line="240" w:lineRule="auto"/>
              <w:jc w:val="center"/>
              <w:rPr>
                <w:rFonts w:eastAsia="Carme" w:cs="Carme"/>
                <w:bCs/>
                <w:color w:val="595959"/>
                <w:sz w:val="16"/>
                <w:szCs w:val="16"/>
                <w:lang w:val="es-MX" w:eastAsia="es-MX"/>
              </w:rPr>
            </w:pPr>
            <w:r w:rsidRPr="00CB4247">
              <w:rPr>
                <w:rFonts w:eastAsia="Carme" w:cs="Carme"/>
                <w:bCs/>
                <w:color w:val="595959"/>
                <w:sz w:val="16"/>
                <w:szCs w:val="16"/>
                <w:lang w:val="es-MX" w:eastAsia="es-MX"/>
              </w:rPr>
              <w:t>Que las autoridades realicen el cobro de los créditos resueltos a favor de la autoridad</w:t>
            </w:r>
          </w:p>
        </w:tc>
      </w:tr>
    </w:tbl>
    <w:p w14:paraId="69E9B45F" w14:textId="77777777" w:rsidR="002162EF" w:rsidRDefault="002162EF" w:rsidP="002162EF">
      <w:pPr>
        <w:keepNext/>
        <w:keepLines/>
        <w:spacing w:before="200" w:line="240" w:lineRule="auto"/>
        <w:outlineLvl w:val="1"/>
        <w:rPr>
          <w:rFonts w:ascii="Futura Std Condensed Light" w:eastAsia="MS PGothic" w:hAnsi="Futura Std Condensed Light"/>
          <w:color w:val="595959" w:themeColor="text1" w:themeTint="A6"/>
          <w:sz w:val="16"/>
          <w:szCs w:val="16"/>
        </w:rPr>
      </w:pPr>
      <w:r>
        <w:rPr>
          <w:rFonts w:ascii="Futura Std Condensed Light" w:eastAsia="MS PGothic" w:hAnsi="Futura Std Condensed Light"/>
          <w:color w:val="595959" w:themeColor="text1" w:themeTint="A6"/>
          <w:sz w:val="16"/>
          <w:szCs w:val="16"/>
        </w:rPr>
        <w:t>El anexo aquí presentado es perfectible, y se encuentra susceptible de modificaciones programáticas toda vez que así se le indique por observaciones de auditorías, evaluaciones al desempeño y revisiones de la Secretaría de Finanzas y Planeación antes y durante el ejercicio fiscal del que se trate, así como también, cuando las condiciones del Ente Público responsable de dicha información programática requiera hacer modificaciones a sus necesidades institucionales, atendiendo a lo establecido en los Lineamientos para la Creación, Modificación y Cancelación de Programas Presupuestarios y para la Modificación de Metas del Gobierno del Estado de Quintana Roo.</w:t>
      </w:r>
    </w:p>
    <w:p w14:paraId="271A62BB" w14:textId="38437254" w:rsidR="002162EF" w:rsidRDefault="002162EF" w:rsidP="0022309F">
      <w:pPr>
        <w:widowControl w:val="0"/>
        <w:spacing w:after="0"/>
        <w:contextualSpacing/>
        <w:rPr>
          <w:rFonts w:eastAsia="Carme" w:cs="Carme"/>
          <w:b/>
          <w:color w:val="595959"/>
          <w:sz w:val="20"/>
          <w:szCs w:val="20"/>
          <w:lang w:val="es-MX" w:eastAsia="es-MX"/>
        </w:rPr>
      </w:pPr>
    </w:p>
    <w:p w14:paraId="23A79E8F" w14:textId="5935E759" w:rsidR="008F4CBA" w:rsidRPr="00D328BB" w:rsidRDefault="002162EF" w:rsidP="00682261">
      <w:pPr>
        <w:spacing w:after="0" w:line="240" w:lineRule="auto"/>
        <w:jc w:val="left"/>
        <w:rPr>
          <w:rFonts w:ascii="Futura Std Condensed Light" w:eastAsia="MS PGothic" w:hAnsi="Futura Std Condensed Light"/>
          <w:color w:val="595959" w:themeColor="text1" w:themeTint="A6"/>
          <w:sz w:val="16"/>
          <w:szCs w:val="16"/>
        </w:rPr>
      </w:pPr>
      <w:r>
        <w:rPr>
          <w:rFonts w:eastAsia="Carme" w:cs="Carme"/>
          <w:b/>
          <w:color w:val="595959"/>
          <w:sz w:val="20"/>
          <w:szCs w:val="20"/>
          <w:lang w:val="es-MX" w:eastAsia="es-MX"/>
        </w:rPr>
        <w:br w:type="page"/>
      </w:r>
    </w:p>
    <w:p w14:paraId="388B34E0" w14:textId="77777777" w:rsidR="00682261" w:rsidRDefault="00682261" w:rsidP="00457A62">
      <w:pPr>
        <w:spacing w:after="0" w:line="240" w:lineRule="auto"/>
        <w:jc w:val="right"/>
        <w:rPr>
          <w:noProof/>
          <w:color w:val="4BACC6" w:themeColor="accent5"/>
        </w:rPr>
        <w:sectPr w:rsidR="00682261" w:rsidSect="00A800CF">
          <w:pgSz w:w="15840" w:h="12240" w:orient="landscape" w:code="1"/>
          <w:pgMar w:top="1559" w:right="2977" w:bottom="1134" w:left="1134" w:header="0" w:footer="187" w:gutter="0"/>
          <w:cols w:space="708"/>
          <w:docGrid w:linePitch="360"/>
        </w:sectPr>
      </w:pPr>
    </w:p>
    <w:p w14:paraId="414A8792" w14:textId="6B124FC5" w:rsidR="00457A62" w:rsidRPr="00F30FD1" w:rsidRDefault="00457A62" w:rsidP="00457A62">
      <w:pPr>
        <w:spacing w:after="0" w:line="240" w:lineRule="auto"/>
        <w:jc w:val="right"/>
        <w:rPr>
          <w:noProof/>
          <w:color w:val="4BACC6" w:themeColor="accent5"/>
        </w:rPr>
      </w:pPr>
    </w:p>
    <w:p w14:paraId="633FB7B7" w14:textId="77777777" w:rsidR="00457A62" w:rsidRPr="00F30FD1" w:rsidRDefault="00457A62" w:rsidP="00457A62">
      <w:pPr>
        <w:spacing w:after="0" w:line="240" w:lineRule="auto"/>
        <w:jc w:val="right"/>
        <w:rPr>
          <w:noProof/>
          <w:color w:val="4BACC6" w:themeColor="accent5"/>
        </w:rPr>
      </w:pPr>
    </w:p>
    <w:p w14:paraId="1E77D2DB" w14:textId="77777777" w:rsidR="00457A62" w:rsidRPr="00F30FD1" w:rsidRDefault="00457A62" w:rsidP="00457A62">
      <w:pPr>
        <w:spacing w:after="0" w:line="240" w:lineRule="auto"/>
        <w:jc w:val="right"/>
        <w:rPr>
          <w:noProof/>
          <w:color w:val="4BACC6" w:themeColor="accent5"/>
        </w:rPr>
      </w:pPr>
    </w:p>
    <w:p w14:paraId="75E0DA32" w14:textId="77777777" w:rsidR="00457A62" w:rsidRPr="00F30FD1" w:rsidRDefault="00457A62" w:rsidP="00457A62">
      <w:pPr>
        <w:spacing w:after="0" w:line="240" w:lineRule="auto"/>
        <w:jc w:val="right"/>
        <w:rPr>
          <w:noProof/>
          <w:color w:val="4BACC6" w:themeColor="accent5"/>
        </w:rPr>
      </w:pPr>
    </w:p>
    <w:p w14:paraId="4E1FAAAC" w14:textId="77777777" w:rsidR="00457A62" w:rsidRPr="00F30FD1" w:rsidRDefault="00457A62" w:rsidP="00457A62">
      <w:pPr>
        <w:spacing w:after="0" w:line="240" w:lineRule="auto"/>
        <w:jc w:val="right"/>
        <w:rPr>
          <w:noProof/>
          <w:color w:val="4BACC6" w:themeColor="accent5"/>
        </w:rPr>
      </w:pPr>
    </w:p>
    <w:p w14:paraId="2FE361BA" w14:textId="77777777" w:rsidR="00457A62" w:rsidRPr="00F30FD1" w:rsidRDefault="00457A62" w:rsidP="00457A62">
      <w:pPr>
        <w:spacing w:after="0" w:line="240" w:lineRule="auto"/>
        <w:jc w:val="right"/>
        <w:rPr>
          <w:noProof/>
          <w:color w:val="4BACC6" w:themeColor="accent5"/>
        </w:rPr>
      </w:pPr>
    </w:p>
    <w:p w14:paraId="4F4A877F" w14:textId="2D416849" w:rsidR="00F7081C" w:rsidRPr="00F30FD1" w:rsidRDefault="00F7081C" w:rsidP="00457A62">
      <w:pPr>
        <w:spacing w:after="0" w:line="240" w:lineRule="auto"/>
        <w:jc w:val="right"/>
        <w:rPr>
          <w:noProof/>
          <w:color w:val="4BACC6" w:themeColor="accent5"/>
        </w:rPr>
      </w:pPr>
      <w:r w:rsidRPr="00F30FD1">
        <w:rPr>
          <w:noProof/>
          <w:color w:val="4BACC6" w:themeColor="accent5"/>
        </w:rPr>
        <w:t>Mtra.  Yohanet Teodúla Torres Muñoz</w:t>
      </w:r>
    </w:p>
    <w:p w14:paraId="3BE2BEF0" w14:textId="793CF7D6" w:rsidR="00BC7B87" w:rsidRPr="00F30FD1" w:rsidRDefault="00F7081C" w:rsidP="00F7081C">
      <w:pPr>
        <w:spacing w:after="120"/>
        <w:ind w:firstLine="708"/>
        <w:jc w:val="right"/>
        <w:rPr>
          <w:noProof/>
          <w:color w:val="4BACC6" w:themeColor="accent5"/>
          <w:lang w:val="es-ES"/>
        </w:rPr>
      </w:pPr>
      <w:r w:rsidRPr="00F30FD1">
        <w:rPr>
          <w:noProof/>
          <w:color w:val="4BACC6" w:themeColor="accent5"/>
        </w:rPr>
        <w:t>Secretaria de Finanzas y Planeación</w:t>
      </w:r>
    </w:p>
    <w:p w14:paraId="04C3E2F2" w14:textId="77777777" w:rsidR="00BC7B87" w:rsidRPr="00F30FD1" w:rsidRDefault="00BC7B87" w:rsidP="00BC7B87">
      <w:pPr>
        <w:rPr>
          <w:rFonts w:eastAsia="Calibri" w:cs="Arial"/>
          <w:bCs/>
          <w:sz w:val="18"/>
          <w:szCs w:val="20"/>
        </w:rPr>
      </w:pPr>
    </w:p>
    <w:p w14:paraId="69E604A6" w14:textId="77777777" w:rsidR="00BC7B87" w:rsidRPr="00F30FD1" w:rsidRDefault="00BC7B87" w:rsidP="00BC7B87">
      <w:pPr>
        <w:rPr>
          <w:rFonts w:eastAsia="Calibri" w:cs="Arial"/>
          <w:bCs/>
          <w:sz w:val="18"/>
          <w:szCs w:val="20"/>
        </w:rPr>
      </w:pPr>
    </w:p>
    <w:p w14:paraId="384D50FC" w14:textId="77777777" w:rsidR="00BC7B87" w:rsidRPr="00F30FD1" w:rsidRDefault="00BC7B87" w:rsidP="00BC7B87">
      <w:pPr>
        <w:rPr>
          <w:rFonts w:eastAsia="Calibri" w:cs="Arial"/>
          <w:bCs/>
          <w:sz w:val="18"/>
          <w:szCs w:val="20"/>
        </w:rPr>
      </w:pPr>
    </w:p>
    <w:p w14:paraId="0928B6FB" w14:textId="77777777" w:rsidR="00BC7B87" w:rsidRPr="00F30FD1" w:rsidRDefault="00BC7B87" w:rsidP="00BC7B87">
      <w:pPr>
        <w:rPr>
          <w:rFonts w:eastAsia="Calibri" w:cs="Arial"/>
          <w:bCs/>
          <w:sz w:val="18"/>
          <w:szCs w:val="20"/>
        </w:rPr>
      </w:pPr>
    </w:p>
    <w:p w14:paraId="7A007014" w14:textId="77777777" w:rsidR="00BC7B87" w:rsidRPr="00F30FD1" w:rsidRDefault="00BC7B87" w:rsidP="00BC7B87">
      <w:pPr>
        <w:rPr>
          <w:rFonts w:eastAsia="Calibri" w:cs="Arial"/>
          <w:bCs/>
          <w:sz w:val="18"/>
          <w:szCs w:val="20"/>
        </w:rPr>
      </w:pPr>
    </w:p>
    <w:p w14:paraId="7DD8B89B" w14:textId="6F1F2C34" w:rsidR="00BC7B87" w:rsidRPr="00F30FD1" w:rsidRDefault="00BC7B87" w:rsidP="00BC7B87">
      <w:pPr>
        <w:rPr>
          <w:rFonts w:eastAsia="Calibri" w:cs="Arial"/>
          <w:bCs/>
          <w:sz w:val="18"/>
          <w:szCs w:val="20"/>
        </w:rPr>
      </w:pPr>
      <w:r w:rsidRPr="00F30FD1">
        <w:rPr>
          <w:rFonts w:eastAsia="Calibri" w:cs="Arial"/>
          <w:bCs/>
          <w:sz w:val="18"/>
          <w:szCs w:val="20"/>
        </w:rPr>
        <w:t xml:space="preserve">La presente hoja, corresponde </w:t>
      </w:r>
      <w:r w:rsidR="006B40B1" w:rsidRPr="00F30FD1">
        <w:rPr>
          <w:rFonts w:eastAsia="Calibri" w:cs="Arial"/>
          <w:bCs/>
          <w:sz w:val="18"/>
          <w:szCs w:val="20"/>
        </w:rPr>
        <w:t>al Programa</w:t>
      </w:r>
      <w:r w:rsidRPr="00F30FD1">
        <w:rPr>
          <w:rFonts w:eastAsia="Calibri" w:cs="Arial"/>
          <w:bCs/>
          <w:sz w:val="18"/>
          <w:szCs w:val="20"/>
        </w:rPr>
        <w:t xml:space="preserve"> Sectorial de Finanzas Públicas y Planeación Estratégica del Estado de Quintana Roo.</w:t>
      </w:r>
      <w:bookmarkEnd w:id="39"/>
    </w:p>
    <w:sectPr w:rsidR="00BC7B87" w:rsidRPr="00F30FD1" w:rsidSect="00682261">
      <w:pgSz w:w="12240" w:h="15840" w:code="1"/>
      <w:pgMar w:top="2977" w:right="1134" w:bottom="1134" w:left="1559" w:header="0" w:footer="18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842FAE" w14:textId="77777777" w:rsidR="00CF2EB0" w:rsidRDefault="00CF2EB0" w:rsidP="00315CBE">
      <w:r>
        <w:separator/>
      </w:r>
    </w:p>
  </w:endnote>
  <w:endnote w:type="continuationSeparator" w:id="0">
    <w:p w14:paraId="6DBD7CD6" w14:textId="77777777" w:rsidR="00CF2EB0" w:rsidRDefault="00CF2EB0" w:rsidP="00315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Futura T OT">
    <w:panose1 w:val="00000000000000000000"/>
    <w:charset w:val="00"/>
    <w:family w:val="modern"/>
    <w:notTrueType/>
    <w:pitch w:val="variable"/>
    <w:sig w:usb0="800000AF" w:usb1="50002048" w:usb2="00000000" w:usb3="00000000" w:csb0="00000093" w:csb1="00000000"/>
  </w:font>
  <w:font w:name="Lucida Grande">
    <w:altName w:val="Times New Roman"/>
    <w:charset w:val="00"/>
    <w:family w:val="auto"/>
    <w:pitch w:val="variable"/>
    <w:sig w:usb0="00000000" w:usb1="5000A1FF" w:usb2="00000000" w:usb3="00000000" w:csb0="000001BF" w:csb1="00000000"/>
  </w:font>
  <w:font w:name="Futura T OT Book">
    <w:altName w:val="Times New Roman"/>
    <w:charset w:val="00"/>
    <w:family w:val="auto"/>
    <w:pitch w:val="variable"/>
    <w:sig w:usb0="00000001" w:usb1="50002048" w:usb2="00000000" w:usb3="00000000" w:csb0="00000093"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Futura">
    <w:altName w:val="Arial"/>
    <w:charset w:val="00"/>
    <w:family w:val="auto"/>
    <w:pitch w:val="variable"/>
    <w:sig w:usb0="800000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rme">
    <w:altName w:val="Cambria"/>
    <w:panose1 w:val="00000000000000000000"/>
    <w:charset w:val="00"/>
    <w:family w:val="roman"/>
    <w:notTrueType/>
    <w:pitch w:val="default"/>
  </w:font>
  <w:font w:name="Futura Std Condensed Light">
    <w:panose1 w:val="00000000000000000000"/>
    <w:charset w:val="00"/>
    <w:family w:val="swiss"/>
    <w:notTrueType/>
    <w:pitch w:val="variable"/>
    <w:sig w:usb0="800000AF" w:usb1="4000204A" w:usb2="00000000" w:usb3="00000000" w:csb0="0000000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725888"/>
      <w:docPartObj>
        <w:docPartGallery w:val="Page Numbers (Bottom of Page)"/>
        <w:docPartUnique/>
      </w:docPartObj>
    </w:sdtPr>
    <w:sdtContent>
      <w:p w14:paraId="4D39FEB3" w14:textId="77777777" w:rsidR="00EE7D8C" w:rsidRDefault="00EE7D8C">
        <w:pPr>
          <w:pStyle w:val="Piedepgina"/>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Pr="008D2B7B">
          <w:rPr>
            <w:noProof/>
            <w:color w:val="FFFFFF" w:themeColor="background1"/>
            <w:lang w:val="es-ES"/>
          </w:rPr>
          <w:t>2</w:t>
        </w:r>
        <w:r w:rsidRPr="00D9762C">
          <w:rPr>
            <w:color w:val="FFFFFF" w:themeColor="background1"/>
          </w:rPr>
          <w:fldChar w:fldCharType="end"/>
        </w:r>
        <w:r w:rsidRPr="00D9762C">
          <w:rPr>
            <w:noProof/>
            <w:color w:val="FFFFFF" w:themeColor="background1"/>
            <w:lang w:eastAsia="es-MX"/>
          </w:rPr>
          <w:t xml:space="preserve"> </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9920722"/>
      <w:docPartObj>
        <w:docPartGallery w:val="Page Numbers (Bottom of Page)"/>
        <w:docPartUnique/>
      </w:docPartObj>
    </w:sdtPr>
    <w:sdtEndPr>
      <w:rPr>
        <w:color w:val="FFFFFF" w:themeColor="background1"/>
      </w:rPr>
    </w:sdtEndPr>
    <w:sdtContent>
      <w:p w14:paraId="53EB60C4" w14:textId="77777777" w:rsidR="00EE7D8C" w:rsidRDefault="00EE7D8C" w:rsidP="00FE1261">
        <w:pPr>
          <w:pStyle w:val="Piedepgina"/>
          <w:tabs>
            <w:tab w:val="clear" w:pos="8504"/>
            <w:tab w:val="right" w:pos="8789"/>
          </w:tabs>
          <w:ind w:left="-1418" w:right="332"/>
          <w:jc w:val="center"/>
        </w:pPr>
        <w:r>
          <w:rPr>
            <w:noProof/>
            <w:lang w:val="es-MX" w:eastAsia="es-MX"/>
          </w:rPr>
          <w:drawing>
            <wp:inline distT="0" distB="0" distL="0" distR="0" wp14:anchorId="121D08DA" wp14:editId="7EE95EA5">
              <wp:extent cx="7772400" cy="758825"/>
              <wp:effectExtent l="0" t="0" r="0" b="0"/>
              <wp:docPr id="20" name="Imagen 20"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8825"/>
                      </a:xfrm>
                      <a:prstGeom prst="rect">
                        <a:avLst/>
                      </a:prstGeom>
                      <a:noFill/>
                      <a:ln>
                        <a:noFill/>
                      </a:ln>
                    </pic:spPr>
                  </pic:pic>
                </a:graphicData>
              </a:graphic>
            </wp:inline>
          </w:drawing>
        </w:r>
      </w:p>
      <w:p w14:paraId="07EC1081" w14:textId="05232FA1" w:rsidR="00EE7D8C" w:rsidRPr="00D9762C" w:rsidRDefault="00EE7D8C">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0A5F54" w:rsidRPr="000A5F54">
          <w:rPr>
            <w:noProof/>
            <w:color w:val="FFFFFF" w:themeColor="background1"/>
            <w:lang w:val="es-ES"/>
          </w:rPr>
          <w:t>2</w:t>
        </w:r>
        <w:r w:rsidRPr="00D9762C">
          <w:rPr>
            <w:color w:val="FFFFFF" w:themeColor="background1"/>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8B2DFA" w14:textId="5CBEC2EE" w:rsidR="00EE7D8C" w:rsidRPr="00A17DBE" w:rsidRDefault="00EE7D8C" w:rsidP="00FE1261">
    <w:pPr>
      <w:pStyle w:val="Piedepgina"/>
      <w:framePr w:w="724" w:h="535" w:hRule="exact" w:wrap="around" w:vAnchor="text" w:hAnchor="page" w:x="11101" w:y="343"/>
      <w:rPr>
        <w:rStyle w:val="Nmerodepgina"/>
        <w:rFonts w:ascii="Futura" w:hAnsi="Futura" w:cs="Futura"/>
        <w:b/>
        <w:color w:val="595959" w:themeColor="text1" w:themeTint="A6"/>
        <w:sz w:val="20"/>
        <w:szCs w:val="20"/>
      </w:rPr>
    </w:pPr>
    <w:r w:rsidRPr="00A17DBE">
      <w:rPr>
        <w:rStyle w:val="Nmerodepgina"/>
        <w:rFonts w:ascii="Futura" w:hAnsi="Futura" w:cs="Futura"/>
        <w:b/>
        <w:color w:val="595959" w:themeColor="text1" w:themeTint="A6"/>
        <w:sz w:val="20"/>
        <w:szCs w:val="20"/>
      </w:rPr>
      <w:fldChar w:fldCharType="begin"/>
    </w:r>
    <w:r w:rsidRPr="00A17DBE">
      <w:rPr>
        <w:rStyle w:val="Nmerodepgina"/>
        <w:rFonts w:ascii="Futura" w:hAnsi="Futura" w:cs="Futura"/>
        <w:b/>
        <w:color w:val="595959" w:themeColor="text1" w:themeTint="A6"/>
        <w:sz w:val="20"/>
        <w:szCs w:val="20"/>
      </w:rPr>
      <w:instrText xml:space="preserve">PAGE  </w:instrText>
    </w:r>
    <w:r w:rsidRPr="00A17DBE">
      <w:rPr>
        <w:rStyle w:val="Nmerodepgina"/>
        <w:rFonts w:ascii="Futura" w:hAnsi="Futura" w:cs="Futura"/>
        <w:b/>
        <w:color w:val="595959" w:themeColor="text1" w:themeTint="A6"/>
        <w:sz w:val="20"/>
        <w:szCs w:val="20"/>
      </w:rPr>
      <w:fldChar w:fldCharType="separate"/>
    </w:r>
    <w:r w:rsidR="000A5F54">
      <w:rPr>
        <w:rStyle w:val="Nmerodepgina"/>
        <w:rFonts w:ascii="Futura" w:hAnsi="Futura" w:cs="Futura"/>
        <w:b/>
        <w:noProof/>
        <w:color w:val="595959" w:themeColor="text1" w:themeTint="A6"/>
        <w:sz w:val="20"/>
        <w:szCs w:val="20"/>
      </w:rPr>
      <w:t>122</w:t>
    </w:r>
    <w:r w:rsidRPr="00A17DBE">
      <w:rPr>
        <w:rStyle w:val="Nmerodepgina"/>
        <w:rFonts w:ascii="Futura" w:hAnsi="Futura" w:cs="Futura"/>
        <w:b/>
        <w:color w:val="595959" w:themeColor="text1" w:themeTint="A6"/>
        <w:sz w:val="20"/>
        <w:szCs w:val="20"/>
      </w:rPr>
      <w:fldChar w:fldCharType="end"/>
    </w:r>
  </w:p>
  <w:p w14:paraId="216F99B4" w14:textId="77777777" w:rsidR="00EE7D8C" w:rsidRDefault="00EE7D8C" w:rsidP="00FE1261">
    <w:pPr>
      <w:pStyle w:val="Piedepgina"/>
      <w:tabs>
        <w:tab w:val="clear" w:pos="8504"/>
        <w:tab w:val="right" w:pos="8789"/>
      </w:tabs>
      <w:ind w:left="-1418" w:right="332"/>
      <w:jc w:val="center"/>
    </w:pPr>
    <w:r>
      <w:rPr>
        <w:noProof/>
        <w:lang w:val="es-MX" w:eastAsia="es-MX"/>
      </w:rPr>
      <w:drawing>
        <wp:inline distT="0" distB="0" distL="0" distR="0" wp14:anchorId="59E0DCC5" wp14:editId="22826316">
          <wp:extent cx="7772400" cy="756920"/>
          <wp:effectExtent l="0" t="0" r="0" b="0"/>
          <wp:docPr id="23" name="Imagen 23" descr="C:\Users\compu\AppData\Local\Microsoft\Windows\INetCache\Content.Word\PIE PAG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u\AppData\Local\Microsoft\Windows\INetCache\Content.Word\PIE PAG 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756920"/>
                  </a:xfrm>
                  <a:prstGeom prst="rect">
                    <a:avLst/>
                  </a:prstGeom>
                  <a:noFill/>
                  <a:ln>
                    <a:noFill/>
                  </a:ln>
                </pic:spPr>
              </pic:pic>
            </a:graphicData>
          </a:graphic>
        </wp:inline>
      </w:drawing>
    </w:r>
  </w:p>
  <w:p w14:paraId="5168459D" w14:textId="1907EB55" w:rsidR="00EE7D8C" w:rsidRPr="00D9762C" w:rsidRDefault="00EE7D8C">
    <w:pPr>
      <w:pStyle w:val="Piedepgina"/>
      <w:jc w:val="right"/>
      <w:rPr>
        <w:color w:val="FFFFFF" w:themeColor="background1"/>
      </w:rPr>
    </w:pPr>
    <w:r w:rsidRPr="00D9762C">
      <w:rPr>
        <w:color w:val="FFFFFF" w:themeColor="background1"/>
      </w:rPr>
      <w:fldChar w:fldCharType="begin"/>
    </w:r>
    <w:r w:rsidRPr="00D9762C">
      <w:rPr>
        <w:color w:val="FFFFFF" w:themeColor="background1"/>
      </w:rPr>
      <w:instrText>PAGE   \* MERGEFORMAT</w:instrText>
    </w:r>
    <w:r w:rsidRPr="00D9762C">
      <w:rPr>
        <w:color w:val="FFFFFF" w:themeColor="background1"/>
      </w:rPr>
      <w:fldChar w:fldCharType="separate"/>
    </w:r>
    <w:r w:rsidR="000A5F54" w:rsidRPr="000A5F54">
      <w:rPr>
        <w:noProof/>
        <w:color w:val="FFFFFF" w:themeColor="background1"/>
        <w:lang w:val="es-ES"/>
      </w:rPr>
      <w:t>122</w:t>
    </w:r>
    <w:r w:rsidRPr="00D9762C">
      <w:rPr>
        <w:color w:val="FFFFFF" w:themeColor="background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487468" w14:textId="77777777" w:rsidR="00CF2EB0" w:rsidRDefault="00CF2EB0" w:rsidP="00315CBE">
      <w:r>
        <w:separator/>
      </w:r>
    </w:p>
  </w:footnote>
  <w:footnote w:type="continuationSeparator" w:id="0">
    <w:p w14:paraId="55CD11A9" w14:textId="77777777" w:rsidR="00CF2EB0" w:rsidRDefault="00CF2EB0" w:rsidP="00315C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8CC04" w14:textId="14DF12DF" w:rsidR="00EE7D8C" w:rsidRDefault="00EE7D8C" w:rsidP="00612870">
    <w:pPr>
      <w:pStyle w:val="Encabezado"/>
      <w:jc w:val="center"/>
    </w:pPr>
  </w:p>
  <w:p w14:paraId="0A0BF3F2" w14:textId="4CE3B96C" w:rsidR="00EE7D8C" w:rsidRDefault="00EE7D8C" w:rsidP="00612870">
    <w:pPr>
      <w:pStyle w:val="Encabezado"/>
      <w:jc w:val="center"/>
    </w:pPr>
    <w:r>
      <w:rPr>
        <w:noProof/>
        <w:lang w:val="es-MX" w:eastAsia="es-MX"/>
      </w:rPr>
      <w:drawing>
        <wp:anchor distT="0" distB="0" distL="114300" distR="114300" simplePos="0" relativeHeight="251658240" behindDoc="1" locked="0" layoutInCell="1" allowOverlap="1" wp14:anchorId="00FA8BDB" wp14:editId="56A6FBDE">
          <wp:simplePos x="0" y="0"/>
          <wp:positionH relativeFrom="column">
            <wp:posOffset>1332449</wp:posOffset>
          </wp:positionH>
          <wp:positionV relativeFrom="paragraph">
            <wp:posOffset>-170464</wp:posOffset>
          </wp:positionV>
          <wp:extent cx="5260340" cy="845185"/>
          <wp:effectExtent l="0" t="0" r="0" b="0"/>
          <wp:wrapNone/>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ara programa.png"/>
                  <pic:cNvPicPr/>
                </pic:nvPicPr>
                <pic:blipFill>
                  <a:blip r:embed="rId1">
                    <a:extLst>
                      <a:ext uri="{28A0092B-C50C-407E-A947-70E740481C1C}">
                        <a14:useLocalDpi xmlns:a14="http://schemas.microsoft.com/office/drawing/2010/main" val="0"/>
                      </a:ext>
                    </a:extLst>
                  </a:blip>
                  <a:stretch>
                    <a:fillRect/>
                  </a:stretch>
                </pic:blipFill>
                <pic:spPr>
                  <a:xfrm>
                    <a:off x="0" y="0"/>
                    <a:ext cx="5260340" cy="845185"/>
                  </a:xfrm>
                  <a:prstGeom prst="rect">
                    <a:avLst/>
                  </a:prstGeom>
                </pic:spPr>
              </pic:pic>
            </a:graphicData>
          </a:graphic>
          <wp14:sizeRelH relativeFrom="page">
            <wp14:pctWidth>0</wp14:pctWidth>
          </wp14:sizeRelH>
          <wp14:sizeRelV relativeFrom="page">
            <wp14:pctHeight>0</wp14:pctHeight>
          </wp14:sizeRelV>
        </wp:anchor>
      </w:drawing>
    </w:r>
  </w:p>
  <w:p w14:paraId="079A3BFF" w14:textId="114C5FAF" w:rsidR="00EE7D8C" w:rsidRDefault="00EE7D8C" w:rsidP="00612870">
    <w:pPr>
      <w:pStyle w:val="Encabezado"/>
      <w:jc w:val="center"/>
    </w:pPr>
  </w:p>
  <w:p w14:paraId="42FC5823" w14:textId="77777777" w:rsidR="00EE7D8C" w:rsidRDefault="00EE7D8C" w:rsidP="00612870">
    <w:pPr>
      <w:pStyle w:val="Encabezado"/>
      <w:jc w:val="center"/>
    </w:pPr>
  </w:p>
  <w:p w14:paraId="65CE20E3" w14:textId="77777777" w:rsidR="00EE7D8C" w:rsidRDefault="00EE7D8C" w:rsidP="00612870">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15C25CC"/>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2E12923"/>
    <w:multiLevelType w:val="hybridMultilevel"/>
    <w:tmpl w:val="C2EA0E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8C64F2"/>
    <w:multiLevelType w:val="multilevel"/>
    <w:tmpl w:val="E286C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39278ED"/>
    <w:multiLevelType w:val="hybridMultilevel"/>
    <w:tmpl w:val="E8BC3414"/>
    <w:lvl w:ilvl="0" w:tplc="080A000F">
      <w:start w:val="1"/>
      <w:numFmt w:val="decimal"/>
      <w:lvlText w:val="%1."/>
      <w:lvlJc w:val="left"/>
      <w:pPr>
        <w:ind w:left="1288" w:hanging="360"/>
      </w:pPr>
    </w:lvl>
    <w:lvl w:ilvl="1" w:tplc="080A0019" w:tentative="1">
      <w:start w:val="1"/>
      <w:numFmt w:val="lowerLetter"/>
      <w:lvlText w:val="%2."/>
      <w:lvlJc w:val="left"/>
      <w:pPr>
        <w:ind w:left="2008" w:hanging="360"/>
      </w:pPr>
    </w:lvl>
    <w:lvl w:ilvl="2" w:tplc="080A001B" w:tentative="1">
      <w:start w:val="1"/>
      <w:numFmt w:val="lowerRoman"/>
      <w:lvlText w:val="%3."/>
      <w:lvlJc w:val="right"/>
      <w:pPr>
        <w:ind w:left="2728" w:hanging="180"/>
      </w:pPr>
    </w:lvl>
    <w:lvl w:ilvl="3" w:tplc="080A000F" w:tentative="1">
      <w:start w:val="1"/>
      <w:numFmt w:val="decimal"/>
      <w:lvlText w:val="%4."/>
      <w:lvlJc w:val="left"/>
      <w:pPr>
        <w:ind w:left="3448" w:hanging="360"/>
      </w:pPr>
    </w:lvl>
    <w:lvl w:ilvl="4" w:tplc="080A0019" w:tentative="1">
      <w:start w:val="1"/>
      <w:numFmt w:val="lowerLetter"/>
      <w:lvlText w:val="%5."/>
      <w:lvlJc w:val="left"/>
      <w:pPr>
        <w:ind w:left="4168" w:hanging="360"/>
      </w:pPr>
    </w:lvl>
    <w:lvl w:ilvl="5" w:tplc="080A001B" w:tentative="1">
      <w:start w:val="1"/>
      <w:numFmt w:val="lowerRoman"/>
      <w:lvlText w:val="%6."/>
      <w:lvlJc w:val="right"/>
      <w:pPr>
        <w:ind w:left="4888" w:hanging="180"/>
      </w:pPr>
    </w:lvl>
    <w:lvl w:ilvl="6" w:tplc="080A000F" w:tentative="1">
      <w:start w:val="1"/>
      <w:numFmt w:val="decimal"/>
      <w:lvlText w:val="%7."/>
      <w:lvlJc w:val="left"/>
      <w:pPr>
        <w:ind w:left="5608" w:hanging="360"/>
      </w:pPr>
    </w:lvl>
    <w:lvl w:ilvl="7" w:tplc="080A0019" w:tentative="1">
      <w:start w:val="1"/>
      <w:numFmt w:val="lowerLetter"/>
      <w:lvlText w:val="%8."/>
      <w:lvlJc w:val="left"/>
      <w:pPr>
        <w:ind w:left="6328" w:hanging="360"/>
      </w:pPr>
    </w:lvl>
    <w:lvl w:ilvl="8" w:tplc="080A001B" w:tentative="1">
      <w:start w:val="1"/>
      <w:numFmt w:val="lowerRoman"/>
      <w:lvlText w:val="%9."/>
      <w:lvlJc w:val="right"/>
      <w:pPr>
        <w:ind w:left="7048" w:hanging="180"/>
      </w:pPr>
    </w:lvl>
  </w:abstractNum>
  <w:abstractNum w:abstractNumId="4">
    <w:nsid w:val="17AD7CE2"/>
    <w:multiLevelType w:val="hybridMultilevel"/>
    <w:tmpl w:val="9BCEA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85641B"/>
    <w:multiLevelType w:val="multilevel"/>
    <w:tmpl w:val="03B0D946"/>
    <w:lvl w:ilvl="0">
      <w:start w:val="1"/>
      <w:numFmt w:val="decimal"/>
      <w:lvlText w:val="%1"/>
      <w:lvlJc w:val="left"/>
      <w:pPr>
        <w:ind w:left="432" w:hanging="432"/>
      </w:pPr>
    </w:lvl>
    <w:lvl w:ilvl="1">
      <w:start w:val="1"/>
      <w:numFmt w:val="decimal"/>
      <w:lvlText w:val="%2"/>
      <w:lvlJc w:val="left"/>
      <w:pPr>
        <w:ind w:left="718" w:hanging="576"/>
      </w:pPr>
      <w:rPr>
        <w:rFonts w:ascii="Futura Lt BT" w:eastAsia="Times New Roman" w:hAnsi="Futura Lt BT" w:cs="Times New Roman"/>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206D261D"/>
    <w:multiLevelType w:val="multilevel"/>
    <w:tmpl w:val="C5EA2CB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24F911BE"/>
    <w:multiLevelType w:val="hybridMultilevel"/>
    <w:tmpl w:val="A5006AD0"/>
    <w:lvl w:ilvl="0" w:tplc="BA141E22">
      <w:start w:val="1"/>
      <w:numFmt w:val="decimal"/>
      <w:lvlText w:val="%1."/>
      <w:lvlJc w:val="left"/>
      <w:pPr>
        <w:ind w:left="36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3E0811"/>
    <w:multiLevelType w:val="hybridMultilevel"/>
    <w:tmpl w:val="26B8EA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E0E0B5E"/>
    <w:multiLevelType w:val="hybridMultilevel"/>
    <w:tmpl w:val="BDD667FA"/>
    <w:lvl w:ilvl="0" w:tplc="3D66CA12">
      <w:start w:val="1"/>
      <w:numFmt w:val="decimal"/>
      <w:lvlText w:val="%1."/>
      <w:lvlJc w:val="left"/>
      <w:pPr>
        <w:ind w:left="36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7A16978"/>
    <w:multiLevelType w:val="hybridMultilevel"/>
    <w:tmpl w:val="E09681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ED11E08"/>
    <w:multiLevelType w:val="hybridMultilevel"/>
    <w:tmpl w:val="C62C0E54"/>
    <w:lvl w:ilvl="0" w:tplc="20E8CE1C">
      <w:start w:val="1"/>
      <w:numFmt w:val="decimal"/>
      <w:lvlText w:val="%1."/>
      <w:lvlJc w:val="lef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13978BC"/>
    <w:multiLevelType w:val="hybridMultilevel"/>
    <w:tmpl w:val="178E03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50D3FA4"/>
    <w:multiLevelType w:val="multilevel"/>
    <w:tmpl w:val="8B52682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455A5176"/>
    <w:multiLevelType w:val="hybridMultilevel"/>
    <w:tmpl w:val="E83E47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6D6537D"/>
    <w:multiLevelType w:val="hybridMultilevel"/>
    <w:tmpl w:val="668ED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675AEB"/>
    <w:multiLevelType w:val="hybridMultilevel"/>
    <w:tmpl w:val="851E3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5350E37"/>
    <w:multiLevelType w:val="hybridMultilevel"/>
    <w:tmpl w:val="26B8EA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1303712"/>
    <w:multiLevelType w:val="hybridMultilevel"/>
    <w:tmpl w:val="C9B485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29132F7"/>
    <w:multiLevelType w:val="multilevel"/>
    <w:tmpl w:val="E070E76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6534460C"/>
    <w:multiLevelType w:val="hybridMultilevel"/>
    <w:tmpl w:val="DCEA8FD0"/>
    <w:lvl w:ilvl="0" w:tplc="080A000F">
      <w:start w:val="1"/>
      <w:numFmt w:val="decimal"/>
      <w:lvlText w:val="%1."/>
      <w:lvlJc w:val="left"/>
      <w:pPr>
        <w:ind w:left="92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9425854"/>
    <w:multiLevelType w:val="multilevel"/>
    <w:tmpl w:val="92228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A10322B"/>
    <w:multiLevelType w:val="hybridMultilevel"/>
    <w:tmpl w:val="29448F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B8B0228"/>
    <w:multiLevelType w:val="hybridMultilevel"/>
    <w:tmpl w:val="F40AEC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1D3789C"/>
    <w:multiLevelType w:val="hybridMultilevel"/>
    <w:tmpl w:val="753E51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3850A7A"/>
    <w:multiLevelType w:val="hybridMultilevel"/>
    <w:tmpl w:val="5C0CCE8A"/>
    <w:lvl w:ilvl="0" w:tplc="F3FA4CC0">
      <w:start w:val="1"/>
      <w:numFmt w:val="decimal"/>
      <w:lvlText w:val="%1."/>
      <w:lvlJc w:val="left"/>
      <w:pPr>
        <w:ind w:left="928"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E705B04"/>
    <w:multiLevelType w:val="hybridMultilevel"/>
    <w:tmpl w:val="E75E98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6"/>
  </w:num>
  <w:num w:numId="4">
    <w:abstractNumId w:val="17"/>
  </w:num>
  <w:num w:numId="5">
    <w:abstractNumId w:val="8"/>
  </w:num>
  <w:num w:numId="6">
    <w:abstractNumId w:val="14"/>
  </w:num>
  <w:num w:numId="7">
    <w:abstractNumId w:val="4"/>
  </w:num>
  <w:num w:numId="8">
    <w:abstractNumId w:val="20"/>
  </w:num>
  <w:num w:numId="9">
    <w:abstractNumId w:val="18"/>
  </w:num>
  <w:num w:numId="10">
    <w:abstractNumId w:val="9"/>
  </w:num>
  <w:num w:numId="11">
    <w:abstractNumId w:val="22"/>
  </w:num>
  <w:num w:numId="12">
    <w:abstractNumId w:val="24"/>
  </w:num>
  <w:num w:numId="13">
    <w:abstractNumId w:val="23"/>
  </w:num>
  <w:num w:numId="14">
    <w:abstractNumId w:val="2"/>
  </w:num>
  <w:num w:numId="15">
    <w:abstractNumId w:val="19"/>
  </w:num>
  <w:num w:numId="16">
    <w:abstractNumId w:val="21"/>
  </w:num>
  <w:num w:numId="17">
    <w:abstractNumId w:val="13"/>
  </w:num>
  <w:num w:numId="18">
    <w:abstractNumId w:val="6"/>
  </w:num>
  <w:num w:numId="19">
    <w:abstractNumId w:val="0"/>
  </w:num>
  <w:num w:numId="20">
    <w:abstractNumId w:val="10"/>
  </w:num>
  <w:num w:numId="21">
    <w:abstractNumId w:val="7"/>
  </w:num>
  <w:num w:numId="22">
    <w:abstractNumId w:val="11"/>
  </w:num>
  <w:num w:numId="23">
    <w:abstractNumId w:val="25"/>
  </w:num>
  <w:num w:numId="24">
    <w:abstractNumId w:val="3"/>
  </w:num>
  <w:num w:numId="25">
    <w:abstractNumId w:val="12"/>
  </w:num>
  <w:num w:numId="26">
    <w:abstractNumId w:val="15"/>
  </w:num>
  <w:num w:numId="27">
    <w:abstractNumId w:val="16"/>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CBE"/>
    <w:rsid w:val="0000270E"/>
    <w:rsid w:val="00004570"/>
    <w:rsid w:val="00006654"/>
    <w:rsid w:val="000066C5"/>
    <w:rsid w:val="00006AEF"/>
    <w:rsid w:val="00014766"/>
    <w:rsid w:val="00015620"/>
    <w:rsid w:val="00015ACA"/>
    <w:rsid w:val="0001762C"/>
    <w:rsid w:val="00017938"/>
    <w:rsid w:val="00020229"/>
    <w:rsid w:val="00022C36"/>
    <w:rsid w:val="00022F18"/>
    <w:rsid w:val="0002321A"/>
    <w:rsid w:val="0002431E"/>
    <w:rsid w:val="000252CF"/>
    <w:rsid w:val="000274DB"/>
    <w:rsid w:val="000301D7"/>
    <w:rsid w:val="0003433E"/>
    <w:rsid w:val="0004074F"/>
    <w:rsid w:val="0004253B"/>
    <w:rsid w:val="0004337E"/>
    <w:rsid w:val="0004374A"/>
    <w:rsid w:val="00047BB6"/>
    <w:rsid w:val="00051C8B"/>
    <w:rsid w:val="00055E7C"/>
    <w:rsid w:val="0005710C"/>
    <w:rsid w:val="000613D9"/>
    <w:rsid w:val="00062296"/>
    <w:rsid w:val="000628B3"/>
    <w:rsid w:val="00064B75"/>
    <w:rsid w:val="0006652B"/>
    <w:rsid w:val="00067064"/>
    <w:rsid w:val="000703DA"/>
    <w:rsid w:val="00070F7B"/>
    <w:rsid w:val="00071293"/>
    <w:rsid w:val="000721ED"/>
    <w:rsid w:val="00074E65"/>
    <w:rsid w:val="00076C12"/>
    <w:rsid w:val="00077375"/>
    <w:rsid w:val="00077E8E"/>
    <w:rsid w:val="00081240"/>
    <w:rsid w:val="0008259F"/>
    <w:rsid w:val="000847C4"/>
    <w:rsid w:val="00084A73"/>
    <w:rsid w:val="00085B7A"/>
    <w:rsid w:val="00086BDF"/>
    <w:rsid w:val="0009220C"/>
    <w:rsid w:val="00093D98"/>
    <w:rsid w:val="000A051A"/>
    <w:rsid w:val="000A1C9F"/>
    <w:rsid w:val="000A3439"/>
    <w:rsid w:val="000A5F54"/>
    <w:rsid w:val="000A7B04"/>
    <w:rsid w:val="000B4028"/>
    <w:rsid w:val="000B4369"/>
    <w:rsid w:val="000B6135"/>
    <w:rsid w:val="000C0B93"/>
    <w:rsid w:val="000C24E7"/>
    <w:rsid w:val="000C43A2"/>
    <w:rsid w:val="000C54BC"/>
    <w:rsid w:val="000C5666"/>
    <w:rsid w:val="000C7F2D"/>
    <w:rsid w:val="000D4EFF"/>
    <w:rsid w:val="000D512C"/>
    <w:rsid w:val="000D56D3"/>
    <w:rsid w:val="000D56E2"/>
    <w:rsid w:val="000D5D2E"/>
    <w:rsid w:val="000E3275"/>
    <w:rsid w:val="000E4948"/>
    <w:rsid w:val="000E6133"/>
    <w:rsid w:val="000E6E56"/>
    <w:rsid w:val="000E7275"/>
    <w:rsid w:val="000E78D0"/>
    <w:rsid w:val="000F0970"/>
    <w:rsid w:val="000F1451"/>
    <w:rsid w:val="000F184B"/>
    <w:rsid w:val="000F6099"/>
    <w:rsid w:val="000F7246"/>
    <w:rsid w:val="00100B8B"/>
    <w:rsid w:val="00113357"/>
    <w:rsid w:val="00114427"/>
    <w:rsid w:val="00117150"/>
    <w:rsid w:val="00117853"/>
    <w:rsid w:val="00117A30"/>
    <w:rsid w:val="001202D2"/>
    <w:rsid w:val="0012033F"/>
    <w:rsid w:val="00124C60"/>
    <w:rsid w:val="00124EE1"/>
    <w:rsid w:val="001258D4"/>
    <w:rsid w:val="0013067C"/>
    <w:rsid w:val="001311F1"/>
    <w:rsid w:val="00131F48"/>
    <w:rsid w:val="00132284"/>
    <w:rsid w:val="00132F06"/>
    <w:rsid w:val="001368B9"/>
    <w:rsid w:val="0014252A"/>
    <w:rsid w:val="00142D62"/>
    <w:rsid w:val="00145A3A"/>
    <w:rsid w:val="001468EC"/>
    <w:rsid w:val="00147AE8"/>
    <w:rsid w:val="00154B3F"/>
    <w:rsid w:val="00156A0E"/>
    <w:rsid w:val="00157164"/>
    <w:rsid w:val="00157DF5"/>
    <w:rsid w:val="0016323C"/>
    <w:rsid w:val="001651E5"/>
    <w:rsid w:val="00167FA2"/>
    <w:rsid w:val="00174EE2"/>
    <w:rsid w:val="00174F50"/>
    <w:rsid w:val="00175728"/>
    <w:rsid w:val="00177821"/>
    <w:rsid w:val="0017790F"/>
    <w:rsid w:val="00183FAC"/>
    <w:rsid w:val="00184635"/>
    <w:rsid w:val="00186DC9"/>
    <w:rsid w:val="001870E3"/>
    <w:rsid w:val="001873D1"/>
    <w:rsid w:val="001918AC"/>
    <w:rsid w:val="001919D7"/>
    <w:rsid w:val="001941F7"/>
    <w:rsid w:val="00194A17"/>
    <w:rsid w:val="00194B9E"/>
    <w:rsid w:val="00194C72"/>
    <w:rsid w:val="00194F7D"/>
    <w:rsid w:val="001A46B0"/>
    <w:rsid w:val="001A4FAA"/>
    <w:rsid w:val="001A520E"/>
    <w:rsid w:val="001A6F17"/>
    <w:rsid w:val="001B1AE9"/>
    <w:rsid w:val="001B22C0"/>
    <w:rsid w:val="001B4C1E"/>
    <w:rsid w:val="001B5F5F"/>
    <w:rsid w:val="001B6C33"/>
    <w:rsid w:val="001B7A31"/>
    <w:rsid w:val="001C308C"/>
    <w:rsid w:val="001C3D61"/>
    <w:rsid w:val="001C4945"/>
    <w:rsid w:val="001C497C"/>
    <w:rsid w:val="001C5066"/>
    <w:rsid w:val="001C709F"/>
    <w:rsid w:val="001C7A59"/>
    <w:rsid w:val="001C7EB3"/>
    <w:rsid w:val="001D0237"/>
    <w:rsid w:val="001D2094"/>
    <w:rsid w:val="001D269B"/>
    <w:rsid w:val="001D3530"/>
    <w:rsid w:val="001D4654"/>
    <w:rsid w:val="001D614A"/>
    <w:rsid w:val="001D6570"/>
    <w:rsid w:val="001D6E9C"/>
    <w:rsid w:val="001D7931"/>
    <w:rsid w:val="001E05B1"/>
    <w:rsid w:val="001E4CC8"/>
    <w:rsid w:val="001E77C9"/>
    <w:rsid w:val="001F123B"/>
    <w:rsid w:val="001F29ED"/>
    <w:rsid w:val="001F46B1"/>
    <w:rsid w:val="001F5C91"/>
    <w:rsid w:val="001F6817"/>
    <w:rsid w:val="001F7F78"/>
    <w:rsid w:val="00202480"/>
    <w:rsid w:val="00203DB1"/>
    <w:rsid w:val="00204F48"/>
    <w:rsid w:val="00210684"/>
    <w:rsid w:val="0021248D"/>
    <w:rsid w:val="00212A29"/>
    <w:rsid w:val="00213C0D"/>
    <w:rsid w:val="002147A9"/>
    <w:rsid w:val="00215AE2"/>
    <w:rsid w:val="002162EF"/>
    <w:rsid w:val="002163E3"/>
    <w:rsid w:val="002210CD"/>
    <w:rsid w:val="002213C8"/>
    <w:rsid w:val="00221633"/>
    <w:rsid w:val="002228BF"/>
    <w:rsid w:val="0022309F"/>
    <w:rsid w:val="002239CA"/>
    <w:rsid w:val="00224D8A"/>
    <w:rsid w:val="002251F7"/>
    <w:rsid w:val="00232963"/>
    <w:rsid w:val="002364B3"/>
    <w:rsid w:val="002365EE"/>
    <w:rsid w:val="00236AAD"/>
    <w:rsid w:val="00236FFF"/>
    <w:rsid w:val="00241243"/>
    <w:rsid w:val="0024415A"/>
    <w:rsid w:val="00244CD1"/>
    <w:rsid w:val="002452B5"/>
    <w:rsid w:val="00247E87"/>
    <w:rsid w:val="00247FBC"/>
    <w:rsid w:val="00251B1F"/>
    <w:rsid w:val="00256C6B"/>
    <w:rsid w:val="00257587"/>
    <w:rsid w:val="00257B66"/>
    <w:rsid w:val="0026017E"/>
    <w:rsid w:val="002630DA"/>
    <w:rsid w:val="00264FE7"/>
    <w:rsid w:val="0026585B"/>
    <w:rsid w:val="00265B25"/>
    <w:rsid w:val="0026662C"/>
    <w:rsid w:val="00270E26"/>
    <w:rsid w:val="002745E6"/>
    <w:rsid w:val="0027645B"/>
    <w:rsid w:val="00281443"/>
    <w:rsid w:val="0028244D"/>
    <w:rsid w:val="00285C09"/>
    <w:rsid w:val="0029029C"/>
    <w:rsid w:val="0029337A"/>
    <w:rsid w:val="00293A62"/>
    <w:rsid w:val="002A029D"/>
    <w:rsid w:val="002A15B4"/>
    <w:rsid w:val="002A41CB"/>
    <w:rsid w:val="002A5319"/>
    <w:rsid w:val="002A5502"/>
    <w:rsid w:val="002B12F0"/>
    <w:rsid w:val="002B199B"/>
    <w:rsid w:val="002B19BD"/>
    <w:rsid w:val="002B3350"/>
    <w:rsid w:val="002B3A5E"/>
    <w:rsid w:val="002B58BF"/>
    <w:rsid w:val="002B59BD"/>
    <w:rsid w:val="002B6E71"/>
    <w:rsid w:val="002C0244"/>
    <w:rsid w:val="002C1859"/>
    <w:rsid w:val="002C19EB"/>
    <w:rsid w:val="002C2433"/>
    <w:rsid w:val="002C277A"/>
    <w:rsid w:val="002C5395"/>
    <w:rsid w:val="002C5790"/>
    <w:rsid w:val="002C5E02"/>
    <w:rsid w:val="002C5E97"/>
    <w:rsid w:val="002C7526"/>
    <w:rsid w:val="002D0401"/>
    <w:rsid w:val="002D041A"/>
    <w:rsid w:val="002D2476"/>
    <w:rsid w:val="002D256D"/>
    <w:rsid w:val="002D41D7"/>
    <w:rsid w:val="002D6A0B"/>
    <w:rsid w:val="002E2849"/>
    <w:rsid w:val="002E29E0"/>
    <w:rsid w:val="002E378D"/>
    <w:rsid w:val="002E3C9C"/>
    <w:rsid w:val="002E5EDE"/>
    <w:rsid w:val="002F1BA8"/>
    <w:rsid w:val="002F3E03"/>
    <w:rsid w:val="002F6E03"/>
    <w:rsid w:val="00302575"/>
    <w:rsid w:val="0030491A"/>
    <w:rsid w:val="00304F07"/>
    <w:rsid w:val="003053FF"/>
    <w:rsid w:val="0030549B"/>
    <w:rsid w:val="00305FA4"/>
    <w:rsid w:val="00306C82"/>
    <w:rsid w:val="0030753C"/>
    <w:rsid w:val="003101D4"/>
    <w:rsid w:val="00311385"/>
    <w:rsid w:val="00311A43"/>
    <w:rsid w:val="003124C1"/>
    <w:rsid w:val="00315CB2"/>
    <w:rsid w:val="00315CBE"/>
    <w:rsid w:val="0031696D"/>
    <w:rsid w:val="00316B93"/>
    <w:rsid w:val="00317A95"/>
    <w:rsid w:val="00317CB3"/>
    <w:rsid w:val="003265FC"/>
    <w:rsid w:val="00330DB0"/>
    <w:rsid w:val="0033590E"/>
    <w:rsid w:val="00340CB0"/>
    <w:rsid w:val="00340FC1"/>
    <w:rsid w:val="00343F5E"/>
    <w:rsid w:val="00345B4D"/>
    <w:rsid w:val="00345E16"/>
    <w:rsid w:val="00352C25"/>
    <w:rsid w:val="0035377A"/>
    <w:rsid w:val="003555A0"/>
    <w:rsid w:val="00355785"/>
    <w:rsid w:val="00357391"/>
    <w:rsid w:val="0035779A"/>
    <w:rsid w:val="00360B95"/>
    <w:rsid w:val="00361E1B"/>
    <w:rsid w:val="00366C0E"/>
    <w:rsid w:val="0036770F"/>
    <w:rsid w:val="00372C04"/>
    <w:rsid w:val="00376DF8"/>
    <w:rsid w:val="003772EB"/>
    <w:rsid w:val="00377D19"/>
    <w:rsid w:val="00377D94"/>
    <w:rsid w:val="00380300"/>
    <w:rsid w:val="00380473"/>
    <w:rsid w:val="003809C9"/>
    <w:rsid w:val="00380C5B"/>
    <w:rsid w:val="00381066"/>
    <w:rsid w:val="0038627B"/>
    <w:rsid w:val="003915D6"/>
    <w:rsid w:val="00391B2F"/>
    <w:rsid w:val="00392119"/>
    <w:rsid w:val="00396B85"/>
    <w:rsid w:val="003A27D6"/>
    <w:rsid w:val="003A3F5E"/>
    <w:rsid w:val="003A4529"/>
    <w:rsid w:val="003A4B38"/>
    <w:rsid w:val="003A6CEA"/>
    <w:rsid w:val="003A6E67"/>
    <w:rsid w:val="003A7374"/>
    <w:rsid w:val="003A7F9B"/>
    <w:rsid w:val="003B13F9"/>
    <w:rsid w:val="003B46F0"/>
    <w:rsid w:val="003B5B88"/>
    <w:rsid w:val="003B5CD7"/>
    <w:rsid w:val="003C56CB"/>
    <w:rsid w:val="003D06CE"/>
    <w:rsid w:val="003D0D40"/>
    <w:rsid w:val="003D0DC3"/>
    <w:rsid w:val="003D1C19"/>
    <w:rsid w:val="003D2FC2"/>
    <w:rsid w:val="003D39BD"/>
    <w:rsid w:val="003D452C"/>
    <w:rsid w:val="003D5103"/>
    <w:rsid w:val="003D588B"/>
    <w:rsid w:val="003D605E"/>
    <w:rsid w:val="003E2450"/>
    <w:rsid w:val="003E3818"/>
    <w:rsid w:val="003E4946"/>
    <w:rsid w:val="003E4BA5"/>
    <w:rsid w:val="003E510B"/>
    <w:rsid w:val="003E540C"/>
    <w:rsid w:val="003E5945"/>
    <w:rsid w:val="003E5AE3"/>
    <w:rsid w:val="003E6FEC"/>
    <w:rsid w:val="003E72C3"/>
    <w:rsid w:val="003F60D4"/>
    <w:rsid w:val="0040114E"/>
    <w:rsid w:val="00403068"/>
    <w:rsid w:val="00404982"/>
    <w:rsid w:val="004070E0"/>
    <w:rsid w:val="004071A0"/>
    <w:rsid w:val="00407E2F"/>
    <w:rsid w:val="00411E50"/>
    <w:rsid w:val="00416E1E"/>
    <w:rsid w:val="004207E8"/>
    <w:rsid w:val="00421B6A"/>
    <w:rsid w:val="004220DA"/>
    <w:rsid w:val="00422373"/>
    <w:rsid w:val="00424A87"/>
    <w:rsid w:val="004255B8"/>
    <w:rsid w:val="00425825"/>
    <w:rsid w:val="004263D5"/>
    <w:rsid w:val="00426C5C"/>
    <w:rsid w:val="004337FD"/>
    <w:rsid w:val="0043729E"/>
    <w:rsid w:val="004435BD"/>
    <w:rsid w:val="00444079"/>
    <w:rsid w:val="00444EB6"/>
    <w:rsid w:val="00445854"/>
    <w:rsid w:val="00446A57"/>
    <w:rsid w:val="00447119"/>
    <w:rsid w:val="004520FA"/>
    <w:rsid w:val="00452662"/>
    <w:rsid w:val="00452B52"/>
    <w:rsid w:val="00456EBC"/>
    <w:rsid w:val="004570B8"/>
    <w:rsid w:val="00457A62"/>
    <w:rsid w:val="00460A39"/>
    <w:rsid w:val="00467D90"/>
    <w:rsid w:val="00470B0E"/>
    <w:rsid w:val="00472C23"/>
    <w:rsid w:val="00474055"/>
    <w:rsid w:val="00474D9A"/>
    <w:rsid w:val="0047725C"/>
    <w:rsid w:val="00480F9E"/>
    <w:rsid w:val="004835FC"/>
    <w:rsid w:val="0048509F"/>
    <w:rsid w:val="0048586E"/>
    <w:rsid w:val="00485A5F"/>
    <w:rsid w:val="00494029"/>
    <w:rsid w:val="0049477F"/>
    <w:rsid w:val="0049540C"/>
    <w:rsid w:val="00496A75"/>
    <w:rsid w:val="004A59AD"/>
    <w:rsid w:val="004A7A01"/>
    <w:rsid w:val="004B2E3F"/>
    <w:rsid w:val="004B2FF0"/>
    <w:rsid w:val="004B37F7"/>
    <w:rsid w:val="004B3FF3"/>
    <w:rsid w:val="004B6962"/>
    <w:rsid w:val="004C071C"/>
    <w:rsid w:val="004C299F"/>
    <w:rsid w:val="004C3BE3"/>
    <w:rsid w:val="004C4AFE"/>
    <w:rsid w:val="004C6192"/>
    <w:rsid w:val="004C7357"/>
    <w:rsid w:val="004D26F3"/>
    <w:rsid w:val="004D2E35"/>
    <w:rsid w:val="004D4869"/>
    <w:rsid w:val="004D4D5B"/>
    <w:rsid w:val="004D553D"/>
    <w:rsid w:val="004E0509"/>
    <w:rsid w:val="004E1364"/>
    <w:rsid w:val="004E35FA"/>
    <w:rsid w:val="004E37CA"/>
    <w:rsid w:val="004E5BD1"/>
    <w:rsid w:val="004E75FD"/>
    <w:rsid w:val="004F01DF"/>
    <w:rsid w:val="004F0477"/>
    <w:rsid w:val="004F121F"/>
    <w:rsid w:val="005003C9"/>
    <w:rsid w:val="00501D91"/>
    <w:rsid w:val="00504E5F"/>
    <w:rsid w:val="005104A8"/>
    <w:rsid w:val="00510A88"/>
    <w:rsid w:val="00510E12"/>
    <w:rsid w:val="0051197A"/>
    <w:rsid w:val="00511DD8"/>
    <w:rsid w:val="00513E72"/>
    <w:rsid w:val="00514BBC"/>
    <w:rsid w:val="00515847"/>
    <w:rsid w:val="00521D82"/>
    <w:rsid w:val="005226D5"/>
    <w:rsid w:val="00526D7C"/>
    <w:rsid w:val="00527530"/>
    <w:rsid w:val="00530AB2"/>
    <w:rsid w:val="005316DA"/>
    <w:rsid w:val="00531A56"/>
    <w:rsid w:val="00531D51"/>
    <w:rsid w:val="00533954"/>
    <w:rsid w:val="005347EE"/>
    <w:rsid w:val="005377E6"/>
    <w:rsid w:val="00540D7C"/>
    <w:rsid w:val="005441E8"/>
    <w:rsid w:val="005461A0"/>
    <w:rsid w:val="00554653"/>
    <w:rsid w:val="00554F89"/>
    <w:rsid w:val="00556BC2"/>
    <w:rsid w:val="0055725A"/>
    <w:rsid w:val="005605B8"/>
    <w:rsid w:val="0056258F"/>
    <w:rsid w:val="005649AE"/>
    <w:rsid w:val="005667C1"/>
    <w:rsid w:val="00566B46"/>
    <w:rsid w:val="005676D0"/>
    <w:rsid w:val="00570CDA"/>
    <w:rsid w:val="00571E5D"/>
    <w:rsid w:val="00575974"/>
    <w:rsid w:val="00575DE8"/>
    <w:rsid w:val="0057623A"/>
    <w:rsid w:val="00576941"/>
    <w:rsid w:val="00577DD4"/>
    <w:rsid w:val="00580425"/>
    <w:rsid w:val="00581E5E"/>
    <w:rsid w:val="00582769"/>
    <w:rsid w:val="00582B38"/>
    <w:rsid w:val="0058360E"/>
    <w:rsid w:val="0058372C"/>
    <w:rsid w:val="00583DB6"/>
    <w:rsid w:val="00583FF2"/>
    <w:rsid w:val="00587557"/>
    <w:rsid w:val="00593026"/>
    <w:rsid w:val="0059401A"/>
    <w:rsid w:val="005A013A"/>
    <w:rsid w:val="005A1BE0"/>
    <w:rsid w:val="005A24AD"/>
    <w:rsid w:val="005A3874"/>
    <w:rsid w:val="005A3C23"/>
    <w:rsid w:val="005A3DA3"/>
    <w:rsid w:val="005A4145"/>
    <w:rsid w:val="005A4B61"/>
    <w:rsid w:val="005A5A11"/>
    <w:rsid w:val="005A78F5"/>
    <w:rsid w:val="005B1645"/>
    <w:rsid w:val="005B39D2"/>
    <w:rsid w:val="005B3F76"/>
    <w:rsid w:val="005B4751"/>
    <w:rsid w:val="005B61D5"/>
    <w:rsid w:val="005B6754"/>
    <w:rsid w:val="005C4296"/>
    <w:rsid w:val="005C6756"/>
    <w:rsid w:val="005C696C"/>
    <w:rsid w:val="005C6DA4"/>
    <w:rsid w:val="005D33EB"/>
    <w:rsid w:val="005D4C2A"/>
    <w:rsid w:val="005D5141"/>
    <w:rsid w:val="005D6974"/>
    <w:rsid w:val="005E07C8"/>
    <w:rsid w:val="005E13ED"/>
    <w:rsid w:val="005E317E"/>
    <w:rsid w:val="005E35DF"/>
    <w:rsid w:val="005E3F78"/>
    <w:rsid w:val="005E4216"/>
    <w:rsid w:val="005E4D7D"/>
    <w:rsid w:val="005E4EB4"/>
    <w:rsid w:val="005E7D95"/>
    <w:rsid w:val="005F0326"/>
    <w:rsid w:val="005F112B"/>
    <w:rsid w:val="005F1D62"/>
    <w:rsid w:val="005F3A40"/>
    <w:rsid w:val="005F7240"/>
    <w:rsid w:val="005F74F5"/>
    <w:rsid w:val="006029C5"/>
    <w:rsid w:val="006057B6"/>
    <w:rsid w:val="00605E09"/>
    <w:rsid w:val="00607C90"/>
    <w:rsid w:val="00610A32"/>
    <w:rsid w:val="006119E2"/>
    <w:rsid w:val="00612870"/>
    <w:rsid w:val="00613620"/>
    <w:rsid w:val="00615578"/>
    <w:rsid w:val="006208AA"/>
    <w:rsid w:val="0062351C"/>
    <w:rsid w:val="00624651"/>
    <w:rsid w:val="006272BD"/>
    <w:rsid w:val="00631AAC"/>
    <w:rsid w:val="00633825"/>
    <w:rsid w:val="00633FBF"/>
    <w:rsid w:val="00635E90"/>
    <w:rsid w:val="006374D3"/>
    <w:rsid w:val="006408E9"/>
    <w:rsid w:val="00642A6E"/>
    <w:rsid w:val="00642B0C"/>
    <w:rsid w:val="006466C3"/>
    <w:rsid w:val="0065072D"/>
    <w:rsid w:val="00655FFE"/>
    <w:rsid w:val="00660FEA"/>
    <w:rsid w:val="006610B4"/>
    <w:rsid w:val="006614B4"/>
    <w:rsid w:val="00664BA4"/>
    <w:rsid w:val="0066610E"/>
    <w:rsid w:val="00667886"/>
    <w:rsid w:val="0067036F"/>
    <w:rsid w:val="00670C9B"/>
    <w:rsid w:val="00670E2B"/>
    <w:rsid w:val="00671383"/>
    <w:rsid w:val="00671841"/>
    <w:rsid w:val="006724F6"/>
    <w:rsid w:val="00672EF0"/>
    <w:rsid w:val="006736E9"/>
    <w:rsid w:val="00674BFC"/>
    <w:rsid w:val="00676A12"/>
    <w:rsid w:val="00677A1B"/>
    <w:rsid w:val="00681ACB"/>
    <w:rsid w:val="00682261"/>
    <w:rsid w:val="006851C6"/>
    <w:rsid w:val="00685387"/>
    <w:rsid w:val="006932D5"/>
    <w:rsid w:val="0069403A"/>
    <w:rsid w:val="00694DB6"/>
    <w:rsid w:val="00695949"/>
    <w:rsid w:val="00695E2D"/>
    <w:rsid w:val="00697F89"/>
    <w:rsid w:val="006A0DE6"/>
    <w:rsid w:val="006A509C"/>
    <w:rsid w:val="006A5224"/>
    <w:rsid w:val="006A7F53"/>
    <w:rsid w:val="006B40B1"/>
    <w:rsid w:val="006B6AEF"/>
    <w:rsid w:val="006B7060"/>
    <w:rsid w:val="006B7557"/>
    <w:rsid w:val="006B7953"/>
    <w:rsid w:val="006C0BDB"/>
    <w:rsid w:val="006C0C7E"/>
    <w:rsid w:val="006C3016"/>
    <w:rsid w:val="006D1703"/>
    <w:rsid w:val="006D26A6"/>
    <w:rsid w:val="006D56BE"/>
    <w:rsid w:val="006D6EF0"/>
    <w:rsid w:val="006D752F"/>
    <w:rsid w:val="006E1888"/>
    <w:rsid w:val="006E30F0"/>
    <w:rsid w:val="006E338C"/>
    <w:rsid w:val="006E4B09"/>
    <w:rsid w:val="006F75C9"/>
    <w:rsid w:val="00702C94"/>
    <w:rsid w:val="00704507"/>
    <w:rsid w:val="00713277"/>
    <w:rsid w:val="007145B0"/>
    <w:rsid w:val="0071577E"/>
    <w:rsid w:val="00720ECB"/>
    <w:rsid w:val="0072188D"/>
    <w:rsid w:val="00721CFE"/>
    <w:rsid w:val="007269C0"/>
    <w:rsid w:val="0073052C"/>
    <w:rsid w:val="00731BAC"/>
    <w:rsid w:val="0073401B"/>
    <w:rsid w:val="007350E8"/>
    <w:rsid w:val="00737E00"/>
    <w:rsid w:val="00741F77"/>
    <w:rsid w:val="007420CA"/>
    <w:rsid w:val="00742F18"/>
    <w:rsid w:val="007431BC"/>
    <w:rsid w:val="00743689"/>
    <w:rsid w:val="00746450"/>
    <w:rsid w:val="007475C2"/>
    <w:rsid w:val="00747ADA"/>
    <w:rsid w:val="00752814"/>
    <w:rsid w:val="00756E80"/>
    <w:rsid w:val="0076349F"/>
    <w:rsid w:val="00763513"/>
    <w:rsid w:val="007639DB"/>
    <w:rsid w:val="00763D97"/>
    <w:rsid w:val="007640BF"/>
    <w:rsid w:val="0077006C"/>
    <w:rsid w:val="00771253"/>
    <w:rsid w:val="00771409"/>
    <w:rsid w:val="00773E7B"/>
    <w:rsid w:val="00774D6A"/>
    <w:rsid w:val="00774E8D"/>
    <w:rsid w:val="00776C60"/>
    <w:rsid w:val="007811D5"/>
    <w:rsid w:val="0078328C"/>
    <w:rsid w:val="007847EC"/>
    <w:rsid w:val="00784DFD"/>
    <w:rsid w:val="007854BD"/>
    <w:rsid w:val="007876C3"/>
    <w:rsid w:val="00796D96"/>
    <w:rsid w:val="00797750"/>
    <w:rsid w:val="007977CD"/>
    <w:rsid w:val="007A5828"/>
    <w:rsid w:val="007A5E98"/>
    <w:rsid w:val="007A5FBF"/>
    <w:rsid w:val="007A610C"/>
    <w:rsid w:val="007A7679"/>
    <w:rsid w:val="007B3359"/>
    <w:rsid w:val="007B5FC0"/>
    <w:rsid w:val="007B6A99"/>
    <w:rsid w:val="007B7E87"/>
    <w:rsid w:val="007C090A"/>
    <w:rsid w:val="007C5861"/>
    <w:rsid w:val="007C5BDD"/>
    <w:rsid w:val="007C6CE4"/>
    <w:rsid w:val="007D1CF0"/>
    <w:rsid w:val="007D5CFD"/>
    <w:rsid w:val="007E1817"/>
    <w:rsid w:val="007E382F"/>
    <w:rsid w:val="007E7C92"/>
    <w:rsid w:val="007F2EDE"/>
    <w:rsid w:val="007F3928"/>
    <w:rsid w:val="007F3B52"/>
    <w:rsid w:val="00802271"/>
    <w:rsid w:val="00803207"/>
    <w:rsid w:val="00803A66"/>
    <w:rsid w:val="00806ECE"/>
    <w:rsid w:val="00810AF4"/>
    <w:rsid w:val="00812581"/>
    <w:rsid w:val="00814D3E"/>
    <w:rsid w:val="008172B4"/>
    <w:rsid w:val="00820BE8"/>
    <w:rsid w:val="00821B2D"/>
    <w:rsid w:val="00821F92"/>
    <w:rsid w:val="008227A6"/>
    <w:rsid w:val="00824346"/>
    <w:rsid w:val="00827401"/>
    <w:rsid w:val="00830387"/>
    <w:rsid w:val="00830BBC"/>
    <w:rsid w:val="0083212F"/>
    <w:rsid w:val="00840687"/>
    <w:rsid w:val="00840A3F"/>
    <w:rsid w:val="00841AC0"/>
    <w:rsid w:val="008436DF"/>
    <w:rsid w:val="00845C9E"/>
    <w:rsid w:val="00850F84"/>
    <w:rsid w:val="00855325"/>
    <w:rsid w:val="00855755"/>
    <w:rsid w:val="00857BEF"/>
    <w:rsid w:val="008608A5"/>
    <w:rsid w:val="0086218A"/>
    <w:rsid w:val="008623FD"/>
    <w:rsid w:val="0086483B"/>
    <w:rsid w:val="00864A9F"/>
    <w:rsid w:val="00867190"/>
    <w:rsid w:val="0087323C"/>
    <w:rsid w:val="00874BDA"/>
    <w:rsid w:val="0087636E"/>
    <w:rsid w:val="00876E75"/>
    <w:rsid w:val="00877502"/>
    <w:rsid w:val="00880046"/>
    <w:rsid w:val="00880B52"/>
    <w:rsid w:val="00882F40"/>
    <w:rsid w:val="00885CDE"/>
    <w:rsid w:val="008878D9"/>
    <w:rsid w:val="008923C9"/>
    <w:rsid w:val="00896CAA"/>
    <w:rsid w:val="00896F81"/>
    <w:rsid w:val="008A0CB3"/>
    <w:rsid w:val="008A47BF"/>
    <w:rsid w:val="008B0E27"/>
    <w:rsid w:val="008B381D"/>
    <w:rsid w:val="008B4966"/>
    <w:rsid w:val="008B4F27"/>
    <w:rsid w:val="008B6800"/>
    <w:rsid w:val="008B6E51"/>
    <w:rsid w:val="008B79F6"/>
    <w:rsid w:val="008C192E"/>
    <w:rsid w:val="008C3E9F"/>
    <w:rsid w:val="008C4B55"/>
    <w:rsid w:val="008C7249"/>
    <w:rsid w:val="008D03B3"/>
    <w:rsid w:val="008D0738"/>
    <w:rsid w:val="008D1302"/>
    <w:rsid w:val="008D300F"/>
    <w:rsid w:val="008D32BC"/>
    <w:rsid w:val="008D3354"/>
    <w:rsid w:val="008D4E30"/>
    <w:rsid w:val="008D566D"/>
    <w:rsid w:val="008D7DE4"/>
    <w:rsid w:val="008E4D7B"/>
    <w:rsid w:val="008E4F87"/>
    <w:rsid w:val="008F1177"/>
    <w:rsid w:val="008F4CBA"/>
    <w:rsid w:val="008F79F7"/>
    <w:rsid w:val="00901644"/>
    <w:rsid w:val="009027AD"/>
    <w:rsid w:val="00906F13"/>
    <w:rsid w:val="00911631"/>
    <w:rsid w:val="00911EC0"/>
    <w:rsid w:val="00911FF4"/>
    <w:rsid w:val="0091247B"/>
    <w:rsid w:val="00920CF2"/>
    <w:rsid w:val="009223B3"/>
    <w:rsid w:val="0092296E"/>
    <w:rsid w:val="0092675A"/>
    <w:rsid w:val="009313CE"/>
    <w:rsid w:val="0093293F"/>
    <w:rsid w:val="00935F73"/>
    <w:rsid w:val="00936518"/>
    <w:rsid w:val="009450EF"/>
    <w:rsid w:val="009461EC"/>
    <w:rsid w:val="00950D81"/>
    <w:rsid w:val="00952E57"/>
    <w:rsid w:val="009539AC"/>
    <w:rsid w:val="00954288"/>
    <w:rsid w:val="00955769"/>
    <w:rsid w:val="0095725B"/>
    <w:rsid w:val="0095785F"/>
    <w:rsid w:val="00962EE4"/>
    <w:rsid w:val="00963DEB"/>
    <w:rsid w:val="00966359"/>
    <w:rsid w:val="00967167"/>
    <w:rsid w:val="009677B7"/>
    <w:rsid w:val="00971352"/>
    <w:rsid w:val="00972B46"/>
    <w:rsid w:val="0097540E"/>
    <w:rsid w:val="00982331"/>
    <w:rsid w:val="00983BCF"/>
    <w:rsid w:val="00986076"/>
    <w:rsid w:val="00987559"/>
    <w:rsid w:val="00987F51"/>
    <w:rsid w:val="00990385"/>
    <w:rsid w:val="0099099D"/>
    <w:rsid w:val="00990FA5"/>
    <w:rsid w:val="00991083"/>
    <w:rsid w:val="00994721"/>
    <w:rsid w:val="009964FA"/>
    <w:rsid w:val="009968F1"/>
    <w:rsid w:val="009A1AD2"/>
    <w:rsid w:val="009A1F26"/>
    <w:rsid w:val="009A2B30"/>
    <w:rsid w:val="009A5ECB"/>
    <w:rsid w:val="009A715A"/>
    <w:rsid w:val="009B1439"/>
    <w:rsid w:val="009B6120"/>
    <w:rsid w:val="009B775C"/>
    <w:rsid w:val="009C0A5F"/>
    <w:rsid w:val="009C0B41"/>
    <w:rsid w:val="009C5599"/>
    <w:rsid w:val="009C6685"/>
    <w:rsid w:val="009D0017"/>
    <w:rsid w:val="009D00CB"/>
    <w:rsid w:val="009D041B"/>
    <w:rsid w:val="009D37D0"/>
    <w:rsid w:val="009E1F73"/>
    <w:rsid w:val="009E3067"/>
    <w:rsid w:val="009E39F3"/>
    <w:rsid w:val="009E492A"/>
    <w:rsid w:val="009E4EB0"/>
    <w:rsid w:val="009E638C"/>
    <w:rsid w:val="009E68A3"/>
    <w:rsid w:val="009E6C16"/>
    <w:rsid w:val="009E735D"/>
    <w:rsid w:val="009E7E1C"/>
    <w:rsid w:val="009F1F9B"/>
    <w:rsid w:val="009F394B"/>
    <w:rsid w:val="009F3A1F"/>
    <w:rsid w:val="009F3E49"/>
    <w:rsid w:val="009F4496"/>
    <w:rsid w:val="00A025F7"/>
    <w:rsid w:val="00A0516B"/>
    <w:rsid w:val="00A054E8"/>
    <w:rsid w:val="00A17484"/>
    <w:rsid w:val="00A2226C"/>
    <w:rsid w:val="00A242C9"/>
    <w:rsid w:val="00A25AB3"/>
    <w:rsid w:val="00A26CB9"/>
    <w:rsid w:val="00A27B83"/>
    <w:rsid w:val="00A31F24"/>
    <w:rsid w:val="00A33405"/>
    <w:rsid w:val="00A3371D"/>
    <w:rsid w:val="00A36A29"/>
    <w:rsid w:val="00A36A56"/>
    <w:rsid w:val="00A36BDA"/>
    <w:rsid w:val="00A37280"/>
    <w:rsid w:val="00A40F9F"/>
    <w:rsid w:val="00A41867"/>
    <w:rsid w:val="00A4238E"/>
    <w:rsid w:val="00A4327D"/>
    <w:rsid w:val="00A44FE6"/>
    <w:rsid w:val="00A47215"/>
    <w:rsid w:val="00A47754"/>
    <w:rsid w:val="00A50967"/>
    <w:rsid w:val="00A51B69"/>
    <w:rsid w:val="00A51E40"/>
    <w:rsid w:val="00A53759"/>
    <w:rsid w:val="00A53B9B"/>
    <w:rsid w:val="00A61871"/>
    <w:rsid w:val="00A62689"/>
    <w:rsid w:val="00A62D3C"/>
    <w:rsid w:val="00A634AC"/>
    <w:rsid w:val="00A67BB1"/>
    <w:rsid w:val="00A71658"/>
    <w:rsid w:val="00A72F54"/>
    <w:rsid w:val="00A73B45"/>
    <w:rsid w:val="00A761C7"/>
    <w:rsid w:val="00A8009B"/>
    <w:rsid w:val="00A800CF"/>
    <w:rsid w:val="00A83C33"/>
    <w:rsid w:val="00A85031"/>
    <w:rsid w:val="00A8616A"/>
    <w:rsid w:val="00A93588"/>
    <w:rsid w:val="00A94D52"/>
    <w:rsid w:val="00A95977"/>
    <w:rsid w:val="00A959CE"/>
    <w:rsid w:val="00A95CA1"/>
    <w:rsid w:val="00A96C08"/>
    <w:rsid w:val="00A9775D"/>
    <w:rsid w:val="00AA07FC"/>
    <w:rsid w:val="00AA7634"/>
    <w:rsid w:val="00AB0A1A"/>
    <w:rsid w:val="00AB2769"/>
    <w:rsid w:val="00AB2A7A"/>
    <w:rsid w:val="00AB2B55"/>
    <w:rsid w:val="00AB4358"/>
    <w:rsid w:val="00AB5B8F"/>
    <w:rsid w:val="00AB7245"/>
    <w:rsid w:val="00AB79F0"/>
    <w:rsid w:val="00AC3878"/>
    <w:rsid w:val="00AC3BBB"/>
    <w:rsid w:val="00AC497C"/>
    <w:rsid w:val="00AD533B"/>
    <w:rsid w:val="00AD7DB5"/>
    <w:rsid w:val="00AE022A"/>
    <w:rsid w:val="00AE4179"/>
    <w:rsid w:val="00AE60AA"/>
    <w:rsid w:val="00AF102B"/>
    <w:rsid w:val="00AF3B0E"/>
    <w:rsid w:val="00AF54F5"/>
    <w:rsid w:val="00AF56F3"/>
    <w:rsid w:val="00AF7ECB"/>
    <w:rsid w:val="00B03A00"/>
    <w:rsid w:val="00B04403"/>
    <w:rsid w:val="00B047EF"/>
    <w:rsid w:val="00B059DE"/>
    <w:rsid w:val="00B106DD"/>
    <w:rsid w:val="00B135DF"/>
    <w:rsid w:val="00B14819"/>
    <w:rsid w:val="00B151C9"/>
    <w:rsid w:val="00B1597D"/>
    <w:rsid w:val="00B1600D"/>
    <w:rsid w:val="00B17C83"/>
    <w:rsid w:val="00B202A8"/>
    <w:rsid w:val="00B20343"/>
    <w:rsid w:val="00B20907"/>
    <w:rsid w:val="00B232A5"/>
    <w:rsid w:val="00B2341E"/>
    <w:rsid w:val="00B23C26"/>
    <w:rsid w:val="00B24927"/>
    <w:rsid w:val="00B251C0"/>
    <w:rsid w:val="00B26319"/>
    <w:rsid w:val="00B2667E"/>
    <w:rsid w:val="00B267D0"/>
    <w:rsid w:val="00B2716B"/>
    <w:rsid w:val="00B30195"/>
    <w:rsid w:val="00B3182B"/>
    <w:rsid w:val="00B33479"/>
    <w:rsid w:val="00B35503"/>
    <w:rsid w:val="00B36D6A"/>
    <w:rsid w:val="00B40224"/>
    <w:rsid w:val="00B41AAC"/>
    <w:rsid w:val="00B4221A"/>
    <w:rsid w:val="00B43376"/>
    <w:rsid w:val="00B545F3"/>
    <w:rsid w:val="00B568EF"/>
    <w:rsid w:val="00B6268C"/>
    <w:rsid w:val="00B648B0"/>
    <w:rsid w:val="00B64FAD"/>
    <w:rsid w:val="00B65D4F"/>
    <w:rsid w:val="00B65D72"/>
    <w:rsid w:val="00B75A4B"/>
    <w:rsid w:val="00B77780"/>
    <w:rsid w:val="00B81631"/>
    <w:rsid w:val="00B8283B"/>
    <w:rsid w:val="00B83B30"/>
    <w:rsid w:val="00B83C4E"/>
    <w:rsid w:val="00B8621E"/>
    <w:rsid w:val="00B93233"/>
    <w:rsid w:val="00B93A8F"/>
    <w:rsid w:val="00B946C8"/>
    <w:rsid w:val="00B9509C"/>
    <w:rsid w:val="00B976D4"/>
    <w:rsid w:val="00BA14BE"/>
    <w:rsid w:val="00BA1EEE"/>
    <w:rsid w:val="00BA2030"/>
    <w:rsid w:val="00BA21B5"/>
    <w:rsid w:val="00BA3483"/>
    <w:rsid w:val="00BA3C76"/>
    <w:rsid w:val="00BA6964"/>
    <w:rsid w:val="00BA789B"/>
    <w:rsid w:val="00BA7D00"/>
    <w:rsid w:val="00BB2CC6"/>
    <w:rsid w:val="00BB7D3F"/>
    <w:rsid w:val="00BC0B6E"/>
    <w:rsid w:val="00BC456D"/>
    <w:rsid w:val="00BC5D8C"/>
    <w:rsid w:val="00BC7B87"/>
    <w:rsid w:val="00BD62B1"/>
    <w:rsid w:val="00BD6426"/>
    <w:rsid w:val="00BD6464"/>
    <w:rsid w:val="00BD65C7"/>
    <w:rsid w:val="00BD74E6"/>
    <w:rsid w:val="00BE246F"/>
    <w:rsid w:val="00BE2CDF"/>
    <w:rsid w:val="00BE30FF"/>
    <w:rsid w:val="00BE4D29"/>
    <w:rsid w:val="00BE66B9"/>
    <w:rsid w:val="00BF29E7"/>
    <w:rsid w:val="00BF41B5"/>
    <w:rsid w:val="00BF46B7"/>
    <w:rsid w:val="00BF6267"/>
    <w:rsid w:val="00BF6402"/>
    <w:rsid w:val="00BF77DE"/>
    <w:rsid w:val="00C03380"/>
    <w:rsid w:val="00C04B7D"/>
    <w:rsid w:val="00C04DDD"/>
    <w:rsid w:val="00C06B1C"/>
    <w:rsid w:val="00C10D8A"/>
    <w:rsid w:val="00C117ED"/>
    <w:rsid w:val="00C120D0"/>
    <w:rsid w:val="00C17314"/>
    <w:rsid w:val="00C20FB3"/>
    <w:rsid w:val="00C22364"/>
    <w:rsid w:val="00C22C55"/>
    <w:rsid w:val="00C23415"/>
    <w:rsid w:val="00C23A64"/>
    <w:rsid w:val="00C244A8"/>
    <w:rsid w:val="00C24BF8"/>
    <w:rsid w:val="00C26480"/>
    <w:rsid w:val="00C2741A"/>
    <w:rsid w:val="00C27CDC"/>
    <w:rsid w:val="00C33B0C"/>
    <w:rsid w:val="00C34422"/>
    <w:rsid w:val="00C379A8"/>
    <w:rsid w:val="00C45651"/>
    <w:rsid w:val="00C5757F"/>
    <w:rsid w:val="00C57D2F"/>
    <w:rsid w:val="00C609D5"/>
    <w:rsid w:val="00C60F79"/>
    <w:rsid w:val="00C61064"/>
    <w:rsid w:val="00C62545"/>
    <w:rsid w:val="00C64F05"/>
    <w:rsid w:val="00C741FD"/>
    <w:rsid w:val="00C77BF2"/>
    <w:rsid w:val="00C800D6"/>
    <w:rsid w:val="00C806CF"/>
    <w:rsid w:val="00C812E9"/>
    <w:rsid w:val="00C81549"/>
    <w:rsid w:val="00C81713"/>
    <w:rsid w:val="00C838BE"/>
    <w:rsid w:val="00C866CB"/>
    <w:rsid w:val="00C866F8"/>
    <w:rsid w:val="00C86967"/>
    <w:rsid w:val="00C86D79"/>
    <w:rsid w:val="00C91B8E"/>
    <w:rsid w:val="00C920BF"/>
    <w:rsid w:val="00C93213"/>
    <w:rsid w:val="00CA0DE5"/>
    <w:rsid w:val="00CA2CB8"/>
    <w:rsid w:val="00CA3DF4"/>
    <w:rsid w:val="00CA4CCC"/>
    <w:rsid w:val="00CA507E"/>
    <w:rsid w:val="00CA56F0"/>
    <w:rsid w:val="00CA5A54"/>
    <w:rsid w:val="00CB17F5"/>
    <w:rsid w:val="00CB4247"/>
    <w:rsid w:val="00CB5011"/>
    <w:rsid w:val="00CB6096"/>
    <w:rsid w:val="00CB758C"/>
    <w:rsid w:val="00CC24BD"/>
    <w:rsid w:val="00CC28A5"/>
    <w:rsid w:val="00CC295A"/>
    <w:rsid w:val="00CC43AB"/>
    <w:rsid w:val="00CC646E"/>
    <w:rsid w:val="00CC6D6B"/>
    <w:rsid w:val="00CD0F5D"/>
    <w:rsid w:val="00CD137B"/>
    <w:rsid w:val="00CD2D59"/>
    <w:rsid w:val="00CD60C6"/>
    <w:rsid w:val="00CE1E10"/>
    <w:rsid w:val="00CE448A"/>
    <w:rsid w:val="00CE4FE9"/>
    <w:rsid w:val="00CE5515"/>
    <w:rsid w:val="00CE59D9"/>
    <w:rsid w:val="00CF2EB0"/>
    <w:rsid w:val="00CF2EC8"/>
    <w:rsid w:val="00CF76FB"/>
    <w:rsid w:val="00D0235D"/>
    <w:rsid w:val="00D03EF1"/>
    <w:rsid w:val="00D05800"/>
    <w:rsid w:val="00D05A10"/>
    <w:rsid w:val="00D07335"/>
    <w:rsid w:val="00D07522"/>
    <w:rsid w:val="00D07DFB"/>
    <w:rsid w:val="00D10C8A"/>
    <w:rsid w:val="00D118F1"/>
    <w:rsid w:val="00D14CD2"/>
    <w:rsid w:val="00D15F2B"/>
    <w:rsid w:val="00D16AC1"/>
    <w:rsid w:val="00D17B09"/>
    <w:rsid w:val="00D20056"/>
    <w:rsid w:val="00D250FD"/>
    <w:rsid w:val="00D25B9E"/>
    <w:rsid w:val="00D27AE7"/>
    <w:rsid w:val="00D30DC7"/>
    <w:rsid w:val="00D328BB"/>
    <w:rsid w:val="00D35C38"/>
    <w:rsid w:val="00D36137"/>
    <w:rsid w:val="00D37A38"/>
    <w:rsid w:val="00D37DCB"/>
    <w:rsid w:val="00D4066E"/>
    <w:rsid w:val="00D40DE3"/>
    <w:rsid w:val="00D4275F"/>
    <w:rsid w:val="00D43C55"/>
    <w:rsid w:val="00D4424D"/>
    <w:rsid w:val="00D464F6"/>
    <w:rsid w:val="00D50605"/>
    <w:rsid w:val="00D52BB6"/>
    <w:rsid w:val="00D54F18"/>
    <w:rsid w:val="00D559C7"/>
    <w:rsid w:val="00D55A38"/>
    <w:rsid w:val="00D6009A"/>
    <w:rsid w:val="00D6120E"/>
    <w:rsid w:val="00D62584"/>
    <w:rsid w:val="00D6584A"/>
    <w:rsid w:val="00D6638D"/>
    <w:rsid w:val="00D66CE5"/>
    <w:rsid w:val="00D67F3D"/>
    <w:rsid w:val="00D7108E"/>
    <w:rsid w:val="00D74B94"/>
    <w:rsid w:val="00D762BC"/>
    <w:rsid w:val="00D77F11"/>
    <w:rsid w:val="00D81FC2"/>
    <w:rsid w:val="00D83F17"/>
    <w:rsid w:val="00D844CA"/>
    <w:rsid w:val="00D85E7C"/>
    <w:rsid w:val="00D867CE"/>
    <w:rsid w:val="00D93C84"/>
    <w:rsid w:val="00D9411E"/>
    <w:rsid w:val="00D94D27"/>
    <w:rsid w:val="00D95059"/>
    <w:rsid w:val="00D95549"/>
    <w:rsid w:val="00D963C9"/>
    <w:rsid w:val="00DA58B7"/>
    <w:rsid w:val="00DB02D9"/>
    <w:rsid w:val="00DB29FF"/>
    <w:rsid w:val="00DB2B64"/>
    <w:rsid w:val="00DB2E63"/>
    <w:rsid w:val="00DB3C86"/>
    <w:rsid w:val="00DC102B"/>
    <w:rsid w:val="00DC13F2"/>
    <w:rsid w:val="00DC1F15"/>
    <w:rsid w:val="00DC20EF"/>
    <w:rsid w:val="00DC29FE"/>
    <w:rsid w:val="00DC66B3"/>
    <w:rsid w:val="00DC6EB8"/>
    <w:rsid w:val="00DD0A15"/>
    <w:rsid w:val="00DD10FA"/>
    <w:rsid w:val="00DD4DC9"/>
    <w:rsid w:val="00DD523B"/>
    <w:rsid w:val="00DD6F1B"/>
    <w:rsid w:val="00DD7970"/>
    <w:rsid w:val="00DE234D"/>
    <w:rsid w:val="00DE2888"/>
    <w:rsid w:val="00DE3906"/>
    <w:rsid w:val="00DE3940"/>
    <w:rsid w:val="00DE4238"/>
    <w:rsid w:val="00DE4C89"/>
    <w:rsid w:val="00DE5A86"/>
    <w:rsid w:val="00DE776B"/>
    <w:rsid w:val="00DF0232"/>
    <w:rsid w:val="00DF05B4"/>
    <w:rsid w:val="00DF4EFD"/>
    <w:rsid w:val="00DF5D42"/>
    <w:rsid w:val="00DF5FDC"/>
    <w:rsid w:val="00E029D4"/>
    <w:rsid w:val="00E0460C"/>
    <w:rsid w:val="00E0492C"/>
    <w:rsid w:val="00E049BA"/>
    <w:rsid w:val="00E04CCD"/>
    <w:rsid w:val="00E05733"/>
    <w:rsid w:val="00E10361"/>
    <w:rsid w:val="00E134E9"/>
    <w:rsid w:val="00E1764F"/>
    <w:rsid w:val="00E17BDC"/>
    <w:rsid w:val="00E220DC"/>
    <w:rsid w:val="00E22186"/>
    <w:rsid w:val="00E271F5"/>
    <w:rsid w:val="00E27F34"/>
    <w:rsid w:val="00E330F6"/>
    <w:rsid w:val="00E34494"/>
    <w:rsid w:val="00E347CF"/>
    <w:rsid w:val="00E362F5"/>
    <w:rsid w:val="00E40412"/>
    <w:rsid w:val="00E41F31"/>
    <w:rsid w:val="00E43352"/>
    <w:rsid w:val="00E4594A"/>
    <w:rsid w:val="00E45C0C"/>
    <w:rsid w:val="00E46298"/>
    <w:rsid w:val="00E51AA6"/>
    <w:rsid w:val="00E5421A"/>
    <w:rsid w:val="00E570C0"/>
    <w:rsid w:val="00E57FD1"/>
    <w:rsid w:val="00E609BA"/>
    <w:rsid w:val="00E61AD9"/>
    <w:rsid w:val="00E6480E"/>
    <w:rsid w:val="00E64E2D"/>
    <w:rsid w:val="00E65D1F"/>
    <w:rsid w:val="00E668AF"/>
    <w:rsid w:val="00E66F7B"/>
    <w:rsid w:val="00E72EB8"/>
    <w:rsid w:val="00E72EE8"/>
    <w:rsid w:val="00E77396"/>
    <w:rsid w:val="00E86DE1"/>
    <w:rsid w:val="00E87DD0"/>
    <w:rsid w:val="00E90FC1"/>
    <w:rsid w:val="00E92088"/>
    <w:rsid w:val="00E93753"/>
    <w:rsid w:val="00E95231"/>
    <w:rsid w:val="00E954DE"/>
    <w:rsid w:val="00E95B4D"/>
    <w:rsid w:val="00E968E1"/>
    <w:rsid w:val="00E96D3B"/>
    <w:rsid w:val="00EA148E"/>
    <w:rsid w:val="00EA1FC6"/>
    <w:rsid w:val="00EA31EC"/>
    <w:rsid w:val="00EA7A85"/>
    <w:rsid w:val="00EB04FA"/>
    <w:rsid w:val="00EB0C4B"/>
    <w:rsid w:val="00EB3C5E"/>
    <w:rsid w:val="00EB4EA0"/>
    <w:rsid w:val="00EB5827"/>
    <w:rsid w:val="00EB7239"/>
    <w:rsid w:val="00EC0F37"/>
    <w:rsid w:val="00EC1B70"/>
    <w:rsid w:val="00EC3AFB"/>
    <w:rsid w:val="00ED1B02"/>
    <w:rsid w:val="00ED3C76"/>
    <w:rsid w:val="00ED4D22"/>
    <w:rsid w:val="00ED7257"/>
    <w:rsid w:val="00ED7E47"/>
    <w:rsid w:val="00EE008A"/>
    <w:rsid w:val="00EE28C8"/>
    <w:rsid w:val="00EE305D"/>
    <w:rsid w:val="00EE5724"/>
    <w:rsid w:val="00EE6622"/>
    <w:rsid w:val="00EE6F88"/>
    <w:rsid w:val="00EE7D8C"/>
    <w:rsid w:val="00EF1455"/>
    <w:rsid w:val="00EF172E"/>
    <w:rsid w:val="00EF275B"/>
    <w:rsid w:val="00EF407F"/>
    <w:rsid w:val="00EF4688"/>
    <w:rsid w:val="00EF5E72"/>
    <w:rsid w:val="00EF6E27"/>
    <w:rsid w:val="00EF7D50"/>
    <w:rsid w:val="00F0110C"/>
    <w:rsid w:val="00F013AA"/>
    <w:rsid w:val="00F0211A"/>
    <w:rsid w:val="00F03AAF"/>
    <w:rsid w:val="00F0410B"/>
    <w:rsid w:val="00F0641E"/>
    <w:rsid w:val="00F073D5"/>
    <w:rsid w:val="00F11AFF"/>
    <w:rsid w:val="00F11CCE"/>
    <w:rsid w:val="00F11E33"/>
    <w:rsid w:val="00F11E6D"/>
    <w:rsid w:val="00F13A43"/>
    <w:rsid w:val="00F16992"/>
    <w:rsid w:val="00F179C9"/>
    <w:rsid w:val="00F22421"/>
    <w:rsid w:val="00F22F68"/>
    <w:rsid w:val="00F236B3"/>
    <w:rsid w:val="00F26EED"/>
    <w:rsid w:val="00F2774E"/>
    <w:rsid w:val="00F2786E"/>
    <w:rsid w:val="00F3054F"/>
    <w:rsid w:val="00F306CF"/>
    <w:rsid w:val="00F30FD1"/>
    <w:rsid w:val="00F32D7E"/>
    <w:rsid w:val="00F3522A"/>
    <w:rsid w:val="00F36E22"/>
    <w:rsid w:val="00F418D7"/>
    <w:rsid w:val="00F450E7"/>
    <w:rsid w:val="00F45519"/>
    <w:rsid w:val="00F51C58"/>
    <w:rsid w:val="00F537A1"/>
    <w:rsid w:val="00F56D4B"/>
    <w:rsid w:val="00F61D21"/>
    <w:rsid w:val="00F625AA"/>
    <w:rsid w:val="00F62785"/>
    <w:rsid w:val="00F631F2"/>
    <w:rsid w:val="00F65941"/>
    <w:rsid w:val="00F67F1F"/>
    <w:rsid w:val="00F7081C"/>
    <w:rsid w:val="00F70AFF"/>
    <w:rsid w:val="00F72B3A"/>
    <w:rsid w:val="00F72B9B"/>
    <w:rsid w:val="00F74547"/>
    <w:rsid w:val="00F74F05"/>
    <w:rsid w:val="00F761B1"/>
    <w:rsid w:val="00F765C3"/>
    <w:rsid w:val="00F80D35"/>
    <w:rsid w:val="00F86609"/>
    <w:rsid w:val="00F94218"/>
    <w:rsid w:val="00F94305"/>
    <w:rsid w:val="00F955D4"/>
    <w:rsid w:val="00F9761A"/>
    <w:rsid w:val="00F97DD2"/>
    <w:rsid w:val="00FA0627"/>
    <w:rsid w:val="00FA3226"/>
    <w:rsid w:val="00FB203E"/>
    <w:rsid w:val="00FB3542"/>
    <w:rsid w:val="00FB760B"/>
    <w:rsid w:val="00FC0333"/>
    <w:rsid w:val="00FC46AC"/>
    <w:rsid w:val="00FC4823"/>
    <w:rsid w:val="00FC7FF3"/>
    <w:rsid w:val="00FD171A"/>
    <w:rsid w:val="00FD44F3"/>
    <w:rsid w:val="00FD7018"/>
    <w:rsid w:val="00FD734B"/>
    <w:rsid w:val="00FD7BA2"/>
    <w:rsid w:val="00FE0B15"/>
    <w:rsid w:val="00FE1261"/>
    <w:rsid w:val="00FE3444"/>
    <w:rsid w:val="00FF0002"/>
    <w:rsid w:val="00FF125F"/>
    <w:rsid w:val="00FF61B9"/>
    <w:rsid w:val="00FF74FC"/>
    <w:rsid w:val="00FF7A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1F3C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11D5"/>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1"/>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1"/>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1"/>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1"/>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1"/>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1"/>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1"/>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Ttulo">
    <w:name w:val="Title"/>
    <w:aliases w:val="Titulares"/>
    <w:basedOn w:val="Normal"/>
    <w:link w:val="TtuloCar"/>
    <w:qFormat/>
    <w:rsid w:val="00695E2D"/>
    <w:pPr>
      <w:jc w:val="left"/>
    </w:pPr>
    <w:rPr>
      <w:rFonts w:eastAsia="Times New Roman" w:cs="Times New Roman"/>
      <w:b/>
      <w:color w:val="0D0D0D" w:themeColor="text1" w:themeTint="F2"/>
      <w:sz w:val="44"/>
      <w:szCs w:val="20"/>
    </w:rPr>
  </w:style>
  <w:style w:type="character" w:customStyle="1" w:styleId="TtuloCar">
    <w:name w:val="Título Car"/>
    <w:aliases w:val="Titulares Car"/>
    <w:basedOn w:val="Fuentedeprrafopredeter"/>
    <w:link w:val="Ttul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ascii="Futura T OT" w:eastAsia="Times New Roman" w:hAnsi="Futura T OT"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ascii="Futura T OT" w:eastAsia="Times New Roman" w:hAnsi="Futura T OT"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ascii="Futura T OT" w:eastAsia="Times New Roman" w:hAnsi="Futura T OT" w:cs="Times New Roman"/>
      <w:sz w:val="22"/>
      <w:szCs w:val="22"/>
      <w:lang w:val="es-MX" w:eastAsia="en-US"/>
    </w:rPr>
  </w:style>
  <w:style w:type="character" w:customStyle="1" w:styleId="Ttulo6Car">
    <w:name w:val="Título 6 Car"/>
    <w:basedOn w:val="Fuentedeprrafopredeter"/>
    <w:link w:val="Ttulo6"/>
    <w:uiPriority w:val="9"/>
    <w:rsid w:val="00774E8D"/>
    <w:rPr>
      <w:rFonts w:ascii="Futura T OT" w:eastAsia="Times New Roman" w:hAnsi="Futura T OT"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ascii="Futura T OT" w:eastAsia="Times New Roman" w:hAnsi="Futura T OT"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ascii="Futura T OT" w:eastAsia="Times New Roman" w:hAnsi="Futura T OT"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ascii="Futura T OT" w:eastAsia="Times New Roman" w:hAnsi="Futura T OT" w:cs="Times New Roman"/>
      <w:i/>
      <w:iCs/>
      <w:color w:val="404040"/>
      <w:sz w:val="20"/>
      <w:szCs w:val="20"/>
      <w:lang w:val="es-MX" w:eastAsia="en-US"/>
    </w:rPr>
  </w:style>
  <w:style w:type="paragraph" w:styleId="Epgrafe">
    <w:name w:val="caption"/>
    <w:basedOn w:val="Normal"/>
    <w:next w:val="Normal"/>
    <w:autoRedefine/>
    <w:uiPriority w:val="35"/>
    <w:unhideWhenUsed/>
    <w:qFormat/>
    <w:rsid w:val="00681ACB"/>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deTDC">
    <w:name w:val="TOC Heading"/>
    <w:basedOn w:val="Ttulo1"/>
    <w:next w:val="Normal"/>
    <w:uiPriority w:val="39"/>
    <w:semiHidden/>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character" w:styleId="Textoennegrita">
    <w:name w:val="Strong"/>
    <w:basedOn w:val="Fuentedeprrafopredeter"/>
    <w:uiPriority w:val="22"/>
    <w:qFormat/>
    <w:rsid w:val="00422373"/>
    <w:rPr>
      <w:b/>
      <w:bCs/>
    </w:rPr>
  </w:style>
  <w:style w:type="character" w:customStyle="1" w:styleId="apple-converted-space">
    <w:name w:val="apple-converted-space"/>
    <w:basedOn w:val="Fuentedeprrafopredeter"/>
    <w:rsid w:val="00422373"/>
  </w:style>
  <w:style w:type="paragraph" w:customStyle="1" w:styleId="Default">
    <w:name w:val="Default"/>
    <w:rsid w:val="00855325"/>
    <w:pPr>
      <w:autoSpaceDE w:val="0"/>
      <w:autoSpaceDN w:val="0"/>
      <w:adjustRightInd w:val="0"/>
    </w:pPr>
    <w:rPr>
      <w:rFonts w:ascii="Gill Sans MT" w:eastAsia="Times New Roman" w:hAnsi="Gill Sans MT" w:cs="Gill Sans MT"/>
      <w:color w:val="000000"/>
      <w:lang w:val="es-ES"/>
    </w:rPr>
  </w:style>
  <w:style w:type="character" w:customStyle="1" w:styleId="st">
    <w:name w:val="st"/>
    <w:basedOn w:val="Fuentedeprrafopredeter"/>
    <w:rsid w:val="008D300F"/>
  </w:style>
  <w:style w:type="paragraph" w:styleId="Sinespaciado">
    <w:name w:val="No Spacing"/>
    <w:link w:val="SinespaciadoCar"/>
    <w:uiPriority w:val="1"/>
    <w:qFormat/>
    <w:rsid w:val="00F74547"/>
    <w:rPr>
      <w:rFonts w:eastAsiaTheme="minorHAnsi"/>
      <w:lang w:eastAsia="en-US"/>
    </w:rPr>
  </w:style>
  <w:style w:type="character" w:customStyle="1" w:styleId="SinespaciadoCar">
    <w:name w:val="Sin espaciado Car"/>
    <w:link w:val="Sinespaciado"/>
    <w:uiPriority w:val="1"/>
    <w:rsid w:val="00F74547"/>
    <w:rPr>
      <w:rFonts w:eastAsiaTheme="minorHAnsi"/>
      <w:lang w:eastAsia="en-US"/>
    </w:rPr>
  </w:style>
  <w:style w:type="table" w:styleId="Tablaconcuadrcula">
    <w:name w:val="Table Grid"/>
    <w:basedOn w:val="Tablanormal"/>
    <w:uiPriority w:val="59"/>
    <w:rsid w:val="00B976D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72EE8"/>
    <w:rPr>
      <w:sz w:val="16"/>
      <w:szCs w:val="16"/>
    </w:rPr>
  </w:style>
  <w:style w:type="paragraph" w:styleId="Textocomentario">
    <w:name w:val="annotation text"/>
    <w:basedOn w:val="Normal"/>
    <w:link w:val="TextocomentarioCar"/>
    <w:uiPriority w:val="99"/>
    <w:unhideWhenUsed/>
    <w:rsid w:val="00E72EE8"/>
    <w:pPr>
      <w:spacing w:line="240" w:lineRule="auto"/>
    </w:pPr>
    <w:rPr>
      <w:sz w:val="20"/>
      <w:szCs w:val="20"/>
    </w:rPr>
  </w:style>
  <w:style w:type="character" w:customStyle="1" w:styleId="TextocomentarioCar">
    <w:name w:val="Texto comentario Car"/>
    <w:basedOn w:val="Fuentedeprrafopredeter"/>
    <w:link w:val="Textocomentario"/>
    <w:uiPriority w:val="99"/>
    <w:rsid w:val="00E72EE8"/>
    <w:rPr>
      <w:rFonts w:ascii="Futura T OT" w:hAnsi="Futura T OT"/>
      <w:sz w:val="20"/>
      <w:szCs w:val="20"/>
    </w:rPr>
  </w:style>
  <w:style w:type="paragraph" w:styleId="Asuntodelcomentario">
    <w:name w:val="annotation subject"/>
    <w:basedOn w:val="Textocomentario"/>
    <w:next w:val="Textocomentario"/>
    <w:link w:val="AsuntodelcomentarioCar"/>
    <w:uiPriority w:val="99"/>
    <w:semiHidden/>
    <w:unhideWhenUsed/>
    <w:rsid w:val="00E72EE8"/>
    <w:rPr>
      <w:b/>
      <w:bCs/>
    </w:rPr>
  </w:style>
  <w:style w:type="character" w:customStyle="1" w:styleId="AsuntodelcomentarioCar">
    <w:name w:val="Asunto del comentario Car"/>
    <w:basedOn w:val="TextocomentarioCar"/>
    <w:link w:val="Asuntodelcomentario"/>
    <w:uiPriority w:val="99"/>
    <w:semiHidden/>
    <w:rsid w:val="00E72EE8"/>
    <w:rPr>
      <w:rFonts w:ascii="Futura T OT" w:hAnsi="Futura T OT"/>
      <w:b/>
      <w:bCs/>
      <w:sz w:val="20"/>
      <w:szCs w:val="20"/>
    </w:rPr>
  </w:style>
  <w:style w:type="paragraph" w:customStyle="1" w:styleId="xmsonormal">
    <w:name w:val="x_msonormal"/>
    <w:basedOn w:val="Normal"/>
    <w:rsid w:val="00CE59D9"/>
    <w:pPr>
      <w:spacing w:before="100" w:beforeAutospacing="1" w:after="100" w:afterAutospacing="1" w:line="240" w:lineRule="auto"/>
      <w:jc w:val="left"/>
    </w:pPr>
    <w:rPr>
      <w:rFonts w:ascii="Times New Roman" w:eastAsia="Times New Roman" w:hAnsi="Times New Roman" w:cs="Times New Roman"/>
      <w:lang w:val="es-MX" w:eastAsia="es-MX"/>
    </w:rPr>
  </w:style>
  <w:style w:type="paragraph" w:styleId="Revisin">
    <w:name w:val="Revision"/>
    <w:hidden/>
    <w:uiPriority w:val="99"/>
    <w:semiHidden/>
    <w:rsid w:val="00AB2B55"/>
    <w:rPr>
      <w:rFonts w:ascii="Futura T OT" w:hAnsi="Futura T OT"/>
    </w:rPr>
  </w:style>
  <w:style w:type="paragraph" w:customStyle="1" w:styleId="Fuente">
    <w:name w:val="Fuente"/>
    <w:basedOn w:val="Normal"/>
    <w:link w:val="FuenteCar"/>
    <w:autoRedefine/>
    <w:qFormat/>
    <w:rsid w:val="00952E57"/>
    <w:pPr>
      <w:spacing w:after="160" w:line="360" w:lineRule="auto"/>
      <w:ind w:firstLine="709"/>
    </w:pPr>
    <w:rPr>
      <w:rFonts w:ascii="Arial" w:hAnsi="Arial"/>
      <w:sz w:val="20"/>
      <w:szCs w:val="20"/>
      <w:lang w:val="es-MX" w:eastAsia="ja-JP"/>
    </w:rPr>
  </w:style>
  <w:style w:type="character" w:customStyle="1" w:styleId="FuenteCar">
    <w:name w:val="Fuente Car"/>
    <w:basedOn w:val="Fuentedeprrafopredeter"/>
    <w:link w:val="Fuente"/>
    <w:rsid w:val="00952E57"/>
    <w:rPr>
      <w:rFonts w:ascii="Arial" w:hAnsi="Arial"/>
      <w:sz w:val="20"/>
      <w:szCs w:val="20"/>
      <w:lang w:val="es-MX" w:eastAsia="ja-JP"/>
    </w:rPr>
  </w:style>
  <w:style w:type="table" w:styleId="Listaclara-nfasis5">
    <w:name w:val="Light List Accent 5"/>
    <w:basedOn w:val="Tablanormal"/>
    <w:uiPriority w:val="61"/>
    <w:rsid w:val="0086218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a">
    <w:name w:val="List"/>
    <w:basedOn w:val="Normal"/>
    <w:uiPriority w:val="99"/>
    <w:unhideWhenUsed/>
    <w:rsid w:val="00AB2769"/>
    <w:pPr>
      <w:ind w:left="283" w:hanging="283"/>
      <w:contextualSpacing/>
    </w:pPr>
  </w:style>
  <w:style w:type="paragraph" w:styleId="Lista2">
    <w:name w:val="List 2"/>
    <w:basedOn w:val="Normal"/>
    <w:uiPriority w:val="99"/>
    <w:unhideWhenUsed/>
    <w:rsid w:val="00AB2769"/>
    <w:pPr>
      <w:ind w:left="566" w:hanging="283"/>
      <w:contextualSpacing/>
    </w:pPr>
  </w:style>
  <w:style w:type="paragraph" w:styleId="Saludo">
    <w:name w:val="Salutation"/>
    <w:basedOn w:val="Normal"/>
    <w:next w:val="Normal"/>
    <w:link w:val="SaludoCar"/>
    <w:uiPriority w:val="99"/>
    <w:unhideWhenUsed/>
    <w:rsid w:val="00AB2769"/>
  </w:style>
  <w:style w:type="character" w:customStyle="1" w:styleId="SaludoCar">
    <w:name w:val="Saludo Car"/>
    <w:basedOn w:val="Fuentedeprrafopredeter"/>
    <w:link w:val="Saludo"/>
    <w:uiPriority w:val="99"/>
    <w:rsid w:val="00AB2769"/>
    <w:rPr>
      <w:rFonts w:ascii="Futura T OT" w:hAnsi="Futura T OT"/>
    </w:rPr>
  </w:style>
  <w:style w:type="paragraph" w:styleId="Listaconvietas2">
    <w:name w:val="List Bullet 2"/>
    <w:basedOn w:val="Normal"/>
    <w:uiPriority w:val="99"/>
    <w:unhideWhenUsed/>
    <w:rsid w:val="00AB2769"/>
    <w:pPr>
      <w:numPr>
        <w:numId w:val="19"/>
      </w:numPr>
      <w:contextualSpacing/>
    </w:pPr>
  </w:style>
  <w:style w:type="paragraph" w:styleId="Continuarlista">
    <w:name w:val="List Continue"/>
    <w:basedOn w:val="Normal"/>
    <w:uiPriority w:val="99"/>
    <w:unhideWhenUsed/>
    <w:rsid w:val="00AB2769"/>
    <w:pPr>
      <w:spacing w:after="120"/>
      <w:ind w:left="283"/>
      <w:contextualSpacing/>
    </w:pPr>
  </w:style>
  <w:style w:type="paragraph" w:styleId="Textoindependiente">
    <w:name w:val="Body Text"/>
    <w:basedOn w:val="Normal"/>
    <w:link w:val="TextoindependienteCar"/>
    <w:uiPriority w:val="99"/>
    <w:unhideWhenUsed/>
    <w:rsid w:val="00AB2769"/>
    <w:pPr>
      <w:spacing w:after="120"/>
    </w:pPr>
  </w:style>
  <w:style w:type="character" w:customStyle="1" w:styleId="TextoindependienteCar">
    <w:name w:val="Texto independiente Car"/>
    <w:basedOn w:val="Fuentedeprrafopredeter"/>
    <w:link w:val="Textoindependiente"/>
    <w:uiPriority w:val="99"/>
    <w:rsid w:val="00AB2769"/>
    <w:rPr>
      <w:rFonts w:ascii="Futura T OT" w:hAnsi="Futura T OT"/>
    </w:rPr>
  </w:style>
  <w:style w:type="paragraph" w:styleId="Sangradetextonormal">
    <w:name w:val="Body Text Indent"/>
    <w:basedOn w:val="Normal"/>
    <w:link w:val="SangradetextonormalCar"/>
    <w:uiPriority w:val="99"/>
    <w:unhideWhenUsed/>
    <w:rsid w:val="00AB2769"/>
    <w:pPr>
      <w:spacing w:after="120"/>
      <w:ind w:left="283"/>
    </w:pPr>
  </w:style>
  <w:style w:type="character" w:customStyle="1" w:styleId="SangradetextonormalCar">
    <w:name w:val="Sangría de texto normal Car"/>
    <w:basedOn w:val="Fuentedeprrafopredeter"/>
    <w:link w:val="Sangradetextonormal"/>
    <w:uiPriority w:val="99"/>
    <w:rsid w:val="00AB2769"/>
    <w:rPr>
      <w:rFonts w:ascii="Futura T OT" w:hAnsi="Futura T OT"/>
    </w:rPr>
  </w:style>
  <w:style w:type="paragraph" w:styleId="Textoindependienteprimerasangra">
    <w:name w:val="Body Text First Indent"/>
    <w:basedOn w:val="Textoindependiente"/>
    <w:link w:val="TextoindependienteprimerasangraCar"/>
    <w:uiPriority w:val="99"/>
    <w:unhideWhenUsed/>
    <w:rsid w:val="00AB276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B2769"/>
    <w:rPr>
      <w:rFonts w:ascii="Futura T OT" w:hAnsi="Futura T OT"/>
    </w:rPr>
  </w:style>
  <w:style w:type="paragraph" w:styleId="Textoindependienteprimerasangra2">
    <w:name w:val="Body Text First Indent 2"/>
    <w:basedOn w:val="Sangradetextonormal"/>
    <w:link w:val="Textoindependienteprimerasangra2Car"/>
    <w:uiPriority w:val="99"/>
    <w:unhideWhenUsed/>
    <w:rsid w:val="00AB276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B2769"/>
    <w:rPr>
      <w:rFonts w:ascii="Futura T OT" w:hAnsi="Futura T O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811D5"/>
    <w:pPr>
      <w:spacing w:after="200" w:line="276" w:lineRule="auto"/>
      <w:jc w:val="both"/>
    </w:pPr>
    <w:rPr>
      <w:rFonts w:ascii="Futura T OT" w:hAnsi="Futura T OT"/>
    </w:rPr>
  </w:style>
  <w:style w:type="paragraph" w:styleId="Ttulo1">
    <w:name w:val="heading 1"/>
    <w:aliases w:val="Sumario"/>
    <w:basedOn w:val="Normal"/>
    <w:next w:val="Normal"/>
    <w:link w:val="Ttulo1Car"/>
    <w:uiPriority w:val="9"/>
    <w:qFormat/>
    <w:rsid w:val="00C2741A"/>
    <w:pPr>
      <w:keepNext/>
      <w:keepLines/>
      <w:outlineLvl w:val="0"/>
    </w:pPr>
    <w:rPr>
      <w:rFonts w:eastAsia="Times New Roman" w:cs="Times New Roman"/>
      <w:b/>
      <w:bCs/>
      <w:caps/>
      <w:sz w:val="32"/>
      <w:szCs w:val="28"/>
      <w:lang w:val="es-MX" w:eastAsia="en-US"/>
    </w:rPr>
  </w:style>
  <w:style w:type="paragraph" w:styleId="Ttulo2">
    <w:name w:val="heading 2"/>
    <w:aliases w:val="Título Secciones"/>
    <w:basedOn w:val="Normal"/>
    <w:next w:val="Normal"/>
    <w:link w:val="Ttulo2Car"/>
    <w:uiPriority w:val="9"/>
    <w:unhideWhenUsed/>
    <w:qFormat/>
    <w:rsid w:val="005441E8"/>
    <w:pPr>
      <w:keepNext/>
      <w:keepLines/>
      <w:spacing w:before="200" w:line="240" w:lineRule="auto"/>
      <w:jc w:val="left"/>
      <w:outlineLvl w:val="1"/>
    </w:pPr>
    <w:rPr>
      <w:rFonts w:eastAsia="Times New Roman" w:cs="Times New Roman"/>
      <w:b/>
      <w:bCs/>
      <w:caps/>
      <w:color w:val="4BACC6"/>
      <w:sz w:val="28"/>
      <w:szCs w:val="26"/>
      <w:lang w:val="es-MX" w:eastAsia="en-US"/>
    </w:rPr>
  </w:style>
  <w:style w:type="paragraph" w:styleId="Ttulo3">
    <w:name w:val="heading 3"/>
    <w:basedOn w:val="Normal"/>
    <w:next w:val="Normal"/>
    <w:link w:val="Ttulo3Car"/>
    <w:uiPriority w:val="9"/>
    <w:unhideWhenUsed/>
    <w:rsid w:val="00774E8D"/>
    <w:pPr>
      <w:keepNext/>
      <w:keepLines/>
      <w:numPr>
        <w:ilvl w:val="2"/>
        <w:numId w:val="1"/>
      </w:numPr>
      <w:spacing w:before="200" w:line="360" w:lineRule="auto"/>
      <w:outlineLvl w:val="2"/>
    </w:pPr>
    <w:rPr>
      <w:rFonts w:eastAsia="Times New Roman" w:cs="Times New Roman"/>
      <w:b/>
      <w:bCs/>
      <w:color w:val="808080"/>
      <w:sz w:val="22"/>
      <w:szCs w:val="22"/>
      <w:lang w:val="es-MX" w:eastAsia="en-US"/>
    </w:rPr>
  </w:style>
  <w:style w:type="paragraph" w:styleId="Ttulo4">
    <w:name w:val="heading 4"/>
    <w:basedOn w:val="Normal"/>
    <w:next w:val="Normal"/>
    <w:link w:val="Ttulo4Car"/>
    <w:uiPriority w:val="9"/>
    <w:unhideWhenUsed/>
    <w:rsid w:val="00774E8D"/>
    <w:pPr>
      <w:keepNext/>
      <w:keepLines/>
      <w:numPr>
        <w:ilvl w:val="3"/>
        <w:numId w:val="1"/>
      </w:numPr>
      <w:spacing w:before="200" w:line="360" w:lineRule="auto"/>
      <w:outlineLvl w:val="3"/>
    </w:pPr>
    <w:rPr>
      <w:rFonts w:eastAsia="Times New Roman" w:cs="Times New Roman"/>
      <w:b/>
      <w:bCs/>
      <w:i/>
      <w:iCs/>
      <w:sz w:val="22"/>
      <w:szCs w:val="22"/>
      <w:lang w:val="es-MX" w:eastAsia="en-US"/>
    </w:rPr>
  </w:style>
  <w:style w:type="paragraph" w:styleId="Ttulo5">
    <w:name w:val="heading 5"/>
    <w:basedOn w:val="Normal"/>
    <w:next w:val="Normal"/>
    <w:link w:val="Ttulo5Car"/>
    <w:uiPriority w:val="9"/>
    <w:unhideWhenUsed/>
    <w:rsid w:val="00774E8D"/>
    <w:pPr>
      <w:keepNext/>
      <w:keepLines/>
      <w:numPr>
        <w:ilvl w:val="4"/>
        <w:numId w:val="1"/>
      </w:numPr>
      <w:spacing w:before="200" w:line="360" w:lineRule="auto"/>
      <w:outlineLvl w:val="4"/>
    </w:pPr>
    <w:rPr>
      <w:rFonts w:eastAsia="Times New Roman" w:cs="Times New Roman"/>
      <w:sz w:val="22"/>
      <w:szCs w:val="22"/>
      <w:lang w:val="es-MX" w:eastAsia="en-US"/>
    </w:rPr>
  </w:style>
  <w:style w:type="paragraph" w:styleId="Ttulo6">
    <w:name w:val="heading 6"/>
    <w:basedOn w:val="Normal"/>
    <w:next w:val="Normal"/>
    <w:link w:val="Ttulo6Car"/>
    <w:uiPriority w:val="9"/>
    <w:unhideWhenUsed/>
    <w:rsid w:val="00774E8D"/>
    <w:pPr>
      <w:keepNext/>
      <w:keepLines/>
      <w:numPr>
        <w:ilvl w:val="5"/>
        <w:numId w:val="1"/>
      </w:numPr>
      <w:spacing w:before="200" w:line="360" w:lineRule="auto"/>
      <w:outlineLvl w:val="5"/>
    </w:pPr>
    <w:rPr>
      <w:rFonts w:eastAsia="Times New Roman" w:cs="Times New Roman"/>
      <w:i/>
      <w:iCs/>
      <w:color w:val="243F60"/>
      <w:sz w:val="22"/>
      <w:szCs w:val="22"/>
      <w:lang w:val="es-MX" w:eastAsia="en-US"/>
    </w:rPr>
  </w:style>
  <w:style w:type="paragraph" w:styleId="Ttulo7">
    <w:name w:val="heading 7"/>
    <w:basedOn w:val="Normal"/>
    <w:next w:val="Normal"/>
    <w:link w:val="Ttulo7Car"/>
    <w:uiPriority w:val="9"/>
    <w:semiHidden/>
    <w:unhideWhenUsed/>
    <w:rsid w:val="00774E8D"/>
    <w:pPr>
      <w:keepNext/>
      <w:keepLines/>
      <w:numPr>
        <w:ilvl w:val="6"/>
        <w:numId w:val="1"/>
      </w:numPr>
      <w:spacing w:before="200" w:line="360" w:lineRule="auto"/>
      <w:outlineLvl w:val="6"/>
    </w:pPr>
    <w:rPr>
      <w:rFonts w:eastAsia="Times New Roman" w:cs="Times New Roman"/>
      <w:i/>
      <w:iCs/>
      <w:color w:val="404040"/>
      <w:sz w:val="22"/>
      <w:szCs w:val="22"/>
      <w:lang w:val="es-MX" w:eastAsia="en-US"/>
    </w:rPr>
  </w:style>
  <w:style w:type="paragraph" w:styleId="Ttulo8">
    <w:name w:val="heading 8"/>
    <w:basedOn w:val="Normal"/>
    <w:next w:val="Normal"/>
    <w:link w:val="Ttulo8Car"/>
    <w:uiPriority w:val="9"/>
    <w:semiHidden/>
    <w:unhideWhenUsed/>
    <w:qFormat/>
    <w:rsid w:val="00774E8D"/>
    <w:pPr>
      <w:keepNext/>
      <w:keepLines/>
      <w:numPr>
        <w:ilvl w:val="7"/>
        <w:numId w:val="1"/>
      </w:numPr>
      <w:spacing w:before="200" w:line="360" w:lineRule="auto"/>
      <w:outlineLvl w:val="7"/>
    </w:pPr>
    <w:rPr>
      <w:rFonts w:eastAsia="Times New Roman" w:cs="Times New Roman"/>
      <w:color w:val="404040"/>
      <w:sz w:val="20"/>
      <w:szCs w:val="20"/>
      <w:lang w:val="es-MX" w:eastAsia="en-US"/>
    </w:rPr>
  </w:style>
  <w:style w:type="paragraph" w:styleId="Ttulo9">
    <w:name w:val="heading 9"/>
    <w:basedOn w:val="Normal"/>
    <w:next w:val="Normal"/>
    <w:link w:val="Ttulo9Car"/>
    <w:uiPriority w:val="9"/>
    <w:semiHidden/>
    <w:unhideWhenUsed/>
    <w:qFormat/>
    <w:rsid w:val="00774E8D"/>
    <w:pPr>
      <w:keepNext/>
      <w:keepLines/>
      <w:numPr>
        <w:ilvl w:val="8"/>
        <w:numId w:val="1"/>
      </w:numPr>
      <w:spacing w:before="200" w:line="360" w:lineRule="auto"/>
      <w:outlineLvl w:val="8"/>
    </w:pPr>
    <w:rPr>
      <w:rFonts w:eastAsia="Times New Roman" w:cs="Times New Roman"/>
      <w:i/>
      <w:iCs/>
      <w:color w:val="404040"/>
      <w:sz w:val="20"/>
      <w:szCs w:val="20"/>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5CBE"/>
    <w:pPr>
      <w:tabs>
        <w:tab w:val="center" w:pos="4252"/>
        <w:tab w:val="right" w:pos="8504"/>
      </w:tabs>
    </w:pPr>
  </w:style>
  <w:style w:type="character" w:customStyle="1" w:styleId="EncabezadoCar">
    <w:name w:val="Encabezado Car"/>
    <w:basedOn w:val="Fuentedeprrafopredeter"/>
    <w:link w:val="Encabezado"/>
    <w:uiPriority w:val="99"/>
    <w:rsid w:val="00315CBE"/>
  </w:style>
  <w:style w:type="paragraph" w:styleId="Piedepgina">
    <w:name w:val="footer"/>
    <w:basedOn w:val="Normal"/>
    <w:link w:val="PiedepginaCar"/>
    <w:uiPriority w:val="99"/>
    <w:unhideWhenUsed/>
    <w:rsid w:val="00315CBE"/>
    <w:pPr>
      <w:tabs>
        <w:tab w:val="center" w:pos="4252"/>
        <w:tab w:val="right" w:pos="8504"/>
      </w:tabs>
    </w:pPr>
  </w:style>
  <w:style w:type="character" w:customStyle="1" w:styleId="PiedepginaCar">
    <w:name w:val="Pie de página Car"/>
    <w:basedOn w:val="Fuentedeprrafopredeter"/>
    <w:link w:val="Piedepgina"/>
    <w:uiPriority w:val="99"/>
    <w:rsid w:val="00315CBE"/>
  </w:style>
  <w:style w:type="paragraph" w:styleId="Textodeglobo">
    <w:name w:val="Balloon Text"/>
    <w:basedOn w:val="Normal"/>
    <w:link w:val="TextodegloboCar"/>
    <w:uiPriority w:val="99"/>
    <w:semiHidden/>
    <w:unhideWhenUsed/>
    <w:rsid w:val="00315CBE"/>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15CBE"/>
    <w:rPr>
      <w:rFonts w:ascii="Lucida Grande" w:hAnsi="Lucida Grande" w:cs="Lucida Grande"/>
      <w:sz w:val="18"/>
      <w:szCs w:val="18"/>
    </w:rPr>
  </w:style>
  <w:style w:type="paragraph" w:styleId="NormalWeb">
    <w:name w:val="Normal (Web)"/>
    <w:basedOn w:val="Normal"/>
    <w:uiPriority w:val="99"/>
    <w:unhideWhenUsed/>
    <w:rsid w:val="00DA58B7"/>
    <w:pPr>
      <w:spacing w:before="100" w:beforeAutospacing="1" w:after="100" w:afterAutospacing="1"/>
    </w:pPr>
    <w:rPr>
      <w:rFonts w:ascii="Times New Roman" w:eastAsia="Times New Roman" w:hAnsi="Times New Roman" w:cs="Times New Roman"/>
      <w:lang w:val="es-MX" w:eastAsia="es-MX"/>
    </w:rPr>
  </w:style>
  <w:style w:type="paragraph" w:customStyle="1" w:styleId="ecxmsonormal">
    <w:name w:val="ecxmsonormal"/>
    <w:basedOn w:val="Normal"/>
    <w:rsid w:val="00DA58B7"/>
    <w:pPr>
      <w:spacing w:after="324"/>
    </w:pPr>
    <w:rPr>
      <w:rFonts w:ascii="Times New Roman" w:eastAsia="Times New Roman" w:hAnsi="Times New Roman" w:cs="Times New Roman"/>
      <w:lang w:val="es-MX" w:eastAsia="es-MX"/>
    </w:rPr>
  </w:style>
  <w:style w:type="paragraph" w:styleId="Ttulo">
    <w:name w:val="Title"/>
    <w:aliases w:val="Titulares"/>
    <w:basedOn w:val="Normal"/>
    <w:link w:val="TtuloCar"/>
    <w:qFormat/>
    <w:rsid w:val="00695E2D"/>
    <w:pPr>
      <w:jc w:val="left"/>
    </w:pPr>
    <w:rPr>
      <w:rFonts w:eastAsia="Times New Roman" w:cs="Times New Roman"/>
      <w:b/>
      <w:color w:val="0D0D0D" w:themeColor="text1" w:themeTint="F2"/>
      <w:sz w:val="44"/>
      <w:szCs w:val="20"/>
    </w:rPr>
  </w:style>
  <w:style w:type="character" w:customStyle="1" w:styleId="TtuloCar">
    <w:name w:val="Título Car"/>
    <w:aliases w:val="Titulares Car"/>
    <w:basedOn w:val="Fuentedeprrafopredeter"/>
    <w:link w:val="Ttulo"/>
    <w:rsid w:val="00695E2D"/>
    <w:rPr>
      <w:rFonts w:ascii="Futura T OT" w:eastAsia="Times New Roman" w:hAnsi="Futura T OT" w:cs="Times New Roman"/>
      <w:b/>
      <w:color w:val="0D0D0D" w:themeColor="text1" w:themeTint="F2"/>
      <w:sz w:val="44"/>
      <w:szCs w:val="20"/>
    </w:rPr>
  </w:style>
  <w:style w:type="paragraph" w:styleId="Prrafodelista">
    <w:name w:val="List Paragraph"/>
    <w:basedOn w:val="Normal"/>
    <w:uiPriority w:val="34"/>
    <w:qFormat/>
    <w:rsid w:val="00A83C33"/>
    <w:pPr>
      <w:ind w:left="720"/>
      <w:contextualSpacing/>
    </w:pPr>
  </w:style>
  <w:style w:type="character" w:customStyle="1" w:styleId="Ttulo1Car">
    <w:name w:val="Título 1 Car"/>
    <w:aliases w:val="Sumario Car"/>
    <w:basedOn w:val="Fuentedeprrafopredeter"/>
    <w:link w:val="Ttulo1"/>
    <w:uiPriority w:val="9"/>
    <w:rsid w:val="00C2741A"/>
    <w:rPr>
      <w:rFonts w:ascii="Futura T OT" w:eastAsia="Times New Roman" w:hAnsi="Futura T OT" w:cs="Times New Roman"/>
      <w:b/>
      <w:bCs/>
      <w:caps/>
      <w:sz w:val="32"/>
      <w:szCs w:val="28"/>
      <w:lang w:val="es-MX" w:eastAsia="en-US"/>
    </w:rPr>
  </w:style>
  <w:style w:type="character" w:customStyle="1" w:styleId="Ttulo2Car">
    <w:name w:val="Título 2 Car"/>
    <w:aliases w:val="Título Secciones Car"/>
    <w:basedOn w:val="Fuentedeprrafopredeter"/>
    <w:link w:val="Ttulo2"/>
    <w:uiPriority w:val="9"/>
    <w:rsid w:val="005441E8"/>
    <w:rPr>
      <w:rFonts w:ascii="Futura T OT" w:eastAsia="Times New Roman" w:hAnsi="Futura T OT" w:cs="Times New Roman"/>
      <w:b/>
      <w:bCs/>
      <w:caps/>
      <w:color w:val="4BACC6"/>
      <w:sz w:val="28"/>
      <w:szCs w:val="26"/>
      <w:lang w:val="es-MX" w:eastAsia="en-US"/>
    </w:rPr>
  </w:style>
  <w:style w:type="character" w:customStyle="1" w:styleId="Ttulo3Car">
    <w:name w:val="Título 3 Car"/>
    <w:basedOn w:val="Fuentedeprrafopredeter"/>
    <w:link w:val="Ttulo3"/>
    <w:uiPriority w:val="9"/>
    <w:rsid w:val="00774E8D"/>
    <w:rPr>
      <w:rFonts w:ascii="Futura T OT" w:eastAsia="Times New Roman" w:hAnsi="Futura T OT" w:cs="Times New Roman"/>
      <w:b/>
      <w:bCs/>
      <w:color w:val="808080"/>
      <w:sz w:val="22"/>
      <w:szCs w:val="22"/>
      <w:lang w:val="es-MX" w:eastAsia="en-US"/>
    </w:rPr>
  </w:style>
  <w:style w:type="character" w:customStyle="1" w:styleId="Ttulo4Car">
    <w:name w:val="Título 4 Car"/>
    <w:basedOn w:val="Fuentedeprrafopredeter"/>
    <w:link w:val="Ttulo4"/>
    <w:uiPriority w:val="9"/>
    <w:rsid w:val="00774E8D"/>
    <w:rPr>
      <w:rFonts w:ascii="Futura T OT" w:eastAsia="Times New Roman" w:hAnsi="Futura T OT" w:cs="Times New Roman"/>
      <w:b/>
      <w:bCs/>
      <w:i/>
      <w:iCs/>
      <w:sz w:val="22"/>
      <w:szCs w:val="22"/>
      <w:lang w:val="es-MX" w:eastAsia="en-US"/>
    </w:rPr>
  </w:style>
  <w:style w:type="character" w:customStyle="1" w:styleId="Ttulo5Car">
    <w:name w:val="Título 5 Car"/>
    <w:basedOn w:val="Fuentedeprrafopredeter"/>
    <w:link w:val="Ttulo5"/>
    <w:uiPriority w:val="9"/>
    <w:rsid w:val="00774E8D"/>
    <w:rPr>
      <w:rFonts w:ascii="Futura T OT" w:eastAsia="Times New Roman" w:hAnsi="Futura T OT" w:cs="Times New Roman"/>
      <w:sz w:val="22"/>
      <w:szCs w:val="22"/>
      <w:lang w:val="es-MX" w:eastAsia="en-US"/>
    </w:rPr>
  </w:style>
  <w:style w:type="character" w:customStyle="1" w:styleId="Ttulo6Car">
    <w:name w:val="Título 6 Car"/>
    <w:basedOn w:val="Fuentedeprrafopredeter"/>
    <w:link w:val="Ttulo6"/>
    <w:uiPriority w:val="9"/>
    <w:rsid w:val="00774E8D"/>
    <w:rPr>
      <w:rFonts w:ascii="Futura T OT" w:eastAsia="Times New Roman" w:hAnsi="Futura T OT" w:cs="Times New Roman"/>
      <w:i/>
      <w:iCs/>
      <w:color w:val="243F60"/>
      <w:sz w:val="22"/>
      <w:szCs w:val="22"/>
      <w:lang w:val="es-MX" w:eastAsia="en-US"/>
    </w:rPr>
  </w:style>
  <w:style w:type="character" w:customStyle="1" w:styleId="Ttulo7Car">
    <w:name w:val="Título 7 Car"/>
    <w:basedOn w:val="Fuentedeprrafopredeter"/>
    <w:link w:val="Ttulo7"/>
    <w:uiPriority w:val="9"/>
    <w:semiHidden/>
    <w:rsid w:val="00774E8D"/>
    <w:rPr>
      <w:rFonts w:ascii="Futura T OT" w:eastAsia="Times New Roman" w:hAnsi="Futura T OT" w:cs="Times New Roman"/>
      <w:i/>
      <w:iCs/>
      <w:color w:val="404040"/>
      <w:sz w:val="22"/>
      <w:szCs w:val="22"/>
      <w:lang w:val="es-MX" w:eastAsia="en-US"/>
    </w:rPr>
  </w:style>
  <w:style w:type="character" w:customStyle="1" w:styleId="Ttulo8Car">
    <w:name w:val="Título 8 Car"/>
    <w:basedOn w:val="Fuentedeprrafopredeter"/>
    <w:link w:val="Ttulo8"/>
    <w:uiPriority w:val="9"/>
    <w:semiHidden/>
    <w:rsid w:val="00774E8D"/>
    <w:rPr>
      <w:rFonts w:ascii="Futura T OT" w:eastAsia="Times New Roman" w:hAnsi="Futura T OT" w:cs="Times New Roman"/>
      <w:color w:val="404040"/>
      <w:sz w:val="20"/>
      <w:szCs w:val="20"/>
      <w:lang w:val="es-MX" w:eastAsia="en-US"/>
    </w:rPr>
  </w:style>
  <w:style w:type="character" w:customStyle="1" w:styleId="Ttulo9Car">
    <w:name w:val="Título 9 Car"/>
    <w:basedOn w:val="Fuentedeprrafopredeter"/>
    <w:link w:val="Ttulo9"/>
    <w:uiPriority w:val="9"/>
    <w:semiHidden/>
    <w:rsid w:val="00774E8D"/>
    <w:rPr>
      <w:rFonts w:ascii="Futura T OT" w:eastAsia="Times New Roman" w:hAnsi="Futura T OT" w:cs="Times New Roman"/>
      <w:i/>
      <w:iCs/>
      <w:color w:val="404040"/>
      <w:sz w:val="20"/>
      <w:szCs w:val="20"/>
      <w:lang w:val="es-MX" w:eastAsia="en-US"/>
    </w:rPr>
  </w:style>
  <w:style w:type="paragraph" w:styleId="Epgrafe">
    <w:name w:val="caption"/>
    <w:basedOn w:val="Normal"/>
    <w:next w:val="Normal"/>
    <w:autoRedefine/>
    <w:uiPriority w:val="35"/>
    <w:unhideWhenUsed/>
    <w:qFormat/>
    <w:rsid w:val="00681ACB"/>
    <w:pPr>
      <w:spacing w:before="120" w:after="120"/>
      <w:jc w:val="center"/>
    </w:pPr>
    <w:rPr>
      <w:rFonts w:ascii="Futura T OT Book" w:eastAsia="Arial" w:hAnsi="Futura T OT Book" w:cs="Times New Roman"/>
      <w:b/>
      <w:bCs/>
      <w:color w:val="4BACC6" w:themeColor="accent5"/>
      <w:lang w:val="es-MX" w:eastAsia="en-US"/>
    </w:rPr>
  </w:style>
  <w:style w:type="paragraph" w:styleId="Textonotapie">
    <w:name w:val="footnote text"/>
    <w:basedOn w:val="Normal"/>
    <w:link w:val="TextonotapieCar"/>
    <w:uiPriority w:val="99"/>
    <w:semiHidden/>
    <w:unhideWhenUsed/>
    <w:rsid w:val="00774E8D"/>
    <w:rPr>
      <w:rFonts w:eastAsia="Arial" w:cs="Times New Roman"/>
      <w:sz w:val="20"/>
      <w:szCs w:val="20"/>
      <w:lang w:val="es-MX" w:eastAsia="en-US"/>
    </w:rPr>
  </w:style>
  <w:style w:type="character" w:customStyle="1" w:styleId="TextonotapieCar">
    <w:name w:val="Texto nota pie Car"/>
    <w:basedOn w:val="Fuentedeprrafopredeter"/>
    <w:link w:val="Textonotapie"/>
    <w:uiPriority w:val="99"/>
    <w:semiHidden/>
    <w:rsid w:val="00774E8D"/>
    <w:rPr>
      <w:rFonts w:eastAsia="Arial" w:cs="Times New Roman"/>
      <w:sz w:val="20"/>
      <w:szCs w:val="20"/>
      <w:lang w:val="es-MX" w:eastAsia="en-US"/>
    </w:rPr>
  </w:style>
  <w:style w:type="character" w:styleId="Refdenotaalpie">
    <w:name w:val="footnote reference"/>
    <w:basedOn w:val="Fuentedeprrafopredeter"/>
    <w:uiPriority w:val="99"/>
    <w:unhideWhenUsed/>
    <w:rsid w:val="00774E8D"/>
    <w:rPr>
      <w:vertAlign w:val="superscript"/>
    </w:rPr>
  </w:style>
  <w:style w:type="paragraph" w:customStyle="1" w:styleId="ROMANOS">
    <w:name w:val="ROMANOS"/>
    <w:basedOn w:val="Normal"/>
    <w:link w:val="ROMANOSCar"/>
    <w:rsid w:val="00774E8D"/>
    <w:pPr>
      <w:tabs>
        <w:tab w:val="left" w:pos="720"/>
      </w:tabs>
      <w:spacing w:after="101" w:line="216" w:lineRule="exact"/>
      <w:ind w:left="720" w:hanging="432"/>
    </w:pPr>
    <w:rPr>
      <w:rFonts w:eastAsia="Calibri" w:cs="Times New Roman"/>
      <w:sz w:val="18"/>
      <w:szCs w:val="18"/>
      <w:lang w:val="es-MX" w:eastAsia="en-US"/>
    </w:rPr>
  </w:style>
  <w:style w:type="character" w:customStyle="1" w:styleId="ROMANOSCar">
    <w:name w:val="ROMANOS Car"/>
    <w:link w:val="ROMANOS"/>
    <w:locked/>
    <w:rsid w:val="00774E8D"/>
    <w:rPr>
      <w:rFonts w:eastAsia="Calibri" w:cs="Times New Roman"/>
      <w:sz w:val="18"/>
      <w:szCs w:val="18"/>
      <w:lang w:val="es-MX" w:eastAsia="en-US"/>
    </w:rPr>
  </w:style>
  <w:style w:type="paragraph" w:customStyle="1" w:styleId="Texto">
    <w:name w:val="Texto"/>
    <w:basedOn w:val="Normal"/>
    <w:link w:val="TextoCar"/>
    <w:rsid w:val="00774E8D"/>
    <w:pPr>
      <w:spacing w:after="101" w:line="216" w:lineRule="exact"/>
      <w:ind w:firstLine="288"/>
    </w:pPr>
    <w:rPr>
      <w:rFonts w:eastAsia="Calibri" w:cs="Times New Roman"/>
      <w:sz w:val="18"/>
      <w:szCs w:val="20"/>
      <w:lang w:val="es-MX" w:eastAsia="en-US"/>
    </w:rPr>
  </w:style>
  <w:style w:type="character" w:customStyle="1" w:styleId="TextoCar">
    <w:name w:val="Texto Car"/>
    <w:link w:val="Texto"/>
    <w:locked/>
    <w:rsid w:val="00774E8D"/>
    <w:rPr>
      <w:rFonts w:eastAsia="Calibri" w:cs="Times New Roman"/>
      <w:sz w:val="18"/>
      <w:szCs w:val="20"/>
      <w:lang w:val="es-MX" w:eastAsia="en-US"/>
    </w:rPr>
  </w:style>
  <w:style w:type="paragraph" w:styleId="Textoindependiente2">
    <w:name w:val="Body Text 2"/>
    <w:basedOn w:val="Normal"/>
    <w:link w:val="Textoindependiente2Car"/>
    <w:uiPriority w:val="99"/>
    <w:rsid w:val="00774E8D"/>
    <w:rPr>
      <w:rFonts w:eastAsia="Times New Roman" w:cs="Times New Roman"/>
      <w:sz w:val="20"/>
      <w:szCs w:val="20"/>
      <w:lang w:val="es-ES"/>
    </w:rPr>
  </w:style>
  <w:style w:type="character" w:customStyle="1" w:styleId="Textoindependiente2Car">
    <w:name w:val="Texto independiente 2 Car"/>
    <w:basedOn w:val="Fuentedeprrafopredeter"/>
    <w:link w:val="Textoindependiente2"/>
    <w:uiPriority w:val="99"/>
    <w:rsid w:val="00774E8D"/>
    <w:rPr>
      <w:rFonts w:eastAsia="Times New Roman" w:cs="Times New Roman"/>
      <w:sz w:val="20"/>
      <w:szCs w:val="20"/>
      <w:lang w:val="es-ES"/>
    </w:rPr>
  </w:style>
  <w:style w:type="character" w:styleId="Nmerodepgina">
    <w:name w:val="page number"/>
    <w:basedOn w:val="Fuentedeprrafopredeter"/>
    <w:uiPriority w:val="99"/>
    <w:semiHidden/>
    <w:unhideWhenUsed/>
    <w:rsid w:val="007B7E87"/>
  </w:style>
  <w:style w:type="paragraph" w:styleId="TtulodeTDC">
    <w:name w:val="TOC Heading"/>
    <w:basedOn w:val="Ttulo1"/>
    <w:next w:val="Normal"/>
    <w:uiPriority w:val="39"/>
    <w:semiHidden/>
    <w:unhideWhenUsed/>
    <w:qFormat/>
    <w:rsid w:val="00416E1E"/>
    <w:pPr>
      <w:jc w:val="left"/>
      <w:outlineLvl w:val="9"/>
    </w:pPr>
    <w:rPr>
      <w:rFonts w:asciiTheme="majorHAnsi" w:eastAsiaTheme="majorEastAsia" w:hAnsiTheme="majorHAnsi" w:cstheme="majorBidi"/>
      <w:color w:val="365F91" w:themeColor="accent1" w:themeShade="BF"/>
      <w:lang w:val="es-ES" w:eastAsia="es-ES"/>
    </w:rPr>
  </w:style>
  <w:style w:type="paragraph" w:styleId="TDC1">
    <w:name w:val="toc 1"/>
    <w:basedOn w:val="Normal"/>
    <w:next w:val="Normal"/>
    <w:autoRedefine/>
    <w:uiPriority w:val="39"/>
    <w:unhideWhenUsed/>
    <w:rsid w:val="004C7357"/>
    <w:pPr>
      <w:tabs>
        <w:tab w:val="right" w:leader="dot" w:pos="10196"/>
      </w:tabs>
      <w:spacing w:after="100"/>
      <w:jc w:val="left"/>
    </w:pPr>
  </w:style>
  <w:style w:type="paragraph" w:styleId="TDC2">
    <w:name w:val="toc 2"/>
    <w:basedOn w:val="Normal"/>
    <w:next w:val="Normal"/>
    <w:autoRedefine/>
    <w:uiPriority w:val="39"/>
    <w:unhideWhenUsed/>
    <w:rsid w:val="004C7357"/>
    <w:pPr>
      <w:tabs>
        <w:tab w:val="right" w:leader="dot" w:pos="10196"/>
      </w:tabs>
      <w:spacing w:after="100"/>
      <w:ind w:left="240"/>
      <w:jc w:val="left"/>
    </w:pPr>
  </w:style>
  <w:style w:type="paragraph" w:styleId="TDC3">
    <w:name w:val="toc 3"/>
    <w:basedOn w:val="Normal"/>
    <w:next w:val="Normal"/>
    <w:autoRedefine/>
    <w:uiPriority w:val="39"/>
    <w:unhideWhenUsed/>
    <w:rsid w:val="00416E1E"/>
    <w:pPr>
      <w:spacing w:after="100"/>
      <w:ind w:left="480"/>
    </w:pPr>
  </w:style>
  <w:style w:type="character" w:styleId="Hipervnculo">
    <w:name w:val="Hyperlink"/>
    <w:basedOn w:val="Fuentedeprrafopredeter"/>
    <w:uiPriority w:val="99"/>
    <w:unhideWhenUsed/>
    <w:rsid w:val="00416E1E"/>
    <w:rPr>
      <w:color w:val="0000FF" w:themeColor="hyperlink"/>
      <w:u w:val="single"/>
    </w:rPr>
  </w:style>
  <w:style w:type="character" w:styleId="Hipervnculovisitado">
    <w:name w:val="FollowedHyperlink"/>
    <w:basedOn w:val="Fuentedeprrafopredeter"/>
    <w:uiPriority w:val="99"/>
    <w:semiHidden/>
    <w:unhideWhenUsed/>
    <w:rsid w:val="00E0460C"/>
    <w:rPr>
      <w:color w:val="800080" w:themeColor="followedHyperlink"/>
      <w:u w:val="single"/>
    </w:rPr>
  </w:style>
  <w:style w:type="character" w:styleId="Textoennegrita">
    <w:name w:val="Strong"/>
    <w:basedOn w:val="Fuentedeprrafopredeter"/>
    <w:uiPriority w:val="22"/>
    <w:qFormat/>
    <w:rsid w:val="00422373"/>
    <w:rPr>
      <w:b/>
      <w:bCs/>
    </w:rPr>
  </w:style>
  <w:style w:type="character" w:customStyle="1" w:styleId="apple-converted-space">
    <w:name w:val="apple-converted-space"/>
    <w:basedOn w:val="Fuentedeprrafopredeter"/>
    <w:rsid w:val="00422373"/>
  </w:style>
  <w:style w:type="paragraph" w:customStyle="1" w:styleId="Default">
    <w:name w:val="Default"/>
    <w:rsid w:val="00855325"/>
    <w:pPr>
      <w:autoSpaceDE w:val="0"/>
      <w:autoSpaceDN w:val="0"/>
      <w:adjustRightInd w:val="0"/>
    </w:pPr>
    <w:rPr>
      <w:rFonts w:ascii="Gill Sans MT" w:eastAsia="Times New Roman" w:hAnsi="Gill Sans MT" w:cs="Gill Sans MT"/>
      <w:color w:val="000000"/>
      <w:lang w:val="es-ES"/>
    </w:rPr>
  </w:style>
  <w:style w:type="character" w:customStyle="1" w:styleId="st">
    <w:name w:val="st"/>
    <w:basedOn w:val="Fuentedeprrafopredeter"/>
    <w:rsid w:val="008D300F"/>
  </w:style>
  <w:style w:type="paragraph" w:styleId="Sinespaciado">
    <w:name w:val="No Spacing"/>
    <w:link w:val="SinespaciadoCar"/>
    <w:uiPriority w:val="1"/>
    <w:qFormat/>
    <w:rsid w:val="00F74547"/>
    <w:rPr>
      <w:rFonts w:eastAsiaTheme="minorHAnsi"/>
      <w:lang w:eastAsia="en-US"/>
    </w:rPr>
  </w:style>
  <w:style w:type="character" w:customStyle="1" w:styleId="SinespaciadoCar">
    <w:name w:val="Sin espaciado Car"/>
    <w:link w:val="Sinespaciado"/>
    <w:uiPriority w:val="1"/>
    <w:rsid w:val="00F74547"/>
    <w:rPr>
      <w:rFonts w:eastAsiaTheme="minorHAnsi"/>
      <w:lang w:eastAsia="en-US"/>
    </w:rPr>
  </w:style>
  <w:style w:type="table" w:styleId="Tablaconcuadrcula">
    <w:name w:val="Table Grid"/>
    <w:basedOn w:val="Tablanormal"/>
    <w:uiPriority w:val="59"/>
    <w:rsid w:val="00B976D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E72EE8"/>
    <w:rPr>
      <w:sz w:val="16"/>
      <w:szCs w:val="16"/>
    </w:rPr>
  </w:style>
  <w:style w:type="paragraph" w:styleId="Textocomentario">
    <w:name w:val="annotation text"/>
    <w:basedOn w:val="Normal"/>
    <w:link w:val="TextocomentarioCar"/>
    <w:uiPriority w:val="99"/>
    <w:unhideWhenUsed/>
    <w:rsid w:val="00E72EE8"/>
    <w:pPr>
      <w:spacing w:line="240" w:lineRule="auto"/>
    </w:pPr>
    <w:rPr>
      <w:sz w:val="20"/>
      <w:szCs w:val="20"/>
    </w:rPr>
  </w:style>
  <w:style w:type="character" w:customStyle="1" w:styleId="TextocomentarioCar">
    <w:name w:val="Texto comentario Car"/>
    <w:basedOn w:val="Fuentedeprrafopredeter"/>
    <w:link w:val="Textocomentario"/>
    <w:uiPriority w:val="99"/>
    <w:rsid w:val="00E72EE8"/>
    <w:rPr>
      <w:rFonts w:ascii="Futura T OT" w:hAnsi="Futura T OT"/>
      <w:sz w:val="20"/>
      <w:szCs w:val="20"/>
    </w:rPr>
  </w:style>
  <w:style w:type="paragraph" w:styleId="Asuntodelcomentario">
    <w:name w:val="annotation subject"/>
    <w:basedOn w:val="Textocomentario"/>
    <w:next w:val="Textocomentario"/>
    <w:link w:val="AsuntodelcomentarioCar"/>
    <w:uiPriority w:val="99"/>
    <w:semiHidden/>
    <w:unhideWhenUsed/>
    <w:rsid w:val="00E72EE8"/>
    <w:rPr>
      <w:b/>
      <w:bCs/>
    </w:rPr>
  </w:style>
  <w:style w:type="character" w:customStyle="1" w:styleId="AsuntodelcomentarioCar">
    <w:name w:val="Asunto del comentario Car"/>
    <w:basedOn w:val="TextocomentarioCar"/>
    <w:link w:val="Asuntodelcomentario"/>
    <w:uiPriority w:val="99"/>
    <w:semiHidden/>
    <w:rsid w:val="00E72EE8"/>
    <w:rPr>
      <w:rFonts w:ascii="Futura T OT" w:hAnsi="Futura T OT"/>
      <w:b/>
      <w:bCs/>
      <w:sz w:val="20"/>
      <w:szCs w:val="20"/>
    </w:rPr>
  </w:style>
  <w:style w:type="paragraph" w:customStyle="1" w:styleId="xmsonormal">
    <w:name w:val="x_msonormal"/>
    <w:basedOn w:val="Normal"/>
    <w:rsid w:val="00CE59D9"/>
    <w:pPr>
      <w:spacing w:before="100" w:beforeAutospacing="1" w:after="100" w:afterAutospacing="1" w:line="240" w:lineRule="auto"/>
      <w:jc w:val="left"/>
    </w:pPr>
    <w:rPr>
      <w:rFonts w:ascii="Times New Roman" w:eastAsia="Times New Roman" w:hAnsi="Times New Roman" w:cs="Times New Roman"/>
      <w:lang w:val="es-MX" w:eastAsia="es-MX"/>
    </w:rPr>
  </w:style>
  <w:style w:type="paragraph" w:styleId="Revisin">
    <w:name w:val="Revision"/>
    <w:hidden/>
    <w:uiPriority w:val="99"/>
    <w:semiHidden/>
    <w:rsid w:val="00AB2B55"/>
    <w:rPr>
      <w:rFonts w:ascii="Futura T OT" w:hAnsi="Futura T OT"/>
    </w:rPr>
  </w:style>
  <w:style w:type="paragraph" w:customStyle="1" w:styleId="Fuente">
    <w:name w:val="Fuente"/>
    <w:basedOn w:val="Normal"/>
    <w:link w:val="FuenteCar"/>
    <w:autoRedefine/>
    <w:qFormat/>
    <w:rsid w:val="00952E57"/>
    <w:pPr>
      <w:spacing w:after="160" w:line="360" w:lineRule="auto"/>
      <w:ind w:firstLine="709"/>
    </w:pPr>
    <w:rPr>
      <w:rFonts w:ascii="Arial" w:hAnsi="Arial"/>
      <w:sz w:val="20"/>
      <w:szCs w:val="20"/>
      <w:lang w:val="es-MX" w:eastAsia="ja-JP"/>
    </w:rPr>
  </w:style>
  <w:style w:type="character" w:customStyle="1" w:styleId="FuenteCar">
    <w:name w:val="Fuente Car"/>
    <w:basedOn w:val="Fuentedeprrafopredeter"/>
    <w:link w:val="Fuente"/>
    <w:rsid w:val="00952E57"/>
    <w:rPr>
      <w:rFonts w:ascii="Arial" w:hAnsi="Arial"/>
      <w:sz w:val="20"/>
      <w:szCs w:val="20"/>
      <w:lang w:val="es-MX" w:eastAsia="ja-JP"/>
    </w:rPr>
  </w:style>
  <w:style w:type="table" w:styleId="Listaclara-nfasis5">
    <w:name w:val="Light List Accent 5"/>
    <w:basedOn w:val="Tablanormal"/>
    <w:uiPriority w:val="61"/>
    <w:rsid w:val="0086218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a">
    <w:name w:val="List"/>
    <w:basedOn w:val="Normal"/>
    <w:uiPriority w:val="99"/>
    <w:unhideWhenUsed/>
    <w:rsid w:val="00AB2769"/>
    <w:pPr>
      <w:ind w:left="283" w:hanging="283"/>
      <w:contextualSpacing/>
    </w:pPr>
  </w:style>
  <w:style w:type="paragraph" w:styleId="Lista2">
    <w:name w:val="List 2"/>
    <w:basedOn w:val="Normal"/>
    <w:uiPriority w:val="99"/>
    <w:unhideWhenUsed/>
    <w:rsid w:val="00AB2769"/>
    <w:pPr>
      <w:ind w:left="566" w:hanging="283"/>
      <w:contextualSpacing/>
    </w:pPr>
  </w:style>
  <w:style w:type="paragraph" w:styleId="Saludo">
    <w:name w:val="Salutation"/>
    <w:basedOn w:val="Normal"/>
    <w:next w:val="Normal"/>
    <w:link w:val="SaludoCar"/>
    <w:uiPriority w:val="99"/>
    <w:unhideWhenUsed/>
    <w:rsid w:val="00AB2769"/>
  </w:style>
  <w:style w:type="character" w:customStyle="1" w:styleId="SaludoCar">
    <w:name w:val="Saludo Car"/>
    <w:basedOn w:val="Fuentedeprrafopredeter"/>
    <w:link w:val="Saludo"/>
    <w:uiPriority w:val="99"/>
    <w:rsid w:val="00AB2769"/>
    <w:rPr>
      <w:rFonts w:ascii="Futura T OT" w:hAnsi="Futura T OT"/>
    </w:rPr>
  </w:style>
  <w:style w:type="paragraph" w:styleId="Listaconvietas2">
    <w:name w:val="List Bullet 2"/>
    <w:basedOn w:val="Normal"/>
    <w:uiPriority w:val="99"/>
    <w:unhideWhenUsed/>
    <w:rsid w:val="00AB2769"/>
    <w:pPr>
      <w:numPr>
        <w:numId w:val="19"/>
      </w:numPr>
      <w:contextualSpacing/>
    </w:pPr>
  </w:style>
  <w:style w:type="paragraph" w:styleId="Continuarlista">
    <w:name w:val="List Continue"/>
    <w:basedOn w:val="Normal"/>
    <w:uiPriority w:val="99"/>
    <w:unhideWhenUsed/>
    <w:rsid w:val="00AB2769"/>
    <w:pPr>
      <w:spacing w:after="120"/>
      <w:ind w:left="283"/>
      <w:contextualSpacing/>
    </w:pPr>
  </w:style>
  <w:style w:type="paragraph" w:styleId="Textoindependiente">
    <w:name w:val="Body Text"/>
    <w:basedOn w:val="Normal"/>
    <w:link w:val="TextoindependienteCar"/>
    <w:uiPriority w:val="99"/>
    <w:unhideWhenUsed/>
    <w:rsid w:val="00AB2769"/>
    <w:pPr>
      <w:spacing w:after="120"/>
    </w:pPr>
  </w:style>
  <w:style w:type="character" w:customStyle="1" w:styleId="TextoindependienteCar">
    <w:name w:val="Texto independiente Car"/>
    <w:basedOn w:val="Fuentedeprrafopredeter"/>
    <w:link w:val="Textoindependiente"/>
    <w:uiPriority w:val="99"/>
    <w:rsid w:val="00AB2769"/>
    <w:rPr>
      <w:rFonts w:ascii="Futura T OT" w:hAnsi="Futura T OT"/>
    </w:rPr>
  </w:style>
  <w:style w:type="paragraph" w:styleId="Sangradetextonormal">
    <w:name w:val="Body Text Indent"/>
    <w:basedOn w:val="Normal"/>
    <w:link w:val="SangradetextonormalCar"/>
    <w:uiPriority w:val="99"/>
    <w:unhideWhenUsed/>
    <w:rsid w:val="00AB2769"/>
    <w:pPr>
      <w:spacing w:after="120"/>
      <w:ind w:left="283"/>
    </w:pPr>
  </w:style>
  <w:style w:type="character" w:customStyle="1" w:styleId="SangradetextonormalCar">
    <w:name w:val="Sangría de texto normal Car"/>
    <w:basedOn w:val="Fuentedeprrafopredeter"/>
    <w:link w:val="Sangradetextonormal"/>
    <w:uiPriority w:val="99"/>
    <w:rsid w:val="00AB2769"/>
    <w:rPr>
      <w:rFonts w:ascii="Futura T OT" w:hAnsi="Futura T OT"/>
    </w:rPr>
  </w:style>
  <w:style w:type="paragraph" w:styleId="Textoindependienteprimerasangra">
    <w:name w:val="Body Text First Indent"/>
    <w:basedOn w:val="Textoindependiente"/>
    <w:link w:val="TextoindependienteprimerasangraCar"/>
    <w:uiPriority w:val="99"/>
    <w:unhideWhenUsed/>
    <w:rsid w:val="00AB2769"/>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AB2769"/>
    <w:rPr>
      <w:rFonts w:ascii="Futura T OT" w:hAnsi="Futura T OT"/>
    </w:rPr>
  </w:style>
  <w:style w:type="paragraph" w:styleId="Textoindependienteprimerasangra2">
    <w:name w:val="Body Text First Indent 2"/>
    <w:basedOn w:val="Sangradetextonormal"/>
    <w:link w:val="Textoindependienteprimerasangra2Car"/>
    <w:uiPriority w:val="99"/>
    <w:unhideWhenUsed/>
    <w:rsid w:val="00AB276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B2769"/>
    <w:rPr>
      <w:rFonts w:ascii="Futura T OT" w:hAnsi="Futura T O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7005">
      <w:bodyDiv w:val="1"/>
      <w:marLeft w:val="0"/>
      <w:marRight w:val="0"/>
      <w:marTop w:val="0"/>
      <w:marBottom w:val="0"/>
      <w:divBdr>
        <w:top w:val="none" w:sz="0" w:space="0" w:color="auto"/>
        <w:left w:val="none" w:sz="0" w:space="0" w:color="auto"/>
        <w:bottom w:val="none" w:sz="0" w:space="0" w:color="auto"/>
        <w:right w:val="none" w:sz="0" w:space="0" w:color="auto"/>
      </w:divBdr>
    </w:div>
    <w:div w:id="39090982">
      <w:bodyDiv w:val="1"/>
      <w:marLeft w:val="0"/>
      <w:marRight w:val="0"/>
      <w:marTop w:val="0"/>
      <w:marBottom w:val="0"/>
      <w:divBdr>
        <w:top w:val="none" w:sz="0" w:space="0" w:color="auto"/>
        <w:left w:val="none" w:sz="0" w:space="0" w:color="auto"/>
        <w:bottom w:val="none" w:sz="0" w:space="0" w:color="auto"/>
        <w:right w:val="none" w:sz="0" w:space="0" w:color="auto"/>
      </w:divBdr>
    </w:div>
    <w:div w:id="132257676">
      <w:bodyDiv w:val="1"/>
      <w:marLeft w:val="0"/>
      <w:marRight w:val="0"/>
      <w:marTop w:val="0"/>
      <w:marBottom w:val="0"/>
      <w:divBdr>
        <w:top w:val="none" w:sz="0" w:space="0" w:color="auto"/>
        <w:left w:val="none" w:sz="0" w:space="0" w:color="auto"/>
        <w:bottom w:val="none" w:sz="0" w:space="0" w:color="auto"/>
        <w:right w:val="none" w:sz="0" w:space="0" w:color="auto"/>
      </w:divBdr>
    </w:div>
    <w:div w:id="169874324">
      <w:bodyDiv w:val="1"/>
      <w:marLeft w:val="0"/>
      <w:marRight w:val="0"/>
      <w:marTop w:val="0"/>
      <w:marBottom w:val="0"/>
      <w:divBdr>
        <w:top w:val="none" w:sz="0" w:space="0" w:color="auto"/>
        <w:left w:val="none" w:sz="0" w:space="0" w:color="auto"/>
        <w:bottom w:val="none" w:sz="0" w:space="0" w:color="auto"/>
        <w:right w:val="none" w:sz="0" w:space="0" w:color="auto"/>
      </w:divBdr>
      <w:divsChild>
        <w:div w:id="407967508">
          <w:marLeft w:val="0"/>
          <w:marRight w:val="0"/>
          <w:marTop w:val="0"/>
          <w:marBottom w:val="0"/>
          <w:divBdr>
            <w:top w:val="none" w:sz="0" w:space="0" w:color="auto"/>
            <w:left w:val="none" w:sz="0" w:space="0" w:color="auto"/>
            <w:bottom w:val="none" w:sz="0" w:space="0" w:color="auto"/>
            <w:right w:val="none" w:sz="0" w:space="0" w:color="auto"/>
          </w:divBdr>
        </w:div>
        <w:div w:id="444157762">
          <w:marLeft w:val="0"/>
          <w:marRight w:val="0"/>
          <w:marTop w:val="0"/>
          <w:marBottom w:val="0"/>
          <w:divBdr>
            <w:top w:val="none" w:sz="0" w:space="0" w:color="auto"/>
            <w:left w:val="none" w:sz="0" w:space="0" w:color="auto"/>
            <w:bottom w:val="none" w:sz="0" w:space="0" w:color="auto"/>
            <w:right w:val="none" w:sz="0" w:space="0" w:color="auto"/>
          </w:divBdr>
        </w:div>
        <w:div w:id="770902189">
          <w:marLeft w:val="0"/>
          <w:marRight w:val="0"/>
          <w:marTop w:val="0"/>
          <w:marBottom w:val="0"/>
          <w:divBdr>
            <w:top w:val="none" w:sz="0" w:space="0" w:color="auto"/>
            <w:left w:val="none" w:sz="0" w:space="0" w:color="auto"/>
            <w:bottom w:val="none" w:sz="0" w:space="0" w:color="auto"/>
            <w:right w:val="none" w:sz="0" w:space="0" w:color="auto"/>
          </w:divBdr>
        </w:div>
        <w:div w:id="1339847245">
          <w:marLeft w:val="0"/>
          <w:marRight w:val="0"/>
          <w:marTop w:val="0"/>
          <w:marBottom w:val="0"/>
          <w:divBdr>
            <w:top w:val="none" w:sz="0" w:space="0" w:color="auto"/>
            <w:left w:val="none" w:sz="0" w:space="0" w:color="auto"/>
            <w:bottom w:val="none" w:sz="0" w:space="0" w:color="auto"/>
            <w:right w:val="none" w:sz="0" w:space="0" w:color="auto"/>
          </w:divBdr>
        </w:div>
        <w:div w:id="1468090536">
          <w:marLeft w:val="0"/>
          <w:marRight w:val="0"/>
          <w:marTop w:val="0"/>
          <w:marBottom w:val="0"/>
          <w:divBdr>
            <w:top w:val="none" w:sz="0" w:space="0" w:color="auto"/>
            <w:left w:val="none" w:sz="0" w:space="0" w:color="auto"/>
            <w:bottom w:val="none" w:sz="0" w:space="0" w:color="auto"/>
            <w:right w:val="none" w:sz="0" w:space="0" w:color="auto"/>
          </w:divBdr>
        </w:div>
        <w:div w:id="1678919415">
          <w:marLeft w:val="0"/>
          <w:marRight w:val="0"/>
          <w:marTop w:val="0"/>
          <w:marBottom w:val="0"/>
          <w:divBdr>
            <w:top w:val="none" w:sz="0" w:space="0" w:color="auto"/>
            <w:left w:val="none" w:sz="0" w:space="0" w:color="auto"/>
            <w:bottom w:val="none" w:sz="0" w:space="0" w:color="auto"/>
            <w:right w:val="none" w:sz="0" w:space="0" w:color="auto"/>
          </w:divBdr>
        </w:div>
        <w:div w:id="1810855686">
          <w:marLeft w:val="0"/>
          <w:marRight w:val="0"/>
          <w:marTop w:val="0"/>
          <w:marBottom w:val="0"/>
          <w:divBdr>
            <w:top w:val="none" w:sz="0" w:space="0" w:color="auto"/>
            <w:left w:val="none" w:sz="0" w:space="0" w:color="auto"/>
            <w:bottom w:val="none" w:sz="0" w:space="0" w:color="auto"/>
            <w:right w:val="none" w:sz="0" w:space="0" w:color="auto"/>
          </w:divBdr>
        </w:div>
        <w:div w:id="1889803916">
          <w:marLeft w:val="0"/>
          <w:marRight w:val="0"/>
          <w:marTop w:val="0"/>
          <w:marBottom w:val="0"/>
          <w:divBdr>
            <w:top w:val="none" w:sz="0" w:space="0" w:color="auto"/>
            <w:left w:val="none" w:sz="0" w:space="0" w:color="auto"/>
            <w:bottom w:val="none" w:sz="0" w:space="0" w:color="auto"/>
            <w:right w:val="none" w:sz="0" w:space="0" w:color="auto"/>
          </w:divBdr>
        </w:div>
        <w:div w:id="1959220921">
          <w:marLeft w:val="0"/>
          <w:marRight w:val="0"/>
          <w:marTop w:val="0"/>
          <w:marBottom w:val="0"/>
          <w:divBdr>
            <w:top w:val="none" w:sz="0" w:space="0" w:color="auto"/>
            <w:left w:val="none" w:sz="0" w:space="0" w:color="auto"/>
            <w:bottom w:val="none" w:sz="0" w:space="0" w:color="auto"/>
            <w:right w:val="none" w:sz="0" w:space="0" w:color="auto"/>
          </w:divBdr>
        </w:div>
        <w:div w:id="2062053720">
          <w:marLeft w:val="0"/>
          <w:marRight w:val="0"/>
          <w:marTop w:val="0"/>
          <w:marBottom w:val="0"/>
          <w:divBdr>
            <w:top w:val="none" w:sz="0" w:space="0" w:color="auto"/>
            <w:left w:val="none" w:sz="0" w:space="0" w:color="auto"/>
            <w:bottom w:val="none" w:sz="0" w:space="0" w:color="auto"/>
            <w:right w:val="none" w:sz="0" w:space="0" w:color="auto"/>
          </w:divBdr>
        </w:div>
      </w:divsChild>
    </w:div>
    <w:div w:id="199054597">
      <w:bodyDiv w:val="1"/>
      <w:marLeft w:val="0"/>
      <w:marRight w:val="0"/>
      <w:marTop w:val="0"/>
      <w:marBottom w:val="0"/>
      <w:divBdr>
        <w:top w:val="none" w:sz="0" w:space="0" w:color="auto"/>
        <w:left w:val="none" w:sz="0" w:space="0" w:color="auto"/>
        <w:bottom w:val="none" w:sz="0" w:space="0" w:color="auto"/>
        <w:right w:val="none" w:sz="0" w:space="0" w:color="auto"/>
      </w:divBdr>
    </w:div>
    <w:div w:id="211617759">
      <w:bodyDiv w:val="1"/>
      <w:marLeft w:val="0"/>
      <w:marRight w:val="0"/>
      <w:marTop w:val="0"/>
      <w:marBottom w:val="0"/>
      <w:divBdr>
        <w:top w:val="none" w:sz="0" w:space="0" w:color="auto"/>
        <w:left w:val="none" w:sz="0" w:space="0" w:color="auto"/>
        <w:bottom w:val="none" w:sz="0" w:space="0" w:color="auto"/>
        <w:right w:val="none" w:sz="0" w:space="0" w:color="auto"/>
      </w:divBdr>
    </w:div>
    <w:div w:id="231816397">
      <w:bodyDiv w:val="1"/>
      <w:marLeft w:val="0"/>
      <w:marRight w:val="0"/>
      <w:marTop w:val="0"/>
      <w:marBottom w:val="0"/>
      <w:divBdr>
        <w:top w:val="none" w:sz="0" w:space="0" w:color="auto"/>
        <w:left w:val="none" w:sz="0" w:space="0" w:color="auto"/>
        <w:bottom w:val="none" w:sz="0" w:space="0" w:color="auto"/>
        <w:right w:val="none" w:sz="0" w:space="0" w:color="auto"/>
      </w:divBdr>
    </w:div>
    <w:div w:id="246766382">
      <w:bodyDiv w:val="1"/>
      <w:marLeft w:val="0"/>
      <w:marRight w:val="0"/>
      <w:marTop w:val="0"/>
      <w:marBottom w:val="0"/>
      <w:divBdr>
        <w:top w:val="none" w:sz="0" w:space="0" w:color="auto"/>
        <w:left w:val="none" w:sz="0" w:space="0" w:color="auto"/>
        <w:bottom w:val="none" w:sz="0" w:space="0" w:color="auto"/>
        <w:right w:val="none" w:sz="0" w:space="0" w:color="auto"/>
      </w:divBdr>
    </w:div>
    <w:div w:id="259264035">
      <w:bodyDiv w:val="1"/>
      <w:marLeft w:val="0"/>
      <w:marRight w:val="0"/>
      <w:marTop w:val="0"/>
      <w:marBottom w:val="0"/>
      <w:divBdr>
        <w:top w:val="none" w:sz="0" w:space="0" w:color="auto"/>
        <w:left w:val="none" w:sz="0" w:space="0" w:color="auto"/>
        <w:bottom w:val="none" w:sz="0" w:space="0" w:color="auto"/>
        <w:right w:val="none" w:sz="0" w:space="0" w:color="auto"/>
      </w:divBdr>
    </w:div>
    <w:div w:id="271940929">
      <w:bodyDiv w:val="1"/>
      <w:marLeft w:val="0"/>
      <w:marRight w:val="0"/>
      <w:marTop w:val="0"/>
      <w:marBottom w:val="0"/>
      <w:divBdr>
        <w:top w:val="none" w:sz="0" w:space="0" w:color="auto"/>
        <w:left w:val="none" w:sz="0" w:space="0" w:color="auto"/>
        <w:bottom w:val="none" w:sz="0" w:space="0" w:color="auto"/>
        <w:right w:val="none" w:sz="0" w:space="0" w:color="auto"/>
      </w:divBdr>
    </w:div>
    <w:div w:id="288367244">
      <w:bodyDiv w:val="1"/>
      <w:marLeft w:val="0"/>
      <w:marRight w:val="0"/>
      <w:marTop w:val="0"/>
      <w:marBottom w:val="0"/>
      <w:divBdr>
        <w:top w:val="none" w:sz="0" w:space="0" w:color="auto"/>
        <w:left w:val="none" w:sz="0" w:space="0" w:color="auto"/>
        <w:bottom w:val="none" w:sz="0" w:space="0" w:color="auto"/>
        <w:right w:val="none" w:sz="0" w:space="0" w:color="auto"/>
      </w:divBdr>
    </w:div>
    <w:div w:id="323510166">
      <w:bodyDiv w:val="1"/>
      <w:marLeft w:val="0"/>
      <w:marRight w:val="0"/>
      <w:marTop w:val="0"/>
      <w:marBottom w:val="0"/>
      <w:divBdr>
        <w:top w:val="none" w:sz="0" w:space="0" w:color="auto"/>
        <w:left w:val="none" w:sz="0" w:space="0" w:color="auto"/>
        <w:bottom w:val="none" w:sz="0" w:space="0" w:color="auto"/>
        <w:right w:val="none" w:sz="0" w:space="0" w:color="auto"/>
      </w:divBdr>
    </w:div>
    <w:div w:id="329067121">
      <w:bodyDiv w:val="1"/>
      <w:marLeft w:val="0"/>
      <w:marRight w:val="0"/>
      <w:marTop w:val="0"/>
      <w:marBottom w:val="0"/>
      <w:divBdr>
        <w:top w:val="none" w:sz="0" w:space="0" w:color="auto"/>
        <w:left w:val="none" w:sz="0" w:space="0" w:color="auto"/>
        <w:bottom w:val="none" w:sz="0" w:space="0" w:color="auto"/>
        <w:right w:val="none" w:sz="0" w:space="0" w:color="auto"/>
      </w:divBdr>
    </w:div>
    <w:div w:id="345441866">
      <w:bodyDiv w:val="1"/>
      <w:marLeft w:val="0"/>
      <w:marRight w:val="0"/>
      <w:marTop w:val="0"/>
      <w:marBottom w:val="0"/>
      <w:divBdr>
        <w:top w:val="none" w:sz="0" w:space="0" w:color="auto"/>
        <w:left w:val="none" w:sz="0" w:space="0" w:color="auto"/>
        <w:bottom w:val="none" w:sz="0" w:space="0" w:color="auto"/>
        <w:right w:val="none" w:sz="0" w:space="0" w:color="auto"/>
      </w:divBdr>
    </w:div>
    <w:div w:id="380638640">
      <w:bodyDiv w:val="1"/>
      <w:marLeft w:val="0"/>
      <w:marRight w:val="0"/>
      <w:marTop w:val="0"/>
      <w:marBottom w:val="0"/>
      <w:divBdr>
        <w:top w:val="none" w:sz="0" w:space="0" w:color="auto"/>
        <w:left w:val="none" w:sz="0" w:space="0" w:color="auto"/>
        <w:bottom w:val="none" w:sz="0" w:space="0" w:color="auto"/>
        <w:right w:val="none" w:sz="0" w:space="0" w:color="auto"/>
      </w:divBdr>
    </w:div>
    <w:div w:id="406339554">
      <w:bodyDiv w:val="1"/>
      <w:marLeft w:val="0"/>
      <w:marRight w:val="0"/>
      <w:marTop w:val="0"/>
      <w:marBottom w:val="0"/>
      <w:divBdr>
        <w:top w:val="none" w:sz="0" w:space="0" w:color="auto"/>
        <w:left w:val="none" w:sz="0" w:space="0" w:color="auto"/>
        <w:bottom w:val="none" w:sz="0" w:space="0" w:color="auto"/>
        <w:right w:val="none" w:sz="0" w:space="0" w:color="auto"/>
      </w:divBdr>
    </w:div>
    <w:div w:id="457921379">
      <w:bodyDiv w:val="1"/>
      <w:marLeft w:val="0"/>
      <w:marRight w:val="0"/>
      <w:marTop w:val="0"/>
      <w:marBottom w:val="0"/>
      <w:divBdr>
        <w:top w:val="none" w:sz="0" w:space="0" w:color="auto"/>
        <w:left w:val="none" w:sz="0" w:space="0" w:color="auto"/>
        <w:bottom w:val="none" w:sz="0" w:space="0" w:color="auto"/>
        <w:right w:val="none" w:sz="0" w:space="0" w:color="auto"/>
      </w:divBdr>
    </w:div>
    <w:div w:id="474839532">
      <w:bodyDiv w:val="1"/>
      <w:marLeft w:val="0"/>
      <w:marRight w:val="0"/>
      <w:marTop w:val="0"/>
      <w:marBottom w:val="0"/>
      <w:divBdr>
        <w:top w:val="none" w:sz="0" w:space="0" w:color="auto"/>
        <w:left w:val="none" w:sz="0" w:space="0" w:color="auto"/>
        <w:bottom w:val="none" w:sz="0" w:space="0" w:color="auto"/>
        <w:right w:val="none" w:sz="0" w:space="0" w:color="auto"/>
      </w:divBdr>
    </w:div>
    <w:div w:id="497356056">
      <w:bodyDiv w:val="1"/>
      <w:marLeft w:val="0"/>
      <w:marRight w:val="0"/>
      <w:marTop w:val="0"/>
      <w:marBottom w:val="0"/>
      <w:divBdr>
        <w:top w:val="none" w:sz="0" w:space="0" w:color="auto"/>
        <w:left w:val="none" w:sz="0" w:space="0" w:color="auto"/>
        <w:bottom w:val="none" w:sz="0" w:space="0" w:color="auto"/>
        <w:right w:val="none" w:sz="0" w:space="0" w:color="auto"/>
      </w:divBdr>
    </w:div>
    <w:div w:id="548153717">
      <w:bodyDiv w:val="1"/>
      <w:marLeft w:val="0"/>
      <w:marRight w:val="0"/>
      <w:marTop w:val="0"/>
      <w:marBottom w:val="0"/>
      <w:divBdr>
        <w:top w:val="none" w:sz="0" w:space="0" w:color="auto"/>
        <w:left w:val="none" w:sz="0" w:space="0" w:color="auto"/>
        <w:bottom w:val="none" w:sz="0" w:space="0" w:color="auto"/>
        <w:right w:val="none" w:sz="0" w:space="0" w:color="auto"/>
      </w:divBdr>
    </w:div>
    <w:div w:id="548499598">
      <w:bodyDiv w:val="1"/>
      <w:marLeft w:val="0"/>
      <w:marRight w:val="0"/>
      <w:marTop w:val="0"/>
      <w:marBottom w:val="0"/>
      <w:divBdr>
        <w:top w:val="none" w:sz="0" w:space="0" w:color="auto"/>
        <w:left w:val="none" w:sz="0" w:space="0" w:color="auto"/>
        <w:bottom w:val="none" w:sz="0" w:space="0" w:color="auto"/>
        <w:right w:val="none" w:sz="0" w:space="0" w:color="auto"/>
      </w:divBdr>
    </w:div>
    <w:div w:id="653607856">
      <w:bodyDiv w:val="1"/>
      <w:marLeft w:val="0"/>
      <w:marRight w:val="0"/>
      <w:marTop w:val="0"/>
      <w:marBottom w:val="0"/>
      <w:divBdr>
        <w:top w:val="none" w:sz="0" w:space="0" w:color="auto"/>
        <w:left w:val="none" w:sz="0" w:space="0" w:color="auto"/>
        <w:bottom w:val="none" w:sz="0" w:space="0" w:color="auto"/>
        <w:right w:val="none" w:sz="0" w:space="0" w:color="auto"/>
      </w:divBdr>
    </w:div>
    <w:div w:id="688146028">
      <w:bodyDiv w:val="1"/>
      <w:marLeft w:val="0"/>
      <w:marRight w:val="0"/>
      <w:marTop w:val="0"/>
      <w:marBottom w:val="0"/>
      <w:divBdr>
        <w:top w:val="none" w:sz="0" w:space="0" w:color="auto"/>
        <w:left w:val="none" w:sz="0" w:space="0" w:color="auto"/>
        <w:bottom w:val="none" w:sz="0" w:space="0" w:color="auto"/>
        <w:right w:val="none" w:sz="0" w:space="0" w:color="auto"/>
      </w:divBdr>
    </w:div>
    <w:div w:id="704520552">
      <w:bodyDiv w:val="1"/>
      <w:marLeft w:val="0"/>
      <w:marRight w:val="0"/>
      <w:marTop w:val="0"/>
      <w:marBottom w:val="0"/>
      <w:divBdr>
        <w:top w:val="none" w:sz="0" w:space="0" w:color="auto"/>
        <w:left w:val="none" w:sz="0" w:space="0" w:color="auto"/>
        <w:bottom w:val="none" w:sz="0" w:space="0" w:color="auto"/>
        <w:right w:val="none" w:sz="0" w:space="0" w:color="auto"/>
      </w:divBdr>
    </w:div>
    <w:div w:id="720717519">
      <w:bodyDiv w:val="1"/>
      <w:marLeft w:val="0"/>
      <w:marRight w:val="0"/>
      <w:marTop w:val="0"/>
      <w:marBottom w:val="0"/>
      <w:divBdr>
        <w:top w:val="none" w:sz="0" w:space="0" w:color="auto"/>
        <w:left w:val="none" w:sz="0" w:space="0" w:color="auto"/>
        <w:bottom w:val="none" w:sz="0" w:space="0" w:color="auto"/>
        <w:right w:val="none" w:sz="0" w:space="0" w:color="auto"/>
      </w:divBdr>
    </w:div>
    <w:div w:id="724909255">
      <w:bodyDiv w:val="1"/>
      <w:marLeft w:val="0"/>
      <w:marRight w:val="0"/>
      <w:marTop w:val="0"/>
      <w:marBottom w:val="0"/>
      <w:divBdr>
        <w:top w:val="none" w:sz="0" w:space="0" w:color="auto"/>
        <w:left w:val="none" w:sz="0" w:space="0" w:color="auto"/>
        <w:bottom w:val="none" w:sz="0" w:space="0" w:color="auto"/>
        <w:right w:val="none" w:sz="0" w:space="0" w:color="auto"/>
      </w:divBdr>
    </w:div>
    <w:div w:id="797604142">
      <w:bodyDiv w:val="1"/>
      <w:marLeft w:val="0"/>
      <w:marRight w:val="0"/>
      <w:marTop w:val="0"/>
      <w:marBottom w:val="0"/>
      <w:divBdr>
        <w:top w:val="none" w:sz="0" w:space="0" w:color="auto"/>
        <w:left w:val="none" w:sz="0" w:space="0" w:color="auto"/>
        <w:bottom w:val="none" w:sz="0" w:space="0" w:color="auto"/>
        <w:right w:val="none" w:sz="0" w:space="0" w:color="auto"/>
      </w:divBdr>
      <w:divsChild>
        <w:div w:id="100230024">
          <w:marLeft w:val="0"/>
          <w:marRight w:val="0"/>
          <w:marTop w:val="0"/>
          <w:marBottom w:val="0"/>
          <w:divBdr>
            <w:top w:val="none" w:sz="0" w:space="0" w:color="auto"/>
            <w:left w:val="none" w:sz="0" w:space="0" w:color="auto"/>
            <w:bottom w:val="none" w:sz="0" w:space="0" w:color="auto"/>
            <w:right w:val="none" w:sz="0" w:space="0" w:color="auto"/>
          </w:divBdr>
        </w:div>
        <w:div w:id="216092522">
          <w:marLeft w:val="0"/>
          <w:marRight w:val="0"/>
          <w:marTop w:val="0"/>
          <w:marBottom w:val="0"/>
          <w:divBdr>
            <w:top w:val="none" w:sz="0" w:space="0" w:color="auto"/>
            <w:left w:val="none" w:sz="0" w:space="0" w:color="auto"/>
            <w:bottom w:val="none" w:sz="0" w:space="0" w:color="auto"/>
            <w:right w:val="none" w:sz="0" w:space="0" w:color="auto"/>
          </w:divBdr>
        </w:div>
        <w:div w:id="765929971">
          <w:marLeft w:val="0"/>
          <w:marRight w:val="0"/>
          <w:marTop w:val="0"/>
          <w:marBottom w:val="0"/>
          <w:divBdr>
            <w:top w:val="none" w:sz="0" w:space="0" w:color="auto"/>
            <w:left w:val="none" w:sz="0" w:space="0" w:color="auto"/>
            <w:bottom w:val="none" w:sz="0" w:space="0" w:color="auto"/>
            <w:right w:val="none" w:sz="0" w:space="0" w:color="auto"/>
          </w:divBdr>
        </w:div>
        <w:div w:id="879633065">
          <w:marLeft w:val="0"/>
          <w:marRight w:val="0"/>
          <w:marTop w:val="0"/>
          <w:marBottom w:val="0"/>
          <w:divBdr>
            <w:top w:val="none" w:sz="0" w:space="0" w:color="auto"/>
            <w:left w:val="none" w:sz="0" w:space="0" w:color="auto"/>
            <w:bottom w:val="none" w:sz="0" w:space="0" w:color="auto"/>
            <w:right w:val="none" w:sz="0" w:space="0" w:color="auto"/>
          </w:divBdr>
        </w:div>
        <w:div w:id="1210531394">
          <w:marLeft w:val="0"/>
          <w:marRight w:val="0"/>
          <w:marTop w:val="0"/>
          <w:marBottom w:val="0"/>
          <w:divBdr>
            <w:top w:val="none" w:sz="0" w:space="0" w:color="auto"/>
            <w:left w:val="none" w:sz="0" w:space="0" w:color="auto"/>
            <w:bottom w:val="none" w:sz="0" w:space="0" w:color="auto"/>
            <w:right w:val="none" w:sz="0" w:space="0" w:color="auto"/>
          </w:divBdr>
        </w:div>
        <w:div w:id="1349987953">
          <w:marLeft w:val="0"/>
          <w:marRight w:val="0"/>
          <w:marTop w:val="0"/>
          <w:marBottom w:val="0"/>
          <w:divBdr>
            <w:top w:val="none" w:sz="0" w:space="0" w:color="auto"/>
            <w:left w:val="none" w:sz="0" w:space="0" w:color="auto"/>
            <w:bottom w:val="none" w:sz="0" w:space="0" w:color="auto"/>
            <w:right w:val="none" w:sz="0" w:space="0" w:color="auto"/>
          </w:divBdr>
        </w:div>
        <w:div w:id="1374427307">
          <w:marLeft w:val="0"/>
          <w:marRight w:val="0"/>
          <w:marTop w:val="0"/>
          <w:marBottom w:val="0"/>
          <w:divBdr>
            <w:top w:val="none" w:sz="0" w:space="0" w:color="auto"/>
            <w:left w:val="none" w:sz="0" w:space="0" w:color="auto"/>
            <w:bottom w:val="none" w:sz="0" w:space="0" w:color="auto"/>
            <w:right w:val="none" w:sz="0" w:space="0" w:color="auto"/>
          </w:divBdr>
        </w:div>
        <w:div w:id="1883131080">
          <w:marLeft w:val="0"/>
          <w:marRight w:val="0"/>
          <w:marTop w:val="0"/>
          <w:marBottom w:val="0"/>
          <w:divBdr>
            <w:top w:val="none" w:sz="0" w:space="0" w:color="auto"/>
            <w:left w:val="none" w:sz="0" w:space="0" w:color="auto"/>
            <w:bottom w:val="none" w:sz="0" w:space="0" w:color="auto"/>
            <w:right w:val="none" w:sz="0" w:space="0" w:color="auto"/>
          </w:divBdr>
        </w:div>
        <w:div w:id="1896236229">
          <w:marLeft w:val="0"/>
          <w:marRight w:val="0"/>
          <w:marTop w:val="0"/>
          <w:marBottom w:val="0"/>
          <w:divBdr>
            <w:top w:val="none" w:sz="0" w:space="0" w:color="auto"/>
            <w:left w:val="none" w:sz="0" w:space="0" w:color="auto"/>
            <w:bottom w:val="none" w:sz="0" w:space="0" w:color="auto"/>
            <w:right w:val="none" w:sz="0" w:space="0" w:color="auto"/>
          </w:divBdr>
        </w:div>
        <w:div w:id="1991665164">
          <w:marLeft w:val="0"/>
          <w:marRight w:val="0"/>
          <w:marTop w:val="0"/>
          <w:marBottom w:val="0"/>
          <w:divBdr>
            <w:top w:val="none" w:sz="0" w:space="0" w:color="auto"/>
            <w:left w:val="none" w:sz="0" w:space="0" w:color="auto"/>
            <w:bottom w:val="none" w:sz="0" w:space="0" w:color="auto"/>
            <w:right w:val="none" w:sz="0" w:space="0" w:color="auto"/>
          </w:divBdr>
        </w:div>
      </w:divsChild>
    </w:div>
    <w:div w:id="819224508">
      <w:bodyDiv w:val="1"/>
      <w:marLeft w:val="0"/>
      <w:marRight w:val="0"/>
      <w:marTop w:val="0"/>
      <w:marBottom w:val="0"/>
      <w:divBdr>
        <w:top w:val="none" w:sz="0" w:space="0" w:color="auto"/>
        <w:left w:val="none" w:sz="0" w:space="0" w:color="auto"/>
        <w:bottom w:val="none" w:sz="0" w:space="0" w:color="auto"/>
        <w:right w:val="none" w:sz="0" w:space="0" w:color="auto"/>
      </w:divBdr>
    </w:div>
    <w:div w:id="884172615">
      <w:bodyDiv w:val="1"/>
      <w:marLeft w:val="0"/>
      <w:marRight w:val="0"/>
      <w:marTop w:val="0"/>
      <w:marBottom w:val="0"/>
      <w:divBdr>
        <w:top w:val="none" w:sz="0" w:space="0" w:color="auto"/>
        <w:left w:val="none" w:sz="0" w:space="0" w:color="auto"/>
        <w:bottom w:val="none" w:sz="0" w:space="0" w:color="auto"/>
        <w:right w:val="none" w:sz="0" w:space="0" w:color="auto"/>
      </w:divBdr>
    </w:div>
    <w:div w:id="924192823">
      <w:bodyDiv w:val="1"/>
      <w:marLeft w:val="0"/>
      <w:marRight w:val="0"/>
      <w:marTop w:val="0"/>
      <w:marBottom w:val="0"/>
      <w:divBdr>
        <w:top w:val="none" w:sz="0" w:space="0" w:color="auto"/>
        <w:left w:val="none" w:sz="0" w:space="0" w:color="auto"/>
        <w:bottom w:val="none" w:sz="0" w:space="0" w:color="auto"/>
        <w:right w:val="none" w:sz="0" w:space="0" w:color="auto"/>
      </w:divBdr>
    </w:div>
    <w:div w:id="982848809">
      <w:bodyDiv w:val="1"/>
      <w:marLeft w:val="0"/>
      <w:marRight w:val="0"/>
      <w:marTop w:val="0"/>
      <w:marBottom w:val="0"/>
      <w:divBdr>
        <w:top w:val="none" w:sz="0" w:space="0" w:color="auto"/>
        <w:left w:val="none" w:sz="0" w:space="0" w:color="auto"/>
        <w:bottom w:val="none" w:sz="0" w:space="0" w:color="auto"/>
        <w:right w:val="none" w:sz="0" w:space="0" w:color="auto"/>
      </w:divBdr>
    </w:div>
    <w:div w:id="1080755377">
      <w:bodyDiv w:val="1"/>
      <w:marLeft w:val="0"/>
      <w:marRight w:val="0"/>
      <w:marTop w:val="0"/>
      <w:marBottom w:val="0"/>
      <w:divBdr>
        <w:top w:val="none" w:sz="0" w:space="0" w:color="auto"/>
        <w:left w:val="none" w:sz="0" w:space="0" w:color="auto"/>
        <w:bottom w:val="none" w:sz="0" w:space="0" w:color="auto"/>
        <w:right w:val="none" w:sz="0" w:space="0" w:color="auto"/>
      </w:divBdr>
    </w:div>
    <w:div w:id="1101950284">
      <w:bodyDiv w:val="1"/>
      <w:marLeft w:val="0"/>
      <w:marRight w:val="0"/>
      <w:marTop w:val="0"/>
      <w:marBottom w:val="0"/>
      <w:divBdr>
        <w:top w:val="none" w:sz="0" w:space="0" w:color="auto"/>
        <w:left w:val="none" w:sz="0" w:space="0" w:color="auto"/>
        <w:bottom w:val="none" w:sz="0" w:space="0" w:color="auto"/>
        <w:right w:val="none" w:sz="0" w:space="0" w:color="auto"/>
      </w:divBdr>
    </w:div>
    <w:div w:id="1125856525">
      <w:bodyDiv w:val="1"/>
      <w:marLeft w:val="0"/>
      <w:marRight w:val="0"/>
      <w:marTop w:val="0"/>
      <w:marBottom w:val="0"/>
      <w:divBdr>
        <w:top w:val="none" w:sz="0" w:space="0" w:color="auto"/>
        <w:left w:val="none" w:sz="0" w:space="0" w:color="auto"/>
        <w:bottom w:val="none" w:sz="0" w:space="0" w:color="auto"/>
        <w:right w:val="none" w:sz="0" w:space="0" w:color="auto"/>
      </w:divBdr>
    </w:div>
    <w:div w:id="1180044112">
      <w:bodyDiv w:val="1"/>
      <w:marLeft w:val="0"/>
      <w:marRight w:val="0"/>
      <w:marTop w:val="0"/>
      <w:marBottom w:val="0"/>
      <w:divBdr>
        <w:top w:val="none" w:sz="0" w:space="0" w:color="auto"/>
        <w:left w:val="none" w:sz="0" w:space="0" w:color="auto"/>
        <w:bottom w:val="none" w:sz="0" w:space="0" w:color="auto"/>
        <w:right w:val="none" w:sz="0" w:space="0" w:color="auto"/>
      </w:divBdr>
    </w:div>
    <w:div w:id="1191457601">
      <w:bodyDiv w:val="1"/>
      <w:marLeft w:val="0"/>
      <w:marRight w:val="0"/>
      <w:marTop w:val="0"/>
      <w:marBottom w:val="0"/>
      <w:divBdr>
        <w:top w:val="none" w:sz="0" w:space="0" w:color="auto"/>
        <w:left w:val="none" w:sz="0" w:space="0" w:color="auto"/>
        <w:bottom w:val="none" w:sz="0" w:space="0" w:color="auto"/>
        <w:right w:val="none" w:sz="0" w:space="0" w:color="auto"/>
      </w:divBdr>
      <w:divsChild>
        <w:div w:id="2136095219">
          <w:marLeft w:val="0"/>
          <w:marRight w:val="0"/>
          <w:marTop w:val="0"/>
          <w:marBottom w:val="0"/>
          <w:divBdr>
            <w:top w:val="none" w:sz="0" w:space="0" w:color="auto"/>
            <w:left w:val="none" w:sz="0" w:space="0" w:color="auto"/>
            <w:bottom w:val="none" w:sz="0" w:space="0" w:color="auto"/>
            <w:right w:val="none" w:sz="0" w:space="0" w:color="auto"/>
          </w:divBdr>
          <w:divsChild>
            <w:div w:id="47539961">
              <w:marLeft w:val="0"/>
              <w:marRight w:val="0"/>
              <w:marTop w:val="0"/>
              <w:marBottom w:val="0"/>
              <w:divBdr>
                <w:top w:val="none" w:sz="0" w:space="0" w:color="auto"/>
                <w:left w:val="none" w:sz="0" w:space="0" w:color="auto"/>
                <w:bottom w:val="none" w:sz="0" w:space="0" w:color="auto"/>
                <w:right w:val="none" w:sz="0" w:space="0" w:color="auto"/>
              </w:divBdr>
            </w:div>
            <w:div w:id="15723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10067">
      <w:bodyDiv w:val="1"/>
      <w:marLeft w:val="0"/>
      <w:marRight w:val="0"/>
      <w:marTop w:val="0"/>
      <w:marBottom w:val="0"/>
      <w:divBdr>
        <w:top w:val="none" w:sz="0" w:space="0" w:color="auto"/>
        <w:left w:val="none" w:sz="0" w:space="0" w:color="auto"/>
        <w:bottom w:val="none" w:sz="0" w:space="0" w:color="auto"/>
        <w:right w:val="none" w:sz="0" w:space="0" w:color="auto"/>
      </w:divBdr>
    </w:div>
    <w:div w:id="1244342148">
      <w:bodyDiv w:val="1"/>
      <w:marLeft w:val="0"/>
      <w:marRight w:val="0"/>
      <w:marTop w:val="0"/>
      <w:marBottom w:val="0"/>
      <w:divBdr>
        <w:top w:val="none" w:sz="0" w:space="0" w:color="auto"/>
        <w:left w:val="none" w:sz="0" w:space="0" w:color="auto"/>
        <w:bottom w:val="none" w:sz="0" w:space="0" w:color="auto"/>
        <w:right w:val="none" w:sz="0" w:space="0" w:color="auto"/>
      </w:divBdr>
    </w:div>
    <w:div w:id="1305238379">
      <w:bodyDiv w:val="1"/>
      <w:marLeft w:val="0"/>
      <w:marRight w:val="0"/>
      <w:marTop w:val="0"/>
      <w:marBottom w:val="0"/>
      <w:divBdr>
        <w:top w:val="none" w:sz="0" w:space="0" w:color="auto"/>
        <w:left w:val="none" w:sz="0" w:space="0" w:color="auto"/>
        <w:bottom w:val="none" w:sz="0" w:space="0" w:color="auto"/>
        <w:right w:val="none" w:sz="0" w:space="0" w:color="auto"/>
      </w:divBdr>
    </w:div>
    <w:div w:id="1333214733">
      <w:bodyDiv w:val="1"/>
      <w:marLeft w:val="0"/>
      <w:marRight w:val="0"/>
      <w:marTop w:val="0"/>
      <w:marBottom w:val="0"/>
      <w:divBdr>
        <w:top w:val="none" w:sz="0" w:space="0" w:color="auto"/>
        <w:left w:val="none" w:sz="0" w:space="0" w:color="auto"/>
        <w:bottom w:val="none" w:sz="0" w:space="0" w:color="auto"/>
        <w:right w:val="none" w:sz="0" w:space="0" w:color="auto"/>
      </w:divBdr>
    </w:div>
    <w:div w:id="1538196810">
      <w:bodyDiv w:val="1"/>
      <w:marLeft w:val="0"/>
      <w:marRight w:val="0"/>
      <w:marTop w:val="0"/>
      <w:marBottom w:val="0"/>
      <w:divBdr>
        <w:top w:val="none" w:sz="0" w:space="0" w:color="auto"/>
        <w:left w:val="none" w:sz="0" w:space="0" w:color="auto"/>
        <w:bottom w:val="none" w:sz="0" w:space="0" w:color="auto"/>
        <w:right w:val="none" w:sz="0" w:space="0" w:color="auto"/>
      </w:divBdr>
    </w:div>
    <w:div w:id="1559435817">
      <w:bodyDiv w:val="1"/>
      <w:marLeft w:val="0"/>
      <w:marRight w:val="0"/>
      <w:marTop w:val="0"/>
      <w:marBottom w:val="0"/>
      <w:divBdr>
        <w:top w:val="none" w:sz="0" w:space="0" w:color="auto"/>
        <w:left w:val="none" w:sz="0" w:space="0" w:color="auto"/>
        <w:bottom w:val="none" w:sz="0" w:space="0" w:color="auto"/>
        <w:right w:val="none" w:sz="0" w:space="0" w:color="auto"/>
      </w:divBdr>
    </w:div>
    <w:div w:id="1566644222">
      <w:bodyDiv w:val="1"/>
      <w:marLeft w:val="0"/>
      <w:marRight w:val="0"/>
      <w:marTop w:val="0"/>
      <w:marBottom w:val="0"/>
      <w:divBdr>
        <w:top w:val="none" w:sz="0" w:space="0" w:color="auto"/>
        <w:left w:val="none" w:sz="0" w:space="0" w:color="auto"/>
        <w:bottom w:val="none" w:sz="0" w:space="0" w:color="auto"/>
        <w:right w:val="none" w:sz="0" w:space="0" w:color="auto"/>
      </w:divBdr>
    </w:div>
    <w:div w:id="1567061350">
      <w:bodyDiv w:val="1"/>
      <w:marLeft w:val="0"/>
      <w:marRight w:val="0"/>
      <w:marTop w:val="0"/>
      <w:marBottom w:val="0"/>
      <w:divBdr>
        <w:top w:val="none" w:sz="0" w:space="0" w:color="auto"/>
        <w:left w:val="none" w:sz="0" w:space="0" w:color="auto"/>
        <w:bottom w:val="none" w:sz="0" w:space="0" w:color="auto"/>
        <w:right w:val="none" w:sz="0" w:space="0" w:color="auto"/>
      </w:divBdr>
    </w:div>
    <w:div w:id="1607348876">
      <w:bodyDiv w:val="1"/>
      <w:marLeft w:val="0"/>
      <w:marRight w:val="0"/>
      <w:marTop w:val="0"/>
      <w:marBottom w:val="0"/>
      <w:divBdr>
        <w:top w:val="none" w:sz="0" w:space="0" w:color="auto"/>
        <w:left w:val="none" w:sz="0" w:space="0" w:color="auto"/>
        <w:bottom w:val="none" w:sz="0" w:space="0" w:color="auto"/>
        <w:right w:val="none" w:sz="0" w:space="0" w:color="auto"/>
      </w:divBdr>
    </w:div>
    <w:div w:id="1665280283">
      <w:bodyDiv w:val="1"/>
      <w:marLeft w:val="0"/>
      <w:marRight w:val="0"/>
      <w:marTop w:val="0"/>
      <w:marBottom w:val="0"/>
      <w:divBdr>
        <w:top w:val="none" w:sz="0" w:space="0" w:color="auto"/>
        <w:left w:val="none" w:sz="0" w:space="0" w:color="auto"/>
        <w:bottom w:val="none" w:sz="0" w:space="0" w:color="auto"/>
        <w:right w:val="none" w:sz="0" w:space="0" w:color="auto"/>
      </w:divBdr>
      <w:divsChild>
        <w:div w:id="274333741">
          <w:marLeft w:val="0"/>
          <w:marRight w:val="0"/>
          <w:marTop w:val="0"/>
          <w:marBottom w:val="0"/>
          <w:divBdr>
            <w:top w:val="none" w:sz="0" w:space="0" w:color="auto"/>
            <w:left w:val="none" w:sz="0" w:space="0" w:color="auto"/>
            <w:bottom w:val="none" w:sz="0" w:space="0" w:color="auto"/>
            <w:right w:val="none" w:sz="0" w:space="0" w:color="auto"/>
          </w:divBdr>
        </w:div>
        <w:div w:id="1120224770">
          <w:marLeft w:val="0"/>
          <w:marRight w:val="0"/>
          <w:marTop w:val="0"/>
          <w:marBottom w:val="0"/>
          <w:divBdr>
            <w:top w:val="none" w:sz="0" w:space="0" w:color="auto"/>
            <w:left w:val="none" w:sz="0" w:space="0" w:color="auto"/>
            <w:bottom w:val="none" w:sz="0" w:space="0" w:color="auto"/>
            <w:right w:val="none" w:sz="0" w:space="0" w:color="auto"/>
          </w:divBdr>
        </w:div>
      </w:divsChild>
    </w:div>
    <w:div w:id="1672416737">
      <w:bodyDiv w:val="1"/>
      <w:marLeft w:val="0"/>
      <w:marRight w:val="0"/>
      <w:marTop w:val="0"/>
      <w:marBottom w:val="0"/>
      <w:divBdr>
        <w:top w:val="none" w:sz="0" w:space="0" w:color="auto"/>
        <w:left w:val="none" w:sz="0" w:space="0" w:color="auto"/>
        <w:bottom w:val="none" w:sz="0" w:space="0" w:color="auto"/>
        <w:right w:val="none" w:sz="0" w:space="0" w:color="auto"/>
      </w:divBdr>
    </w:div>
    <w:div w:id="1693721527">
      <w:bodyDiv w:val="1"/>
      <w:marLeft w:val="0"/>
      <w:marRight w:val="0"/>
      <w:marTop w:val="0"/>
      <w:marBottom w:val="0"/>
      <w:divBdr>
        <w:top w:val="none" w:sz="0" w:space="0" w:color="auto"/>
        <w:left w:val="none" w:sz="0" w:space="0" w:color="auto"/>
        <w:bottom w:val="none" w:sz="0" w:space="0" w:color="auto"/>
        <w:right w:val="none" w:sz="0" w:space="0" w:color="auto"/>
      </w:divBdr>
    </w:div>
    <w:div w:id="1708413182">
      <w:bodyDiv w:val="1"/>
      <w:marLeft w:val="0"/>
      <w:marRight w:val="0"/>
      <w:marTop w:val="0"/>
      <w:marBottom w:val="0"/>
      <w:divBdr>
        <w:top w:val="none" w:sz="0" w:space="0" w:color="auto"/>
        <w:left w:val="none" w:sz="0" w:space="0" w:color="auto"/>
        <w:bottom w:val="none" w:sz="0" w:space="0" w:color="auto"/>
        <w:right w:val="none" w:sz="0" w:space="0" w:color="auto"/>
      </w:divBdr>
    </w:div>
    <w:div w:id="1736780790">
      <w:bodyDiv w:val="1"/>
      <w:marLeft w:val="0"/>
      <w:marRight w:val="0"/>
      <w:marTop w:val="0"/>
      <w:marBottom w:val="0"/>
      <w:divBdr>
        <w:top w:val="none" w:sz="0" w:space="0" w:color="auto"/>
        <w:left w:val="none" w:sz="0" w:space="0" w:color="auto"/>
        <w:bottom w:val="none" w:sz="0" w:space="0" w:color="auto"/>
        <w:right w:val="none" w:sz="0" w:space="0" w:color="auto"/>
      </w:divBdr>
      <w:divsChild>
        <w:div w:id="168101302">
          <w:marLeft w:val="0"/>
          <w:marRight w:val="0"/>
          <w:marTop w:val="0"/>
          <w:marBottom w:val="0"/>
          <w:divBdr>
            <w:top w:val="none" w:sz="0" w:space="0" w:color="auto"/>
            <w:left w:val="none" w:sz="0" w:space="0" w:color="auto"/>
            <w:bottom w:val="none" w:sz="0" w:space="0" w:color="auto"/>
            <w:right w:val="none" w:sz="0" w:space="0" w:color="auto"/>
          </w:divBdr>
        </w:div>
        <w:div w:id="293945841">
          <w:marLeft w:val="0"/>
          <w:marRight w:val="0"/>
          <w:marTop w:val="0"/>
          <w:marBottom w:val="0"/>
          <w:divBdr>
            <w:top w:val="none" w:sz="0" w:space="0" w:color="auto"/>
            <w:left w:val="none" w:sz="0" w:space="0" w:color="auto"/>
            <w:bottom w:val="none" w:sz="0" w:space="0" w:color="auto"/>
            <w:right w:val="none" w:sz="0" w:space="0" w:color="auto"/>
          </w:divBdr>
        </w:div>
        <w:div w:id="309091830">
          <w:marLeft w:val="0"/>
          <w:marRight w:val="0"/>
          <w:marTop w:val="0"/>
          <w:marBottom w:val="0"/>
          <w:divBdr>
            <w:top w:val="none" w:sz="0" w:space="0" w:color="auto"/>
            <w:left w:val="none" w:sz="0" w:space="0" w:color="auto"/>
            <w:bottom w:val="none" w:sz="0" w:space="0" w:color="auto"/>
            <w:right w:val="none" w:sz="0" w:space="0" w:color="auto"/>
          </w:divBdr>
        </w:div>
        <w:div w:id="373429673">
          <w:marLeft w:val="0"/>
          <w:marRight w:val="0"/>
          <w:marTop w:val="0"/>
          <w:marBottom w:val="0"/>
          <w:divBdr>
            <w:top w:val="none" w:sz="0" w:space="0" w:color="auto"/>
            <w:left w:val="none" w:sz="0" w:space="0" w:color="auto"/>
            <w:bottom w:val="none" w:sz="0" w:space="0" w:color="auto"/>
            <w:right w:val="none" w:sz="0" w:space="0" w:color="auto"/>
          </w:divBdr>
        </w:div>
        <w:div w:id="679160445">
          <w:marLeft w:val="0"/>
          <w:marRight w:val="0"/>
          <w:marTop w:val="0"/>
          <w:marBottom w:val="0"/>
          <w:divBdr>
            <w:top w:val="none" w:sz="0" w:space="0" w:color="auto"/>
            <w:left w:val="none" w:sz="0" w:space="0" w:color="auto"/>
            <w:bottom w:val="none" w:sz="0" w:space="0" w:color="auto"/>
            <w:right w:val="none" w:sz="0" w:space="0" w:color="auto"/>
          </w:divBdr>
        </w:div>
        <w:div w:id="847713495">
          <w:marLeft w:val="0"/>
          <w:marRight w:val="0"/>
          <w:marTop w:val="0"/>
          <w:marBottom w:val="0"/>
          <w:divBdr>
            <w:top w:val="none" w:sz="0" w:space="0" w:color="auto"/>
            <w:left w:val="none" w:sz="0" w:space="0" w:color="auto"/>
            <w:bottom w:val="none" w:sz="0" w:space="0" w:color="auto"/>
            <w:right w:val="none" w:sz="0" w:space="0" w:color="auto"/>
          </w:divBdr>
        </w:div>
        <w:div w:id="1220627364">
          <w:marLeft w:val="0"/>
          <w:marRight w:val="0"/>
          <w:marTop w:val="0"/>
          <w:marBottom w:val="0"/>
          <w:divBdr>
            <w:top w:val="none" w:sz="0" w:space="0" w:color="auto"/>
            <w:left w:val="none" w:sz="0" w:space="0" w:color="auto"/>
            <w:bottom w:val="none" w:sz="0" w:space="0" w:color="auto"/>
            <w:right w:val="none" w:sz="0" w:space="0" w:color="auto"/>
          </w:divBdr>
        </w:div>
        <w:div w:id="1290354734">
          <w:marLeft w:val="0"/>
          <w:marRight w:val="0"/>
          <w:marTop w:val="0"/>
          <w:marBottom w:val="0"/>
          <w:divBdr>
            <w:top w:val="none" w:sz="0" w:space="0" w:color="auto"/>
            <w:left w:val="none" w:sz="0" w:space="0" w:color="auto"/>
            <w:bottom w:val="none" w:sz="0" w:space="0" w:color="auto"/>
            <w:right w:val="none" w:sz="0" w:space="0" w:color="auto"/>
          </w:divBdr>
        </w:div>
        <w:div w:id="1311012288">
          <w:marLeft w:val="0"/>
          <w:marRight w:val="0"/>
          <w:marTop w:val="0"/>
          <w:marBottom w:val="0"/>
          <w:divBdr>
            <w:top w:val="none" w:sz="0" w:space="0" w:color="auto"/>
            <w:left w:val="none" w:sz="0" w:space="0" w:color="auto"/>
            <w:bottom w:val="none" w:sz="0" w:space="0" w:color="auto"/>
            <w:right w:val="none" w:sz="0" w:space="0" w:color="auto"/>
          </w:divBdr>
        </w:div>
        <w:div w:id="1420326941">
          <w:marLeft w:val="0"/>
          <w:marRight w:val="0"/>
          <w:marTop w:val="0"/>
          <w:marBottom w:val="0"/>
          <w:divBdr>
            <w:top w:val="none" w:sz="0" w:space="0" w:color="auto"/>
            <w:left w:val="none" w:sz="0" w:space="0" w:color="auto"/>
            <w:bottom w:val="none" w:sz="0" w:space="0" w:color="auto"/>
            <w:right w:val="none" w:sz="0" w:space="0" w:color="auto"/>
          </w:divBdr>
        </w:div>
        <w:div w:id="1940796325">
          <w:marLeft w:val="0"/>
          <w:marRight w:val="0"/>
          <w:marTop w:val="0"/>
          <w:marBottom w:val="0"/>
          <w:divBdr>
            <w:top w:val="none" w:sz="0" w:space="0" w:color="auto"/>
            <w:left w:val="none" w:sz="0" w:space="0" w:color="auto"/>
            <w:bottom w:val="none" w:sz="0" w:space="0" w:color="auto"/>
            <w:right w:val="none" w:sz="0" w:space="0" w:color="auto"/>
          </w:divBdr>
        </w:div>
        <w:div w:id="2024236118">
          <w:marLeft w:val="0"/>
          <w:marRight w:val="0"/>
          <w:marTop w:val="0"/>
          <w:marBottom w:val="0"/>
          <w:divBdr>
            <w:top w:val="none" w:sz="0" w:space="0" w:color="auto"/>
            <w:left w:val="none" w:sz="0" w:space="0" w:color="auto"/>
            <w:bottom w:val="none" w:sz="0" w:space="0" w:color="auto"/>
            <w:right w:val="none" w:sz="0" w:space="0" w:color="auto"/>
          </w:divBdr>
        </w:div>
      </w:divsChild>
    </w:div>
    <w:div w:id="1751926034">
      <w:bodyDiv w:val="1"/>
      <w:marLeft w:val="0"/>
      <w:marRight w:val="0"/>
      <w:marTop w:val="0"/>
      <w:marBottom w:val="0"/>
      <w:divBdr>
        <w:top w:val="none" w:sz="0" w:space="0" w:color="auto"/>
        <w:left w:val="none" w:sz="0" w:space="0" w:color="auto"/>
        <w:bottom w:val="none" w:sz="0" w:space="0" w:color="auto"/>
        <w:right w:val="none" w:sz="0" w:space="0" w:color="auto"/>
      </w:divBdr>
    </w:div>
    <w:div w:id="1752462758">
      <w:bodyDiv w:val="1"/>
      <w:marLeft w:val="0"/>
      <w:marRight w:val="0"/>
      <w:marTop w:val="0"/>
      <w:marBottom w:val="0"/>
      <w:divBdr>
        <w:top w:val="none" w:sz="0" w:space="0" w:color="auto"/>
        <w:left w:val="none" w:sz="0" w:space="0" w:color="auto"/>
        <w:bottom w:val="none" w:sz="0" w:space="0" w:color="auto"/>
        <w:right w:val="none" w:sz="0" w:space="0" w:color="auto"/>
      </w:divBdr>
    </w:div>
    <w:div w:id="1762021654">
      <w:bodyDiv w:val="1"/>
      <w:marLeft w:val="0"/>
      <w:marRight w:val="0"/>
      <w:marTop w:val="0"/>
      <w:marBottom w:val="0"/>
      <w:divBdr>
        <w:top w:val="none" w:sz="0" w:space="0" w:color="auto"/>
        <w:left w:val="none" w:sz="0" w:space="0" w:color="auto"/>
        <w:bottom w:val="none" w:sz="0" w:space="0" w:color="auto"/>
        <w:right w:val="none" w:sz="0" w:space="0" w:color="auto"/>
      </w:divBdr>
    </w:div>
    <w:div w:id="1787655514">
      <w:bodyDiv w:val="1"/>
      <w:marLeft w:val="0"/>
      <w:marRight w:val="0"/>
      <w:marTop w:val="0"/>
      <w:marBottom w:val="0"/>
      <w:divBdr>
        <w:top w:val="none" w:sz="0" w:space="0" w:color="auto"/>
        <w:left w:val="none" w:sz="0" w:space="0" w:color="auto"/>
        <w:bottom w:val="none" w:sz="0" w:space="0" w:color="auto"/>
        <w:right w:val="none" w:sz="0" w:space="0" w:color="auto"/>
      </w:divBdr>
    </w:div>
    <w:div w:id="1809007612">
      <w:bodyDiv w:val="1"/>
      <w:marLeft w:val="0"/>
      <w:marRight w:val="0"/>
      <w:marTop w:val="0"/>
      <w:marBottom w:val="0"/>
      <w:divBdr>
        <w:top w:val="none" w:sz="0" w:space="0" w:color="auto"/>
        <w:left w:val="none" w:sz="0" w:space="0" w:color="auto"/>
        <w:bottom w:val="none" w:sz="0" w:space="0" w:color="auto"/>
        <w:right w:val="none" w:sz="0" w:space="0" w:color="auto"/>
      </w:divBdr>
    </w:div>
    <w:div w:id="1864129651">
      <w:bodyDiv w:val="1"/>
      <w:marLeft w:val="0"/>
      <w:marRight w:val="0"/>
      <w:marTop w:val="0"/>
      <w:marBottom w:val="0"/>
      <w:divBdr>
        <w:top w:val="none" w:sz="0" w:space="0" w:color="auto"/>
        <w:left w:val="none" w:sz="0" w:space="0" w:color="auto"/>
        <w:bottom w:val="none" w:sz="0" w:space="0" w:color="auto"/>
        <w:right w:val="none" w:sz="0" w:space="0" w:color="auto"/>
      </w:divBdr>
    </w:div>
    <w:div w:id="1898469042">
      <w:bodyDiv w:val="1"/>
      <w:marLeft w:val="0"/>
      <w:marRight w:val="0"/>
      <w:marTop w:val="0"/>
      <w:marBottom w:val="0"/>
      <w:divBdr>
        <w:top w:val="none" w:sz="0" w:space="0" w:color="auto"/>
        <w:left w:val="none" w:sz="0" w:space="0" w:color="auto"/>
        <w:bottom w:val="none" w:sz="0" w:space="0" w:color="auto"/>
        <w:right w:val="none" w:sz="0" w:space="0" w:color="auto"/>
      </w:divBdr>
    </w:div>
    <w:div w:id="1916281711">
      <w:bodyDiv w:val="1"/>
      <w:marLeft w:val="0"/>
      <w:marRight w:val="0"/>
      <w:marTop w:val="0"/>
      <w:marBottom w:val="0"/>
      <w:divBdr>
        <w:top w:val="none" w:sz="0" w:space="0" w:color="auto"/>
        <w:left w:val="none" w:sz="0" w:space="0" w:color="auto"/>
        <w:bottom w:val="none" w:sz="0" w:space="0" w:color="auto"/>
        <w:right w:val="none" w:sz="0" w:space="0" w:color="auto"/>
      </w:divBdr>
    </w:div>
    <w:div w:id="1946887497">
      <w:bodyDiv w:val="1"/>
      <w:marLeft w:val="0"/>
      <w:marRight w:val="0"/>
      <w:marTop w:val="0"/>
      <w:marBottom w:val="0"/>
      <w:divBdr>
        <w:top w:val="none" w:sz="0" w:space="0" w:color="auto"/>
        <w:left w:val="none" w:sz="0" w:space="0" w:color="auto"/>
        <w:bottom w:val="none" w:sz="0" w:space="0" w:color="auto"/>
        <w:right w:val="none" w:sz="0" w:space="0" w:color="auto"/>
      </w:divBdr>
    </w:div>
    <w:div w:id="1961951563">
      <w:bodyDiv w:val="1"/>
      <w:marLeft w:val="0"/>
      <w:marRight w:val="0"/>
      <w:marTop w:val="0"/>
      <w:marBottom w:val="0"/>
      <w:divBdr>
        <w:top w:val="none" w:sz="0" w:space="0" w:color="auto"/>
        <w:left w:val="none" w:sz="0" w:space="0" w:color="auto"/>
        <w:bottom w:val="none" w:sz="0" w:space="0" w:color="auto"/>
        <w:right w:val="none" w:sz="0" w:space="0" w:color="auto"/>
      </w:divBdr>
    </w:div>
    <w:div w:id="1965228785">
      <w:bodyDiv w:val="1"/>
      <w:marLeft w:val="0"/>
      <w:marRight w:val="0"/>
      <w:marTop w:val="0"/>
      <w:marBottom w:val="0"/>
      <w:divBdr>
        <w:top w:val="none" w:sz="0" w:space="0" w:color="auto"/>
        <w:left w:val="none" w:sz="0" w:space="0" w:color="auto"/>
        <w:bottom w:val="none" w:sz="0" w:space="0" w:color="auto"/>
        <w:right w:val="none" w:sz="0" w:space="0" w:color="auto"/>
      </w:divBdr>
    </w:div>
    <w:div w:id="2009282897">
      <w:bodyDiv w:val="1"/>
      <w:marLeft w:val="0"/>
      <w:marRight w:val="0"/>
      <w:marTop w:val="0"/>
      <w:marBottom w:val="0"/>
      <w:divBdr>
        <w:top w:val="none" w:sz="0" w:space="0" w:color="auto"/>
        <w:left w:val="none" w:sz="0" w:space="0" w:color="auto"/>
        <w:bottom w:val="none" w:sz="0" w:space="0" w:color="auto"/>
        <w:right w:val="none" w:sz="0" w:space="0" w:color="auto"/>
      </w:divBdr>
    </w:div>
    <w:div w:id="2010520812">
      <w:bodyDiv w:val="1"/>
      <w:marLeft w:val="0"/>
      <w:marRight w:val="0"/>
      <w:marTop w:val="0"/>
      <w:marBottom w:val="0"/>
      <w:divBdr>
        <w:top w:val="none" w:sz="0" w:space="0" w:color="auto"/>
        <w:left w:val="none" w:sz="0" w:space="0" w:color="auto"/>
        <w:bottom w:val="none" w:sz="0" w:space="0" w:color="auto"/>
        <w:right w:val="none" w:sz="0" w:space="0" w:color="auto"/>
      </w:divBdr>
    </w:div>
    <w:div w:id="2023701912">
      <w:bodyDiv w:val="1"/>
      <w:marLeft w:val="0"/>
      <w:marRight w:val="0"/>
      <w:marTop w:val="0"/>
      <w:marBottom w:val="0"/>
      <w:divBdr>
        <w:top w:val="none" w:sz="0" w:space="0" w:color="auto"/>
        <w:left w:val="none" w:sz="0" w:space="0" w:color="auto"/>
        <w:bottom w:val="none" w:sz="0" w:space="0" w:color="auto"/>
        <w:right w:val="none" w:sz="0" w:space="0" w:color="auto"/>
      </w:divBdr>
    </w:div>
    <w:div w:id="2082364010">
      <w:bodyDiv w:val="1"/>
      <w:marLeft w:val="0"/>
      <w:marRight w:val="0"/>
      <w:marTop w:val="0"/>
      <w:marBottom w:val="0"/>
      <w:divBdr>
        <w:top w:val="none" w:sz="0" w:space="0" w:color="auto"/>
        <w:left w:val="none" w:sz="0" w:space="0" w:color="auto"/>
        <w:bottom w:val="none" w:sz="0" w:space="0" w:color="auto"/>
        <w:right w:val="none" w:sz="0" w:space="0" w:color="auto"/>
      </w:divBdr>
    </w:div>
    <w:div w:id="2108455283">
      <w:bodyDiv w:val="1"/>
      <w:marLeft w:val="0"/>
      <w:marRight w:val="0"/>
      <w:marTop w:val="0"/>
      <w:marBottom w:val="0"/>
      <w:divBdr>
        <w:top w:val="none" w:sz="0" w:space="0" w:color="auto"/>
        <w:left w:val="none" w:sz="0" w:space="0" w:color="auto"/>
        <w:bottom w:val="none" w:sz="0" w:space="0" w:color="auto"/>
        <w:right w:val="none" w:sz="0" w:space="0" w:color="auto"/>
      </w:divBdr>
      <w:divsChild>
        <w:div w:id="138229310">
          <w:marLeft w:val="0"/>
          <w:marRight w:val="0"/>
          <w:marTop w:val="0"/>
          <w:marBottom w:val="0"/>
          <w:divBdr>
            <w:top w:val="none" w:sz="0" w:space="0" w:color="auto"/>
            <w:left w:val="none" w:sz="0" w:space="0" w:color="auto"/>
            <w:bottom w:val="none" w:sz="0" w:space="0" w:color="auto"/>
            <w:right w:val="none" w:sz="0" w:space="0" w:color="auto"/>
          </w:divBdr>
        </w:div>
        <w:div w:id="222639915">
          <w:marLeft w:val="0"/>
          <w:marRight w:val="0"/>
          <w:marTop w:val="0"/>
          <w:marBottom w:val="0"/>
          <w:divBdr>
            <w:top w:val="none" w:sz="0" w:space="0" w:color="auto"/>
            <w:left w:val="none" w:sz="0" w:space="0" w:color="auto"/>
            <w:bottom w:val="none" w:sz="0" w:space="0" w:color="auto"/>
            <w:right w:val="none" w:sz="0" w:space="0" w:color="auto"/>
          </w:divBdr>
        </w:div>
        <w:div w:id="283584981">
          <w:marLeft w:val="0"/>
          <w:marRight w:val="0"/>
          <w:marTop w:val="0"/>
          <w:marBottom w:val="0"/>
          <w:divBdr>
            <w:top w:val="none" w:sz="0" w:space="0" w:color="auto"/>
            <w:left w:val="none" w:sz="0" w:space="0" w:color="auto"/>
            <w:bottom w:val="none" w:sz="0" w:space="0" w:color="auto"/>
            <w:right w:val="none" w:sz="0" w:space="0" w:color="auto"/>
          </w:divBdr>
        </w:div>
        <w:div w:id="589509445">
          <w:marLeft w:val="0"/>
          <w:marRight w:val="0"/>
          <w:marTop w:val="0"/>
          <w:marBottom w:val="0"/>
          <w:divBdr>
            <w:top w:val="none" w:sz="0" w:space="0" w:color="auto"/>
            <w:left w:val="none" w:sz="0" w:space="0" w:color="auto"/>
            <w:bottom w:val="none" w:sz="0" w:space="0" w:color="auto"/>
            <w:right w:val="none" w:sz="0" w:space="0" w:color="auto"/>
          </w:divBdr>
        </w:div>
        <w:div w:id="1788313125">
          <w:marLeft w:val="0"/>
          <w:marRight w:val="0"/>
          <w:marTop w:val="0"/>
          <w:marBottom w:val="0"/>
          <w:divBdr>
            <w:top w:val="none" w:sz="0" w:space="0" w:color="auto"/>
            <w:left w:val="none" w:sz="0" w:space="0" w:color="auto"/>
            <w:bottom w:val="none" w:sz="0" w:space="0" w:color="auto"/>
            <w:right w:val="none" w:sz="0" w:space="0" w:color="auto"/>
          </w:divBdr>
        </w:div>
        <w:div w:id="1887445815">
          <w:marLeft w:val="0"/>
          <w:marRight w:val="0"/>
          <w:marTop w:val="0"/>
          <w:marBottom w:val="0"/>
          <w:divBdr>
            <w:top w:val="none" w:sz="0" w:space="0" w:color="auto"/>
            <w:left w:val="none" w:sz="0" w:space="0" w:color="auto"/>
            <w:bottom w:val="none" w:sz="0" w:space="0" w:color="auto"/>
            <w:right w:val="none" w:sz="0" w:space="0" w:color="auto"/>
          </w:divBdr>
        </w:div>
        <w:div w:id="2073697036">
          <w:marLeft w:val="0"/>
          <w:marRight w:val="0"/>
          <w:marTop w:val="0"/>
          <w:marBottom w:val="0"/>
          <w:divBdr>
            <w:top w:val="none" w:sz="0" w:space="0" w:color="auto"/>
            <w:left w:val="none" w:sz="0" w:space="0" w:color="auto"/>
            <w:bottom w:val="none" w:sz="0" w:space="0" w:color="auto"/>
            <w:right w:val="none" w:sz="0" w:space="0" w:color="auto"/>
          </w:divBdr>
        </w:div>
      </w:divsChild>
    </w:div>
    <w:div w:id="2114742288">
      <w:bodyDiv w:val="1"/>
      <w:marLeft w:val="0"/>
      <w:marRight w:val="0"/>
      <w:marTop w:val="0"/>
      <w:marBottom w:val="0"/>
      <w:divBdr>
        <w:top w:val="none" w:sz="0" w:space="0" w:color="auto"/>
        <w:left w:val="none" w:sz="0" w:space="0" w:color="auto"/>
        <w:bottom w:val="none" w:sz="0" w:space="0" w:color="auto"/>
        <w:right w:val="none" w:sz="0" w:space="0" w:color="auto"/>
      </w:divBdr>
      <w:divsChild>
        <w:div w:id="146091609">
          <w:marLeft w:val="0"/>
          <w:marRight w:val="0"/>
          <w:marTop w:val="0"/>
          <w:marBottom w:val="0"/>
          <w:divBdr>
            <w:top w:val="none" w:sz="0" w:space="0" w:color="auto"/>
            <w:left w:val="none" w:sz="0" w:space="0" w:color="auto"/>
            <w:bottom w:val="none" w:sz="0" w:space="0" w:color="auto"/>
            <w:right w:val="none" w:sz="0" w:space="0" w:color="auto"/>
          </w:divBdr>
        </w:div>
        <w:div w:id="353000738">
          <w:marLeft w:val="0"/>
          <w:marRight w:val="0"/>
          <w:marTop w:val="0"/>
          <w:marBottom w:val="0"/>
          <w:divBdr>
            <w:top w:val="none" w:sz="0" w:space="0" w:color="auto"/>
            <w:left w:val="none" w:sz="0" w:space="0" w:color="auto"/>
            <w:bottom w:val="none" w:sz="0" w:space="0" w:color="auto"/>
            <w:right w:val="none" w:sz="0" w:space="0" w:color="auto"/>
          </w:divBdr>
        </w:div>
        <w:div w:id="390151509">
          <w:marLeft w:val="0"/>
          <w:marRight w:val="0"/>
          <w:marTop w:val="0"/>
          <w:marBottom w:val="0"/>
          <w:divBdr>
            <w:top w:val="none" w:sz="0" w:space="0" w:color="auto"/>
            <w:left w:val="none" w:sz="0" w:space="0" w:color="auto"/>
            <w:bottom w:val="none" w:sz="0" w:space="0" w:color="auto"/>
            <w:right w:val="none" w:sz="0" w:space="0" w:color="auto"/>
          </w:divBdr>
        </w:div>
        <w:div w:id="475492930">
          <w:marLeft w:val="0"/>
          <w:marRight w:val="0"/>
          <w:marTop w:val="0"/>
          <w:marBottom w:val="0"/>
          <w:divBdr>
            <w:top w:val="none" w:sz="0" w:space="0" w:color="auto"/>
            <w:left w:val="none" w:sz="0" w:space="0" w:color="auto"/>
            <w:bottom w:val="none" w:sz="0" w:space="0" w:color="auto"/>
            <w:right w:val="none" w:sz="0" w:space="0" w:color="auto"/>
          </w:divBdr>
        </w:div>
        <w:div w:id="571742664">
          <w:marLeft w:val="0"/>
          <w:marRight w:val="0"/>
          <w:marTop w:val="0"/>
          <w:marBottom w:val="0"/>
          <w:divBdr>
            <w:top w:val="none" w:sz="0" w:space="0" w:color="auto"/>
            <w:left w:val="none" w:sz="0" w:space="0" w:color="auto"/>
            <w:bottom w:val="none" w:sz="0" w:space="0" w:color="auto"/>
            <w:right w:val="none" w:sz="0" w:space="0" w:color="auto"/>
          </w:divBdr>
        </w:div>
        <w:div w:id="1908150994">
          <w:marLeft w:val="0"/>
          <w:marRight w:val="0"/>
          <w:marTop w:val="0"/>
          <w:marBottom w:val="0"/>
          <w:divBdr>
            <w:top w:val="none" w:sz="0" w:space="0" w:color="auto"/>
            <w:left w:val="none" w:sz="0" w:space="0" w:color="auto"/>
            <w:bottom w:val="none" w:sz="0" w:space="0" w:color="auto"/>
            <w:right w:val="none" w:sz="0" w:space="0" w:color="auto"/>
          </w:divBdr>
        </w:div>
        <w:div w:id="1930625364">
          <w:marLeft w:val="0"/>
          <w:marRight w:val="0"/>
          <w:marTop w:val="0"/>
          <w:marBottom w:val="0"/>
          <w:divBdr>
            <w:top w:val="none" w:sz="0" w:space="0" w:color="auto"/>
            <w:left w:val="none" w:sz="0" w:space="0" w:color="auto"/>
            <w:bottom w:val="none" w:sz="0" w:space="0" w:color="auto"/>
            <w:right w:val="none" w:sz="0" w:space="0" w:color="auto"/>
          </w:divBdr>
        </w:div>
      </w:divsChild>
    </w:div>
    <w:div w:id="2135513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6.pn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yperlink" Target="http://www.sefiplan.qroo.gob.mx/CEDQROO/indicadores.php"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2.xml"/><Relationship Id="rId25" Type="http://schemas.openxmlformats.org/officeDocument/2006/relationships/image" Target="media/image15.png"/><Relationship Id="rId33" Type="http://schemas.openxmlformats.org/officeDocument/2006/relationships/chart" Target="charts/chart5.xml"/><Relationship Id="rId38" Type="http://schemas.openxmlformats.org/officeDocument/2006/relationships/hyperlink" Target="http://www.sefiplan.qroo.gob.mx/CEDQROO/evaluaciones.php"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8.jpeg"/><Relationship Id="rId41" Type="http://schemas.openxmlformats.org/officeDocument/2006/relationships/hyperlink" Target="http://www.sefiplan.qroo.gob.mx/dpublica/instrumentos.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chart" Target="charts/chart4.xml"/><Relationship Id="rId37" Type="http://schemas.openxmlformats.org/officeDocument/2006/relationships/hyperlink" Target="http://www.sefiplan.qroo.gob.mx/CEDQROO/" TargetMode="External"/><Relationship Id="rId40" Type="http://schemas.openxmlformats.org/officeDocument/2006/relationships/hyperlink" Target="https://qroo.gob.mx/idefin%20Las%20Cartas%20de%20Intenci&#243;n%20son%20un%20Documento%20firmado%20por%20el%20inversionista%20en%20la%20que%20establece%20su%20interes%20y%20voluntad%20de%20invertir%20en%20el%20estado%20de%20Quintana%20Roo" TargetMode="Externa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3.emf"/><Relationship Id="rId28" Type="http://schemas.openxmlformats.org/officeDocument/2006/relationships/chart" Target="charts/chart3.xml"/><Relationship Id="rId36" Type="http://schemas.openxmlformats.org/officeDocument/2006/relationships/hyperlink" Target="https://www.conac.gob.mx/es/CONAC/Transparencia" TargetMode="External"/><Relationship Id="rId10" Type="http://schemas.openxmlformats.org/officeDocument/2006/relationships/footer" Target="footer1.xml"/><Relationship Id="rId19" Type="http://schemas.openxmlformats.org/officeDocument/2006/relationships/image" Target="media/image9.emf"/><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hyperlink" Target="http://www.sefiplan.qroo.gob.mx/CEDQROO/aspectos.php"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SEFIPLAN\Desktop\IEG%202015-2017.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sefiplan\Google%20Drive\PLAN%20ESTATAL%20DE%20DESARROLLO\excel\EJE%203\Gr&#225;fica%203.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Sefiplan\Pictures\FARAH\ENOE\Consulta%20correcta%201402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tun_a\Google%20Drive\SEFIPLAN\PIB%20Municipal%202da%20versi&#243;n\Sectores\Tabulados\PIB_DA%202.4%20Act.%2016dic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spPr>
            <a:solidFill>
              <a:srgbClr val="4BACC6"/>
            </a:solidFill>
          </c:spPr>
          <c:invertIfNegative val="0"/>
          <c:dPt>
            <c:idx val="24"/>
            <c:invertIfNegative val="0"/>
            <c:bubble3D val="0"/>
            <c:spPr>
              <a:solidFill>
                <a:srgbClr val="4BACC6">
                  <a:lumMod val="50000"/>
                </a:srgbClr>
              </a:solidFill>
            </c:spPr>
            <c:extLst xmlns:c16r2="http://schemas.microsoft.com/office/drawing/2015/06/chart">
              <c:ext xmlns:c16="http://schemas.microsoft.com/office/drawing/2014/chart" uri="{C3380CC4-5D6E-409C-BE32-E72D297353CC}">
                <c16:uniqueId val="{00000001-BD67-4F03-AD85-C2225A6CA98D}"/>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Gráfico!$A$3:$A$34</c:f>
              <c:strCache>
                <c:ptCount val="32"/>
                <c:pt idx="0">
                  <c:v>Nayarit</c:v>
                </c:pt>
                <c:pt idx="1">
                  <c:v>Ciudad de México</c:v>
                </c:pt>
                <c:pt idx="2">
                  <c:v>Michoacán</c:v>
                </c:pt>
                <c:pt idx="3">
                  <c:v>México</c:v>
                </c:pt>
                <c:pt idx="4">
                  <c:v>Durango</c:v>
                </c:pt>
                <c:pt idx="5">
                  <c:v>Morelos</c:v>
                </c:pt>
                <c:pt idx="6">
                  <c:v>Hidalgo</c:v>
                </c:pt>
                <c:pt idx="7">
                  <c:v>Guerrero</c:v>
                </c:pt>
                <c:pt idx="8">
                  <c:v>Jalisco</c:v>
                </c:pt>
                <c:pt idx="9">
                  <c:v>Colima</c:v>
                </c:pt>
                <c:pt idx="10">
                  <c:v>Sinaloa</c:v>
                </c:pt>
                <c:pt idx="11">
                  <c:v>Yucatán</c:v>
                </c:pt>
                <c:pt idx="12">
                  <c:v>San Luis Potosí</c:v>
                </c:pt>
                <c:pt idx="13">
                  <c:v>Guanajuato</c:v>
                </c:pt>
                <c:pt idx="14">
                  <c:v>Chiapas</c:v>
                </c:pt>
                <c:pt idx="15">
                  <c:v>Tlaxcala</c:v>
                </c:pt>
                <c:pt idx="16">
                  <c:v>Zacatecas</c:v>
                </c:pt>
                <c:pt idx="17">
                  <c:v>Oaxaca</c:v>
                </c:pt>
                <c:pt idx="18">
                  <c:v>Aguascalientes</c:v>
                </c:pt>
                <c:pt idx="19">
                  <c:v>Chihuahua</c:v>
                </c:pt>
                <c:pt idx="20">
                  <c:v>Baja California Sur</c:v>
                </c:pt>
                <c:pt idx="21">
                  <c:v>Tabasco</c:v>
                </c:pt>
                <c:pt idx="22">
                  <c:v>Sonora</c:v>
                </c:pt>
                <c:pt idx="23">
                  <c:v>Coahuila</c:v>
                </c:pt>
                <c:pt idx="24">
                  <c:v>Quintana Roo</c:v>
                </c:pt>
                <c:pt idx="25">
                  <c:v>Nuevo León</c:v>
                </c:pt>
                <c:pt idx="26">
                  <c:v>Tamaulipas</c:v>
                </c:pt>
                <c:pt idx="27">
                  <c:v>Veracruz</c:v>
                </c:pt>
                <c:pt idx="28">
                  <c:v>Baja California</c:v>
                </c:pt>
                <c:pt idx="29">
                  <c:v>Querétaro</c:v>
                </c:pt>
                <c:pt idx="30">
                  <c:v>Campeche</c:v>
                </c:pt>
                <c:pt idx="31">
                  <c:v>Puebla</c:v>
                </c:pt>
              </c:strCache>
            </c:strRef>
          </c:cat>
          <c:val>
            <c:numRef>
              <c:f>Gráfico!$B$3:$B$34</c:f>
              <c:numCache>
                <c:formatCode>0.0</c:formatCode>
                <c:ptCount val="32"/>
                <c:pt idx="0">
                  <c:v>14.93056</c:v>
                </c:pt>
                <c:pt idx="1">
                  <c:v>31.25</c:v>
                </c:pt>
                <c:pt idx="2">
                  <c:v>32.291670000000003</c:v>
                </c:pt>
                <c:pt idx="3">
                  <c:v>35.763890000000004</c:v>
                </c:pt>
                <c:pt idx="4">
                  <c:v>48.958329999999997</c:v>
                </c:pt>
                <c:pt idx="5">
                  <c:v>49.30556</c:v>
                </c:pt>
                <c:pt idx="6">
                  <c:v>49.30556</c:v>
                </c:pt>
                <c:pt idx="7">
                  <c:v>50.34722</c:v>
                </c:pt>
                <c:pt idx="8">
                  <c:v>51.041670000000003</c:v>
                </c:pt>
                <c:pt idx="9">
                  <c:v>51.736109999999996</c:v>
                </c:pt>
                <c:pt idx="10">
                  <c:v>51.736109999999996</c:v>
                </c:pt>
                <c:pt idx="11">
                  <c:v>52.083329999999997</c:v>
                </c:pt>
                <c:pt idx="12">
                  <c:v>52.77778</c:v>
                </c:pt>
                <c:pt idx="13">
                  <c:v>53.81944</c:v>
                </c:pt>
                <c:pt idx="14">
                  <c:v>53.81944</c:v>
                </c:pt>
                <c:pt idx="15">
                  <c:v>60.06944</c:v>
                </c:pt>
                <c:pt idx="16">
                  <c:v>61.111109999999996</c:v>
                </c:pt>
                <c:pt idx="17">
                  <c:v>62.15278</c:v>
                </c:pt>
                <c:pt idx="18">
                  <c:v>62.84722</c:v>
                </c:pt>
                <c:pt idx="19">
                  <c:v>62.84722</c:v>
                </c:pt>
                <c:pt idx="20">
                  <c:v>64.236109999999996</c:v>
                </c:pt>
                <c:pt idx="21">
                  <c:v>64.583330000000004</c:v>
                </c:pt>
                <c:pt idx="22">
                  <c:v>65.625</c:v>
                </c:pt>
                <c:pt idx="23">
                  <c:v>65.972219999999993</c:v>
                </c:pt>
                <c:pt idx="24">
                  <c:v>67.013890000000004</c:v>
                </c:pt>
                <c:pt idx="25">
                  <c:v>69.791669999999996</c:v>
                </c:pt>
                <c:pt idx="26">
                  <c:v>70.833330000000004</c:v>
                </c:pt>
                <c:pt idx="27">
                  <c:v>76.388890000000004</c:v>
                </c:pt>
                <c:pt idx="28">
                  <c:v>76.388890000000004</c:v>
                </c:pt>
                <c:pt idx="29">
                  <c:v>86.80556</c:v>
                </c:pt>
                <c:pt idx="30">
                  <c:v>88.19444</c:v>
                </c:pt>
                <c:pt idx="31">
                  <c:v>95.833330000000004</c:v>
                </c:pt>
              </c:numCache>
            </c:numRef>
          </c:val>
          <c:extLst xmlns:c16r2="http://schemas.microsoft.com/office/drawing/2015/06/chart">
            <c:ext xmlns:c16="http://schemas.microsoft.com/office/drawing/2014/chart" uri="{C3380CC4-5D6E-409C-BE32-E72D297353CC}">
              <c16:uniqueId val="{00000002-BD67-4F03-AD85-C2225A6CA98D}"/>
            </c:ext>
          </c:extLst>
        </c:ser>
        <c:dLbls>
          <c:showLegendKey val="0"/>
          <c:showVal val="0"/>
          <c:showCatName val="0"/>
          <c:showSerName val="0"/>
          <c:showPercent val="0"/>
          <c:showBubbleSize val="0"/>
        </c:dLbls>
        <c:gapWidth val="150"/>
        <c:axId val="174908928"/>
        <c:axId val="175449216"/>
      </c:barChart>
      <c:catAx>
        <c:axId val="174908928"/>
        <c:scaling>
          <c:orientation val="minMax"/>
        </c:scaling>
        <c:delete val="0"/>
        <c:axPos val="l"/>
        <c:numFmt formatCode="General" sourceLinked="0"/>
        <c:majorTickMark val="out"/>
        <c:minorTickMark val="none"/>
        <c:tickLblPos val="nextTo"/>
        <c:crossAx val="175449216"/>
        <c:crosses val="autoZero"/>
        <c:auto val="1"/>
        <c:lblAlgn val="ctr"/>
        <c:lblOffset val="100"/>
        <c:noMultiLvlLbl val="0"/>
      </c:catAx>
      <c:valAx>
        <c:axId val="175449216"/>
        <c:scaling>
          <c:orientation val="minMax"/>
        </c:scaling>
        <c:delete val="1"/>
        <c:axPos val="b"/>
        <c:majorGridlines/>
        <c:numFmt formatCode="0.0" sourceLinked="1"/>
        <c:majorTickMark val="out"/>
        <c:minorTickMark val="none"/>
        <c:tickLblPos val="nextTo"/>
        <c:crossAx val="174908928"/>
        <c:crosses val="autoZero"/>
        <c:crossBetween val="between"/>
      </c:valAx>
    </c:plotArea>
    <c:plotVisOnly val="1"/>
    <c:dispBlanksAs val="gap"/>
    <c:showDLblsOverMax val="0"/>
  </c:chart>
  <c:txPr>
    <a:bodyPr/>
    <a:lstStyle/>
    <a:p>
      <a:pPr>
        <a:defRPr sz="700" b="1">
          <a:latin typeface="Tahoma" panose="020B0604030504040204" pitchFamily="34" charset="0"/>
          <a:ea typeface="Tahoma" panose="020B0604030504040204" pitchFamily="34" charset="0"/>
          <a:cs typeface="Tahoma" panose="020B0604030504040204" pitchFamily="34" charset="0"/>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Hoja1!$C$1</c:f>
              <c:strCache>
                <c:ptCount val="1"/>
                <c:pt idx="0">
                  <c:v>PORCENTAJE</c:v>
                </c:pt>
              </c:strCache>
            </c:strRef>
          </c:tx>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266F-45F1-9596-C96A31EE162B}"/>
              </c:ext>
            </c:extLst>
          </c:dPt>
          <c:dPt>
            <c:idx val="1"/>
            <c:invertIfNegative val="0"/>
            <c:bubble3D val="0"/>
            <c:spPr>
              <a:solidFill>
                <a:srgbClr val="00B050"/>
              </a:solidFill>
            </c:spPr>
            <c:extLst xmlns:c16r2="http://schemas.microsoft.com/office/drawing/2015/06/chart">
              <c:ext xmlns:c16="http://schemas.microsoft.com/office/drawing/2014/chart" uri="{C3380CC4-5D6E-409C-BE32-E72D297353CC}">
                <c16:uniqueId val="{00000003-266F-45F1-9596-C96A31EE162B}"/>
              </c:ext>
            </c:extLst>
          </c:dPt>
          <c:dPt>
            <c:idx val="2"/>
            <c:invertIfNegative val="0"/>
            <c:bubble3D val="0"/>
            <c:spPr>
              <a:solidFill>
                <a:srgbClr val="00B050"/>
              </a:solidFill>
            </c:spPr>
            <c:extLst xmlns:c16r2="http://schemas.microsoft.com/office/drawing/2015/06/chart">
              <c:ext xmlns:c16="http://schemas.microsoft.com/office/drawing/2014/chart" uri="{C3380CC4-5D6E-409C-BE32-E72D297353CC}">
                <c16:uniqueId val="{00000005-266F-45F1-9596-C96A31EE162B}"/>
              </c:ext>
            </c:extLst>
          </c:dPt>
          <c:dPt>
            <c:idx val="3"/>
            <c:invertIfNegative val="0"/>
            <c:bubble3D val="0"/>
            <c:spPr>
              <a:solidFill>
                <a:srgbClr val="00B050"/>
              </a:solidFill>
            </c:spPr>
            <c:extLst xmlns:c16r2="http://schemas.microsoft.com/office/drawing/2015/06/chart">
              <c:ext xmlns:c16="http://schemas.microsoft.com/office/drawing/2014/chart" uri="{C3380CC4-5D6E-409C-BE32-E72D297353CC}">
                <c16:uniqueId val="{00000007-266F-45F1-9596-C96A31EE162B}"/>
              </c:ext>
            </c:extLst>
          </c:dPt>
          <c:dPt>
            <c:idx val="4"/>
            <c:invertIfNegative val="0"/>
            <c:bubble3D val="0"/>
            <c:spPr>
              <a:solidFill>
                <a:srgbClr val="00B050"/>
              </a:solidFill>
            </c:spPr>
            <c:extLst xmlns:c16r2="http://schemas.microsoft.com/office/drawing/2015/06/chart">
              <c:ext xmlns:c16="http://schemas.microsoft.com/office/drawing/2014/chart" uri="{C3380CC4-5D6E-409C-BE32-E72D297353CC}">
                <c16:uniqueId val="{00000009-266F-45F1-9596-C96A31EE162B}"/>
              </c:ext>
            </c:extLst>
          </c:dPt>
          <c:dPt>
            <c:idx val="5"/>
            <c:invertIfNegative val="0"/>
            <c:bubble3D val="0"/>
            <c:spPr>
              <a:solidFill>
                <a:srgbClr val="00B050"/>
              </a:solidFill>
            </c:spPr>
            <c:extLst xmlns:c16r2="http://schemas.microsoft.com/office/drawing/2015/06/chart">
              <c:ext xmlns:c16="http://schemas.microsoft.com/office/drawing/2014/chart" uri="{C3380CC4-5D6E-409C-BE32-E72D297353CC}">
                <c16:uniqueId val="{0000000B-266F-45F1-9596-C96A31EE162B}"/>
              </c:ext>
            </c:extLst>
          </c:dPt>
          <c:dPt>
            <c:idx val="6"/>
            <c:invertIfNegative val="0"/>
            <c:bubble3D val="0"/>
            <c:spPr>
              <a:solidFill>
                <a:schemeClr val="accent3"/>
              </a:solidFill>
            </c:spPr>
            <c:extLst xmlns:c16r2="http://schemas.microsoft.com/office/drawing/2015/06/chart">
              <c:ext xmlns:c16="http://schemas.microsoft.com/office/drawing/2014/chart" uri="{C3380CC4-5D6E-409C-BE32-E72D297353CC}">
                <c16:uniqueId val="{0000000D-266F-45F1-9596-C96A31EE162B}"/>
              </c:ext>
            </c:extLst>
          </c:dPt>
          <c:dPt>
            <c:idx val="7"/>
            <c:invertIfNegative val="0"/>
            <c:bubble3D val="0"/>
            <c:spPr>
              <a:solidFill>
                <a:schemeClr val="accent3"/>
              </a:solidFill>
            </c:spPr>
            <c:extLst xmlns:c16r2="http://schemas.microsoft.com/office/drawing/2015/06/chart">
              <c:ext xmlns:c16="http://schemas.microsoft.com/office/drawing/2014/chart" uri="{C3380CC4-5D6E-409C-BE32-E72D297353CC}">
                <c16:uniqueId val="{0000000F-266F-45F1-9596-C96A31EE162B}"/>
              </c:ext>
            </c:extLst>
          </c:dPt>
          <c:dPt>
            <c:idx val="8"/>
            <c:invertIfNegative val="0"/>
            <c:bubble3D val="0"/>
            <c:spPr>
              <a:solidFill>
                <a:schemeClr val="accent3"/>
              </a:solidFill>
            </c:spPr>
            <c:extLst xmlns:c16r2="http://schemas.microsoft.com/office/drawing/2015/06/chart">
              <c:ext xmlns:c16="http://schemas.microsoft.com/office/drawing/2014/chart" uri="{C3380CC4-5D6E-409C-BE32-E72D297353CC}">
                <c16:uniqueId val="{00000011-266F-45F1-9596-C96A31EE162B}"/>
              </c:ext>
            </c:extLst>
          </c:dPt>
          <c:dPt>
            <c:idx val="9"/>
            <c:invertIfNegative val="0"/>
            <c:bubble3D val="0"/>
            <c:spPr>
              <a:solidFill>
                <a:schemeClr val="accent3"/>
              </a:solidFill>
            </c:spPr>
            <c:extLst xmlns:c16r2="http://schemas.microsoft.com/office/drawing/2015/06/chart">
              <c:ext xmlns:c16="http://schemas.microsoft.com/office/drawing/2014/chart" uri="{C3380CC4-5D6E-409C-BE32-E72D297353CC}">
                <c16:uniqueId val="{00000013-266F-45F1-9596-C96A31EE162B}"/>
              </c:ext>
            </c:extLst>
          </c:dPt>
          <c:dPt>
            <c:idx val="10"/>
            <c:invertIfNegative val="0"/>
            <c:bubble3D val="0"/>
            <c:spPr>
              <a:solidFill>
                <a:schemeClr val="accent3"/>
              </a:solidFill>
            </c:spPr>
            <c:extLst xmlns:c16r2="http://schemas.microsoft.com/office/drawing/2015/06/chart">
              <c:ext xmlns:c16="http://schemas.microsoft.com/office/drawing/2014/chart" uri="{C3380CC4-5D6E-409C-BE32-E72D297353CC}">
                <c16:uniqueId val="{00000015-266F-45F1-9596-C96A31EE162B}"/>
              </c:ext>
            </c:extLst>
          </c:dPt>
          <c:dPt>
            <c:idx val="11"/>
            <c:invertIfNegative val="0"/>
            <c:bubble3D val="0"/>
            <c:spPr>
              <a:solidFill>
                <a:schemeClr val="accent3"/>
              </a:solidFill>
            </c:spPr>
            <c:extLst xmlns:c16r2="http://schemas.microsoft.com/office/drawing/2015/06/chart">
              <c:ext xmlns:c16="http://schemas.microsoft.com/office/drawing/2014/chart" uri="{C3380CC4-5D6E-409C-BE32-E72D297353CC}">
                <c16:uniqueId val="{00000017-266F-45F1-9596-C96A31EE162B}"/>
              </c:ext>
            </c:extLst>
          </c:dPt>
          <c:dPt>
            <c:idx val="12"/>
            <c:invertIfNegative val="0"/>
            <c:bubble3D val="0"/>
            <c:spPr>
              <a:solidFill>
                <a:schemeClr val="accent3"/>
              </a:solidFill>
            </c:spPr>
            <c:extLst xmlns:c16r2="http://schemas.microsoft.com/office/drawing/2015/06/chart">
              <c:ext xmlns:c16="http://schemas.microsoft.com/office/drawing/2014/chart" uri="{C3380CC4-5D6E-409C-BE32-E72D297353CC}">
                <c16:uniqueId val="{00000019-266F-45F1-9596-C96A31EE162B}"/>
              </c:ext>
            </c:extLst>
          </c:dPt>
          <c:dPt>
            <c:idx val="13"/>
            <c:invertIfNegative val="0"/>
            <c:bubble3D val="0"/>
            <c:spPr>
              <a:solidFill>
                <a:schemeClr val="accent3"/>
              </a:solidFill>
            </c:spPr>
            <c:extLst xmlns:c16r2="http://schemas.microsoft.com/office/drawing/2015/06/chart">
              <c:ext xmlns:c16="http://schemas.microsoft.com/office/drawing/2014/chart" uri="{C3380CC4-5D6E-409C-BE32-E72D297353CC}">
                <c16:uniqueId val="{0000001B-266F-45F1-9596-C96A31EE162B}"/>
              </c:ext>
            </c:extLst>
          </c:dPt>
          <c:dPt>
            <c:idx val="14"/>
            <c:invertIfNegative val="0"/>
            <c:bubble3D val="0"/>
            <c:spPr>
              <a:solidFill>
                <a:schemeClr val="accent3"/>
              </a:solidFill>
            </c:spPr>
            <c:extLst xmlns:c16r2="http://schemas.microsoft.com/office/drawing/2015/06/chart">
              <c:ext xmlns:c16="http://schemas.microsoft.com/office/drawing/2014/chart" uri="{C3380CC4-5D6E-409C-BE32-E72D297353CC}">
                <c16:uniqueId val="{0000001D-266F-45F1-9596-C96A31EE162B}"/>
              </c:ext>
            </c:extLst>
          </c:dPt>
          <c:dPt>
            <c:idx val="15"/>
            <c:invertIfNegative val="0"/>
            <c:bubble3D val="0"/>
            <c:spPr>
              <a:solidFill>
                <a:schemeClr val="accent3"/>
              </a:solidFill>
            </c:spPr>
            <c:extLst xmlns:c16r2="http://schemas.microsoft.com/office/drawing/2015/06/chart">
              <c:ext xmlns:c16="http://schemas.microsoft.com/office/drawing/2014/chart" uri="{C3380CC4-5D6E-409C-BE32-E72D297353CC}">
                <c16:uniqueId val="{0000001F-266F-45F1-9596-C96A31EE162B}"/>
              </c:ext>
            </c:extLst>
          </c:dPt>
          <c:dPt>
            <c:idx val="16"/>
            <c:invertIfNegative val="0"/>
            <c:bubble3D val="0"/>
            <c:spPr>
              <a:solidFill>
                <a:srgbClr val="FFFF00"/>
              </a:solidFill>
            </c:spPr>
            <c:extLst xmlns:c16r2="http://schemas.microsoft.com/office/drawing/2015/06/chart">
              <c:ext xmlns:c16="http://schemas.microsoft.com/office/drawing/2014/chart" uri="{C3380CC4-5D6E-409C-BE32-E72D297353CC}">
                <c16:uniqueId val="{00000021-266F-45F1-9596-C96A31EE162B}"/>
              </c:ext>
            </c:extLst>
          </c:dPt>
          <c:dPt>
            <c:idx val="17"/>
            <c:invertIfNegative val="0"/>
            <c:bubble3D val="0"/>
            <c:spPr>
              <a:solidFill>
                <a:srgbClr val="FFFF00"/>
              </a:solidFill>
            </c:spPr>
            <c:extLst xmlns:c16r2="http://schemas.microsoft.com/office/drawing/2015/06/chart">
              <c:ext xmlns:c16="http://schemas.microsoft.com/office/drawing/2014/chart" uri="{C3380CC4-5D6E-409C-BE32-E72D297353CC}">
                <c16:uniqueId val="{00000023-266F-45F1-9596-C96A31EE162B}"/>
              </c:ext>
            </c:extLst>
          </c:dPt>
          <c:dPt>
            <c:idx val="18"/>
            <c:invertIfNegative val="0"/>
            <c:bubble3D val="0"/>
            <c:spPr>
              <a:solidFill>
                <a:srgbClr val="FFFF00"/>
              </a:solidFill>
            </c:spPr>
            <c:extLst xmlns:c16r2="http://schemas.microsoft.com/office/drawing/2015/06/chart">
              <c:ext xmlns:c16="http://schemas.microsoft.com/office/drawing/2014/chart" uri="{C3380CC4-5D6E-409C-BE32-E72D297353CC}">
                <c16:uniqueId val="{00000025-266F-45F1-9596-C96A31EE162B}"/>
              </c:ext>
            </c:extLst>
          </c:dPt>
          <c:dPt>
            <c:idx val="19"/>
            <c:invertIfNegative val="0"/>
            <c:bubble3D val="0"/>
            <c:spPr>
              <a:solidFill>
                <a:srgbClr val="FFFF00"/>
              </a:solidFill>
            </c:spPr>
            <c:extLst xmlns:c16r2="http://schemas.microsoft.com/office/drawing/2015/06/chart">
              <c:ext xmlns:c16="http://schemas.microsoft.com/office/drawing/2014/chart" uri="{C3380CC4-5D6E-409C-BE32-E72D297353CC}">
                <c16:uniqueId val="{00000027-266F-45F1-9596-C96A31EE162B}"/>
              </c:ext>
            </c:extLst>
          </c:dPt>
          <c:dPt>
            <c:idx val="20"/>
            <c:invertIfNegative val="0"/>
            <c:bubble3D val="0"/>
            <c:spPr>
              <a:solidFill>
                <a:srgbClr val="FFFF00"/>
              </a:solidFill>
            </c:spPr>
            <c:extLst xmlns:c16r2="http://schemas.microsoft.com/office/drawing/2015/06/chart">
              <c:ext xmlns:c16="http://schemas.microsoft.com/office/drawing/2014/chart" uri="{C3380CC4-5D6E-409C-BE32-E72D297353CC}">
                <c16:uniqueId val="{00000029-266F-45F1-9596-C96A31EE162B}"/>
              </c:ext>
            </c:extLst>
          </c:dPt>
          <c:dPt>
            <c:idx val="21"/>
            <c:invertIfNegative val="0"/>
            <c:bubble3D val="0"/>
            <c:spPr>
              <a:solidFill>
                <a:srgbClr val="FFFF00"/>
              </a:solidFill>
            </c:spPr>
            <c:extLst xmlns:c16r2="http://schemas.microsoft.com/office/drawing/2015/06/chart">
              <c:ext xmlns:c16="http://schemas.microsoft.com/office/drawing/2014/chart" uri="{C3380CC4-5D6E-409C-BE32-E72D297353CC}">
                <c16:uniqueId val="{0000002B-266F-45F1-9596-C96A31EE162B}"/>
              </c:ext>
            </c:extLst>
          </c:dPt>
          <c:dPt>
            <c:idx val="22"/>
            <c:invertIfNegative val="0"/>
            <c:bubble3D val="0"/>
            <c:spPr>
              <a:solidFill>
                <a:schemeClr val="accent6"/>
              </a:solidFill>
            </c:spPr>
            <c:extLst xmlns:c16r2="http://schemas.microsoft.com/office/drawing/2015/06/chart">
              <c:ext xmlns:c16="http://schemas.microsoft.com/office/drawing/2014/chart" uri="{C3380CC4-5D6E-409C-BE32-E72D297353CC}">
                <c16:uniqueId val="{0000002D-266F-45F1-9596-C96A31EE162B}"/>
              </c:ext>
            </c:extLst>
          </c:dPt>
          <c:dPt>
            <c:idx val="23"/>
            <c:invertIfNegative val="0"/>
            <c:bubble3D val="0"/>
            <c:spPr>
              <a:solidFill>
                <a:schemeClr val="accent6"/>
              </a:solidFill>
            </c:spPr>
            <c:extLst xmlns:c16r2="http://schemas.microsoft.com/office/drawing/2015/06/chart">
              <c:ext xmlns:c16="http://schemas.microsoft.com/office/drawing/2014/chart" uri="{C3380CC4-5D6E-409C-BE32-E72D297353CC}">
                <c16:uniqueId val="{0000002F-266F-45F1-9596-C96A31EE162B}"/>
              </c:ext>
            </c:extLst>
          </c:dPt>
          <c:dPt>
            <c:idx val="24"/>
            <c:invertIfNegative val="0"/>
            <c:bubble3D val="0"/>
            <c:spPr>
              <a:solidFill>
                <a:schemeClr val="accent6"/>
              </a:solidFill>
            </c:spPr>
            <c:extLst xmlns:c16r2="http://schemas.microsoft.com/office/drawing/2015/06/chart">
              <c:ext xmlns:c16="http://schemas.microsoft.com/office/drawing/2014/chart" uri="{C3380CC4-5D6E-409C-BE32-E72D297353CC}">
                <c16:uniqueId val="{00000031-266F-45F1-9596-C96A31EE162B}"/>
              </c:ext>
            </c:extLst>
          </c:dPt>
          <c:dPt>
            <c:idx val="25"/>
            <c:invertIfNegative val="0"/>
            <c:bubble3D val="0"/>
            <c:spPr>
              <a:solidFill>
                <a:schemeClr val="accent6"/>
              </a:solidFill>
            </c:spPr>
            <c:extLst xmlns:c16r2="http://schemas.microsoft.com/office/drawing/2015/06/chart">
              <c:ext xmlns:c16="http://schemas.microsoft.com/office/drawing/2014/chart" uri="{C3380CC4-5D6E-409C-BE32-E72D297353CC}">
                <c16:uniqueId val="{00000033-266F-45F1-9596-C96A31EE162B}"/>
              </c:ext>
            </c:extLst>
          </c:dPt>
          <c:dPt>
            <c:idx val="26"/>
            <c:invertIfNegative val="0"/>
            <c:bubble3D val="0"/>
            <c:spPr>
              <a:solidFill>
                <a:schemeClr val="accent6"/>
              </a:solidFill>
            </c:spPr>
            <c:extLst xmlns:c16r2="http://schemas.microsoft.com/office/drawing/2015/06/chart">
              <c:ext xmlns:c16="http://schemas.microsoft.com/office/drawing/2014/chart" uri="{C3380CC4-5D6E-409C-BE32-E72D297353CC}">
                <c16:uniqueId val="{00000035-266F-45F1-9596-C96A31EE162B}"/>
              </c:ext>
            </c:extLst>
          </c:dPt>
          <c:dPt>
            <c:idx val="27"/>
            <c:invertIfNegative val="0"/>
            <c:bubble3D val="0"/>
            <c:spPr>
              <a:solidFill>
                <a:schemeClr val="accent6"/>
              </a:solidFill>
            </c:spPr>
            <c:extLst xmlns:c16r2="http://schemas.microsoft.com/office/drawing/2015/06/chart">
              <c:ext xmlns:c16="http://schemas.microsoft.com/office/drawing/2014/chart" uri="{C3380CC4-5D6E-409C-BE32-E72D297353CC}">
                <c16:uniqueId val="{00000037-266F-45F1-9596-C96A31EE162B}"/>
              </c:ext>
            </c:extLst>
          </c:dPt>
          <c:dPt>
            <c:idx val="28"/>
            <c:invertIfNegative val="0"/>
            <c:bubble3D val="0"/>
            <c:spPr>
              <a:solidFill>
                <a:schemeClr val="accent6"/>
              </a:solidFill>
            </c:spPr>
            <c:extLst xmlns:c16r2="http://schemas.microsoft.com/office/drawing/2015/06/chart">
              <c:ext xmlns:c16="http://schemas.microsoft.com/office/drawing/2014/chart" uri="{C3380CC4-5D6E-409C-BE32-E72D297353CC}">
                <c16:uniqueId val="{00000039-266F-45F1-9596-C96A31EE162B}"/>
              </c:ext>
            </c:extLst>
          </c:dPt>
          <c:dPt>
            <c:idx val="29"/>
            <c:invertIfNegative val="0"/>
            <c:bubble3D val="0"/>
            <c:spPr>
              <a:solidFill>
                <a:schemeClr val="accent6"/>
              </a:solidFill>
            </c:spPr>
            <c:extLst xmlns:c16r2="http://schemas.microsoft.com/office/drawing/2015/06/chart">
              <c:ext xmlns:c16="http://schemas.microsoft.com/office/drawing/2014/chart" uri="{C3380CC4-5D6E-409C-BE32-E72D297353CC}">
                <c16:uniqueId val="{0000003B-266F-45F1-9596-C96A31EE162B}"/>
              </c:ext>
            </c:extLst>
          </c:dPt>
          <c:dPt>
            <c:idx val="30"/>
            <c:invertIfNegative val="0"/>
            <c:bubble3D val="0"/>
            <c:spPr>
              <a:solidFill>
                <a:srgbClr val="FF0000"/>
              </a:solidFill>
            </c:spPr>
            <c:extLst xmlns:c16r2="http://schemas.microsoft.com/office/drawing/2015/06/chart">
              <c:ext xmlns:c16="http://schemas.microsoft.com/office/drawing/2014/chart" uri="{C3380CC4-5D6E-409C-BE32-E72D297353CC}">
                <c16:uniqueId val="{0000003D-266F-45F1-9596-C96A31EE162B}"/>
              </c:ext>
            </c:extLst>
          </c:dPt>
          <c:dPt>
            <c:idx val="31"/>
            <c:invertIfNegative val="0"/>
            <c:bubble3D val="0"/>
            <c:spPr>
              <a:solidFill>
                <a:srgbClr val="FF0000"/>
              </a:solidFill>
            </c:spPr>
            <c:extLst xmlns:c16r2="http://schemas.microsoft.com/office/drawing/2015/06/chart">
              <c:ext xmlns:c16="http://schemas.microsoft.com/office/drawing/2014/chart" uri="{C3380CC4-5D6E-409C-BE32-E72D297353CC}">
                <c16:uniqueId val="{0000003F-266F-45F1-9596-C96A31EE162B}"/>
              </c:ext>
            </c:extLst>
          </c:dPt>
          <c:dLbls>
            <c:spPr>
              <a:noFill/>
              <a:ln>
                <a:noFill/>
              </a:ln>
              <a:effectLst/>
            </c:spPr>
            <c:txPr>
              <a:bodyPr rot="-5400000" vert="horz"/>
              <a:lstStyle/>
              <a:p>
                <a:pPr>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Hoja1!$B$2:$B$33</c:f>
              <c:strCache>
                <c:ptCount val="32"/>
                <c:pt idx="0">
                  <c:v>Baja California</c:v>
                </c:pt>
                <c:pt idx="1">
                  <c:v>Coahuila</c:v>
                </c:pt>
                <c:pt idx="2">
                  <c:v>Colima</c:v>
                </c:pt>
                <c:pt idx="3">
                  <c:v>Chihuahua</c:v>
                </c:pt>
                <c:pt idx="4">
                  <c:v>Jalisco</c:v>
                </c:pt>
                <c:pt idx="5">
                  <c:v>Puebla</c:v>
                </c:pt>
                <c:pt idx="6">
                  <c:v>Querétaro</c:v>
                </c:pt>
                <c:pt idx="7">
                  <c:v>Tlaxcala</c:v>
                </c:pt>
                <c:pt idx="8">
                  <c:v>Chiapas</c:v>
                </c:pt>
                <c:pt idx="9">
                  <c:v>Guanajuato</c:v>
                </c:pt>
                <c:pt idx="10">
                  <c:v>Sonora</c:v>
                </c:pt>
                <c:pt idx="11">
                  <c:v>Campeche</c:v>
                </c:pt>
                <c:pt idx="12">
                  <c:v>Yucatán</c:v>
                </c:pt>
                <c:pt idx="13">
                  <c:v>Morelos</c:v>
                </c:pt>
                <c:pt idx="14">
                  <c:v>Aguascalientes</c:v>
                </c:pt>
                <c:pt idx="15">
                  <c:v>Quintana Roo</c:v>
                </c:pt>
                <c:pt idx="16">
                  <c:v>Hidalgo</c:v>
                </c:pt>
                <c:pt idx="17">
                  <c:v>Oaxaca-Promedio</c:v>
                </c:pt>
                <c:pt idx="18">
                  <c:v>Zacatecas</c:v>
                </c:pt>
                <c:pt idx="19">
                  <c:v>Durango</c:v>
                </c:pt>
                <c:pt idx="20">
                  <c:v>Nayarit</c:v>
                </c:pt>
                <c:pt idx="21">
                  <c:v>Tabasco</c:v>
                </c:pt>
                <c:pt idx="22">
                  <c:v>Estado de México</c:v>
                </c:pt>
                <c:pt idx="23">
                  <c:v>Sinaloa</c:v>
                </c:pt>
                <c:pt idx="24">
                  <c:v>Nuevo León</c:v>
                </c:pt>
                <c:pt idx="25">
                  <c:v>Baja California Sur</c:v>
                </c:pt>
                <c:pt idx="26">
                  <c:v>San Luis Potosí</c:v>
                </c:pt>
                <c:pt idx="27">
                  <c:v>Guerrero</c:v>
                </c:pt>
                <c:pt idx="28">
                  <c:v>Tamaulipas</c:v>
                </c:pt>
                <c:pt idx="29">
                  <c:v>Veracruz</c:v>
                </c:pt>
                <c:pt idx="30">
                  <c:v>Ciudad de México</c:v>
                </c:pt>
                <c:pt idx="31">
                  <c:v>Michoacán</c:v>
                </c:pt>
              </c:strCache>
            </c:strRef>
          </c:cat>
          <c:val>
            <c:numRef>
              <c:f>Hoja1!$C$2:$C$33</c:f>
              <c:numCache>
                <c:formatCode>0</c:formatCode>
                <c:ptCount val="32"/>
                <c:pt idx="0">
                  <c:v>100</c:v>
                </c:pt>
                <c:pt idx="1">
                  <c:v>100</c:v>
                </c:pt>
                <c:pt idx="2">
                  <c:v>100</c:v>
                </c:pt>
                <c:pt idx="3">
                  <c:v>100</c:v>
                </c:pt>
                <c:pt idx="4">
                  <c:v>100</c:v>
                </c:pt>
                <c:pt idx="5">
                  <c:v>100</c:v>
                </c:pt>
                <c:pt idx="6">
                  <c:v>99</c:v>
                </c:pt>
                <c:pt idx="7">
                  <c:v>99</c:v>
                </c:pt>
                <c:pt idx="8">
                  <c:v>98</c:v>
                </c:pt>
                <c:pt idx="9">
                  <c:v>98</c:v>
                </c:pt>
                <c:pt idx="10">
                  <c:v>93</c:v>
                </c:pt>
                <c:pt idx="11">
                  <c:v>91</c:v>
                </c:pt>
                <c:pt idx="12">
                  <c:v>91</c:v>
                </c:pt>
                <c:pt idx="13">
                  <c:v>90</c:v>
                </c:pt>
                <c:pt idx="14">
                  <c:v>89</c:v>
                </c:pt>
                <c:pt idx="15">
                  <c:v>85</c:v>
                </c:pt>
                <c:pt idx="16">
                  <c:v>84</c:v>
                </c:pt>
                <c:pt idx="17">
                  <c:v>83</c:v>
                </c:pt>
                <c:pt idx="18">
                  <c:v>79</c:v>
                </c:pt>
                <c:pt idx="19">
                  <c:v>78</c:v>
                </c:pt>
                <c:pt idx="20">
                  <c:v>75</c:v>
                </c:pt>
                <c:pt idx="21">
                  <c:v>75</c:v>
                </c:pt>
                <c:pt idx="22">
                  <c:v>73</c:v>
                </c:pt>
                <c:pt idx="23">
                  <c:v>72</c:v>
                </c:pt>
                <c:pt idx="24">
                  <c:v>71</c:v>
                </c:pt>
                <c:pt idx="25">
                  <c:v>70</c:v>
                </c:pt>
                <c:pt idx="26">
                  <c:v>66</c:v>
                </c:pt>
                <c:pt idx="27">
                  <c:v>65</c:v>
                </c:pt>
                <c:pt idx="28">
                  <c:v>63</c:v>
                </c:pt>
                <c:pt idx="29">
                  <c:v>61</c:v>
                </c:pt>
                <c:pt idx="30">
                  <c:v>57</c:v>
                </c:pt>
                <c:pt idx="31">
                  <c:v>51</c:v>
                </c:pt>
              </c:numCache>
            </c:numRef>
          </c:val>
          <c:extLst xmlns:c16r2="http://schemas.microsoft.com/office/drawing/2015/06/chart">
            <c:ext xmlns:c16="http://schemas.microsoft.com/office/drawing/2014/chart" uri="{C3380CC4-5D6E-409C-BE32-E72D297353CC}">
              <c16:uniqueId val="{00000040-266F-45F1-9596-C96A31EE162B}"/>
            </c:ext>
          </c:extLst>
        </c:ser>
        <c:dLbls>
          <c:showLegendKey val="0"/>
          <c:showVal val="0"/>
          <c:showCatName val="0"/>
          <c:showSerName val="0"/>
          <c:showPercent val="0"/>
          <c:showBubbleSize val="0"/>
        </c:dLbls>
        <c:gapWidth val="150"/>
        <c:axId val="169987456"/>
        <c:axId val="170407424"/>
      </c:barChart>
      <c:catAx>
        <c:axId val="169987456"/>
        <c:scaling>
          <c:orientation val="minMax"/>
        </c:scaling>
        <c:delete val="0"/>
        <c:axPos val="b"/>
        <c:title>
          <c:tx>
            <c:rich>
              <a:bodyPr/>
              <a:lstStyle/>
              <a:p>
                <a:pPr>
                  <a:defRPr/>
                </a:pPr>
                <a:endParaRPr lang="es-MX"/>
              </a:p>
            </c:rich>
          </c:tx>
          <c:overlay val="0"/>
        </c:title>
        <c:numFmt formatCode="General" sourceLinked="0"/>
        <c:majorTickMark val="out"/>
        <c:minorTickMark val="none"/>
        <c:tickLblPos val="nextTo"/>
        <c:txPr>
          <a:bodyPr rot="-5400000" vert="horz"/>
          <a:lstStyle/>
          <a:p>
            <a:pPr>
              <a:defRPr/>
            </a:pPr>
            <a:endParaRPr lang="es-MX"/>
          </a:p>
        </c:txPr>
        <c:crossAx val="170407424"/>
        <c:crosses val="autoZero"/>
        <c:auto val="1"/>
        <c:lblAlgn val="ctr"/>
        <c:lblOffset val="100"/>
        <c:noMultiLvlLbl val="0"/>
      </c:catAx>
      <c:valAx>
        <c:axId val="170407424"/>
        <c:scaling>
          <c:orientation val="minMax"/>
        </c:scaling>
        <c:delete val="0"/>
        <c:axPos val="l"/>
        <c:majorGridlines/>
        <c:numFmt formatCode="0" sourceLinked="1"/>
        <c:majorTickMark val="out"/>
        <c:minorTickMark val="none"/>
        <c:tickLblPos val="nextTo"/>
        <c:crossAx val="16998745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es-MX"/>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Hoja1!$A$2</c:f>
              <c:strCache>
                <c:ptCount val="1"/>
                <c:pt idx="0">
                  <c:v>2017</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Futura T OT" panose="02000000000000000000" pitchFamily="50" charset="0"/>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Hoja1!$B$1:$C$1</c:f>
              <c:strCache>
                <c:ptCount val="2"/>
                <c:pt idx="0">
                  <c:v>Elementos de monitoreo y evaluación</c:v>
                </c:pt>
                <c:pt idx="1">
                  <c:v>Área responsable de realizar o coordinar la evaluación</c:v>
                </c:pt>
              </c:strCache>
            </c:strRef>
          </c:cat>
          <c:val>
            <c:numRef>
              <c:f>Hoja1!$B$2:$C$2</c:f>
              <c:numCache>
                <c:formatCode>General</c:formatCode>
                <c:ptCount val="2"/>
                <c:pt idx="0">
                  <c:v>75</c:v>
                </c:pt>
                <c:pt idx="1">
                  <c:v>81.3</c:v>
                </c:pt>
              </c:numCache>
            </c:numRef>
          </c:val>
          <c:extLst xmlns:c16r2="http://schemas.microsoft.com/office/drawing/2015/06/chart">
            <c:ext xmlns:c16="http://schemas.microsoft.com/office/drawing/2014/chart" uri="{C3380CC4-5D6E-409C-BE32-E72D297353CC}">
              <c16:uniqueId val="{00000000-1388-42C9-8080-E87A63C863F1}"/>
            </c:ext>
          </c:extLst>
        </c:ser>
        <c:ser>
          <c:idx val="1"/>
          <c:order val="1"/>
          <c:tx>
            <c:strRef>
              <c:f>Hoja1!$A$3</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Futura T OT" panose="02000000000000000000" pitchFamily="50" charset="0"/>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Hoja1!$B$1:$C$1</c:f>
              <c:strCache>
                <c:ptCount val="2"/>
                <c:pt idx="0">
                  <c:v>Elementos de monitoreo y evaluación</c:v>
                </c:pt>
                <c:pt idx="1">
                  <c:v>Área responsable de realizar o coordinar la evaluación</c:v>
                </c:pt>
              </c:strCache>
            </c:strRef>
          </c:cat>
          <c:val>
            <c:numRef>
              <c:f>Hoja1!$B$3:$C$3</c:f>
              <c:numCache>
                <c:formatCode>General</c:formatCode>
                <c:ptCount val="2"/>
                <c:pt idx="0">
                  <c:v>87.5</c:v>
                </c:pt>
                <c:pt idx="1">
                  <c:v>93.8</c:v>
                </c:pt>
              </c:numCache>
            </c:numRef>
          </c:val>
          <c:extLst xmlns:c16r2="http://schemas.microsoft.com/office/drawing/2015/06/chart">
            <c:ext xmlns:c16="http://schemas.microsoft.com/office/drawing/2014/chart" uri="{C3380CC4-5D6E-409C-BE32-E72D297353CC}">
              <c16:uniqueId val="{00000001-1388-42C9-8080-E87A63C863F1}"/>
            </c:ext>
          </c:extLst>
        </c:ser>
        <c:dLbls>
          <c:dLblPos val="outEnd"/>
          <c:showLegendKey val="0"/>
          <c:showVal val="1"/>
          <c:showCatName val="0"/>
          <c:showSerName val="0"/>
          <c:showPercent val="0"/>
          <c:showBubbleSize val="0"/>
        </c:dLbls>
        <c:gapWidth val="247"/>
        <c:axId val="170442752"/>
        <c:axId val="170444288"/>
      </c:barChart>
      <c:catAx>
        <c:axId val="170442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dk1">
                    <a:lumMod val="65000"/>
                    <a:lumOff val="35000"/>
                  </a:schemeClr>
                </a:solidFill>
                <a:latin typeface="Futura T OT" panose="02000000000000000000" pitchFamily="50" charset="0"/>
                <a:ea typeface="+mn-ea"/>
                <a:cs typeface="+mn-cs"/>
              </a:defRPr>
            </a:pPr>
            <a:endParaRPr lang="es-MX"/>
          </a:p>
        </c:txPr>
        <c:crossAx val="170444288"/>
        <c:crosses val="autoZero"/>
        <c:auto val="1"/>
        <c:lblAlgn val="ctr"/>
        <c:lblOffset val="100"/>
        <c:noMultiLvlLbl val="0"/>
      </c:catAx>
      <c:valAx>
        <c:axId val="1704442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Futura T OT" panose="02000000000000000000" pitchFamily="50" charset="0"/>
                <a:ea typeface="+mn-ea"/>
                <a:cs typeface="+mn-cs"/>
              </a:defRPr>
            </a:pPr>
            <a:endParaRPr lang="es-MX"/>
          </a:p>
        </c:txPr>
        <c:crossAx val="1704427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Futura T OT" panose="02000000000000000000" pitchFamily="50" charset="0"/>
              <a:ea typeface="+mn-ea"/>
              <a:cs typeface="+mn-cs"/>
            </a:defRPr>
          </a:pPr>
          <a:endParaRPr lang="es-MX"/>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8.1697017982161821E-2"/>
          <c:y val="6.25E-2"/>
          <c:w val="0.54707025826159406"/>
          <c:h val="0.90509259259259256"/>
        </c:manualLayout>
      </c:layout>
      <c:pieChart>
        <c:varyColors val="1"/>
        <c:ser>
          <c:idx val="0"/>
          <c:order val="0"/>
          <c:dLbls>
            <c:dLbl>
              <c:idx val="0"/>
              <c:layout>
                <c:manualLayout>
                  <c:x val="-4.3531909627921819E-2"/>
                  <c:y val="0.1065006915629322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77-4AEE-97F3-FB150EAA8885}"/>
                </c:ext>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Hoja1!$H$22:$H$25</c:f>
              <c:strCache>
                <c:ptCount val="4"/>
                <c:pt idx="0">
                  <c:v>1 Primario</c:v>
                </c:pt>
                <c:pt idx="1">
                  <c:v>2 Secundario</c:v>
                </c:pt>
                <c:pt idx="2">
                  <c:v>3 Terciario</c:v>
                </c:pt>
                <c:pt idx="3">
                  <c:v>4 No especificado</c:v>
                </c:pt>
              </c:strCache>
            </c:strRef>
          </c:cat>
          <c:val>
            <c:numRef>
              <c:f>Hoja1!$I$22:$I$25</c:f>
              <c:numCache>
                <c:formatCode>#,##0</c:formatCode>
                <c:ptCount val="4"/>
                <c:pt idx="0">
                  <c:v>52779</c:v>
                </c:pt>
                <c:pt idx="1">
                  <c:v>125301</c:v>
                </c:pt>
                <c:pt idx="2">
                  <c:v>672103</c:v>
                </c:pt>
                <c:pt idx="3">
                  <c:v>1522</c:v>
                </c:pt>
              </c:numCache>
            </c:numRef>
          </c:val>
          <c:extLst xmlns:c16r2="http://schemas.microsoft.com/office/drawing/2015/06/chart">
            <c:ext xmlns:c16="http://schemas.microsoft.com/office/drawing/2014/chart" uri="{C3380CC4-5D6E-409C-BE32-E72D297353CC}">
              <c16:uniqueId val="{00000001-E877-4AEE-97F3-FB150EAA8885}"/>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4AD-4F44-AD9F-7A984A398DF3}"/>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D4AD-4F44-AD9F-7A984A398DF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D4AD-4F44-AD9F-7A984A398DF3}"/>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TD!$P$45:$P$47</c:f>
              <c:strCache>
                <c:ptCount val="3"/>
                <c:pt idx="0">
                  <c:v>Primario</c:v>
                </c:pt>
                <c:pt idx="1">
                  <c:v>Secundario</c:v>
                </c:pt>
                <c:pt idx="2">
                  <c:v>Terciario</c:v>
                </c:pt>
              </c:strCache>
            </c:strRef>
          </c:cat>
          <c:val>
            <c:numRef>
              <c:f>TD!$Q$45:$Q$47</c:f>
              <c:numCache>
                <c:formatCode>_-"$"* #,##0_-;\-"$"* #,##0_-;_-"$"* "-"??_-;_-@_-</c:formatCode>
                <c:ptCount val="3"/>
                <c:pt idx="0">
                  <c:v>3228.5309999999999</c:v>
                </c:pt>
                <c:pt idx="1">
                  <c:v>43974.875</c:v>
                </c:pt>
                <c:pt idx="2">
                  <c:v>306467.84999999998</c:v>
                </c:pt>
              </c:numCache>
            </c:numRef>
          </c:val>
          <c:extLst xmlns:c16r2="http://schemas.microsoft.com/office/drawing/2015/06/chart">
            <c:ext xmlns:c16="http://schemas.microsoft.com/office/drawing/2014/chart" uri="{C3380CC4-5D6E-409C-BE32-E72D297353CC}">
              <c16:uniqueId val="{00000006-D4AD-4F44-AD9F-7A984A398DF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0.09746</cdr:x>
      <cdr:y>0.91696</cdr:y>
    </cdr:from>
    <cdr:to>
      <cdr:x>0.96068</cdr:x>
      <cdr:y>0.97161</cdr:y>
    </cdr:to>
    <cdr:pic>
      <cdr:nvPicPr>
        <cdr:cNvPr id="2" name="4 Imagen"/>
        <cdr:cNvPicPr>
          <a:picLocks xmlns:a="http://schemas.openxmlformats.org/drawingml/2006/main" noChangeAspect="1"/>
        </cdr:cNvPicPr>
      </cdr:nvPicPr>
      <cdr:blipFill rotWithShape="1">
        <a:blip xmlns:a="http://schemas.openxmlformats.org/drawingml/2006/main" xmlns:r="http://schemas.openxmlformats.org/officeDocument/2006/relationships" r:embed="rId1"/>
        <a:srcRect xmlns:a="http://schemas.openxmlformats.org/drawingml/2006/main" l="10280" t="84986" r="11239" b="9291"/>
        <a:stretch xmlns:a="http://schemas.openxmlformats.org/drawingml/2006/main"/>
      </cdr:blipFill>
      <cdr:spPr>
        <a:xfrm xmlns:a="http://schemas.openxmlformats.org/drawingml/2006/main">
          <a:off x="619164" y="3277589"/>
          <a:ext cx="5484183" cy="195339"/>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62D2E-FEF5-4B9C-83E7-A0906D3459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190</Pages>
  <Words>39964</Words>
  <Characters>219806</Characters>
  <Application>Microsoft Office Word</Application>
  <DocSecurity>0</DocSecurity>
  <Lines>1831</Lines>
  <Paragraphs>518</Paragraphs>
  <ScaleCrop>false</ScaleCrop>
  <HeadingPairs>
    <vt:vector size="2" baseType="variant">
      <vt:variant>
        <vt:lpstr>Título</vt:lpstr>
      </vt:variant>
      <vt:variant>
        <vt:i4>1</vt:i4>
      </vt:variant>
    </vt:vector>
  </HeadingPairs>
  <TitlesOfParts>
    <vt:vector size="1" baseType="lpstr">
      <vt:lpstr/>
    </vt:vector>
  </TitlesOfParts>
  <Company>OFICIALIA MAYOR</Company>
  <LinksUpToDate>false</LinksUpToDate>
  <CharactersWithSpaces>259252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CARLOS DURAN SUAREZ</dc:creator>
  <cp:lastModifiedBy>HP Inc.</cp:lastModifiedBy>
  <cp:revision>5</cp:revision>
  <cp:lastPrinted>2021-02-25T21:06:00Z</cp:lastPrinted>
  <dcterms:created xsi:type="dcterms:W3CDTF">2021-02-23T21:01:00Z</dcterms:created>
  <dcterms:modified xsi:type="dcterms:W3CDTF">2021-02-25T21:59:00Z</dcterms:modified>
</cp:coreProperties>
</file>