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EB5E6" w14:textId="77777777" w:rsidR="00E0460C" w:rsidRDefault="00E0460C" w:rsidP="006132B4">
      <w:pPr>
        <w:ind w:left="709" w:hanging="709"/>
        <w:rPr>
          <w:lang w:val="es-MX" w:eastAsia="en-US"/>
        </w:rPr>
      </w:pPr>
    </w:p>
    <w:p w14:paraId="2196BCE8" w14:textId="77777777" w:rsidR="00C22C55" w:rsidRDefault="00C22C55" w:rsidP="00E0460C">
      <w:pPr>
        <w:rPr>
          <w:lang w:val="es-MX" w:eastAsia="en-US"/>
        </w:rPr>
      </w:pPr>
    </w:p>
    <w:p w14:paraId="74BBC9B0" w14:textId="77777777" w:rsidR="00C22C55" w:rsidRDefault="00C22C55" w:rsidP="00E0460C">
      <w:pPr>
        <w:rPr>
          <w:lang w:val="es-MX" w:eastAsia="en-US"/>
        </w:rPr>
      </w:pPr>
    </w:p>
    <w:p w14:paraId="122C89D5" w14:textId="77777777" w:rsidR="00E0460C" w:rsidRPr="009539AC" w:rsidRDefault="00E0460C" w:rsidP="00C22C55"/>
    <w:p w14:paraId="51B05F82" w14:textId="77777777" w:rsidR="00E0460C" w:rsidRDefault="00E0460C" w:rsidP="00C22C55">
      <w:pPr>
        <w:rPr>
          <w:rFonts w:ascii="Futura" w:hAnsi="Futura" w:cs="Futura" w:hint="eastAsia"/>
          <w:b/>
          <w:color w:val="595959" w:themeColor="text1" w:themeTint="A6"/>
          <w:sz w:val="44"/>
          <w:szCs w:val="44"/>
        </w:rPr>
      </w:pPr>
    </w:p>
    <w:p w14:paraId="6D7A4AF0" w14:textId="77777777" w:rsidR="00C22C55" w:rsidRDefault="00C22C55" w:rsidP="00C22C55">
      <w:pPr>
        <w:rPr>
          <w:rFonts w:ascii="Futura" w:hAnsi="Futura" w:cs="Futura" w:hint="eastAsia"/>
          <w:b/>
          <w:color w:val="595959" w:themeColor="text1" w:themeTint="A6"/>
          <w:sz w:val="44"/>
          <w:szCs w:val="44"/>
        </w:rPr>
      </w:pPr>
    </w:p>
    <w:p w14:paraId="13B10FCC" w14:textId="359D934C" w:rsidR="006A687C" w:rsidRPr="006A687C" w:rsidRDefault="00A84A61" w:rsidP="005E7C1D">
      <w:pPr>
        <w:jc w:val="center"/>
        <w:rPr>
          <w:rFonts w:cs="Futura"/>
          <w:b/>
          <w:color w:val="4BACC6" w:themeColor="accent5"/>
          <w:sz w:val="44"/>
          <w:szCs w:val="44"/>
          <w:lang w:val="es-MX"/>
        </w:rPr>
      </w:pPr>
      <w:r>
        <w:rPr>
          <w:rFonts w:cs="Futura"/>
          <w:b/>
          <w:bCs/>
          <w:color w:val="4BACC6" w:themeColor="accent5"/>
          <w:sz w:val="44"/>
          <w:szCs w:val="44"/>
        </w:rPr>
        <w:t xml:space="preserve">ACTUALIZACIÓN DEL </w:t>
      </w:r>
      <w:r w:rsidR="00C0452C">
        <w:rPr>
          <w:rFonts w:cs="Futura"/>
          <w:b/>
          <w:bCs/>
          <w:color w:val="4BACC6" w:themeColor="accent5"/>
          <w:sz w:val="44"/>
          <w:szCs w:val="44"/>
        </w:rPr>
        <w:t>PROGRAMA INSTITUCIONAL</w:t>
      </w:r>
    </w:p>
    <w:p w14:paraId="0AB7C973" w14:textId="79289070" w:rsidR="006A687C" w:rsidRPr="006A687C" w:rsidRDefault="00A84A61" w:rsidP="005E7C1D">
      <w:pPr>
        <w:jc w:val="center"/>
        <w:rPr>
          <w:rFonts w:cs="Futura"/>
          <w:b/>
          <w:bCs/>
          <w:color w:val="4BACC6" w:themeColor="accent5"/>
          <w:sz w:val="44"/>
          <w:szCs w:val="44"/>
        </w:rPr>
      </w:pPr>
      <w:r>
        <w:rPr>
          <w:rFonts w:cs="Futura"/>
          <w:b/>
          <w:bCs/>
          <w:color w:val="4BACC6" w:themeColor="accent5"/>
          <w:sz w:val="44"/>
          <w:szCs w:val="44"/>
        </w:rPr>
        <w:t xml:space="preserve">DE </w:t>
      </w:r>
      <w:bookmarkStart w:id="0" w:name="_GoBack"/>
      <w:bookmarkEnd w:id="0"/>
      <w:r w:rsidR="006A687C" w:rsidRPr="006A687C">
        <w:rPr>
          <w:rFonts w:cs="Futura"/>
          <w:b/>
          <w:bCs/>
          <w:color w:val="4BACC6" w:themeColor="accent5"/>
          <w:sz w:val="44"/>
          <w:szCs w:val="44"/>
        </w:rPr>
        <w:t>PROMOCIÓN, FOMENTO Y GARANTÍA DEL DERECHO DE ACCESO A LA INFORMACIÓN PÚBLICA Y LA PROTECCIÓN DE DATOS PERSONALES EN EL ESTADO DE Q. ROO</w:t>
      </w:r>
    </w:p>
    <w:p w14:paraId="764CE1BA" w14:textId="01CC2E66" w:rsidR="00E0460C" w:rsidRDefault="00E0460C" w:rsidP="00C22C55">
      <w:pPr>
        <w:rPr>
          <w:rFonts w:cs="Futura"/>
          <w:color w:val="595959" w:themeColor="text1" w:themeTint="A6"/>
          <w:sz w:val="44"/>
          <w:szCs w:val="44"/>
        </w:rPr>
      </w:pPr>
    </w:p>
    <w:p w14:paraId="2B8CA73E" w14:textId="77777777" w:rsidR="006F51BC" w:rsidRPr="00E0460C" w:rsidRDefault="006F51BC" w:rsidP="00C22C55">
      <w:pPr>
        <w:rPr>
          <w:rFonts w:cs="Futura"/>
          <w:color w:val="595959" w:themeColor="text1" w:themeTint="A6"/>
          <w:sz w:val="44"/>
          <w:szCs w:val="44"/>
        </w:rPr>
      </w:pPr>
    </w:p>
    <w:p w14:paraId="53307DE4" w14:textId="77777777" w:rsidR="00C22C55" w:rsidRDefault="00C22C55" w:rsidP="00C22C55">
      <w:pPr>
        <w:rPr>
          <w:rFonts w:ascii="Futura" w:hAnsi="Futura" w:cs="Futura" w:hint="eastAsia"/>
          <w:b/>
          <w:caps/>
          <w:color w:val="595959" w:themeColor="text1" w:themeTint="A6"/>
          <w:sz w:val="16"/>
          <w:szCs w:val="16"/>
        </w:rPr>
      </w:pPr>
    </w:p>
    <w:p w14:paraId="065A6D85" w14:textId="77777777" w:rsidR="00C22C55" w:rsidRDefault="00C22C55" w:rsidP="00C22C55">
      <w:pPr>
        <w:rPr>
          <w:rFonts w:ascii="Futura" w:hAnsi="Futura" w:cs="Futura" w:hint="eastAsia"/>
          <w:b/>
          <w:caps/>
          <w:color w:val="595959" w:themeColor="text1" w:themeTint="A6"/>
          <w:sz w:val="16"/>
          <w:szCs w:val="16"/>
        </w:rPr>
      </w:pPr>
    </w:p>
    <w:p w14:paraId="0518ED68" w14:textId="2F963CED" w:rsidR="00E0460C" w:rsidRPr="00C22C55" w:rsidRDefault="00E0460C" w:rsidP="00C22C55">
      <w:pPr>
        <w:rPr>
          <w:rFonts w:ascii="Futura" w:hAnsi="Futura" w:cs="Futura" w:hint="eastAsia"/>
          <w:b/>
          <w:color w:val="595959" w:themeColor="text1" w:themeTint="A6"/>
          <w:sz w:val="32"/>
          <w:szCs w:val="32"/>
        </w:rPr>
      </w:pPr>
    </w:p>
    <w:p w14:paraId="129AE47C" w14:textId="77777777" w:rsidR="00E0460C" w:rsidRDefault="00E0460C">
      <w:pPr>
        <w:spacing w:after="0" w:line="240" w:lineRule="auto"/>
        <w:jc w:val="left"/>
        <w:rPr>
          <w:rFonts w:eastAsia="Times New Roman" w:cs="Futura"/>
          <w:b/>
          <w:color w:val="595959"/>
          <w:sz w:val="32"/>
          <w:szCs w:val="32"/>
        </w:rPr>
      </w:pPr>
      <w:r>
        <w:rPr>
          <w:rFonts w:eastAsia="Times New Roman" w:cs="Futura"/>
          <w:b/>
          <w:color w:val="595959"/>
          <w:sz w:val="32"/>
          <w:szCs w:val="32"/>
        </w:rPr>
        <w:br w:type="page"/>
      </w:r>
    </w:p>
    <w:p w14:paraId="7192F1B6" w14:textId="0D3BA73F" w:rsidR="005F7240" w:rsidRPr="00C2741A" w:rsidRDefault="005F7240" w:rsidP="00EB0C4B">
      <w:pPr>
        <w:keepNext/>
        <w:keepLines/>
        <w:tabs>
          <w:tab w:val="left" w:leader="dot" w:pos="7938"/>
        </w:tabs>
        <w:spacing w:before="480"/>
        <w:rPr>
          <w:rFonts w:eastAsia="Times New Roman" w:cs="Futura"/>
          <w:b/>
          <w:color w:val="595959"/>
          <w:sz w:val="32"/>
          <w:szCs w:val="32"/>
        </w:rPr>
      </w:pPr>
      <w:r w:rsidRPr="00C2741A">
        <w:rPr>
          <w:rFonts w:eastAsia="Times New Roman" w:cs="Futura"/>
          <w:b/>
          <w:color w:val="595959"/>
          <w:sz w:val="32"/>
          <w:szCs w:val="32"/>
        </w:rPr>
        <w:lastRenderedPageBreak/>
        <w:t>CONTENIDO</w:t>
      </w:r>
    </w:p>
    <w:p w14:paraId="5FB36AAC" w14:textId="77777777" w:rsidR="00E0460C" w:rsidRDefault="00E0460C" w:rsidP="00B545F3">
      <w:pPr>
        <w:rPr>
          <w:rFonts w:eastAsia="Calibri" w:cs="Times New Roman"/>
          <w:b/>
          <w:bCs/>
          <w:szCs w:val="22"/>
          <w:lang w:val="es-MX" w:eastAsia="en-US"/>
        </w:rPr>
      </w:pPr>
    </w:p>
    <w:p w14:paraId="286A6D07" w14:textId="005976DD" w:rsidR="00EB0C4B" w:rsidRPr="00EB0C4B" w:rsidRDefault="00EB0C4B" w:rsidP="00EB0C4B">
      <w:pPr>
        <w:tabs>
          <w:tab w:val="left" w:pos="637"/>
          <w:tab w:val="left" w:leader="dot" w:pos="9498"/>
        </w:tabs>
        <w:spacing w:after="60" w:line="240" w:lineRule="auto"/>
        <w:jc w:val="left"/>
        <w:rPr>
          <w:lang w:val="es-ES"/>
        </w:rPr>
      </w:pPr>
      <w:r w:rsidRPr="00EB0C4B">
        <w:rPr>
          <w:lang w:val="es-ES"/>
        </w:rPr>
        <w:t>I.</w:t>
      </w:r>
      <w:r w:rsidRPr="00EB0C4B">
        <w:rPr>
          <w:lang w:val="es-ES"/>
        </w:rPr>
        <w:tab/>
      </w:r>
      <w:r w:rsidRPr="00EB0C4B">
        <w:rPr>
          <w:noProof/>
        </w:rPr>
        <w:t>PRESENTACIÓN</w:t>
      </w:r>
      <w:r w:rsidRPr="00EB0C4B">
        <w:rPr>
          <w:lang w:val="es-ES"/>
        </w:rPr>
        <w:tab/>
      </w:r>
      <w:r w:rsidR="00A759AA">
        <w:rPr>
          <w:lang w:val="es-ES"/>
        </w:rPr>
        <w:t>3</w:t>
      </w:r>
    </w:p>
    <w:p w14:paraId="15E57AE4" w14:textId="228CF066" w:rsidR="00EB0C4B" w:rsidRPr="00EB0C4B" w:rsidRDefault="00EB0C4B" w:rsidP="00EB0C4B">
      <w:pPr>
        <w:tabs>
          <w:tab w:val="left" w:pos="637"/>
          <w:tab w:val="left" w:leader="dot" w:pos="9498"/>
        </w:tabs>
        <w:spacing w:after="60" w:line="240" w:lineRule="auto"/>
        <w:jc w:val="left"/>
        <w:rPr>
          <w:lang w:val="es-ES"/>
        </w:rPr>
      </w:pPr>
      <w:r w:rsidRPr="00EB0C4B">
        <w:rPr>
          <w:lang w:val="es-ES"/>
        </w:rPr>
        <w:t>II.</w:t>
      </w:r>
      <w:r w:rsidRPr="00EB0C4B">
        <w:rPr>
          <w:lang w:val="es-ES"/>
        </w:rPr>
        <w:tab/>
      </w:r>
      <w:r w:rsidRPr="00EB0C4B">
        <w:rPr>
          <w:noProof/>
        </w:rPr>
        <w:t>INTRODUCCIÓN</w:t>
      </w:r>
      <w:r w:rsidRPr="00EB0C4B">
        <w:rPr>
          <w:lang w:val="es-ES"/>
        </w:rPr>
        <w:tab/>
      </w:r>
      <w:r w:rsidR="00A759AA">
        <w:rPr>
          <w:lang w:val="es-ES"/>
        </w:rPr>
        <w:t>6</w:t>
      </w:r>
    </w:p>
    <w:p w14:paraId="1FA82C09" w14:textId="59D0B8FF" w:rsidR="00EB0C4B" w:rsidRPr="00EB0C4B" w:rsidRDefault="00EB0C4B" w:rsidP="00EB0C4B">
      <w:pPr>
        <w:tabs>
          <w:tab w:val="left" w:pos="637"/>
          <w:tab w:val="left" w:leader="dot" w:pos="9498"/>
        </w:tabs>
        <w:spacing w:after="60" w:line="240" w:lineRule="auto"/>
        <w:jc w:val="left"/>
        <w:rPr>
          <w:lang w:val="es-ES"/>
        </w:rPr>
      </w:pPr>
      <w:r w:rsidRPr="00EB0C4B">
        <w:rPr>
          <w:lang w:val="es-ES"/>
        </w:rPr>
        <w:t>III</w:t>
      </w:r>
      <w:r w:rsidRPr="00EB0C4B">
        <w:rPr>
          <w:lang w:val="es-ES"/>
        </w:rPr>
        <w:tab/>
      </w:r>
      <w:r w:rsidRPr="00EB0C4B">
        <w:rPr>
          <w:noProof/>
        </w:rPr>
        <w:t>ANTECEDENTES</w:t>
      </w:r>
      <w:r w:rsidRPr="00EB0C4B">
        <w:rPr>
          <w:lang w:val="es-ES"/>
        </w:rPr>
        <w:tab/>
      </w:r>
      <w:r w:rsidR="00844310">
        <w:rPr>
          <w:lang w:val="es-ES"/>
        </w:rPr>
        <w:t>1</w:t>
      </w:r>
      <w:r w:rsidR="00A759AA">
        <w:rPr>
          <w:lang w:val="es-ES"/>
        </w:rPr>
        <w:t>0</w:t>
      </w:r>
    </w:p>
    <w:p w14:paraId="52201BE2" w14:textId="76D125EF" w:rsidR="00DD4F6A" w:rsidRPr="00DD4F6A" w:rsidRDefault="00DD4F6A" w:rsidP="00DD4F6A">
      <w:pPr>
        <w:tabs>
          <w:tab w:val="left" w:pos="637"/>
          <w:tab w:val="left" w:leader="dot" w:pos="9498"/>
        </w:tabs>
        <w:spacing w:after="60" w:line="240" w:lineRule="auto"/>
        <w:jc w:val="left"/>
        <w:rPr>
          <w:lang w:val="es-ES"/>
        </w:rPr>
      </w:pPr>
      <w:r w:rsidRPr="00DD4F6A">
        <w:rPr>
          <w:lang w:val="es-ES"/>
        </w:rPr>
        <w:t>IV</w:t>
      </w:r>
      <w:r w:rsidRPr="00DD4F6A">
        <w:rPr>
          <w:lang w:val="es-ES"/>
        </w:rPr>
        <w:tab/>
      </w:r>
      <w:r w:rsidRPr="00DD4F6A">
        <w:rPr>
          <w:noProof/>
        </w:rPr>
        <w:t>MARCO JURÍDICO</w:t>
      </w:r>
      <w:r w:rsidR="00844310">
        <w:rPr>
          <w:lang w:val="es-ES"/>
        </w:rPr>
        <w:tab/>
        <w:t>1</w:t>
      </w:r>
      <w:r w:rsidR="00A759AA">
        <w:rPr>
          <w:lang w:val="es-ES"/>
        </w:rPr>
        <w:t>3</w:t>
      </w:r>
    </w:p>
    <w:p w14:paraId="34DA981A" w14:textId="088A95F7" w:rsidR="00DD4F6A" w:rsidRPr="00DD4F6A" w:rsidRDefault="00DD4F6A" w:rsidP="00DD4F6A">
      <w:pPr>
        <w:tabs>
          <w:tab w:val="left" w:pos="637"/>
          <w:tab w:val="left" w:leader="dot" w:pos="9498"/>
        </w:tabs>
        <w:spacing w:after="60" w:line="240" w:lineRule="auto"/>
        <w:jc w:val="left"/>
        <w:rPr>
          <w:lang w:val="es-ES"/>
        </w:rPr>
      </w:pPr>
      <w:r w:rsidRPr="00DD4F6A">
        <w:rPr>
          <w:lang w:val="es-ES"/>
        </w:rPr>
        <w:t>V</w:t>
      </w:r>
      <w:r w:rsidRPr="00DD4F6A">
        <w:rPr>
          <w:lang w:val="es-ES"/>
        </w:rPr>
        <w:tab/>
      </w:r>
      <w:r w:rsidRPr="00DD4F6A">
        <w:rPr>
          <w:noProof/>
        </w:rPr>
        <w:t>DIAGNÓSTICO</w:t>
      </w:r>
      <w:r w:rsidRPr="00DD4F6A">
        <w:rPr>
          <w:lang w:val="es-ES"/>
        </w:rPr>
        <w:tab/>
      </w:r>
      <w:r w:rsidRPr="00DD4F6A">
        <w:rPr>
          <w:webHidden/>
          <w:lang w:val="es-ES"/>
        </w:rPr>
        <w:t>1</w:t>
      </w:r>
      <w:r w:rsidR="00A759AA">
        <w:rPr>
          <w:webHidden/>
          <w:lang w:val="es-ES"/>
        </w:rPr>
        <w:t>7</w:t>
      </w:r>
    </w:p>
    <w:p w14:paraId="4109DF9B" w14:textId="0B3B53CF" w:rsidR="00DD4F6A" w:rsidRPr="00DD4F6A" w:rsidRDefault="00DD4F6A" w:rsidP="00DD4F6A">
      <w:pPr>
        <w:tabs>
          <w:tab w:val="left" w:pos="637"/>
          <w:tab w:val="left" w:leader="dot" w:pos="9498"/>
        </w:tabs>
        <w:spacing w:after="60" w:line="240" w:lineRule="auto"/>
        <w:jc w:val="left"/>
        <w:rPr>
          <w:lang w:val="es-ES"/>
        </w:rPr>
      </w:pPr>
      <w:r w:rsidRPr="00DD4F6A">
        <w:rPr>
          <w:lang w:val="es-ES"/>
        </w:rPr>
        <w:t>VI</w:t>
      </w:r>
      <w:r w:rsidRPr="00DD4F6A">
        <w:rPr>
          <w:lang w:val="es-ES"/>
        </w:rPr>
        <w:tab/>
      </w:r>
      <w:r w:rsidRPr="00DD4F6A">
        <w:rPr>
          <w:noProof/>
        </w:rPr>
        <w:t>CONTEXTO</w:t>
      </w:r>
      <w:r w:rsidRPr="00DD4F6A">
        <w:rPr>
          <w:lang w:val="es-ES"/>
        </w:rPr>
        <w:tab/>
      </w:r>
      <w:r w:rsidR="00844310">
        <w:rPr>
          <w:webHidden/>
          <w:lang w:val="es-ES"/>
        </w:rPr>
        <w:t>3</w:t>
      </w:r>
      <w:r w:rsidR="00A759AA">
        <w:rPr>
          <w:webHidden/>
          <w:lang w:val="es-ES"/>
        </w:rPr>
        <w:t>1</w:t>
      </w:r>
    </w:p>
    <w:p w14:paraId="32D4260F" w14:textId="78EC0601" w:rsidR="00DD4F6A" w:rsidRPr="00DD4F6A" w:rsidRDefault="00DD4F6A" w:rsidP="00DD4F6A">
      <w:pPr>
        <w:tabs>
          <w:tab w:val="left" w:pos="637"/>
          <w:tab w:val="left" w:leader="dot" w:pos="9498"/>
        </w:tabs>
        <w:spacing w:after="60" w:line="240" w:lineRule="auto"/>
        <w:ind w:left="709"/>
        <w:jc w:val="left"/>
        <w:rPr>
          <w:noProof/>
        </w:rPr>
      </w:pPr>
      <w:r w:rsidRPr="00DD4F6A">
        <w:rPr>
          <w:noProof/>
        </w:rPr>
        <w:t>Alineación Alineación del Programa con el Plan Nacional de Desarrollo, Programa Sect</w:t>
      </w:r>
      <w:r w:rsidR="00844310">
        <w:rPr>
          <w:noProof/>
        </w:rPr>
        <w:t>orial Federal y PED 2016-2022</w:t>
      </w:r>
      <w:r w:rsidR="00844310">
        <w:rPr>
          <w:noProof/>
        </w:rPr>
        <w:tab/>
      </w:r>
      <w:r w:rsidR="00A759AA">
        <w:rPr>
          <w:noProof/>
        </w:rPr>
        <w:t>33</w:t>
      </w:r>
    </w:p>
    <w:p w14:paraId="0FC4E4BE" w14:textId="7BA0923B" w:rsidR="00DD4F6A" w:rsidRPr="00DD4F6A" w:rsidRDefault="00DD4F6A" w:rsidP="00DD4F6A">
      <w:pPr>
        <w:tabs>
          <w:tab w:val="left" w:pos="637"/>
          <w:tab w:val="left" w:leader="dot" w:pos="9498"/>
        </w:tabs>
        <w:spacing w:after="60" w:line="240" w:lineRule="auto"/>
        <w:jc w:val="left"/>
        <w:rPr>
          <w:lang w:val="es-ES"/>
        </w:rPr>
      </w:pPr>
      <w:r w:rsidRPr="00DD4F6A">
        <w:rPr>
          <w:lang w:val="es-ES"/>
        </w:rPr>
        <w:tab/>
      </w:r>
      <w:r w:rsidRPr="00DD4F6A">
        <w:rPr>
          <w:noProof/>
        </w:rPr>
        <w:t>Alineación Estructural PED - Programa Institucional</w:t>
      </w:r>
      <w:r w:rsidRPr="00DD4F6A">
        <w:rPr>
          <w:lang w:val="es-ES"/>
        </w:rPr>
        <w:tab/>
      </w:r>
      <w:r w:rsidR="00A759AA">
        <w:rPr>
          <w:webHidden/>
          <w:lang w:val="es-ES"/>
        </w:rPr>
        <w:t>34</w:t>
      </w:r>
    </w:p>
    <w:p w14:paraId="0F8817F4" w14:textId="55506E9B" w:rsidR="00DD4F6A" w:rsidRPr="00DD4F6A" w:rsidRDefault="00DD4F6A" w:rsidP="00DD4F6A">
      <w:pPr>
        <w:tabs>
          <w:tab w:val="left" w:pos="637"/>
          <w:tab w:val="left" w:leader="dot" w:pos="9498"/>
        </w:tabs>
        <w:spacing w:after="60" w:line="240" w:lineRule="auto"/>
        <w:jc w:val="left"/>
        <w:rPr>
          <w:lang w:val="es-ES"/>
        </w:rPr>
      </w:pPr>
      <w:r w:rsidRPr="00DD4F6A">
        <w:rPr>
          <w:lang w:val="es-ES"/>
        </w:rPr>
        <w:t>VII</w:t>
      </w:r>
      <w:r w:rsidRPr="00DD4F6A">
        <w:rPr>
          <w:lang w:val="es-ES"/>
        </w:rPr>
        <w:tab/>
      </w:r>
      <w:r w:rsidRPr="00DD4F6A">
        <w:rPr>
          <w:noProof/>
        </w:rPr>
        <w:t>MISIÓN</w:t>
      </w:r>
      <w:r w:rsidRPr="00DD4F6A">
        <w:rPr>
          <w:lang w:val="es-ES"/>
        </w:rPr>
        <w:tab/>
      </w:r>
      <w:r w:rsidR="00A759AA">
        <w:rPr>
          <w:webHidden/>
          <w:lang w:val="es-ES"/>
        </w:rPr>
        <w:t>37</w:t>
      </w:r>
    </w:p>
    <w:p w14:paraId="730BB7B1" w14:textId="1FC9DBD0" w:rsidR="00DD4F6A" w:rsidRPr="00DD4F6A" w:rsidRDefault="00DD4F6A" w:rsidP="00DD4F6A">
      <w:pPr>
        <w:tabs>
          <w:tab w:val="left" w:pos="637"/>
          <w:tab w:val="left" w:leader="dot" w:pos="9498"/>
        </w:tabs>
        <w:spacing w:after="60" w:line="240" w:lineRule="auto"/>
        <w:jc w:val="left"/>
        <w:rPr>
          <w:lang w:val="es-ES"/>
        </w:rPr>
      </w:pPr>
      <w:r w:rsidRPr="00DD4F6A">
        <w:rPr>
          <w:lang w:val="es-ES"/>
        </w:rPr>
        <w:t>VIII</w:t>
      </w:r>
      <w:r w:rsidRPr="00DD4F6A">
        <w:rPr>
          <w:lang w:val="es-ES"/>
        </w:rPr>
        <w:tab/>
      </w:r>
      <w:r w:rsidRPr="00DD4F6A">
        <w:rPr>
          <w:noProof/>
        </w:rPr>
        <w:t>VISIÓN</w:t>
      </w:r>
      <w:r w:rsidRPr="00DD4F6A">
        <w:rPr>
          <w:lang w:val="es-ES"/>
        </w:rPr>
        <w:tab/>
      </w:r>
      <w:r w:rsidR="00A759AA">
        <w:rPr>
          <w:webHidden/>
          <w:lang w:val="es-ES"/>
        </w:rPr>
        <w:t>39</w:t>
      </w:r>
    </w:p>
    <w:p w14:paraId="2392E927" w14:textId="6E477FBD" w:rsidR="00DD4F6A" w:rsidRPr="00DD4F6A" w:rsidRDefault="00DD4F6A" w:rsidP="00DD4F6A">
      <w:pPr>
        <w:tabs>
          <w:tab w:val="left" w:pos="637"/>
          <w:tab w:val="left" w:leader="dot" w:pos="9498"/>
        </w:tabs>
        <w:spacing w:after="60" w:line="240" w:lineRule="auto"/>
        <w:jc w:val="left"/>
        <w:rPr>
          <w:lang w:val="es-ES"/>
        </w:rPr>
      </w:pPr>
      <w:r w:rsidRPr="00DD4F6A">
        <w:rPr>
          <w:lang w:val="es-ES"/>
        </w:rPr>
        <w:t>IX</w:t>
      </w:r>
      <w:r w:rsidRPr="00DD4F6A">
        <w:rPr>
          <w:lang w:val="es-ES"/>
        </w:rPr>
        <w:tab/>
      </w:r>
      <w:r w:rsidRPr="00DD4F6A">
        <w:rPr>
          <w:noProof/>
        </w:rPr>
        <w:t>POLÍTICAS</w:t>
      </w:r>
      <w:r w:rsidR="00844310">
        <w:rPr>
          <w:lang w:val="es-ES"/>
        </w:rPr>
        <w:tab/>
        <w:t>4</w:t>
      </w:r>
      <w:r w:rsidR="00A759AA">
        <w:rPr>
          <w:lang w:val="es-ES"/>
        </w:rPr>
        <w:t>1</w:t>
      </w:r>
    </w:p>
    <w:p w14:paraId="56074DB7" w14:textId="21001DBD" w:rsidR="00DD4F6A" w:rsidRPr="00DD4F6A" w:rsidRDefault="00DD4F6A" w:rsidP="00DD4F6A">
      <w:pPr>
        <w:tabs>
          <w:tab w:val="left" w:pos="637"/>
          <w:tab w:val="left" w:leader="dot" w:pos="9498"/>
        </w:tabs>
        <w:spacing w:after="60" w:line="240" w:lineRule="auto"/>
        <w:jc w:val="left"/>
        <w:rPr>
          <w:lang w:val="es-ES"/>
        </w:rPr>
      </w:pPr>
      <w:r w:rsidRPr="00DD4F6A">
        <w:rPr>
          <w:lang w:val="es-ES"/>
        </w:rPr>
        <w:t>X</w:t>
      </w:r>
      <w:r w:rsidRPr="00DD4F6A">
        <w:rPr>
          <w:lang w:val="es-ES"/>
        </w:rPr>
        <w:tab/>
      </w:r>
      <w:r w:rsidRPr="00DD4F6A">
        <w:rPr>
          <w:noProof/>
        </w:rPr>
        <w:t>APARTADO ESTRATÉGICO</w:t>
      </w:r>
      <w:r w:rsidRPr="00DD4F6A">
        <w:rPr>
          <w:lang w:val="es-ES"/>
        </w:rPr>
        <w:tab/>
      </w:r>
      <w:r w:rsidR="00844310">
        <w:rPr>
          <w:webHidden/>
          <w:lang w:val="es-ES"/>
        </w:rPr>
        <w:t>4</w:t>
      </w:r>
      <w:r w:rsidR="00A759AA">
        <w:rPr>
          <w:webHidden/>
          <w:lang w:val="es-ES"/>
        </w:rPr>
        <w:t>3</w:t>
      </w:r>
    </w:p>
    <w:p w14:paraId="713D496F" w14:textId="4F878E51" w:rsidR="00DD4F6A" w:rsidRPr="00DD4F6A" w:rsidRDefault="00DD4F6A" w:rsidP="00DD4F6A">
      <w:pPr>
        <w:tabs>
          <w:tab w:val="left" w:pos="637"/>
          <w:tab w:val="left" w:leader="dot" w:pos="9498"/>
        </w:tabs>
        <w:spacing w:after="60" w:line="240" w:lineRule="auto"/>
        <w:jc w:val="left"/>
        <w:rPr>
          <w:lang w:val="es-ES"/>
        </w:rPr>
      </w:pPr>
      <w:r w:rsidRPr="00DD4F6A">
        <w:rPr>
          <w:lang w:val="es-ES"/>
        </w:rPr>
        <w:tab/>
      </w:r>
      <w:r w:rsidRPr="00DD4F6A">
        <w:rPr>
          <w:noProof/>
        </w:rPr>
        <w:t>Objetivos, estrategias y líneas de acción</w:t>
      </w:r>
      <w:r w:rsidRPr="00DD4F6A">
        <w:rPr>
          <w:lang w:val="es-ES"/>
        </w:rPr>
        <w:tab/>
      </w:r>
      <w:r w:rsidR="00844310">
        <w:rPr>
          <w:webHidden/>
          <w:lang w:val="es-ES"/>
        </w:rPr>
        <w:t>4</w:t>
      </w:r>
      <w:r w:rsidR="00A759AA">
        <w:rPr>
          <w:webHidden/>
          <w:lang w:val="es-ES"/>
        </w:rPr>
        <w:t>4</w:t>
      </w:r>
    </w:p>
    <w:p w14:paraId="57370D00" w14:textId="5EB03C90" w:rsidR="00DD4F6A" w:rsidRPr="00DD4F6A" w:rsidRDefault="00DD4F6A" w:rsidP="00DD4F6A">
      <w:pPr>
        <w:tabs>
          <w:tab w:val="left" w:pos="637"/>
          <w:tab w:val="left" w:leader="dot" w:pos="9498"/>
        </w:tabs>
        <w:spacing w:after="60" w:line="240" w:lineRule="auto"/>
        <w:jc w:val="left"/>
        <w:rPr>
          <w:lang w:val="es-ES"/>
        </w:rPr>
      </w:pPr>
      <w:r w:rsidRPr="00DD4F6A">
        <w:rPr>
          <w:lang w:val="es-ES"/>
        </w:rPr>
        <w:t>XI</w:t>
      </w:r>
      <w:r w:rsidRPr="00DD4F6A">
        <w:rPr>
          <w:lang w:val="es-ES"/>
        </w:rPr>
        <w:tab/>
      </w:r>
      <w:r w:rsidRPr="00DD4F6A">
        <w:rPr>
          <w:noProof/>
        </w:rPr>
        <w:t>BASES PARA SU COORDINACIÓN Y CONCERTACIÓN</w:t>
      </w:r>
      <w:r w:rsidRPr="00DD4F6A">
        <w:rPr>
          <w:lang w:val="es-ES"/>
        </w:rPr>
        <w:tab/>
      </w:r>
      <w:r w:rsidR="00A759AA">
        <w:rPr>
          <w:webHidden/>
          <w:lang w:val="es-ES"/>
        </w:rPr>
        <w:t>47</w:t>
      </w:r>
    </w:p>
    <w:p w14:paraId="75FAA591" w14:textId="3FBD3EC5" w:rsidR="00DD4F6A" w:rsidRPr="00DD4F6A" w:rsidRDefault="00DD4F6A" w:rsidP="00DD4F6A">
      <w:pPr>
        <w:tabs>
          <w:tab w:val="left" w:pos="637"/>
          <w:tab w:val="left" w:leader="dot" w:pos="9498"/>
        </w:tabs>
        <w:spacing w:after="60" w:line="240" w:lineRule="auto"/>
        <w:jc w:val="left"/>
        <w:rPr>
          <w:lang w:val="es-ES"/>
        </w:rPr>
      </w:pPr>
      <w:r w:rsidRPr="00DD4F6A">
        <w:rPr>
          <w:lang w:val="es-ES"/>
        </w:rPr>
        <w:t>XII</w:t>
      </w:r>
      <w:r w:rsidRPr="00DD4F6A">
        <w:rPr>
          <w:lang w:val="es-ES"/>
        </w:rPr>
        <w:tab/>
      </w:r>
      <w:r w:rsidRPr="00DD4F6A">
        <w:rPr>
          <w:noProof/>
        </w:rPr>
        <w:t>CONTROL, SEGUIMIENTO, EVALUACIÓN Y ACTUALIZACIÓN</w:t>
      </w:r>
      <w:r w:rsidRPr="00DD4F6A">
        <w:rPr>
          <w:lang w:val="es-ES"/>
        </w:rPr>
        <w:tab/>
      </w:r>
      <w:r w:rsidR="00A759AA">
        <w:rPr>
          <w:webHidden/>
          <w:lang w:val="es-ES"/>
        </w:rPr>
        <w:t>56</w:t>
      </w:r>
    </w:p>
    <w:p w14:paraId="2BAEB373" w14:textId="153B4944" w:rsidR="00DD4F6A" w:rsidRPr="00DD4F6A" w:rsidRDefault="00DD4F6A" w:rsidP="00DD4F6A">
      <w:pPr>
        <w:tabs>
          <w:tab w:val="left" w:pos="637"/>
          <w:tab w:val="left" w:leader="dot" w:pos="9498"/>
        </w:tabs>
        <w:spacing w:after="60" w:line="240" w:lineRule="auto"/>
        <w:jc w:val="left"/>
        <w:rPr>
          <w:lang w:val="es-ES"/>
        </w:rPr>
      </w:pPr>
      <w:r w:rsidRPr="00DD4F6A">
        <w:rPr>
          <w:lang w:val="es-ES"/>
        </w:rPr>
        <w:t>XIII</w:t>
      </w:r>
      <w:r w:rsidRPr="00DD4F6A">
        <w:rPr>
          <w:lang w:val="es-ES"/>
        </w:rPr>
        <w:tab/>
      </w:r>
      <w:r w:rsidRPr="00DD4F6A">
        <w:rPr>
          <w:noProof/>
        </w:rPr>
        <w:t>MECANISMOS DE FINANCIAMIENTO</w:t>
      </w:r>
      <w:r w:rsidRPr="00DD4F6A">
        <w:rPr>
          <w:lang w:val="es-ES"/>
        </w:rPr>
        <w:tab/>
      </w:r>
      <w:r w:rsidR="00844310">
        <w:rPr>
          <w:webHidden/>
          <w:lang w:val="es-ES"/>
        </w:rPr>
        <w:t>6</w:t>
      </w:r>
      <w:r w:rsidR="00A759AA">
        <w:rPr>
          <w:webHidden/>
          <w:lang w:val="es-ES"/>
        </w:rPr>
        <w:t>1</w:t>
      </w:r>
    </w:p>
    <w:p w14:paraId="6826FB59" w14:textId="42C737B0" w:rsidR="00DD4F6A" w:rsidRPr="00DD4F6A" w:rsidRDefault="00DD4F6A" w:rsidP="00DD4F6A">
      <w:pPr>
        <w:tabs>
          <w:tab w:val="left" w:pos="637"/>
          <w:tab w:val="left" w:leader="dot" w:pos="9498"/>
        </w:tabs>
        <w:spacing w:after="60" w:line="240" w:lineRule="auto"/>
        <w:jc w:val="left"/>
        <w:rPr>
          <w:lang w:val="es-ES"/>
        </w:rPr>
      </w:pPr>
      <w:r w:rsidRPr="00DD4F6A">
        <w:rPr>
          <w:lang w:val="es-ES"/>
        </w:rPr>
        <w:t>XIIV</w:t>
      </w:r>
      <w:r w:rsidRPr="00DD4F6A">
        <w:rPr>
          <w:lang w:val="es-ES"/>
        </w:rPr>
        <w:tab/>
        <w:t>LOS DEMAS ASPECTOS QUE SEAN NECESARIAS PARA EL LOGRO DEL OBJETIVO DEL   PROGRAMA………………………………………………………………………</w:t>
      </w:r>
      <w:r w:rsidR="00FC3000">
        <w:rPr>
          <w:lang w:val="es-ES"/>
        </w:rPr>
        <w:t>………………...</w:t>
      </w:r>
      <w:r w:rsidR="00844310">
        <w:rPr>
          <w:lang w:val="es-ES"/>
        </w:rPr>
        <w:t>6</w:t>
      </w:r>
      <w:r w:rsidR="00A759AA">
        <w:rPr>
          <w:lang w:val="es-ES"/>
        </w:rPr>
        <w:t>3</w:t>
      </w:r>
      <w:r w:rsidR="00844310">
        <w:rPr>
          <w:lang w:val="es-ES"/>
        </w:rPr>
        <w:tab/>
        <w:t>ANEXOS</w:t>
      </w:r>
      <w:r w:rsidR="00844310">
        <w:rPr>
          <w:lang w:val="es-ES"/>
        </w:rPr>
        <w:tab/>
      </w:r>
      <w:r w:rsidR="00A759AA">
        <w:rPr>
          <w:lang w:val="es-ES"/>
        </w:rPr>
        <w:t>68</w:t>
      </w:r>
    </w:p>
    <w:p w14:paraId="3A85647E" w14:textId="7E53B12A" w:rsidR="00DD4F6A" w:rsidRPr="00DD4F6A" w:rsidRDefault="00DD4F6A" w:rsidP="00DD4F6A">
      <w:pPr>
        <w:tabs>
          <w:tab w:val="left" w:pos="637"/>
          <w:tab w:val="left" w:leader="dot" w:pos="9498"/>
        </w:tabs>
        <w:spacing w:after="60" w:line="240" w:lineRule="auto"/>
        <w:jc w:val="left"/>
        <w:rPr>
          <w:lang w:val="es-ES"/>
        </w:rPr>
      </w:pPr>
      <w:r w:rsidRPr="00DD4F6A">
        <w:rPr>
          <w:lang w:val="es-ES"/>
        </w:rPr>
        <w:tab/>
      </w:r>
      <w:r w:rsidRPr="00DD4F6A">
        <w:rPr>
          <w:noProof/>
        </w:rPr>
        <w:t>Anexo 1. Fichas de Indicadores del PED</w:t>
      </w:r>
      <w:r w:rsidRPr="00DD4F6A">
        <w:rPr>
          <w:lang w:val="es-ES"/>
        </w:rPr>
        <w:tab/>
      </w:r>
      <w:r w:rsidR="00A759AA">
        <w:rPr>
          <w:webHidden/>
          <w:lang w:val="es-ES"/>
        </w:rPr>
        <w:t>69</w:t>
      </w:r>
    </w:p>
    <w:p w14:paraId="2A6D037A" w14:textId="272722BE" w:rsidR="00DD4F6A" w:rsidRDefault="00DD4F6A" w:rsidP="00DD4F6A">
      <w:pPr>
        <w:tabs>
          <w:tab w:val="left" w:pos="637"/>
          <w:tab w:val="left" w:leader="dot" w:pos="9498"/>
        </w:tabs>
        <w:spacing w:after="60" w:line="240" w:lineRule="auto"/>
        <w:jc w:val="left"/>
        <w:rPr>
          <w:webHidden/>
          <w:lang w:val="es-ES"/>
        </w:rPr>
      </w:pPr>
      <w:r w:rsidRPr="00DD4F6A">
        <w:rPr>
          <w:lang w:val="es-ES"/>
        </w:rPr>
        <w:tab/>
      </w:r>
      <w:r w:rsidRPr="00DD4F6A">
        <w:rPr>
          <w:noProof/>
        </w:rPr>
        <w:t>Anexo 2. Fichas de Indicadores del Programa</w:t>
      </w:r>
      <w:r w:rsidRPr="00DD4F6A">
        <w:rPr>
          <w:lang w:val="es-ES"/>
        </w:rPr>
        <w:tab/>
      </w:r>
      <w:r w:rsidR="00A759AA">
        <w:rPr>
          <w:webHidden/>
          <w:lang w:val="es-ES"/>
        </w:rPr>
        <w:t>70</w:t>
      </w:r>
    </w:p>
    <w:p w14:paraId="2817CD17" w14:textId="75301F74" w:rsidR="00FB2656" w:rsidRPr="00DD4F6A" w:rsidRDefault="00FB2656" w:rsidP="00DD4F6A">
      <w:pPr>
        <w:tabs>
          <w:tab w:val="left" w:pos="637"/>
          <w:tab w:val="left" w:leader="dot" w:pos="9498"/>
        </w:tabs>
        <w:spacing w:after="60" w:line="240" w:lineRule="auto"/>
        <w:jc w:val="left"/>
        <w:rPr>
          <w:lang w:val="es-ES"/>
        </w:rPr>
      </w:pPr>
      <w:r>
        <w:rPr>
          <w:webHidden/>
          <w:lang w:val="es-ES"/>
        </w:rPr>
        <w:t xml:space="preserve">         Anexo 3. Matriz de Indicadores para Resultados………………………………………...72</w:t>
      </w:r>
    </w:p>
    <w:p w14:paraId="332B20A9" w14:textId="77777777" w:rsidR="00DD4F6A" w:rsidRPr="00DD4F6A" w:rsidRDefault="00DD4F6A" w:rsidP="00DD4F6A">
      <w:pPr>
        <w:rPr>
          <w:rFonts w:eastAsia="Calibri" w:cs="Times New Roman"/>
          <w:b/>
          <w:bCs/>
          <w:szCs w:val="22"/>
          <w:lang w:val="es-MX" w:eastAsia="en-US"/>
        </w:rPr>
      </w:pPr>
    </w:p>
    <w:p w14:paraId="1890B5DC" w14:textId="77777777" w:rsidR="00DD4F6A" w:rsidRPr="00DD4F6A" w:rsidRDefault="00DD4F6A" w:rsidP="00DD4F6A">
      <w:pPr>
        <w:rPr>
          <w:rFonts w:eastAsia="Calibri" w:cs="Times New Roman"/>
          <w:b/>
          <w:bCs/>
          <w:szCs w:val="22"/>
          <w:lang w:val="es-MX" w:eastAsia="en-US"/>
        </w:rPr>
        <w:sectPr w:rsidR="00DD4F6A" w:rsidRPr="00DD4F6A" w:rsidSect="00E0460C">
          <w:headerReference w:type="default" r:id="rId9"/>
          <w:footerReference w:type="even" r:id="rId10"/>
          <w:footerReference w:type="default" r:id="rId11"/>
          <w:pgSz w:w="12240" w:h="15840"/>
          <w:pgMar w:top="2977" w:right="1041" w:bottom="1701" w:left="1134" w:header="709" w:footer="709" w:gutter="0"/>
          <w:cols w:space="708"/>
          <w:docGrid w:linePitch="360"/>
        </w:sectPr>
      </w:pPr>
    </w:p>
    <w:p w14:paraId="0EB71483" w14:textId="77777777" w:rsidR="00E0460C" w:rsidRDefault="00E0460C" w:rsidP="00E0460C">
      <w:pPr>
        <w:pStyle w:val="Ttulo"/>
      </w:pPr>
    </w:p>
    <w:p w14:paraId="209A964C" w14:textId="77777777" w:rsidR="00E0460C" w:rsidRDefault="00E0460C" w:rsidP="00E0460C">
      <w:pPr>
        <w:pStyle w:val="Ttulo"/>
      </w:pPr>
    </w:p>
    <w:p w14:paraId="658497A1" w14:textId="77777777" w:rsidR="00E0460C" w:rsidRDefault="00E0460C" w:rsidP="00E0460C">
      <w:pPr>
        <w:pStyle w:val="Ttulo"/>
      </w:pPr>
    </w:p>
    <w:p w14:paraId="2AB9FA45" w14:textId="77777777" w:rsidR="00E0460C" w:rsidRDefault="00E0460C" w:rsidP="00E0460C">
      <w:pPr>
        <w:pStyle w:val="Ttulo"/>
      </w:pPr>
    </w:p>
    <w:p w14:paraId="2786D628" w14:textId="7D9B7C4F" w:rsidR="00E0460C" w:rsidRPr="00E0460C" w:rsidRDefault="00E0460C" w:rsidP="00E0460C">
      <w:pPr>
        <w:pStyle w:val="Ttulo"/>
        <w:rPr>
          <w:bCs/>
          <w:caps/>
          <w:color w:val="4BACC6"/>
          <w:sz w:val="32"/>
          <w:szCs w:val="28"/>
          <w:lang w:val="es-MX" w:eastAsia="en-US"/>
        </w:rPr>
      </w:pPr>
      <w:r w:rsidRPr="00E0460C">
        <w:rPr>
          <w:color w:val="4BACC6"/>
        </w:rPr>
        <w:t xml:space="preserve">PRESENTACIÓN </w:t>
      </w:r>
      <w:r w:rsidRPr="00E0460C">
        <w:rPr>
          <w:color w:val="4BACC6"/>
        </w:rPr>
        <w:br w:type="page"/>
      </w:r>
    </w:p>
    <w:p w14:paraId="50276783" w14:textId="267EC3A8" w:rsidR="005F7240" w:rsidRDefault="00F765C3" w:rsidP="00F765C3">
      <w:pPr>
        <w:pStyle w:val="Ttulo1"/>
      </w:pPr>
      <w:bookmarkStart w:id="1" w:name="_Toc477971046"/>
      <w:r>
        <w:lastRenderedPageBreak/>
        <w:t xml:space="preserve">I. </w:t>
      </w:r>
      <w:r w:rsidR="005F7240" w:rsidRPr="00F765C3">
        <w:t>PRESENTACIÓN</w:t>
      </w:r>
      <w:bookmarkEnd w:id="1"/>
      <w:r w:rsidR="005F7240" w:rsidRPr="00F765C3">
        <w:t xml:space="preserve"> </w:t>
      </w:r>
    </w:p>
    <w:p w14:paraId="5659B0B3" w14:textId="77777777" w:rsidR="006A687C" w:rsidRPr="006A687C" w:rsidRDefault="006A687C" w:rsidP="00013197">
      <w:pPr>
        <w:spacing w:after="120"/>
        <w:rPr>
          <w:rFonts w:eastAsia="Times New Roman" w:cs="Futura"/>
          <w:color w:val="595959"/>
        </w:rPr>
      </w:pPr>
      <w:r w:rsidRPr="006A687C">
        <w:rPr>
          <w:rFonts w:eastAsia="Times New Roman" w:cs="Futura"/>
          <w:color w:val="595959"/>
        </w:rPr>
        <w:t>La promulgación de la Ley de Transparencia y Acceso a la Información Pública para el Estado de Quintana Roo, representó para el Instituto de Acceso a la Información y Protección de Datos Personales del Estado de Quintana Roo (IDAIP), su consolidación como un órgano público autónomo, especializado e imparcial, con personalidad jurídica, y con plena autonomía técnica, de gestión y financiera, con la capacidad para decidir sobre el ejercicio de su presupuesto y determinar su organización interna.</w:t>
      </w:r>
    </w:p>
    <w:p w14:paraId="49DCADF3" w14:textId="77777777" w:rsidR="006A687C" w:rsidRPr="006A687C" w:rsidRDefault="006A687C" w:rsidP="00013197">
      <w:pPr>
        <w:spacing w:after="120"/>
        <w:rPr>
          <w:rFonts w:eastAsia="Times New Roman" w:cs="Futura"/>
          <w:color w:val="595959"/>
        </w:rPr>
      </w:pPr>
      <w:r w:rsidRPr="006A687C">
        <w:rPr>
          <w:rFonts w:eastAsia="Times New Roman" w:cs="Futura"/>
          <w:color w:val="595959"/>
        </w:rPr>
        <w:t>Asimismo, la ley marcó la obligación de coordinar que los Sujetos Obligados establezcan Unidades y Comités de Transparencia al interior de cada uno de ellos, teniendo como principal objetivo vigilar, con fundamento en los capítulos II, III y IV de la Ley General de Transparencia, su correcta operatividad, la implementación, administración, desarrollo y puesta en funcionamiento en el Estado de Quintana Roo.</w:t>
      </w:r>
    </w:p>
    <w:p w14:paraId="320A24D6" w14:textId="77777777" w:rsidR="006A687C" w:rsidRPr="006A687C" w:rsidRDefault="006A687C" w:rsidP="00013197">
      <w:pPr>
        <w:spacing w:after="120"/>
        <w:rPr>
          <w:rFonts w:eastAsia="Times New Roman" w:cs="Futura"/>
          <w:color w:val="595959"/>
        </w:rPr>
      </w:pPr>
      <w:r w:rsidRPr="006A687C">
        <w:rPr>
          <w:rFonts w:eastAsia="Times New Roman" w:cs="Futura"/>
          <w:color w:val="595959"/>
        </w:rPr>
        <w:t>Lo anterior, ha representado grandes retos año tras año para este Órgano Garante Estatal, toda vez que con la actualización de la Ley y su normatividad marcada por el Sistema Nacional de Transparencia, los S.O. deben cumplir con 50 obligaciones de transparencia comunes, además de las específicas dependiendo del Sujeto Obligado que se trate, que pudieran llegar hasta 20 obligaciones adicionales, establecidas en la Ley Estatal de Transparencia y Acceso a la Información Pública para el Estado de Quintana Roo (LTAIPQROO).</w:t>
      </w:r>
    </w:p>
    <w:p w14:paraId="4A33EC40" w14:textId="77777777" w:rsidR="006A687C" w:rsidRPr="006A687C" w:rsidRDefault="006A687C" w:rsidP="00013197">
      <w:pPr>
        <w:spacing w:after="120"/>
        <w:rPr>
          <w:rFonts w:eastAsia="Times New Roman" w:cs="Futura"/>
          <w:color w:val="595959"/>
        </w:rPr>
      </w:pPr>
      <w:r w:rsidRPr="006A687C">
        <w:rPr>
          <w:rFonts w:eastAsia="Times New Roman" w:cs="Futura"/>
          <w:color w:val="595959"/>
        </w:rPr>
        <w:t>En éste contexto, el Instituto de Acceso a la Información y Protección de Datos Personales del Estado de Quintana Roo a través de su Programa Institucional 2020 “Promoción, Fomento y Garantía del Derecho de Acceso a la Información Pública y la Protección de Datos Personales en el Estado de Quintana Roo” refrenda su compromiso de trabajar de manera eficiente a fin de garantizar la transparencia, rendición de cuentas y la protección de datos personales en poder de las autoridades de gobierno aplicando de manera expedita y efectiva la legislación en ambas esferas, brindándole las herramientas necesarias a la sociedad con el propósito de que se encuentre mejor informada, se fomente su participación en las decisiones de gobierno y así de manera conjunta actuar en la prevención y combate a la corrupción.</w:t>
      </w:r>
    </w:p>
    <w:p w14:paraId="41139E92" w14:textId="7D16611C" w:rsidR="005F7240" w:rsidRPr="00F765C3" w:rsidRDefault="006A687C" w:rsidP="00013197">
      <w:pPr>
        <w:spacing w:after="120"/>
        <w:rPr>
          <w:rFonts w:eastAsia="Times New Roman" w:cs="Futura"/>
          <w:color w:val="595959"/>
        </w:rPr>
      </w:pPr>
      <w:r w:rsidRPr="006A687C">
        <w:rPr>
          <w:rFonts w:eastAsia="Times New Roman" w:cs="Futura"/>
          <w:color w:val="595959"/>
        </w:rPr>
        <w:t xml:space="preserve">Conocedores de que día a día nos enfrentamos a nuevos retos para el cumplimiento de este derecho, a través de este programa se continúan redoblando esfuerzos en su vigilancia, a efecto de garantizar una cultura de la apertura informativa, al libre ejercicio del derecho de acceso a la información y a la </w:t>
      </w:r>
      <w:r w:rsidRPr="006A687C">
        <w:rPr>
          <w:rFonts w:eastAsia="Times New Roman" w:cs="Futura"/>
          <w:color w:val="595959"/>
        </w:rPr>
        <w:lastRenderedPageBreak/>
        <w:t xml:space="preserve">protección de datos personales en el estado de Quintana Roo, tomando en cuenta la equidad de </w:t>
      </w:r>
      <w:r w:rsidR="00671424" w:rsidRPr="006A687C">
        <w:rPr>
          <w:rFonts w:eastAsia="Times New Roman" w:cs="Futura"/>
          <w:color w:val="595959"/>
        </w:rPr>
        <w:t>género</w:t>
      </w:r>
      <w:r w:rsidRPr="006A687C">
        <w:rPr>
          <w:rFonts w:eastAsia="Times New Roman" w:cs="Futura"/>
          <w:color w:val="595959"/>
        </w:rPr>
        <w:t>, las comunidades indígenas y grupo vulnerables.</w:t>
      </w:r>
    </w:p>
    <w:p w14:paraId="01B7558F" w14:textId="77777777" w:rsidR="00E9140F" w:rsidRDefault="00E9140F" w:rsidP="00C86D79">
      <w:pPr>
        <w:spacing w:after="120"/>
        <w:ind w:firstLine="708"/>
        <w:jc w:val="right"/>
        <w:rPr>
          <w:noProof/>
          <w:color w:val="4BACC6" w:themeColor="accent5"/>
          <w:lang w:val="es-ES"/>
        </w:rPr>
      </w:pPr>
    </w:p>
    <w:p w14:paraId="3EDC88D2" w14:textId="608B40F9" w:rsidR="00671424" w:rsidRPr="00671424" w:rsidRDefault="00671424" w:rsidP="00671424">
      <w:pPr>
        <w:jc w:val="right"/>
        <w:rPr>
          <w:rFonts w:eastAsia="Times New Roman" w:cs="Futura"/>
          <w:color w:val="595959"/>
        </w:rPr>
      </w:pPr>
      <w:r>
        <w:rPr>
          <w:rFonts w:eastAsia="Times New Roman" w:cs="Futura"/>
          <w:color w:val="595959"/>
        </w:rPr>
        <w:t xml:space="preserve">Lic. </w:t>
      </w:r>
      <w:r w:rsidRPr="00671424">
        <w:rPr>
          <w:rFonts w:eastAsia="Times New Roman" w:cs="Futura"/>
          <w:color w:val="595959"/>
        </w:rPr>
        <w:t>José Orlando Espinosa Rodríguez</w:t>
      </w:r>
    </w:p>
    <w:p w14:paraId="2D79BD6D" w14:textId="658E59BA" w:rsidR="00671424" w:rsidRPr="00671424" w:rsidRDefault="00671424" w:rsidP="00671424">
      <w:pPr>
        <w:jc w:val="right"/>
        <w:rPr>
          <w:rFonts w:eastAsia="Times New Roman" w:cs="Futura"/>
          <w:color w:val="595959"/>
        </w:rPr>
      </w:pPr>
      <w:r w:rsidRPr="00671424">
        <w:rPr>
          <w:rFonts w:eastAsia="Times New Roman" w:cs="Futura"/>
          <w:color w:val="595959"/>
        </w:rPr>
        <w:t>Comisionado Presidente</w:t>
      </w:r>
      <w:r>
        <w:rPr>
          <w:rFonts w:eastAsia="Times New Roman" w:cs="Futura"/>
          <w:color w:val="595959"/>
        </w:rPr>
        <w:t xml:space="preserve"> del IDAIPQROO</w:t>
      </w:r>
    </w:p>
    <w:p w14:paraId="237E6CD8" w14:textId="77777777" w:rsidR="005F7240" w:rsidRPr="00F765C3" w:rsidRDefault="005F7240" w:rsidP="00671424">
      <w:pPr>
        <w:jc w:val="right"/>
        <w:rPr>
          <w:rFonts w:eastAsia="Times New Roman" w:cs="Futura"/>
          <w:color w:val="595959"/>
        </w:rPr>
      </w:pPr>
      <w:r w:rsidRPr="00F765C3">
        <w:rPr>
          <w:rFonts w:eastAsia="Times New Roman" w:cs="Futura"/>
          <w:color w:val="595959"/>
        </w:rPr>
        <w:br w:type="page"/>
      </w:r>
    </w:p>
    <w:p w14:paraId="7C1CEE50" w14:textId="77777777" w:rsidR="00E0460C" w:rsidRDefault="00E0460C" w:rsidP="00E0460C">
      <w:pPr>
        <w:pStyle w:val="Ttulo"/>
      </w:pPr>
    </w:p>
    <w:p w14:paraId="7CEF7DE7" w14:textId="77777777" w:rsidR="00E0460C" w:rsidRDefault="00E0460C" w:rsidP="00E0460C">
      <w:pPr>
        <w:pStyle w:val="Ttulo"/>
      </w:pPr>
    </w:p>
    <w:p w14:paraId="0ABDF717" w14:textId="77777777" w:rsidR="00E0460C" w:rsidRDefault="00E0460C" w:rsidP="00E0460C">
      <w:pPr>
        <w:pStyle w:val="Ttulo"/>
      </w:pPr>
    </w:p>
    <w:p w14:paraId="34BCDDAF" w14:textId="77777777" w:rsidR="00E0460C" w:rsidRDefault="00E0460C" w:rsidP="00E0460C">
      <w:pPr>
        <w:pStyle w:val="Ttulo"/>
      </w:pPr>
    </w:p>
    <w:p w14:paraId="1E0FE6AD" w14:textId="184260CD" w:rsidR="00E0460C" w:rsidRDefault="00E0460C" w:rsidP="00E0460C">
      <w:pPr>
        <w:pStyle w:val="Ttulo"/>
        <w:rPr>
          <w:color w:val="4BACC6"/>
        </w:rPr>
      </w:pPr>
      <w:r>
        <w:rPr>
          <w:color w:val="4BACC6"/>
        </w:rPr>
        <w:t>INTRODUCCIÓN</w:t>
      </w:r>
    </w:p>
    <w:p w14:paraId="6A5397A0" w14:textId="77777777" w:rsidR="00E0460C" w:rsidRDefault="00E0460C">
      <w:pPr>
        <w:spacing w:after="0" w:line="240" w:lineRule="auto"/>
        <w:jc w:val="left"/>
        <w:rPr>
          <w:rFonts w:eastAsia="Times New Roman" w:cs="Times New Roman"/>
          <w:b/>
          <w:bCs/>
          <w:caps/>
          <w:color w:val="4BACC6"/>
          <w:sz w:val="32"/>
          <w:szCs w:val="28"/>
          <w:lang w:val="es-MX" w:eastAsia="en-US"/>
        </w:rPr>
      </w:pPr>
      <w:r>
        <w:rPr>
          <w:color w:val="4BACC6"/>
        </w:rPr>
        <w:br w:type="page"/>
      </w:r>
    </w:p>
    <w:p w14:paraId="44226818" w14:textId="42F37548" w:rsidR="005F7240" w:rsidRDefault="00F765C3" w:rsidP="00F765C3">
      <w:pPr>
        <w:pStyle w:val="Ttulo1"/>
      </w:pPr>
      <w:bookmarkStart w:id="2" w:name="_Toc477971047"/>
      <w:r>
        <w:lastRenderedPageBreak/>
        <w:t xml:space="preserve">II. </w:t>
      </w:r>
      <w:r w:rsidR="005F7240" w:rsidRPr="00F765C3">
        <w:t>INTRODUCCIÓN</w:t>
      </w:r>
      <w:bookmarkEnd w:id="2"/>
    </w:p>
    <w:p w14:paraId="25C34757" w14:textId="77777777" w:rsidR="00583858" w:rsidRDefault="00583858" w:rsidP="00583858">
      <w:pPr>
        <w:pStyle w:val="text-align-justify"/>
        <w:shd w:val="clear" w:color="auto" w:fill="FFFFFF"/>
        <w:spacing w:before="0" w:beforeAutospacing="0" w:after="0" w:afterAutospacing="0" w:line="288" w:lineRule="atLeast"/>
        <w:jc w:val="both"/>
        <w:rPr>
          <w:rFonts w:ascii="Futura" w:hAnsi="Futura" w:cs="Futura"/>
          <w:color w:val="3F3F3F"/>
        </w:rPr>
      </w:pPr>
    </w:p>
    <w:p w14:paraId="47A204EE" w14:textId="462D7919" w:rsidR="00671424" w:rsidRPr="00671424" w:rsidRDefault="00671424" w:rsidP="00671424">
      <w:pPr>
        <w:rPr>
          <w:rFonts w:cstheme="minorHAnsi"/>
          <w:color w:val="595959" w:themeColor="text1" w:themeTint="A6"/>
        </w:rPr>
      </w:pPr>
      <w:r w:rsidRPr="00671424">
        <w:rPr>
          <w:rFonts w:cstheme="minorHAnsi"/>
          <w:color w:val="595959" w:themeColor="text1" w:themeTint="A6"/>
        </w:rPr>
        <w:t>A XV años de su creación, el Instituto de Acceso a la Información Pública y Protección de Datos Personales de Quintana Roo (IDAIPQROO), ha logrado un impulso relevante en la promoción del ejercicio del Derecho de Acceso a la Información Pública, el fomento a la Protección de Datos Personales y la Cultura de Apertura Informativa, a través de las capacitaciones constantes a los diversos sectores de la sociedad (sector educativo, servidores públicos y sociedad en general); siendo una de las estrategias prioritarias para el cumplimiento de los objetivos del Instituto. Sin embargo, para que se ejerza verdaderamente este poder, es necesario que los ciudadanos estén bien informados sobre las atribuciones otorgadas en la Ley General de Transparencia y Acceso a la Información Pública; pues de esta forma la sociedad se hace escuchar y es participe en la toma de decisiones.</w:t>
      </w:r>
    </w:p>
    <w:p w14:paraId="2DA3E831" w14:textId="77777777" w:rsidR="00671424" w:rsidRPr="00671424" w:rsidRDefault="00671424" w:rsidP="00671424">
      <w:pPr>
        <w:rPr>
          <w:rFonts w:cstheme="minorHAnsi"/>
          <w:color w:val="595959" w:themeColor="text1" w:themeTint="A6"/>
        </w:rPr>
      </w:pPr>
      <w:r w:rsidRPr="00671424">
        <w:rPr>
          <w:rFonts w:cstheme="minorHAnsi"/>
          <w:color w:val="595959" w:themeColor="text1" w:themeTint="A6"/>
        </w:rPr>
        <w:t>Este Órgano Garante (IDAIPQROO) tiene como objetivo garantizar a la sociedad quintanarroense el cumplimiento de los derechos de acceso a la información pública y la protección de sus datos personales; así como promover el pleno ejercicio de estos derechos; la transparencia y la apertura de la información en posesión de cualquier autoridad, entidad, órgano y organismo de los poderes Legislativo, Ejecutivo y Judicial, municipios, órganos públicos, autónomos, partidos políticos, fideicomisos y fondos públicos, así como de cualquier persona física, moral o sindicato que reciban y ejerzan recursos públicos o realicen actos de autoridad en el ámbito estatal o municipal en apego a los principios, bases y procedimientos establecidos en la Ley General de Transparencia y Acceso a la Información Pública.</w:t>
      </w:r>
    </w:p>
    <w:p w14:paraId="040F6F74" w14:textId="2D0CDB87" w:rsidR="00671424" w:rsidRPr="00671424" w:rsidRDefault="00671424" w:rsidP="00671424">
      <w:pPr>
        <w:rPr>
          <w:rFonts w:cstheme="minorHAnsi"/>
          <w:color w:val="595959" w:themeColor="text1" w:themeTint="A6"/>
        </w:rPr>
      </w:pPr>
      <w:r w:rsidRPr="00671424">
        <w:rPr>
          <w:rFonts w:cstheme="minorHAnsi"/>
          <w:color w:val="595959" w:themeColor="text1" w:themeTint="A6"/>
        </w:rPr>
        <w:t>Con la instrumentación del Programa</w:t>
      </w:r>
      <w:r w:rsidRPr="00671424">
        <w:rPr>
          <w:rFonts w:cstheme="minorHAnsi"/>
          <w:b/>
          <w:bCs/>
          <w:color w:val="595959" w:themeColor="text1" w:themeTint="A6"/>
        </w:rPr>
        <w:t xml:space="preserve"> </w:t>
      </w:r>
      <w:r>
        <w:rPr>
          <w:rFonts w:cstheme="minorHAnsi"/>
          <w:color w:val="595959" w:themeColor="text1" w:themeTint="A6"/>
        </w:rPr>
        <w:t>Institucional 2020</w:t>
      </w:r>
      <w:r w:rsidRPr="00671424">
        <w:rPr>
          <w:rFonts w:cstheme="minorHAnsi"/>
          <w:b/>
          <w:bCs/>
          <w:color w:val="595959" w:themeColor="text1" w:themeTint="A6"/>
        </w:rPr>
        <w:t xml:space="preserve"> “Promoción, Fomento y Garantía del Derecho de Acceso a la Información Pública y la Protección de Datos Personales en el Estado de Quintana Roo” </w:t>
      </w:r>
      <w:r w:rsidRPr="00671424">
        <w:rPr>
          <w:rFonts w:cstheme="minorHAnsi"/>
          <w:color w:val="595959" w:themeColor="text1" w:themeTint="A6"/>
        </w:rPr>
        <w:t>se encauzan importantes esfuerzos para promover entre la sociedad el conocimiento, uso y aprovechamiento de la información pública y la protección de datos personales, esto en cumplimiento a una de sus principales prerrogativas otorgadas por la Ley de Transparencia y Acceso a la Información Pública para el Estado de Quintana Roo.</w:t>
      </w:r>
    </w:p>
    <w:p w14:paraId="5F336BD6" w14:textId="77777777" w:rsidR="00671424" w:rsidRPr="00671424" w:rsidRDefault="00671424" w:rsidP="00671424">
      <w:pPr>
        <w:rPr>
          <w:rFonts w:cstheme="minorHAnsi"/>
          <w:color w:val="595959" w:themeColor="text1" w:themeTint="A6"/>
        </w:rPr>
      </w:pPr>
      <w:r w:rsidRPr="00671424">
        <w:rPr>
          <w:rFonts w:cstheme="minorHAnsi"/>
          <w:color w:val="595959" w:themeColor="text1" w:themeTint="A6"/>
        </w:rPr>
        <w:t xml:space="preserve">Este programa se sustenta en tres ejes rectores: la cultura de la apertura informativa, el ejercicio del derecho de acceso a la información pública y la protección de datos personales; es por ello que la visión del Instituto es consolidar estos derechos, mediante la participación de la sociedad y la </w:t>
      </w:r>
      <w:r w:rsidRPr="00671424">
        <w:rPr>
          <w:rFonts w:cstheme="minorHAnsi"/>
          <w:color w:val="595959" w:themeColor="text1" w:themeTint="A6"/>
        </w:rPr>
        <w:lastRenderedPageBreak/>
        <w:t>apertura de la información gubernamental, que coadyuve con el fortalecimiento del sistema democrático de la Entidad, hacia el mejoramiento de la calidad de vida de las personas.</w:t>
      </w:r>
    </w:p>
    <w:p w14:paraId="52BCE182" w14:textId="77777777" w:rsidR="00671424" w:rsidRPr="00671424" w:rsidRDefault="00671424" w:rsidP="00671424">
      <w:pPr>
        <w:rPr>
          <w:rFonts w:cstheme="minorHAnsi"/>
          <w:color w:val="595959" w:themeColor="text1" w:themeTint="A6"/>
        </w:rPr>
      </w:pPr>
      <w:r w:rsidRPr="00671424">
        <w:rPr>
          <w:rFonts w:cstheme="minorHAnsi"/>
          <w:color w:val="595959" w:themeColor="text1" w:themeTint="A6"/>
        </w:rPr>
        <w:t>Emprender acciones encaminadas en consolidar el derecho de acceso a la información y protección de datos personales, mediante la participación de la sociedad en el Estado de Quintana Roo, son cimientos para la integración de los contenidos en este programa, es por ello que se realizó un trabajo bajo las directrices de los lineamientos proporcionados por la Secretaria de Finanzas y Planeación a través del Comité de Planeación para el Desarrollo del Estado de Quintana Roo (COPLADE).</w:t>
      </w:r>
    </w:p>
    <w:p w14:paraId="3324203A" w14:textId="77777777" w:rsidR="00671424" w:rsidRPr="00671424" w:rsidRDefault="00671424" w:rsidP="00671424">
      <w:pPr>
        <w:rPr>
          <w:rFonts w:cstheme="minorHAnsi"/>
          <w:color w:val="595959" w:themeColor="text1" w:themeTint="A6"/>
        </w:rPr>
      </w:pPr>
      <w:r w:rsidRPr="00671424">
        <w:rPr>
          <w:rFonts w:cstheme="minorHAnsi"/>
          <w:color w:val="595959" w:themeColor="text1" w:themeTint="A6"/>
        </w:rPr>
        <w:t>En ese sentido el Instituto de Acceso a la Información y Protección de Datos Personales como Organismo Autónomo cuenta con un Programa de Desarrollo Institucional derivado de una línea de acción del Programa Estatal de Desarrollo 2016-2022.</w:t>
      </w:r>
    </w:p>
    <w:p w14:paraId="0BF52F69" w14:textId="77777777" w:rsidR="00671424" w:rsidRPr="00671424" w:rsidRDefault="00671424" w:rsidP="00671424">
      <w:pPr>
        <w:rPr>
          <w:rFonts w:cstheme="minorHAnsi"/>
          <w:color w:val="595959" w:themeColor="text1" w:themeTint="A6"/>
        </w:rPr>
      </w:pPr>
      <w:r w:rsidRPr="00671424">
        <w:rPr>
          <w:rFonts w:cstheme="minorHAnsi"/>
          <w:color w:val="595959" w:themeColor="text1" w:themeTint="A6"/>
        </w:rPr>
        <w:t>Este programa está enmarcado en el proceso de planeación ya que para lograr los objetivos establecidos se requiere del conocimiento sistemático de las actividades a realizar, a fin de lograr las actividades institucionales de acuerdo con una optimización de los recursos humanos, materiales y financieros; lo cual permitirá que la toma de decisiones se efectué de una manera adecuada, racional y eficiente.</w:t>
      </w:r>
    </w:p>
    <w:p w14:paraId="5828768E" w14:textId="77777777" w:rsidR="00671424" w:rsidRPr="00671424" w:rsidRDefault="00671424" w:rsidP="00671424">
      <w:pPr>
        <w:rPr>
          <w:rFonts w:cstheme="minorHAnsi"/>
          <w:color w:val="595959" w:themeColor="text1" w:themeTint="A6"/>
        </w:rPr>
      </w:pPr>
      <w:r w:rsidRPr="00671424">
        <w:rPr>
          <w:rFonts w:cstheme="minorHAnsi"/>
          <w:color w:val="595959" w:themeColor="text1" w:themeTint="A6"/>
        </w:rPr>
        <w:t>Para la elaboración del Programa Institucional del instituto se realizó la alineación con el programa 13 “Gobierno Transparente y de Puertas Abiertas” del Programa Estatal de Desarrollo 2016-2022, el cual tiene como objetivo construir de la mano de los ciudadanos un gobierno honesto, confiable y transparente, soportado en la rendición de cuentas y el acceso a la información pública como herramientas para garantizar equidad política y social; bajo la estrategia del principio de máxima publicidad, el modelo de planeación y programación presupuestal del gobierno, enfocado hacía la capacitación ciudadana para el ejercicio efectivo del derecho de acceso a la información pública.</w:t>
      </w:r>
    </w:p>
    <w:p w14:paraId="23591442" w14:textId="77777777" w:rsidR="00671424" w:rsidRPr="00671424" w:rsidRDefault="00671424" w:rsidP="00671424">
      <w:pPr>
        <w:rPr>
          <w:rFonts w:cstheme="minorHAnsi"/>
          <w:color w:val="595959" w:themeColor="text1" w:themeTint="A6"/>
        </w:rPr>
      </w:pPr>
      <w:r w:rsidRPr="00671424">
        <w:rPr>
          <w:rFonts w:cstheme="minorHAnsi"/>
          <w:color w:val="595959" w:themeColor="text1" w:themeTint="A6"/>
        </w:rPr>
        <w:t>De esta forma se llevó a cabo la selección de la Línea Acción del programa del Plan Estatal de Desarrollo 2016-2022 de acuerdo a las facultades que tiene este Órgano Autónomo, en esfuerzo conjunto con las diversas áreas para poder realizar la alineación con la gestión del Instituto a través de sus temas, objetivos, estrategias y líneas de acción específicas.</w:t>
      </w:r>
    </w:p>
    <w:p w14:paraId="717EABE0" w14:textId="589DCF00" w:rsidR="00583858" w:rsidRPr="00671424" w:rsidRDefault="00583858" w:rsidP="00583858">
      <w:pPr>
        <w:rPr>
          <w:rFonts w:eastAsia="Times New Roman" w:cs="Arial"/>
          <w:color w:val="808080" w:themeColor="background1" w:themeShade="80"/>
        </w:rPr>
      </w:pPr>
    </w:p>
    <w:p w14:paraId="239493F5" w14:textId="77777777" w:rsidR="00583858" w:rsidRDefault="00583858" w:rsidP="00583858">
      <w:pPr>
        <w:pStyle w:val="text-align-justify"/>
        <w:shd w:val="clear" w:color="auto" w:fill="FFFFFF"/>
        <w:spacing w:before="0" w:beforeAutospacing="0" w:after="0" w:afterAutospacing="0" w:line="288" w:lineRule="atLeast"/>
        <w:jc w:val="both"/>
        <w:rPr>
          <w:rFonts w:ascii="Futura" w:hAnsi="Futura" w:cs="Futura"/>
          <w:color w:val="3F3F3F"/>
        </w:rPr>
      </w:pPr>
    </w:p>
    <w:p w14:paraId="0D3D283F" w14:textId="77777777" w:rsidR="005F7240" w:rsidRPr="00F765C3" w:rsidRDefault="005F7240" w:rsidP="00F765C3">
      <w:pPr>
        <w:rPr>
          <w:rFonts w:eastAsia="Times New Roman" w:cs="Futura"/>
          <w:color w:val="595959"/>
        </w:rPr>
      </w:pPr>
      <w:r w:rsidRPr="00F765C3">
        <w:rPr>
          <w:rFonts w:eastAsia="Times New Roman" w:cs="Futura"/>
          <w:color w:val="595959"/>
        </w:rPr>
        <w:br w:type="page"/>
      </w:r>
    </w:p>
    <w:p w14:paraId="359C7C75" w14:textId="77777777" w:rsidR="00BD65C7" w:rsidRDefault="00BD65C7" w:rsidP="00BD65C7">
      <w:pPr>
        <w:pStyle w:val="Ttulo"/>
      </w:pPr>
    </w:p>
    <w:p w14:paraId="4F5F6D12" w14:textId="77777777" w:rsidR="00BD65C7" w:rsidRDefault="00BD65C7" w:rsidP="00BD65C7">
      <w:pPr>
        <w:pStyle w:val="Ttulo"/>
      </w:pPr>
    </w:p>
    <w:p w14:paraId="1AE819D7" w14:textId="77777777" w:rsidR="00BD65C7" w:rsidRDefault="00BD65C7" w:rsidP="00BD65C7">
      <w:pPr>
        <w:pStyle w:val="Ttulo"/>
      </w:pPr>
    </w:p>
    <w:p w14:paraId="55341FD3" w14:textId="77777777" w:rsidR="00BD65C7" w:rsidRDefault="00BD65C7" w:rsidP="00BD65C7">
      <w:pPr>
        <w:pStyle w:val="Ttulo"/>
      </w:pPr>
    </w:p>
    <w:p w14:paraId="4BB5CFDF" w14:textId="525C2BD3" w:rsidR="00BD65C7" w:rsidRDefault="00BD65C7" w:rsidP="00BD65C7">
      <w:pPr>
        <w:pStyle w:val="Ttulo"/>
        <w:rPr>
          <w:color w:val="4BACC6"/>
        </w:rPr>
      </w:pPr>
      <w:r>
        <w:rPr>
          <w:color w:val="4BACC6"/>
        </w:rPr>
        <w:t>ANTECEDENTES</w:t>
      </w:r>
    </w:p>
    <w:p w14:paraId="325AD574" w14:textId="1985181A" w:rsidR="00E0460C" w:rsidRDefault="00BD65C7" w:rsidP="00013197">
      <w:pPr>
        <w:spacing w:after="0" w:line="240" w:lineRule="auto"/>
        <w:jc w:val="left"/>
        <w:rPr>
          <w:rFonts w:eastAsia="Times New Roman" w:cs="Times New Roman"/>
          <w:b/>
          <w:bCs/>
          <w:caps/>
          <w:color w:val="4BACC6"/>
          <w:sz w:val="32"/>
          <w:szCs w:val="28"/>
          <w:lang w:val="es-MX" w:eastAsia="en-US"/>
        </w:rPr>
      </w:pPr>
      <w:r>
        <w:rPr>
          <w:color w:val="4BACC6"/>
        </w:rPr>
        <w:br w:type="page"/>
      </w:r>
    </w:p>
    <w:p w14:paraId="21FA4D2D" w14:textId="77777777" w:rsidR="00013197" w:rsidRPr="00013197" w:rsidRDefault="00013197" w:rsidP="00013197">
      <w:pPr>
        <w:spacing w:after="0" w:line="240" w:lineRule="auto"/>
        <w:jc w:val="left"/>
        <w:rPr>
          <w:rFonts w:eastAsia="Times New Roman" w:cs="Times New Roman"/>
          <w:b/>
          <w:bCs/>
          <w:caps/>
          <w:color w:val="4BACC6"/>
          <w:sz w:val="32"/>
          <w:szCs w:val="28"/>
          <w:lang w:val="es-MX" w:eastAsia="en-US"/>
        </w:rPr>
      </w:pPr>
    </w:p>
    <w:p w14:paraId="448D9DD2" w14:textId="77777777" w:rsidR="005441E8" w:rsidRDefault="005441E8" w:rsidP="00F765C3">
      <w:pPr>
        <w:pStyle w:val="Ttulo1"/>
      </w:pPr>
    </w:p>
    <w:p w14:paraId="4E4350E9" w14:textId="704C5838" w:rsidR="00F765C3" w:rsidRPr="00F765C3" w:rsidRDefault="00F765C3" w:rsidP="00C0452C">
      <w:pPr>
        <w:pStyle w:val="Ttulo1"/>
      </w:pPr>
      <w:bookmarkStart w:id="3" w:name="_Toc477971048"/>
      <w:r w:rsidRPr="00F765C3">
        <w:t>III. ANTECEDENTES</w:t>
      </w:r>
      <w:bookmarkEnd w:id="3"/>
    </w:p>
    <w:p w14:paraId="31FDEC3A" w14:textId="77777777" w:rsidR="00C0452C" w:rsidRPr="00EF6ACF" w:rsidRDefault="00C0452C" w:rsidP="004B2054">
      <w:pPr>
        <w:rPr>
          <w:color w:val="595959" w:themeColor="text1" w:themeTint="A6"/>
        </w:rPr>
      </w:pPr>
      <w:r w:rsidRPr="00EF6ACF">
        <w:rPr>
          <w:color w:val="595959" w:themeColor="text1" w:themeTint="A6"/>
          <w:lang w:val="es-MX" w:eastAsia="en-US"/>
        </w:rPr>
        <w:t xml:space="preserve">Emprender acciones encaminadas  </w:t>
      </w:r>
      <w:r w:rsidRPr="00EF6ACF">
        <w:rPr>
          <w:color w:val="595959" w:themeColor="text1" w:themeTint="A6"/>
        </w:rPr>
        <w:t xml:space="preserve">en consolidar el derecho de acceso a la información y protección de datos personales, mediante la participación de la sociedad en el estado de Quintana roo, son cimientos para la integración de los contenidos en este programa, es por ello que se realizó un trabajo bajo las directrices de los lineamientos proporcionados por la Secretaria de Finanzas y </w:t>
      </w:r>
      <w:r>
        <w:rPr>
          <w:color w:val="595959" w:themeColor="text1" w:themeTint="A6"/>
        </w:rPr>
        <w:t>P</w:t>
      </w:r>
      <w:r w:rsidRPr="00F44F60">
        <w:rPr>
          <w:color w:val="595959" w:themeColor="text1" w:themeTint="A6"/>
        </w:rPr>
        <w:t>lane</w:t>
      </w:r>
      <w:r w:rsidRPr="00EF6ACF">
        <w:rPr>
          <w:color w:val="595959" w:themeColor="text1" w:themeTint="A6"/>
        </w:rPr>
        <w:t>ación a través del Comité de Planeación para el Desarrollo del Estado de Quintana Roo (COPLADE).</w:t>
      </w:r>
    </w:p>
    <w:p w14:paraId="755C4BDA" w14:textId="77777777" w:rsidR="00C0452C" w:rsidRPr="00EF6ACF" w:rsidRDefault="00C0452C" w:rsidP="004B2054">
      <w:pPr>
        <w:rPr>
          <w:color w:val="595959" w:themeColor="text1" w:themeTint="A6"/>
        </w:rPr>
      </w:pPr>
      <w:r w:rsidRPr="00EF6ACF">
        <w:rPr>
          <w:color w:val="595959" w:themeColor="text1" w:themeTint="A6"/>
        </w:rPr>
        <w:t xml:space="preserve">En ese sentido el Instituto de Acceso a la Información y Protección de Datos Personales como Organismo Autónomo cuenta con un Programa de </w:t>
      </w:r>
      <w:r>
        <w:rPr>
          <w:color w:val="595959" w:themeColor="text1" w:themeTint="A6"/>
        </w:rPr>
        <w:t>D</w:t>
      </w:r>
      <w:r w:rsidRPr="00EF6ACF">
        <w:rPr>
          <w:color w:val="595959" w:themeColor="text1" w:themeTint="A6"/>
        </w:rPr>
        <w:t xml:space="preserve">esarrollo  Institucional derivado </w:t>
      </w:r>
      <w:r>
        <w:rPr>
          <w:color w:val="595959" w:themeColor="text1" w:themeTint="A6"/>
        </w:rPr>
        <w:t xml:space="preserve">de una línea de acción </w:t>
      </w:r>
      <w:r w:rsidRPr="00EF6ACF">
        <w:rPr>
          <w:color w:val="595959" w:themeColor="text1" w:themeTint="A6"/>
        </w:rPr>
        <w:t>del Programa Estatal de Desarrollo 2016-2022.</w:t>
      </w:r>
    </w:p>
    <w:p w14:paraId="70D6E1C7" w14:textId="77777777" w:rsidR="00C0452C" w:rsidRPr="00EF6ACF" w:rsidRDefault="00C0452C" w:rsidP="004B2054">
      <w:pPr>
        <w:rPr>
          <w:color w:val="595959" w:themeColor="text1" w:themeTint="A6"/>
        </w:rPr>
      </w:pPr>
      <w:r w:rsidRPr="00EF6ACF">
        <w:rPr>
          <w:color w:val="595959" w:themeColor="text1" w:themeTint="A6"/>
        </w:rPr>
        <w:t>Este programa está enmarcado en el proceso de planeación debido que para lograr los objetivos establecidos se requiere del conocimiento sistemático de las actividades a realizar, a fin de lograr las actividades institucionales de acuerdo con una optimización de los recursos humanos, materiales y financieros; lo cual permitirá que la toma de decisiones se efectué de una manera adecuada, racional y eficiente.</w:t>
      </w:r>
    </w:p>
    <w:p w14:paraId="7EA08B98" w14:textId="77777777" w:rsidR="00C0452C" w:rsidRPr="00D25D22" w:rsidRDefault="00C0452C" w:rsidP="004B2054">
      <w:pPr>
        <w:rPr>
          <w:color w:val="595959" w:themeColor="text1" w:themeTint="A6"/>
        </w:rPr>
      </w:pPr>
      <w:r w:rsidRPr="00EF6ACF">
        <w:rPr>
          <w:color w:val="595959" w:themeColor="text1" w:themeTint="A6"/>
        </w:rPr>
        <w:t xml:space="preserve">Para la elaboración del Programa Institucional del instituto se realizó la alineación con el programa 13 “Gobierno Transparente y de Puertas Abiertas” del Programa Estatal de Desarrollo 2016-2022,  el cual tiene como objetivo construir de la mano de los ciudadanos un gobierno honesto, confiable y transparente, soportado en la rendición de cuentas y el acceso a la información pública como </w:t>
      </w:r>
      <w:r w:rsidRPr="00D25D22">
        <w:rPr>
          <w:color w:val="595959" w:themeColor="text1" w:themeTint="A6"/>
        </w:rPr>
        <w:t>herramientas para garantizar equidad política y social; bajo la estrategia del principio de máxima publicidad</w:t>
      </w:r>
      <w:r>
        <w:rPr>
          <w:color w:val="595959" w:themeColor="text1" w:themeTint="A6"/>
        </w:rPr>
        <w:t xml:space="preserve">  </w:t>
      </w:r>
      <w:r w:rsidRPr="00D25D22">
        <w:rPr>
          <w:color w:val="595959" w:themeColor="text1" w:themeTint="A6"/>
        </w:rPr>
        <w:t>, el modelo de planeación y programación presupuestal del gobierno, cobijado por la capacitación a la ciudadanía para el ejercicio efectivo del derecho de acceso a la información pública.</w:t>
      </w:r>
    </w:p>
    <w:p w14:paraId="7018539B" w14:textId="77777777" w:rsidR="00C0452C" w:rsidRPr="00D25D22" w:rsidRDefault="00C0452C" w:rsidP="004B2054">
      <w:pPr>
        <w:rPr>
          <w:color w:val="595959" w:themeColor="text1" w:themeTint="A6"/>
          <w:lang w:eastAsia="en-US"/>
        </w:rPr>
      </w:pPr>
      <w:r w:rsidRPr="00D25D22">
        <w:rPr>
          <w:color w:val="595959" w:themeColor="text1" w:themeTint="A6"/>
          <w:lang w:eastAsia="en-US"/>
        </w:rPr>
        <w:t>De esta forma se llevó a cabo la</w:t>
      </w:r>
      <w:r>
        <w:rPr>
          <w:color w:val="595959" w:themeColor="text1" w:themeTint="A6"/>
          <w:lang w:eastAsia="en-US"/>
        </w:rPr>
        <w:t xml:space="preserve"> selección de la Línea</w:t>
      </w:r>
      <w:r w:rsidRPr="00D25D22">
        <w:rPr>
          <w:color w:val="595959" w:themeColor="text1" w:themeTint="A6"/>
          <w:lang w:eastAsia="en-US"/>
        </w:rPr>
        <w:t xml:space="preserve"> Acción del programa del Plan Estatal de Desarrollo 2016-2022 de  acuerdo a las facultades que tiene este Órgano Autónomo, en esfuerzo </w:t>
      </w:r>
      <w:r w:rsidRPr="00D25D22">
        <w:rPr>
          <w:color w:val="595959" w:themeColor="text1" w:themeTint="A6"/>
          <w:lang w:eastAsia="en-US"/>
        </w:rPr>
        <w:lastRenderedPageBreak/>
        <w:t>conjunto con las diversas áreas  para poder realizar la  alineación con la gestión del instituto a través de sus temas, objetivos, estrategias  y líneas de acción específicas.</w:t>
      </w:r>
    </w:p>
    <w:p w14:paraId="3915E78B" w14:textId="77777777" w:rsidR="00583858" w:rsidRDefault="00583858" w:rsidP="00583858"/>
    <w:p w14:paraId="23718D08" w14:textId="57D6E0B0" w:rsidR="005F7240" w:rsidRPr="00F765C3" w:rsidRDefault="005F7240" w:rsidP="00F765C3">
      <w:pPr>
        <w:rPr>
          <w:rFonts w:eastAsia="Times New Roman" w:cs="Futura"/>
          <w:color w:val="595959"/>
        </w:rPr>
      </w:pPr>
      <w:r w:rsidRPr="00F765C3">
        <w:rPr>
          <w:rFonts w:eastAsia="Times New Roman" w:cs="Futura"/>
          <w:color w:val="595959"/>
        </w:rPr>
        <w:br w:type="page"/>
      </w:r>
    </w:p>
    <w:p w14:paraId="350A27AD" w14:textId="77777777" w:rsidR="00BD65C7" w:rsidRDefault="00BD65C7" w:rsidP="00BD65C7">
      <w:pPr>
        <w:pStyle w:val="Ttulo"/>
      </w:pPr>
    </w:p>
    <w:p w14:paraId="61A0F282" w14:textId="77777777" w:rsidR="00BD65C7" w:rsidRDefault="00BD65C7" w:rsidP="00BD65C7">
      <w:pPr>
        <w:pStyle w:val="Ttulo"/>
      </w:pPr>
    </w:p>
    <w:p w14:paraId="76845D2F" w14:textId="77777777" w:rsidR="00BD65C7" w:rsidRDefault="00BD65C7" w:rsidP="00BD65C7">
      <w:pPr>
        <w:pStyle w:val="Ttulo"/>
      </w:pPr>
    </w:p>
    <w:p w14:paraId="4EF7CCDC" w14:textId="77777777" w:rsidR="00BD65C7" w:rsidRDefault="00BD65C7" w:rsidP="00BD65C7">
      <w:pPr>
        <w:pStyle w:val="Ttulo"/>
      </w:pPr>
    </w:p>
    <w:p w14:paraId="137AE645" w14:textId="71D722F7" w:rsidR="00BD65C7" w:rsidRDefault="00BD65C7" w:rsidP="00BD65C7">
      <w:pPr>
        <w:pStyle w:val="Ttulo"/>
        <w:rPr>
          <w:color w:val="4BACC6"/>
        </w:rPr>
      </w:pPr>
      <w:r>
        <w:rPr>
          <w:color w:val="4BACC6"/>
        </w:rPr>
        <w:t>MARCO JURÍDICO</w:t>
      </w:r>
    </w:p>
    <w:p w14:paraId="6AA87D04" w14:textId="65702CD0" w:rsidR="005441E8" w:rsidRDefault="00BD65C7" w:rsidP="000557ED">
      <w:pPr>
        <w:spacing w:after="0" w:line="240" w:lineRule="auto"/>
        <w:jc w:val="left"/>
        <w:rPr>
          <w:color w:val="4BACC6"/>
        </w:rPr>
      </w:pPr>
      <w:r>
        <w:rPr>
          <w:color w:val="4BACC6"/>
        </w:rPr>
        <w:br w:type="page"/>
      </w:r>
    </w:p>
    <w:p w14:paraId="1B741C3A" w14:textId="77777777" w:rsidR="000557ED" w:rsidRPr="000557ED" w:rsidRDefault="000557ED" w:rsidP="000557ED">
      <w:pPr>
        <w:spacing w:after="0" w:line="240" w:lineRule="auto"/>
        <w:jc w:val="left"/>
        <w:rPr>
          <w:color w:val="4BACC6"/>
        </w:rPr>
      </w:pPr>
    </w:p>
    <w:p w14:paraId="6ADB40D0" w14:textId="19DE6D60" w:rsidR="00F765C3" w:rsidRDefault="00F765C3" w:rsidP="00671424">
      <w:pPr>
        <w:pStyle w:val="Ttulo1"/>
      </w:pPr>
      <w:bookmarkStart w:id="4" w:name="_Toc477971049"/>
      <w:r>
        <w:t xml:space="preserve">IV. </w:t>
      </w:r>
      <w:r w:rsidR="005F7240" w:rsidRPr="00F765C3">
        <w:t>MARCO JURÍDICO</w:t>
      </w:r>
      <w:bookmarkEnd w:id="4"/>
    </w:p>
    <w:p w14:paraId="0516C5FC" w14:textId="77777777" w:rsidR="00671424" w:rsidRPr="00671424" w:rsidRDefault="00671424" w:rsidP="00671424">
      <w:pPr>
        <w:rPr>
          <w:lang w:val="es-MX" w:eastAsia="en-US"/>
        </w:rPr>
      </w:pPr>
    </w:p>
    <w:p w14:paraId="485DC17D" w14:textId="77777777" w:rsidR="00671424" w:rsidRPr="00671424" w:rsidRDefault="00671424" w:rsidP="00671424">
      <w:pPr>
        <w:numPr>
          <w:ilvl w:val="0"/>
          <w:numId w:val="27"/>
        </w:numPr>
        <w:spacing w:after="160" w:line="259" w:lineRule="auto"/>
        <w:rPr>
          <w:rFonts w:cstheme="minorHAnsi"/>
          <w:color w:val="595959" w:themeColor="text1" w:themeTint="A6"/>
        </w:rPr>
      </w:pPr>
      <w:r w:rsidRPr="00671424">
        <w:rPr>
          <w:rFonts w:cstheme="minorHAnsi"/>
          <w:color w:val="595959" w:themeColor="text1" w:themeTint="A6"/>
        </w:rPr>
        <w:t>Constitución Política de los Estados Unidos Mexicanos</w:t>
      </w:r>
    </w:p>
    <w:p w14:paraId="4FD4AE6D" w14:textId="77777777" w:rsidR="00671424" w:rsidRPr="00671424" w:rsidRDefault="00671424" w:rsidP="00671424">
      <w:pPr>
        <w:numPr>
          <w:ilvl w:val="0"/>
          <w:numId w:val="27"/>
        </w:numPr>
        <w:spacing w:after="160" w:line="259" w:lineRule="auto"/>
        <w:rPr>
          <w:rFonts w:cstheme="minorHAnsi"/>
          <w:color w:val="595959" w:themeColor="text1" w:themeTint="A6"/>
        </w:rPr>
      </w:pPr>
      <w:r w:rsidRPr="00671424">
        <w:rPr>
          <w:rFonts w:cstheme="minorHAnsi"/>
          <w:color w:val="595959" w:themeColor="text1" w:themeTint="A6"/>
        </w:rPr>
        <w:t xml:space="preserve">Constitución Política del Estado Libre y Soberano de Quintana Roo </w:t>
      </w:r>
    </w:p>
    <w:p w14:paraId="2D347985" w14:textId="77777777" w:rsidR="00671424" w:rsidRPr="00BA097F" w:rsidRDefault="00671424" w:rsidP="00671424">
      <w:pPr>
        <w:rPr>
          <w:rFonts w:cstheme="minorHAnsi"/>
          <w:bCs/>
          <w:color w:val="595959" w:themeColor="text1" w:themeTint="A6"/>
        </w:rPr>
      </w:pPr>
      <w:r w:rsidRPr="00BA097F">
        <w:rPr>
          <w:rFonts w:cstheme="minorHAnsi"/>
          <w:bCs/>
          <w:color w:val="595959" w:themeColor="text1" w:themeTint="A6"/>
        </w:rPr>
        <w:t>Tratados internacionales</w:t>
      </w:r>
    </w:p>
    <w:p w14:paraId="5126A8B3" w14:textId="77777777" w:rsidR="00671424" w:rsidRPr="00671424" w:rsidRDefault="00671424" w:rsidP="00671424">
      <w:pPr>
        <w:numPr>
          <w:ilvl w:val="0"/>
          <w:numId w:val="28"/>
        </w:numPr>
        <w:spacing w:after="160" w:line="259" w:lineRule="auto"/>
        <w:rPr>
          <w:rFonts w:cstheme="minorHAnsi"/>
          <w:color w:val="595959" w:themeColor="text1" w:themeTint="A6"/>
        </w:rPr>
      </w:pPr>
      <w:r w:rsidRPr="00671424">
        <w:rPr>
          <w:rFonts w:cstheme="minorHAnsi"/>
          <w:color w:val="595959" w:themeColor="text1" w:themeTint="A6"/>
        </w:rPr>
        <w:t>Convención Americana sobre Derechos Humanos</w:t>
      </w:r>
    </w:p>
    <w:p w14:paraId="5322BC82" w14:textId="77777777" w:rsidR="00671424" w:rsidRPr="00671424" w:rsidRDefault="00671424" w:rsidP="00671424">
      <w:pPr>
        <w:numPr>
          <w:ilvl w:val="0"/>
          <w:numId w:val="28"/>
        </w:numPr>
        <w:spacing w:after="160" w:line="259" w:lineRule="auto"/>
        <w:rPr>
          <w:rFonts w:cstheme="minorHAnsi"/>
          <w:color w:val="595959" w:themeColor="text1" w:themeTint="A6"/>
        </w:rPr>
      </w:pPr>
      <w:r w:rsidRPr="00671424">
        <w:rPr>
          <w:rFonts w:cstheme="minorHAnsi"/>
          <w:color w:val="595959" w:themeColor="text1" w:themeTint="A6"/>
        </w:rPr>
        <w:t>Modificación a la Convención Americana sobre Derechos Humanos</w:t>
      </w:r>
    </w:p>
    <w:p w14:paraId="76A6AD20" w14:textId="77777777" w:rsidR="00671424" w:rsidRPr="00671424" w:rsidRDefault="00671424" w:rsidP="00671424">
      <w:pPr>
        <w:numPr>
          <w:ilvl w:val="0"/>
          <w:numId w:val="28"/>
        </w:numPr>
        <w:spacing w:after="160" w:line="259" w:lineRule="auto"/>
        <w:rPr>
          <w:rFonts w:cstheme="minorHAnsi"/>
          <w:color w:val="595959" w:themeColor="text1" w:themeTint="A6"/>
        </w:rPr>
      </w:pPr>
      <w:r w:rsidRPr="00671424">
        <w:rPr>
          <w:rFonts w:cstheme="minorHAnsi"/>
          <w:color w:val="595959" w:themeColor="text1" w:themeTint="A6"/>
        </w:rPr>
        <w:t>Pacto Internacional de Derechos Económicos, Sociales y Culturales</w:t>
      </w:r>
    </w:p>
    <w:p w14:paraId="734CA606" w14:textId="77777777" w:rsidR="00671424" w:rsidRPr="00671424" w:rsidRDefault="00671424" w:rsidP="00671424">
      <w:pPr>
        <w:numPr>
          <w:ilvl w:val="0"/>
          <w:numId w:val="28"/>
        </w:numPr>
        <w:spacing w:after="160" w:line="259" w:lineRule="auto"/>
        <w:rPr>
          <w:rFonts w:cstheme="minorHAnsi"/>
          <w:color w:val="595959" w:themeColor="text1" w:themeTint="A6"/>
        </w:rPr>
      </w:pPr>
      <w:r w:rsidRPr="00671424">
        <w:rPr>
          <w:rFonts w:cstheme="minorHAnsi"/>
          <w:color w:val="595959" w:themeColor="text1" w:themeTint="A6"/>
        </w:rPr>
        <w:t>Modificación del Pacto Internacional de Derechos Económicos, Sociales y Culturales</w:t>
      </w:r>
    </w:p>
    <w:p w14:paraId="5E8A28B1" w14:textId="77777777" w:rsidR="00671424" w:rsidRPr="00671424" w:rsidRDefault="00671424" w:rsidP="00671424">
      <w:pPr>
        <w:numPr>
          <w:ilvl w:val="0"/>
          <w:numId w:val="28"/>
        </w:numPr>
        <w:spacing w:after="160" w:line="259" w:lineRule="auto"/>
        <w:rPr>
          <w:rFonts w:cstheme="minorHAnsi"/>
          <w:color w:val="595959" w:themeColor="text1" w:themeTint="A6"/>
        </w:rPr>
      </w:pPr>
      <w:r w:rsidRPr="00671424">
        <w:rPr>
          <w:rFonts w:cstheme="minorHAnsi"/>
          <w:color w:val="595959" w:themeColor="text1" w:themeTint="A6"/>
        </w:rPr>
        <w:t>Pacto Internacional de los Derechos Civiles y Políticos</w:t>
      </w:r>
    </w:p>
    <w:p w14:paraId="7547F985" w14:textId="77777777" w:rsidR="00671424" w:rsidRPr="00BA097F" w:rsidRDefault="00671424" w:rsidP="00671424">
      <w:pPr>
        <w:rPr>
          <w:rFonts w:cstheme="minorHAnsi"/>
          <w:bCs/>
          <w:color w:val="595959" w:themeColor="text1" w:themeTint="A6"/>
        </w:rPr>
      </w:pPr>
      <w:r w:rsidRPr="00BA097F">
        <w:rPr>
          <w:rFonts w:cstheme="minorHAnsi"/>
          <w:bCs/>
          <w:color w:val="595959" w:themeColor="text1" w:themeTint="A6"/>
        </w:rPr>
        <w:t>Leyes generales</w:t>
      </w:r>
    </w:p>
    <w:p w14:paraId="653C60BF" w14:textId="77777777" w:rsidR="00671424" w:rsidRPr="00671424" w:rsidRDefault="00671424" w:rsidP="00671424">
      <w:pPr>
        <w:numPr>
          <w:ilvl w:val="0"/>
          <w:numId w:val="29"/>
        </w:numPr>
        <w:spacing w:after="160" w:line="259" w:lineRule="auto"/>
        <w:rPr>
          <w:rFonts w:cstheme="minorHAnsi"/>
          <w:color w:val="595959" w:themeColor="text1" w:themeTint="A6"/>
        </w:rPr>
      </w:pPr>
      <w:r w:rsidRPr="00671424">
        <w:rPr>
          <w:rFonts w:cstheme="minorHAnsi"/>
          <w:color w:val="595959" w:themeColor="text1" w:themeTint="A6"/>
        </w:rPr>
        <w:t>Ley General de Bienes Nacionales</w:t>
      </w:r>
    </w:p>
    <w:p w14:paraId="58585BEC" w14:textId="77777777" w:rsidR="00671424" w:rsidRPr="00671424" w:rsidRDefault="00671424" w:rsidP="00671424">
      <w:pPr>
        <w:numPr>
          <w:ilvl w:val="0"/>
          <w:numId w:val="29"/>
        </w:numPr>
        <w:spacing w:after="160" w:line="259" w:lineRule="auto"/>
        <w:rPr>
          <w:rFonts w:cstheme="minorHAnsi"/>
          <w:color w:val="595959" w:themeColor="text1" w:themeTint="A6"/>
        </w:rPr>
      </w:pPr>
      <w:r w:rsidRPr="00671424">
        <w:rPr>
          <w:rFonts w:cstheme="minorHAnsi"/>
          <w:color w:val="595959" w:themeColor="text1" w:themeTint="A6"/>
        </w:rPr>
        <w:t>Ley General de Contabilidad Gubernamental</w:t>
      </w:r>
    </w:p>
    <w:p w14:paraId="50CB5316" w14:textId="77777777" w:rsidR="00671424" w:rsidRPr="00671424" w:rsidRDefault="00671424" w:rsidP="00671424">
      <w:pPr>
        <w:numPr>
          <w:ilvl w:val="0"/>
          <w:numId w:val="29"/>
        </w:numPr>
        <w:spacing w:after="160" w:line="259" w:lineRule="auto"/>
        <w:rPr>
          <w:rFonts w:cstheme="minorHAnsi"/>
          <w:color w:val="595959" w:themeColor="text1" w:themeTint="A6"/>
        </w:rPr>
      </w:pPr>
      <w:r w:rsidRPr="00671424">
        <w:rPr>
          <w:rFonts w:cstheme="minorHAnsi"/>
          <w:color w:val="595959" w:themeColor="text1" w:themeTint="A6"/>
        </w:rPr>
        <w:t>Ley General de Protección de Datos Personales en Posesión de Sujetos Obligados</w:t>
      </w:r>
    </w:p>
    <w:p w14:paraId="233F517B" w14:textId="77777777" w:rsidR="00671424" w:rsidRPr="00671424" w:rsidRDefault="00671424" w:rsidP="00671424">
      <w:pPr>
        <w:numPr>
          <w:ilvl w:val="0"/>
          <w:numId w:val="29"/>
        </w:numPr>
        <w:spacing w:after="160" w:line="259" w:lineRule="auto"/>
        <w:rPr>
          <w:rFonts w:cstheme="minorHAnsi"/>
          <w:color w:val="595959" w:themeColor="text1" w:themeTint="A6"/>
        </w:rPr>
      </w:pPr>
      <w:r w:rsidRPr="00671424">
        <w:rPr>
          <w:rFonts w:cstheme="minorHAnsi"/>
          <w:color w:val="595959" w:themeColor="text1" w:themeTint="A6"/>
        </w:rPr>
        <w:t>Ley General de Transparencia y Acceso a la Información Pública.</w:t>
      </w:r>
    </w:p>
    <w:p w14:paraId="4F259108" w14:textId="1D55975E" w:rsidR="00671424" w:rsidRPr="00671424" w:rsidRDefault="00671424" w:rsidP="00671424">
      <w:pPr>
        <w:numPr>
          <w:ilvl w:val="0"/>
          <w:numId w:val="29"/>
        </w:numPr>
        <w:spacing w:after="160" w:line="259" w:lineRule="auto"/>
        <w:rPr>
          <w:rFonts w:cstheme="minorHAnsi"/>
          <w:color w:val="595959" w:themeColor="text1" w:themeTint="A6"/>
        </w:rPr>
      </w:pPr>
      <w:r w:rsidRPr="00671424">
        <w:rPr>
          <w:rFonts w:cstheme="minorHAnsi"/>
          <w:color w:val="595959" w:themeColor="text1" w:themeTint="A6"/>
        </w:rPr>
        <w:t>Ley Genera</w:t>
      </w:r>
      <w:r w:rsidR="00146B1E">
        <w:rPr>
          <w:rFonts w:cstheme="minorHAnsi"/>
          <w:color w:val="595959" w:themeColor="text1" w:themeTint="A6"/>
        </w:rPr>
        <w:t>l</w:t>
      </w:r>
      <w:r w:rsidRPr="00671424">
        <w:rPr>
          <w:rFonts w:cstheme="minorHAnsi"/>
          <w:color w:val="595959" w:themeColor="text1" w:themeTint="A6"/>
        </w:rPr>
        <w:t xml:space="preserve"> de Archivos.</w:t>
      </w:r>
    </w:p>
    <w:p w14:paraId="6F39C655" w14:textId="77777777" w:rsidR="00671424" w:rsidRPr="00BA097F" w:rsidRDefault="00671424" w:rsidP="00671424">
      <w:pPr>
        <w:rPr>
          <w:rFonts w:cstheme="minorHAnsi"/>
          <w:bCs/>
          <w:color w:val="595959" w:themeColor="text1" w:themeTint="A6"/>
        </w:rPr>
      </w:pPr>
      <w:r w:rsidRPr="00BA097F">
        <w:rPr>
          <w:rFonts w:cstheme="minorHAnsi"/>
          <w:bCs/>
          <w:color w:val="595959" w:themeColor="text1" w:themeTint="A6"/>
        </w:rPr>
        <w:t>Leyes federales</w:t>
      </w:r>
    </w:p>
    <w:p w14:paraId="167A9056" w14:textId="77777777" w:rsidR="00671424" w:rsidRPr="00671424" w:rsidRDefault="00671424" w:rsidP="00671424">
      <w:pPr>
        <w:numPr>
          <w:ilvl w:val="0"/>
          <w:numId w:val="30"/>
        </w:numPr>
        <w:spacing w:after="160" w:line="259" w:lineRule="auto"/>
        <w:rPr>
          <w:rFonts w:cstheme="minorHAnsi"/>
          <w:color w:val="595959" w:themeColor="text1" w:themeTint="A6"/>
        </w:rPr>
      </w:pPr>
      <w:r w:rsidRPr="00671424">
        <w:rPr>
          <w:rFonts w:cstheme="minorHAnsi"/>
          <w:color w:val="595959" w:themeColor="text1" w:themeTint="A6"/>
        </w:rPr>
        <w:t>Ley de Adquisiciones ,Arrendamientos y Servicios del Sector Público</w:t>
      </w:r>
    </w:p>
    <w:p w14:paraId="76FFE49E" w14:textId="77777777" w:rsidR="00671424" w:rsidRPr="00671424" w:rsidRDefault="00671424" w:rsidP="00671424">
      <w:pPr>
        <w:numPr>
          <w:ilvl w:val="0"/>
          <w:numId w:val="30"/>
        </w:numPr>
        <w:spacing w:after="160" w:line="259" w:lineRule="auto"/>
        <w:rPr>
          <w:rFonts w:cstheme="minorHAnsi"/>
          <w:color w:val="595959" w:themeColor="text1" w:themeTint="A6"/>
        </w:rPr>
      </w:pPr>
      <w:r w:rsidRPr="00671424">
        <w:rPr>
          <w:rFonts w:cstheme="minorHAnsi"/>
          <w:color w:val="595959" w:themeColor="text1" w:themeTint="A6"/>
        </w:rPr>
        <w:t>Ley de Amparo</w:t>
      </w:r>
    </w:p>
    <w:p w14:paraId="51F27623" w14:textId="77777777" w:rsidR="00671424" w:rsidRPr="00671424" w:rsidRDefault="00671424" w:rsidP="00671424">
      <w:pPr>
        <w:numPr>
          <w:ilvl w:val="0"/>
          <w:numId w:val="30"/>
        </w:numPr>
        <w:spacing w:after="160" w:line="259" w:lineRule="auto"/>
        <w:rPr>
          <w:rFonts w:cstheme="minorHAnsi"/>
          <w:color w:val="595959" w:themeColor="text1" w:themeTint="A6"/>
        </w:rPr>
      </w:pPr>
      <w:r w:rsidRPr="00671424">
        <w:rPr>
          <w:rFonts w:cstheme="minorHAnsi"/>
          <w:color w:val="595959" w:themeColor="text1" w:themeTint="A6"/>
        </w:rPr>
        <w:t>Ley de Propiedad Industrial</w:t>
      </w:r>
    </w:p>
    <w:p w14:paraId="5DAAF68D" w14:textId="77777777" w:rsidR="00671424" w:rsidRPr="00671424" w:rsidRDefault="00671424" w:rsidP="00671424">
      <w:pPr>
        <w:numPr>
          <w:ilvl w:val="0"/>
          <w:numId w:val="30"/>
        </w:numPr>
        <w:spacing w:after="160" w:line="259" w:lineRule="auto"/>
        <w:rPr>
          <w:rFonts w:cstheme="minorHAnsi"/>
          <w:color w:val="595959" w:themeColor="text1" w:themeTint="A6"/>
        </w:rPr>
      </w:pPr>
      <w:r w:rsidRPr="00671424">
        <w:rPr>
          <w:rFonts w:cstheme="minorHAnsi"/>
          <w:color w:val="595959" w:themeColor="text1" w:themeTint="A6"/>
        </w:rPr>
        <w:t>Ley de Obras Públicas y Servicios Relacionados con las mismas</w:t>
      </w:r>
    </w:p>
    <w:p w14:paraId="02C17743" w14:textId="77777777" w:rsidR="00671424" w:rsidRPr="00671424" w:rsidRDefault="00671424" w:rsidP="00671424">
      <w:pPr>
        <w:numPr>
          <w:ilvl w:val="0"/>
          <w:numId w:val="30"/>
        </w:numPr>
        <w:spacing w:after="160" w:line="259" w:lineRule="auto"/>
        <w:rPr>
          <w:rFonts w:cstheme="minorHAnsi"/>
          <w:color w:val="595959" w:themeColor="text1" w:themeTint="A6"/>
        </w:rPr>
      </w:pPr>
      <w:r w:rsidRPr="00671424">
        <w:rPr>
          <w:rFonts w:cstheme="minorHAnsi"/>
          <w:color w:val="595959" w:themeColor="text1" w:themeTint="A6"/>
        </w:rPr>
        <w:lastRenderedPageBreak/>
        <w:t>Ley Federal de Derechos</w:t>
      </w:r>
    </w:p>
    <w:p w14:paraId="5308F85D" w14:textId="77777777" w:rsidR="00671424" w:rsidRPr="00671424" w:rsidRDefault="00671424" w:rsidP="00671424">
      <w:pPr>
        <w:numPr>
          <w:ilvl w:val="0"/>
          <w:numId w:val="30"/>
        </w:numPr>
        <w:spacing w:after="160" w:line="259" w:lineRule="auto"/>
        <w:rPr>
          <w:rFonts w:cstheme="minorHAnsi"/>
          <w:color w:val="595959" w:themeColor="text1" w:themeTint="A6"/>
        </w:rPr>
      </w:pPr>
      <w:r w:rsidRPr="00671424">
        <w:rPr>
          <w:rFonts w:cstheme="minorHAnsi"/>
          <w:color w:val="595959" w:themeColor="text1" w:themeTint="A6"/>
        </w:rPr>
        <w:t>Ley Federal de las Entidades Paraestatales</w:t>
      </w:r>
    </w:p>
    <w:p w14:paraId="1A2CFC61" w14:textId="77777777" w:rsidR="00671424" w:rsidRPr="00671424" w:rsidRDefault="00671424" w:rsidP="00671424">
      <w:pPr>
        <w:numPr>
          <w:ilvl w:val="0"/>
          <w:numId w:val="30"/>
        </w:numPr>
        <w:spacing w:after="160" w:line="259" w:lineRule="auto"/>
        <w:rPr>
          <w:rFonts w:cstheme="minorHAnsi"/>
          <w:color w:val="595959" w:themeColor="text1" w:themeTint="A6"/>
        </w:rPr>
      </w:pPr>
      <w:r w:rsidRPr="00671424">
        <w:rPr>
          <w:rFonts w:cstheme="minorHAnsi"/>
          <w:color w:val="595959" w:themeColor="text1" w:themeTint="A6"/>
        </w:rPr>
        <w:t>Ley Federal de Presupuesto y Responsabilidad Hacendaria</w:t>
      </w:r>
    </w:p>
    <w:p w14:paraId="4ADAD1A1" w14:textId="77777777" w:rsidR="00671424" w:rsidRPr="00671424" w:rsidRDefault="00671424" w:rsidP="00671424">
      <w:pPr>
        <w:numPr>
          <w:ilvl w:val="0"/>
          <w:numId w:val="30"/>
        </w:numPr>
        <w:spacing w:after="160" w:line="259" w:lineRule="auto"/>
        <w:rPr>
          <w:rFonts w:cstheme="minorHAnsi"/>
          <w:color w:val="595959" w:themeColor="text1" w:themeTint="A6"/>
        </w:rPr>
      </w:pPr>
      <w:r w:rsidRPr="00671424">
        <w:rPr>
          <w:rFonts w:cstheme="minorHAnsi"/>
          <w:color w:val="595959" w:themeColor="text1" w:themeTint="A6"/>
        </w:rPr>
        <w:t>Ley Federal de Procedimiento Administrativo</w:t>
      </w:r>
    </w:p>
    <w:p w14:paraId="47A8F6C3" w14:textId="77777777" w:rsidR="00671424" w:rsidRPr="00671424" w:rsidRDefault="00671424" w:rsidP="00671424">
      <w:pPr>
        <w:numPr>
          <w:ilvl w:val="0"/>
          <w:numId w:val="31"/>
        </w:numPr>
        <w:spacing w:after="160" w:line="259" w:lineRule="auto"/>
        <w:rPr>
          <w:rFonts w:cstheme="minorHAnsi"/>
          <w:color w:val="595959" w:themeColor="text1" w:themeTint="A6"/>
        </w:rPr>
      </w:pPr>
      <w:r w:rsidRPr="00671424">
        <w:rPr>
          <w:rFonts w:cstheme="minorHAnsi"/>
          <w:color w:val="595959" w:themeColor="text1" w:themeTint="A6"/>
        </w:rPr>
        <w:t>Ley Federal de Procedimiento Contencioso Administrativo</w:t>
      </w:r>
    </w:p>
    <w:p w14:paraId="380F788C" w14:textId="77777777" w:rsidR="00671424" w:rsidRPr="00671424" w:rsidRDefault="00671424" w:rsidP="00671424">
      <w:pPr>
        <w:numPr>
          <w:ilvl w:val="0"/>
          <w:numId w:val="31"/>
        </w:numPr>
        <w:spacing w:after="160" w:line="259" w:lineRule="auto"/>
        <w:rPr>
          <w:rFonts w:cstheme="minorHAnsi"/>
          <w:color w:val="595959" w:themeColor="text1" w:themeTint="A6"/>
        </w:rPr>
      </w:pPr>
      <w:r w:rsidRPr="00671424">
        <w:rPr>
          <w:rFonts w:cstheme="minorHAnsi"/>
          <w:color w:val="595959" w:themeColor="text1" w:themeTint="A6"/>
        </w:rPr>
        <w:t>Ley Federal de Protección de Datos Personales en Posesión de Particulares</w:t>
      </w:r>
    </w:p>
    <w:p w14:paraId="4490674E" w14:textId="77777777" w:rsidR="00671424" w:rsidRPr="00671424" w:rsidRDefault="00671424" w:rsidP="00671424">
      <w:pPr>
        <w:numPr>
          <w:ilvl w:val="0"/>
          <w:numId w:val="31"/>
        </w:numPr>
        <w:spacing w:after="160" w:line="259" w:lineRule="auto"/>
        <w:rPr>
          <w:rFonts w:cstheme="minorHAnsi"/>
          <w:color w:val="595959" w:themeColor="text1" w:themeTint="A6"/>
        </w:rPr>
      </w:pPr>
      <w:r w:rsidRPr="00671424">
        <w:rPr>
          <w:rFonts w:cstheme="minorHAnsi"/>
          <w:color w:val="595959" w:themeColor="text1" w:themeTint="A6"/>
        </w:rPr>
        <w:t>Ley Federal de Responsabilidad Patrimonial del Estado</w:t>
      </w:r>
    </w:p>
    <w:p w14:paraId="72D7EA02" w14:textId="77777777" w:rsidR="00671424" w:rsidRPr="00671424" w:rsidRDefault="00671424" w:rsidP="00671424">
      <w:pPr>
        <w:numPr>
          <w:ilvl w:val="0"/>
          <w:numId w:val="31"/>
        </w:numPr>
        <w:spacing w:after="160" w:line="259" w:lineRule="auto"/>
        <w:rPr>
          <w:rFonts w:cstheme="minorHAnsi"/>
          <w:color w:val="595959" w:themeColor="text1" w:themeTint="A6"/>
        </w:rPr>
      </w:pPr>
      <w:r w:rsidRPr="00671424">
        <w:rPr>
          <w:rFonts w:cstheme="minorHAnsi"/>
          <w:color w:val="595959" w:themeColor="text1" w:themeTint="A6"/>
        </w:rPr>
        <w:t>Ley Federal de Responsabilidades Administrativas de los Servidores Públicos</w:t>
      </w:r>
    </w:p>
    <w:p w14:paraId="6039444A" w14:textId="77777777" w:rsidR="00671424" w:rsidRPr="00671424" w:rsidRDefault="00671424" w:rsidP="00671424">
      <w:pPr>
        <w:numPr>
          <w:ilvl w:val="0"/>
          <w:numId w:val="31"/>
        </w:numPr>
        <w:spacing w:after="160" w:line="259" w:lineRule="auto"/>
        <w:rPr>
          <w:rFonts w:cstheme="minorHAnsi"/>
          <w:color w:val="595959" w:themeColor="text1" w:themeTint="A6"/>
        </w:rPr>
      </w:pPr>
      <w:r w:rsidRPr="00671424">
        <w:rPr>
          <w:rFonts w:cstheme="minorHAnsi"/>
          <w:color w:val="595959" w:themeColor="text1" w:themeTint="A6"/>
        </w:rPr>
        <w:t>Ley Federal de Transparencia y Acceso a la Información Pública</w:t>
      </w:r>
    </w:p>
    <w:p w14:paraId="0FFDA493" w14:textId="77777777" w:rsidR="00671424" w:rsidRPr="00671424" w:rsidRDefault="00671424" w:rsidP="00671424">
      <w:pPr>
        <w:numPr>
          <w:ilvl w:val="0"/>
          <w:numId w:val="31"/>
        </w:numPr>
        <w:spacing w:after="160" w:line="259" w:lineRule="auto"/>
        <w:rPr>
          <w:rFonts w:cstheme="minorHAnsi"/>
          <w:color w:val="595959" w:themeColor="text1" w:themeTint="A6"/>
        </w:rPr>
      </w:pPr>
      <w:r w:rsidRPr="00671424">
        <w:rPr>
          <w:rFonts w:cstheme="minorHAnsi"/>
          <w:color w:val="595959" w:themeColor="text1" w:themeTint="A6"/>
        </w:rPr>
        <w:t>Ley Federal de Archivos</w:t>
      </w:r>
    </w:p>
    <w:p w14:paraId="109F5F24" w14:textId="77777777" w:rsidR="00671424" w:rsidRPr="00671424" w:rsidRDefault="00671424" w:rsidP="00671424">
      <w:pPr>
        <w:numPr>
          <w:ilvl w:val="0"/>
          <w:numId w:val="31"/>
        </w:numPr>
        <w:spacing w:after="160" w:line="259" w:lineRule="auto"/>
        <w:rPr>
          <w:rFonts w:cstheme="minorHAnsi"/>
          <w:color w:val="595959" w:themeColor="text1" w:themeTint="A6"/>
        </w:rPr>
      </w:pPr>
      <w:r w:rsidRPr="00671424">
        <w:rPr>
          <w:rFonts w:cstheme="minorHAnsi"/>
          <w:color w:val="595959" w:themeColor="text1" w:themeTint="A6"/>
        </w:rPr>
        <w:t>Ley Federal del Derecho de Autor</w:t>
      </w:r>
    </w:p>
    <w:p w14:paraId="4D11A359" w14:textId="77777777" w:rsidR="00671424" w:rsidRPr="00671424" w:rsidRDefault="00671424" w:rsidP="00671424">
      <w:pPr>
        <w:numPr>
          <w:ilvl w:val="0"/>
          <w:numId w:val="31"/>
        </w:numPr>
        <w:spacing w:after="160" w:line="259" w:lineRule="auto"/>
        <w:rPr>
          <w:rFonts w:cstheme="minorHAnsi"/>
          <w:color w:val="595959" w:themeColor="text1" w:themeTint="A6"/>
        </w:rPr>
      </w:pPr>
      <w:r w:rsidRPr="00671424">
        <w:rPr>
          <w:rFonts w:cstheme="minorHAnsi"/>
          <w:color w:val="595959" w:themeColor="text1" w:themeTint="A6"/>
        </w:rPr>
        <w:t>Ley Federal del Trabajo</w:t>
      </w:r>
    </w:p>
    <w:p w14:paraId="38B45ACF" w14:textId="77777777" w:rsidR="00671424" w:rsidRPr="00671424" w:rsidRDefault="00671424" w:rsidP="00671424">
      <w:pPr>
        <w:numPr>
          <w:ilvl w:val="0"/>
          <w:numId w:val="31"/>
        </w:numPr>
        <w:spacing w:after="160" w:line="259" w:lineRule="auto"/>
        <w:rPr>
          <w:rFonts w:cstheme="minorHAnsi"/>
          <w:color w:val="595959" w:themeColor="text1" w:themeTint="A6"/>
        </w:rPr>
      </w:pPr>
      <w:r w:rsidRPr="00671424">
        <w:rPr>
          <w:rFonts w:cstheme="minorHAnsi"/>
          <w:color w:val="595959" w:themeColor="text1" w:themeTint="A6"/>
        </w:rPr>
        <w:t>Ley Orgánica de la Administración Pública Federal</w:t>
      </w:r>
    </w:p>
    <w:p w14:paraId="7A0C89FE" w14:textId="77777777" w:rsidR="00671424" w:rsidRPr="00671424" w:rsidRDefault="00671424" w:rsidP="00671424">
      <w:pPr>
        <w:numPr>
          <w:ilvl w:val="0"/>
          <w:numId w:val="31"/>
        </w:numPr>
        <w:spacing w:after="160" w:line="259" w:lineRule="auto"/>
        <w:rPr>
          <w:rFonts w:cstheme="minorHAnsi"/>
          <w:color w:val="595959" w:themeColor="text1" w:themeTint="A6"/>
        </w:rPr>
      </w:pPr>
      <w:r w:rsidRPr="00671424">
        <w:rPr>
          <w:rFonts w:cstheme="minorHAnsi"/>
          <w:color w:val="595959" w:themeColor="text1" w:themeTint="A6"/>
        </w:rPr>
        <w:t>Ley sobre la Celebración de Tratados</w:t>
      </w:r>
    </w:p>
    <w:p w14:paraId="27C49DC9" w14:textId="77777777" w:rsidR="00671424" w:rsidRPr="00671424" w:rsidRDefault="00671424" w:rsidP="00671424">
      <w:pPr>
        <w:rPr>
          <w:rFonts w:cstheme="minorHAnsi"/>
          <w:b/>
          <w:bCs/>
          <w:color w:val="595959" w:themeColor="text1" w:themeTint="A6"/>
        </w:rPr>
      </w:pPr>
    </w:p>
    <w:p w14:paraId="3CE5FB1E" w14:textId="77777777" w:rsidR="00671424" w:rsidRPr="00671424" w:rsidRDefault="00671424" w:rsidP="00671424">
      <w:pPr>
        <w:rPr>
          <w:rFonts w:cstheme="minorHAnsi"/>
          <w:b/>
          <w:bCs/>
          <w:color w:val="595959" w:themeColor="text1" w:themeTint="A6"/>
        </w:rPr>
      </w:pPr>
    </w:p>
    <w:p w14:paraId="4E16CA76" w14:textId="77777777" w:rsidR="00671424" w:rsidRPr="00BA097F" w:rsidRDefault="00671424" w:rsidP="00671424">
      <w:pPr>
        <w:rPr>
          <w:rFonts w:cstheme="minorHAnsi"/>
          <w:bCs/>
          <w:color w:val="595959" w:themeColor="text1" w:themeTint="A6"/>
        </w:rPr>
      </w:pPr>
      <w:r w:rsidRPr="00BA097F">
        <w:rPr>
          <w:rFonts w:cstheme="minorHAnsi"/>
          <w:bCs/>
          <w:color w:val="595959" w:themeColor="text1" w:themeTint="A6"/>
        </w:rPr>
        <w:t>Leyes locales</w:t>
      </w:r>
    </w:p>
    <w:p w14:paraId="5B61EE00"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Adquisiciones, Arrendamientos y Prestación de Servicios del Estado de Q. Roo.</w:t>
      </w:r>
    </w:p>
    <w:p w14:paraId="56F46DBC"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Justicia Administrativa del Estado de Q. Roo</w:t>
      </w:r>
    </w:p>
    <w:p w14:paraId="7A22A92C"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la Entidades de la Administración Pública Paraestatal del Estado de Q. Roo</w:t>
      </w:r>
    </w:p>
    <w:p w14:paraId="1EC1020F"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los Municipios del Estado de Quintana Roo</w:t>
      </w:r>
    </w:p>
    <w:p w14:paraId="6D78C3B3"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Mejora Regulatoria del Estado de Q. Roo</w:t>
      </w:r>
    </w:p>
    <w:p w14:paraId="4CF8AA74"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Obras Publicas y Servicios Relacionados con las mismas del Estado de Q. Roo</w:t>
      </w:r>
    </w:p>
    <w:p w14:paraId="7AB00ADD"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lastRenderedPageBreak/>
        <w:t>Ley de Planeación para el Desarrollo del Estado de Q. Roo</w:t>
      </w:r>
    </w:p>
    <w:p w14:paraId="4E9DC19C"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Presupuesto y Gasto Publico del Estado de Q. Roo</w:t>
      </w:r>
    </w:p>
    <w:p w14:paraId="15196B4B"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Proceso Administrativo del Estado de Q. Roo</w:t>
      </w:r>
    </w:p>
    <w:p w14:paraId="0B35EC20"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Responsabilidades de los Servidores  Públicos del Estado de Q.  Roo</w:t>
      </w:r>
    </w:p>
    <w:p w14:paraId="2EB02CDE"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Transparencia y Acceso a la Información Pública del Estado de Q. Roo 2013</w:t>
      </w:r>
    </w:p>
    <w:p w14:paraId="37B5FEB1"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Transparencia y Acceso a la Información Pública para el Estado de Q. Roo 2016</w:t>
      </w:r>
    </w:p>
    <w:p w14:paraId="5BF88F0F" w14:textId="651915D2" w:rsidR="00671424" w:rsidRPr="00146B1E" w:rsidRDefault="00146B1E" w:rsidP="00671424">
      <w:pPr>
        <w:numPr>
          <w:ilvl w:val="0"/>
          <w:numId w:val="32"/>
        </w:numPr>
        <w:spacing w:after="160" w:line="259" w:lineRule="auto"/>
        <w:rPr>
          <w:rFonts w:cstheme="minorHAnsi"/>
          <w:color w:val="595959" w:themeColor="text1" w:themeTint="A6"/>
        </w:rPr>
      </w:pPr>
      <w:r>
        <w:rPr>
          <w:rFonts w:cstheme="minorHAnsi"/>
          <w:color w:val="595959" w:themeColor="text1" w:themeTint="A6"/>
        </w:rPr>
        <w:t>Ley de</w:t>
      </w:r>
      <w:r w:rsidR="00671424" w:rsidRPr="00146B1E">
        <w:rPr>
          <w:rFonts w:cstheme="minorHAnsi"/>
          <w:color w:val="595959" w:themeColor="text1" w:themeTint="A6"/>
        </w:rPr>
        <w:t xml:space="preserve"> Protección de Datos Personales en Posesión de Sujetos Obligados para el estado de Quintana Roo 2017</w:t>
      </w:r>
    </w:p>
    <w:p w14:paraId="69952C95"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Patrimonio del Estado de Q. Roo</w:t>
      </w:r>
    </w:p>
    <w:p w14:paraId="1ADC2CD1" w14:textId="0049299C"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 xml:space="preserve">Ley del Sistema de </w:t>
      </w:r>
      <w:r w:rsidR="00146B1E" w:rsidRPr="00146B1E">
        <w:rPr>
          <w:rFonts w:cstheme="minorHAnsi"/>
          <w:color w:val="595959" w:themeColor="text1" w:themeTint="A6"/>
        </w:rPr>
        <w:t>Documentación</w:t>
      </w:r>
      <w:r w:rsidRPr="00146B1E">
        <w:rPr>
          <w:rFonts w:cstheme="minorHAnsi"/>
          <w:color w:val="595959" w:themeColor="text1" w:themeTint="A6"/>
        </w:rPr>
        <w:t xml:space="preserve"> del Estado de Q. Roo</w:t>
      </w:r>
    </w:p>
    <w:p w14:paraId="0BB01BDB" w14:textId="57C98B9A"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 xml:space="preserve">Ley </w:t>
      </w:r>
      <w:r w:rsidR="00146B1E" w:rsidRPr="00146B1E">
        <w:rPr>
          <w:rFonts w:cstheme="minorHAnsi"/>
          <w:color w:val="595959" w:themeColor="text1" w:themeTint="A6"/>
        </w:rPr>
        <w:t>Orgánica</w:t>
      </w:r>
      <w:r w:rsidRPr="00146B1E">
        <w:rPr>
          <w:rFonts w:cstheme="minorHAnsi"/>
          <w:color w:val="595959" w:themeColor="text1" w:themeTint="A6"/>
        </w:rPr>
        <w:t xml:space="preserve"> de la Administración Pública del Estado de Q. Roo</w:t>
      </w:r>
    </w:p>
    <w:p w14:paraId="7E29506F" w14:textId="22473F99"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Presupuesto de Egresos del Gobierno del Estado de Q. Roo Ejer</w:t>
      </w:r>
      <w:r w:rsidR="00146B1E">
        <w:rPr>
          <w:rFonts w:cstheme="minorHAnsi"/>
          <w:color w:val="595959" w:themeColor="text1" w:themeTint="A6"/>
        </w:rPr>
        <w:t>cicio</w:t>
      </w:r>
      <w:r w:rsidRPr="00146B1E">
        <w:rPr>
          <w:rFonts w:cstheme="minorHAnsi"/>
          <w:color w:val="595959" w:themeColor="text1" w:themeTint="A6"/>
        </w:rPr>
        <w:t>. Fiscal 2016</w:t>
      </w:r>
    </w:p>
    <w:p w14:paraId="11FFB527" w14:textId="77777777" w:rsidR="00671424" w:rsidRPr="00146B1E" w:rsidRDefault="00671424" w:rsidP="00671424">
      <w:pPr>
        <w:numPr>
          <w:ilvl w:val="0"/>
          <w:numId w:val="32"/>
        </w:numPr>
        <w:spacing w:after="160" w:line="259" w:lineRule="auto"/>
        <w:rPr>
          <w:rFonts w:cstheme="minorHAnsi"/>
          <w:color w:val="595959" w:themeColor="text1" w:themeTint="A6"/>
        </w:rPr>
      </w:pPr>
      <w:r w:rsidRPr="00146B1E">
        <w:rPr>
          <w:rFonts w:cstheme="minorHAnsi"/>
          <w:color w:val="595959" w:themeColor="text1" w:themeTint="A6"/>
        </w:rPr>
        <w:t>Ley de Disciplina Financiera</w:t>
      </w:r>
    </w:p>
    <w:p w14:paraId="19D55257" w14:textId="77777777" w:rsidR="00671424" w:rsidRPr="00D223FF" w:rsidRDefault="00671424" w:rsidP="00671424">
      <w:pPr>
        <w:rPr>
          <w:rFonts w:cstheme="minorHAnsi"/>
        </w:rPr>
      </w:pPr>
    </w:p>
    <w:p w14:paraId="70CD178E" w14:textId="77777777" w:rsidR="005F7240" w:rsidRPr="00F765C3" w:rsidRDefault="005F7240" w:rsidP="00F765C3">
      <w:pPr>
        <w:rPr>
          <w:rFonts w:eastAsia="Times New Roman" w:cs="Futura"/>
          <w:color w:val="595959"/>
        </w:rPr>
      </w:pPr>
      <w:r w:rsidRPr="00F765C3">
        <w:rPr>
          <w:rFonts w:eastAsia="Times New Roman" w:cs="Futura"/>
          <w:color w:val="595959"/>
        </w:rPr>
        <w:br w:type="page"/>
      </w:r>
    </w:p>
    <w:p w14:paraId="6565614D" w14:textId="77777777" w:rsidR="00BD65C7" w:rsidRDefault="00BD65C7" w:rsidP="00BD65C7">
      <w:pPr>
        <w:pStyle w:val="Ttulo"/>
      </w:pPr>
    </w:p>
    <w:p w14:paraId="7D52C5AC" w14:textId="77777777" w:rsidR="00BD65C7" w:rsidRDefault="00BD65C7" w:rsidP="00BD65C7">
      <w:pPr>
        <w:pStyle w:val="Ttulo"/>
      </w:pPr>
    </w:p>
    <w:p w14:paraId="6B765D9B" w14:textId="77777777" w:rsidR="00BD65C7" w:rsidRDefault="00BD65C7" w:rsidP="00BD65C7">
      <w:pPr>
        <w:pStyle w:val="Ttulo"/>
      </w:pPr>
    </w:p>
    <w:p w14:paraId="36F1E265" w14:textId="77777777" w:rsidR="00BD65C7" w:rsidRDefault="00BD65C7" w:rsidP="00BD65C7">
      <w:pPr>
        <w:pStyle w:val="Ttulo"/>
      </w:pPr>
    </w:p>
    <w:p w14:paraId="7887037F" w14:textId="2CB06480" w:rsidR="00BD65C7" w:rsidRDefault="00BD65C7" w:rsidP="00BD65C7">
      <w:pPr>
        <w:pStyle w:val="Ttulo"/>
        <w:rPr>
          <w:color w:val="4BACC6"/>
        </w:rPr>
      </w:pPr>
      <w:r>
        <w:rPr>
          <w:color w:val="4BACC6"/>
        </w:rPr>
        <w:t>DIAGNÓSTICO</w:t>
      </w:r>
    </w:p>
    <w:p w14:paraId="6E9E11ED" w14:textId="77777777" w:rsidR="00BD65C7" w:rsidRDefault="00BD65C7" w:rsidP="00BD65C7">
      <w:pPr>
        <w:spacing w:after="0" w:line="240" w:lineRule="auto"/>
        <w:jc w:val="left"/>
        <w:rPr>
          <w:rFonts w:eastAsia="Times New Roman" w:cs="Times New Roman"/>
          <w:b/>
          <w:bCs/>
          <w:caps/>
          <w:color w:val="4BACC6"/>
          <w:sz w:val="32"/>
          <w:szCs w:val="28"/>
          <w:lang w:val="es-MX" w:eastAsia="en-US"/>
        </w:rPr>
      </w:pPr>
      <w:r>
        <w:rPr>
          <w:color w:val="4BACC6"/>
        </w:rPr>
        <w:br w:type="page"/>
      </w:r>
    </w:p>
    <w:p w14:paraId="1F7303F1" w14:textId="77777777" w:rsidR="005441E8" w:rsidRDefault="005441E8" w:rsidP="00F765C3">
      <w:pPr>
        <w:pStyle w:val="Ttulo1"/>
      </w:pPr>
    </w:p>
    <w:p w14:paraId="0BCC5DA9" w14:textId="11073BA8" w:rsidR="00F765C3" w:rsidRPr="00F765C3" w:rsidRDefault="00F765C3" w:rsidP="00C0452C">
      <w:pPr>
        <w:pStyle w:val="Ttulo1"/>
      </w:pPr>
      <w:bookmarkStart w:id="5" w:name="_Toc477971050"/>
      <w:r>
        <w:t xml:space="preserve">V. </w:t>
      </w:r>
      <w:r w:rsidR="005F7240" w:rsidRPr="00F765C3">
        <w:t>DIAGNÓSTICO</w:t>
      </w:r>
      <w:bookmarkEnd w:id="5"/>
    </w:p>
    <w:p w14:paraId="36B2B84E" w14:textId="77777777" w:rsidR="00C0452C" w:rsidRPr="00B8291F" w:rsidRDefault="00C0452C" w:rsidP="00C0452C">
      <w:pPr>
        <w:spacing w:line="360" w:lineRule="auto"/>
        <w:rPr>
          <w:b/>
          <w:color w:val="595959" w:themeColor="text1" w:themeTint="A6"/>
          <w:sz w:val="28"/>
          <w:szCs w:val="28"/>
          <w:lang w:val="es-MX"/>
        </w:rPr>
      </w:pPr>
      <w:r w:rsidRPr="004B2054">
        <w:rPr>
          <w:b/>
          <w:color w:val="31849B" w:themeColor="accent5" w:themeShade="BF"/>
          <w:sz w:val="28"/>
          <w:szCs w:val="28"/>
          <w:lang w:val="es-MX"/>
        </w:rPr>
        <w:t>FOMENTO A LA CULTURA DE LA TRANSPARENCIA</w:t>
      </w:r>
    </w:p>
    <w:p w14:paraId="01556B18" w14:textId="77777777" w:rsidR="00C0452C" w:rsidRPr="00B8291F" w:rsidRDefault="00C0452C" w:rsidP="004B2054">
      <w:pPr>
        <w:pStyle w:val="Prrafodelista"/>
        <w:ind w:left="0"/>
        <w:rPr>
          <w:rFonts w:cs="Arial"/>
          <w:color w:val="595959" w:themeColor="text1" w:themeTint="A6"/>
        </w:rPr>
      </w:pPr>
      <w:r w:rsidRPr="00B8291F">
        <w:rPr>
          <w:rFonts w:cs="Arial"/>
          <w:color w:val="595959" w:themeColor="text1" w:themeTint="A6"/>
        </w:rPr>
        <w:t xml:space="preserve">En materia de capacitación se implementan renovadas estrategias enfocadas a promover y difundir el Derecho de Acceso a la Información, el fomento a la cultura de la Protección de los Datos Personales y de la apertura Informativa en cumplimiento a las nuevas disposiciones normativas que derivan de la Ley General de Transparencia y Acceso a la Información Pública y de la Ley de Transparencia y Acceso a la Información Pública para el Estado de Quintana Roo. Acciones que son establecidas en los siguientes ejes: </w:t>
      </w:r>
    </w:p>
    <w:p w14:paraId="10F551D2" w14:textId="77777777" w:rsidR="004B2054" w:rsidRDefault="004B2054" w:rsidP="004B2054">
      <w:pPr>
        <w:pStyle w:val="Prrafodelista"/>
        <w:ind w:left="0"/>
        <w:rPr>
          <w:rFonts w:cs="Arial"/>
          <w:b/>
          <w:color w:val="595959" w:themeColor="text1" w:themeTint="A6"/>
        </w:rPr>
      </w:pPr>
    </w:p>
    <w:p w14:paraId="44FA3AA1" w14:textId="77777777" w:rsidR="00C0452C" w:rsidRPr="00B8291F" w:rsidRDefault="00C0452C" w:rsidP="004B2054">
      <w:pPr>
        <w:pStyle w:val="Prrafodelista"/>
        <w:ind w:left="0"/>
        <w:rPr>
          <w:rFonts w:cs="Arial"/>
          <w:b/>
          <w:color w:val="595959" w:themeColor="text1" w:themeTint="A6"/>
        </w:rPr>
      </w:pPr>
      <w:r w:rsidRPr="00B8291F">
        <w:rPr>
          <w:rFonts w:cs="Arial"/>
          <w:b/>
          <w:color w:val="595959" w:themeColor="text1" w:themeTint="A6"/>
        </w:rPr>
        <w:t xml:space="preserve">Capacitación Externa  </w:t>
      </w:r>
    </w:p>
    <w:p w14:paraId="4EA81432" w14:textId="77777777" w:rsidR="00C0452C" w:rsidRPr="00C0452C" w:rsidRDefault="00C0452C" w:rsidP="004B2054">
      <w:pPr>
        <w:rPr>
          <w:rFonts w:cs="Arial"/>
          <w:color w:val="31849B" w:themeColor="accent5" w:themeShade="BF"/>
        </w:rPr>
      </w:pPr>
      <w:r w:rsidRPr="00C0452C">
        <w:rPr>
          <w:color w:val="31849B" w:themeColor="accent5" w:themeShade="BF"/>
        </w:rPr>
        <w:t>S</w:t>
      </w:r>
      <w:r w:rsidRPr="00C0452C">
        <w:rPr>
          <w:rFonts w:cs="Arial"/>
          <w:color w:val="31849B" w:themeColor="accent5" w:themeShade="BF"/>
        </w:rPr>
        <w:t>ector Educativo</w:t>
      </w:r>
    </w:p>
    <w:p w14:paraId="211BA213" w14:textId="77777777" w:rsidR="00C0452C" w:rsidRPr="00B8291F" w:rsidRDefault="00C0452C" w:rsidP="004B2054">
      <w:pPr>
        <w:spacing w:line="360" w:lineRule="auto"/>
        <w:rPr>
          <w:rFonts w:cs="Arial"/>
          <w:color w:val="595959" w:themeColor="text1" w:themeTint="A6"/>
        </w:rPr>
      </w:pPr>
      <w:r w:rsidRPr="00B8291F">
        <w:rPr>
          <w:rFonts w:cs="Arial"/>
          <w:color w:val="595959" w:themeColor="text1" w:themeTint="A6"/>
        </w:rPr>
        <w:t>Cada año se da continuidad a las acciones de capacitación en el sector educativo, con la finalidad de seguir coadyuvando en el fomento de la cultura del Derecho de Acceso a la Información y Protección de Datos Personales, siendo este último, el tema que genera un interés significativo en las redes sociales, debido a que es cada vez  más frecuente el uso de la tecnología a corta edad, en razón de ello y para poder atender  las necesidades detectadas en este sector se determinó actualizar el curso de capacitación “Los valores de la transparencia”, por “Los Valores se aplican y los Datos Personales se protegen”, dirigido a infantes de nivel primaria, sin descuidar a los adolescentes de nivel secundaria con el tema: “Protección de Datos Personales en Redes Sociales” y a los estudiantes de nivel medio superior y superior con el tema: “El ABC de la Transparencia”.</w:t>
      </w:r>
    </w:p>
    <w:p w14:paraId="3C25798F" w14:textId="77777777" w:rsidR="00C0452C" w:rsidRPr="00B8291F" w:rsidRDefault="00C0452C" w:rsidP="004B2054">
      <w:pPr>
        <w:spacing w:line="360" w:lineRule="auto"/>
        <w:rPr>
          <w:rFonts w:cs="Arial"/>
          <w:color w:val="595959" w:themeColor="text1" w:themeTint="A6"/>
        </w:rPr>
      </w:pPr>
      <w:r w:rsidRPr="00B8291F">
        <w:rPr>
          <w:rFonts w:cs="Arial"/>
          <w:color w:val="595959" w:themeColor="text1" w:themeTint="A6"/>
        </w:rPr>
        <w:t>Cabe señalar que el Instituto, permanentemente actualiza el material utilizado para la impartición de los cursos de capacitación, consiente del reto que implica mantener la socialización de los derechos que tutela.</w:t>
      </w:r>
    </w:p>
    <w:p w14:paraId="04B547CF" w14:textId="77777777" w:rsidR="00C0452C" w:rsidRPr="004B2054" w:rsidRDefault="00C0452C" w:rsidP="00C0452C">
      <w:pPr>
        <w:spacing w:line="360" w:lineRule="auto"/>
        <w:rPr>
          <w:rFonts w:cs="Arial"/>
          <w:color w:val="31849B" w:themeColor="accent5" w:themeShade="BF"/>
        </w:rPr>
      </w:pPr>
      <w:r w:rsidRPr="004B2054">
        <w:rPr>
          <w:rFonts w:cs="Arial"/>
          <w:color w:val="31849B" w:themeColor="accent5" w:themeShade="BF"/>
        </w:rPr>
        <w:lastRenderedPageBreak/>
        <w:t>Sector Sujetos Obligados:</w:t>
      </w:r>
    </w:p>
    <w:p w14:paraId="3990700B" w14:textId="77777777" w:rsidR="00C0452C" w:rsidRPr="008F0423" w:rsidRDefault="00C0452C" w:rsidP="004B2054">
      <w:pPr>
        <w:rPr>
          <w:b/>
          <w:color w:val="595959" w:themeColor="text1" w:themeTint="A6"/>
        </w:rPr>
      </w:pPr>
      <w:r w:rsidRPr="00B8291F">
        <w:rPr>
          <w:color w:val="595959" w:themeColor="text1" w:themeTint="A6"/>
        </w:rPr>
        <w:t>Por lo que respecta a los servidores públicos, se trabaja con las nuevas obligaciones que estableció la Ley General de Transparencia y Acceso a la Información Pública, en este sentido, se llevan a cabo de manera coordinada eventos con el Instituto Nacional de Transparencia y Acceso a la Información y Protección de Datos Personales (INAI), con la finalidad de capacitarlos, respecto a esta ley, sus Lineamientos, la Plataforma Nacional y las nuevas obligaciones de transparencia.</w:t>
      </w:r>
      <w:r w:rsidRPr="00B8291F">
        <w:rPr>
          <w:rFonts w:cs="Arial"/>
          <w:color w:val="595959" w:themeColor="text1" w:themeTint="A6"/>
        </w:rPr>
        <w:t xml:space="preserve"> Con la finalidad de que los Sujetos Obligados del Estado, adquieran conocimientos y herramientas, que les permita brindar un mejor servicio en la materia a la población, se armonizaron los contenidos de los cursos que se imparten con la nueva legislación.</w:t>
      </w:r>
    </w:p>
    <w:p w14:paraId="3418B89E" w14:textId="77777777" w:rsidR="00C0452C" w:rsidRDefault="00C0452C" w:rsidP="004B2054">
      <w:pPr>
        <w:rPr>
          <w:rFonts w:cs="Arial"/>
          <w:color w:val="595959" w:themeColor="text1" w:themeTint="A6"/>
        </w:rPr>
      </w:pPr>
    </w:p>
    <w:p w14:paraId="75273766" w14:textId="77777777" w:rsidR="00C0452C" w:rsidRPr="00C0452C" w:rsidRDefault="00C0452C" w:rsidP="00C0452C">
      <w:pPr>
        <w:spacing w:line="360" w:lineRule="auto"/>
        <w:rPr>
          <w:rFonts w:cs="Arial"/>
          <w:color w:val="31849B" w:themeColor="accent5" w:themeShade="BF"/>
        </w:rPr>
      </w:pPr>
      <w:r w:rsidRPr="00C0452C">
        <w:rPr>
          <w:rFonts w:cs="Arial"/>
          <w:color w:val="31849B" w:themeColor="accent5" w:themeShade="BF"/>
        </w:rPr>
        <w:t>Sector Sociedad en General</w:t>
      </w:r>
    </w:p>
    <w:p w14:paraId="7C854959" w14:textId="77777777" w:rsidR="00C0452C" w:rsidRPr="00EF6ACF" w:rsidRDefault="00C0452C" w:rsidP="004B2054">
      <w:pPr>
        <w:rPr>
          <w:color w:val="595959" w:themeColor="text1" w:themeTint="A6"/>
        </w:rPr>
      </w:pPr>
      <w:r w:rsidRPr="00EF6ACF">
        <w:rPr>
          <w:color w:val="595959" w:themeColor="text1" w:themeTint="A6"/>
        </w:rPr>
        <w:t>En ese sentido el IDAIPQROO, se ha comprometido con la sociedad, implementado diversos mecanismos para garantizar la difusión, conocimiento y libre ejercicio para acceder a la información pública y la protección de sus datos personales en los términos establecidos en la Ley de la materia. , siempre con la finalidad de hacer conciencia que estos derechos son herramientas útiles para conocer los resultados de las acciones de las autoridades de gobierno, para tomar mejores decisiones que coadyuven en el mejoramiento de su calidad de vida y con esto fortalecer la democracia.</w:t>
      </w:r>
    </w:p>
    <w:p w14:paraId="205BE0EE" w14:textId="77777777" w:rsidR="00C0452C" w:rsidRPr="00EF6ACF" w:rsidRDefault="00C0452C" w:rsidP="004B2054">
      <w:pPr>
        <w:rPr>
          <w:rFonts w:cs="Arial"/>
          <w:color w:val="595959" w:themeColor="text1" w:themeTint="A6"/>
        </w:rPr>
      </w:pPr>
      <w:r w:rsidRPr="00EF6ACF">
        <w:rPr>
          <w:color w:val="595959" w:themeColor="text1" w:themeTint="A6"/>
        </w:rPr>
        <w:t>Por ello se imparten  cursos de capacitación a la sociedad quintanarroense con temas de transparencia, los cuales tienen como objetivo  dar a conocer la información pública obligatoria que deben publicitar las autoridades de gobierno, así como las atribuciones y facultades que estos tienen en marcadas en la Ley de la materia.</w:t>
      </w:r>
    </w:p>
    <w:p w14:paraId="7FD0DF34" w14:textId="77777777" w:rsidR="00C0452C" w:rsidRPr="00EF6ACF" w:rsidRDefault="00C0452C" w:rsidP="00C0452C">
      <w:pPr>
        <w:pStyle w:val="Prrafodelista"/>
        <w:spacing w:line="360" w:lineRule="auto"/>
        <w:ind w:left="0"/>
        <w:rPr>
          <w:rFonts w:cs="Arial"/>
          <w:color w:val="595959" w:themeColor="text1" w:themeTint="A6"/>
        </w:rPr>
      </w:pPr>
    </w:p>
    <w:p w14:paraId="0B0FB871" w14:textId="77777777" w:rsidR="00C0452C" w:rsidRPr="00B8291F" w:rsidRDefault="00C0452C" w:rsidP="00C0452C">
      <w:pPr>
        <w:pStyle w:val="Prrafodelista"/>
        <w:spacing w:line="360" w:lineRule="auto"/>
        <w:ind w:left="0"/>
        <w:rPr>
          <w:rFonts w:cs="Arial"/>
          <w:b/>
          <w:color w:val="595959" w:themeColor="text1" w:themeTint="A6"/>
        </w:rPr>
      </w:pPr>
      <w:r w:rsidRPr="00B8291F">
        <w:rPr>
          <w:rFonts w:cs="Arial"/>
          <w:b/>
          <w:color w:val="595959" w:themeColor="text1" w:themeTint="A6"/>
        </w:rPr>
        <w:t xml:space="preserve">Capacitación Interna </w:t>
      </w:r>
    </w:p>
    <w:p w14:paraId="752385EA" w14:textId="77777777" w:rsidR="00C0452C" w:rsidRPr="00EF6ACF" w:rsidRDefault="00C0452C" w:rsidP="004B2054">
      <w:pPr>
        <w:pStyle w:val="Prrafodelista"/>
        <w:ind w:left="0"/>
        <w:rPr>
          <w:rFonts w:cs="Arial"/>
          <w:color w:val="595959" w:themeColor="text1" w:themeTint="A6"/>
        </w:rPr>
      </w:pPr>
      <w:r w:rsidRPr="00EF6ACF">
        <w:rPr>
          <w:rFonts w:cs="Arial"/>
          <w:color w:val="595959" w:themeColor="text1" w:themeTint="A6"/>
        </w:rPr>
        <w:t>Profesionalización de los Servidores Públicos del IDAIPQROO</w:t>
      </w:r>
    </w:p>
    <w:p w14:paraId="07AD4B68" w14:textId="336F5F04" w:rsidR="00C0452C" w:rsidRDefault="00C0452C" w:rsidP="004B2054">
      <w:pPr>
        <w:pStyle w:val="Prrafodelista"/>
        <w:ind w:left="0"/>
        <w:rPr>
          <w:rFonts w:cs="Arial"/>
          <w:color w:val="595959" w:themeColor="text1" w:themeTint="A6"/>
        </w:rPr>
      </w:pPr>
      <w:r w:rsidRPr="00EF6ACF">
        <w:rPr>
          <w:rFonts w:cs="SoberanaSans-Regular"/>
          <w:color w:val="595959" w:themeColor="text1" w:themeTint="A6"/>
        </w:rPr>
        <w:t>La capacitación del personal del Instituto se ha intensificado, priorizando la asistencia a eventos cuya temática esté basada en temas de actualidad con contenidos diferentes que</w:t>
      </w:r>
      <w:r w:rsidRPr="00EF6ACF">
        <w:rPr>
          <w:rFonts w:cs="Arial"/>
          <w:b/>
          <w:color w:val="595959" w:themeColor="text1" w:themeTint="A6"/>
        </w:rPr>
        <w:t xml:space="preserve"> </w:t>
      </w:r>
      <w:r w:rsidRPr="00EF6ACF">
        <w:rPr>
          <w:rFonts w:cs="Arial"/>
          <w:color w:val="595959" w:themeColor="text1" w:themeTint="A6"/>
        </w:rPr>
        <w:t>permitan la actualización continua en materia de Transparencia.</w:t>
      </w:r>
    </w:p>
    <w:p w14:paraId="1E3276E0" w14:textId="2F94BACF" w:rsidR="00C0452C" w:rsidRPr="00EF6ACF" w:rsidRDefault="00C0452C" w:rsidP="004B2054">
      <w:pPr>
        <w:rPr>
          <w:color w:val="595959" w:themeColor="text1" w:themeTint="A6"/>
        </w:rPr>
      </w:pPr>
      <w:r w:rsidRPr="00EF6ACF">
        <w:rPr>
          <w:color w:val="595959" w:themeColor="text1" w:themeTint="A6"/>
        </w:rPr>
        <w:lastRenderedPageBreak/>
        <w:t xml:space="preserve">El trabajo </w:t>
      </w:r>
      <w:r>
        <w:rPr>
          <w:color w:val="595959" w:themeColor="text1" w:themeTint="A6"/>
        </w:rPr>
        <w:t>continuo durante trece</w:t>
      </w:r>
      <w:r w:rsidRPr="00EF6ACF">
        <w:rPr>
          <w:color w:val="595959" w:themeColor="text1" w:themeTint="A6"/>
        </w:rPr>
        <w:t xml:space="preserve"> años en materia de capacitación ha sido uno de los  ejes fundamentales e indicadores para el IDAIP, el cual tiene por </w:t>
      </w:r>
      <w:r w:rsidRPr="00D51A67">
        <w:rPr>
          <w:color w:val="595959" w:themeColor="text1" w:themeTint="A6"/>
        </w:rPr>
        <w:t>objetivo dar a conocer las obligaciones de los Sujetos Obligados y cómo ejercer los Derechos de Acceso a la Información y   Protección de Datos Personales. Al día de hoy, estas acciones dan como resultado un total</w:t>
      </w:r>
      <w:r w:rsidR="00E80265">
        <w:rPr>
          <w:color w:val="595959" w:themeColor="text1" w:themeTint="A6"/>
        </w:rPr>
        <w:t xml:space="preserve"> de 171,415</w:t>
      </w:r>
      <w:r w:rsidRPr="00EF6ACF">
        <w:rPr>
          <w:color w:val="595959" w:themeColor="text1" w:themeTint="A6"/>
        </w:rPr>
        <w:t xml:space="preserve"> personas capaci</w:t>
      </w:r>
      <w:r w:rsidR="0011110A">
        <w:rPr>
          <w:color w:val="595959" w:themeColor="text1" w:themeTint="A6"/>
        </w:rPr>
        <w:t>tadas entre los años 2007 y 2019</w:t>
      </w:r>
      <w:r w:rsidRPr="00EF6ACF">
        <w:rPr>
          <w:color w:val="595959" w:themeColor="text1" w:themeTint="A6"/>
        </w:rPr>
        <w:t xml:space="preserve"> tal como se muestra a continuación:</w:t>
      </w:r>
    </w:p>
    <w:p w14:paraId="0F1A5988" w14:textId="77777777" w:rsidR="00B545F3" w:rsidRPr="00F765C3" w:rsidRDefault="00B545F3" w:rsidP="00B545F3">
      <w:pPr>
        <w:rPr>
          <w:rFonts w:eastAsia="Times New Roman" w:cs="Futura"/>
          <w:color w:val="595959"/>
        </w:rPr>
      </w:pPr>
    </w:p>
    <w:p w14:paraId="0B03B5E9" w14:textId="77777777" w:rsidR="004B2054" w:rsidRDefault="004B2054" w:rsidP="00AC3871">
      <w:pPr>
        <w:pStyle w:val="Epgrafe"/>
      </w:pPr>
    </w:p>
    <w:p w14:paraId="28666903" w14:textId="77777777" w:rsidR="004B2054" w:rsidRDefault="004B2054" w:rsidP="00AC3871">
      <w:pPr>
        <w:pStyle w:val="Epgrafe"/>
      </w:pPr>
    </w:p>
    <w:p w14:paraId="7BD768DC" w14:textId="77777777" w:rsidR="004B2054" w:rsidRDefault="004B2054" w:rsidP="00AC3871">
      <w:pPr>
        <w:pStyle w:val="Epgrafe"/>
      </w:pPr>
    </w:p>
    <w:p w14:paraId="27A51E2B" w14:textId="77777777" w:rsidR="000557ED" w:rsidRDefault="000557ED" w:rsidP="000557ED">
      <w:pPr>
        <w:rPr>
          <w:lang w:val="es-MX" w:eastAsia="en-US"/>
        </w:rPr>
      </w:pPr>
    </w:p>
    <w:p w14:paraId="04831B49" w14:textId="77777777" w:rsidR="000557ED" w:rsidRDefault="000557ED" w:rsidP="000557ED">
      <w:pPr>
        <w:rPr>
          <w:lang w:val="es-MX" w:eastAsia="en-US"/>
        </w:rPr>
      </w:pPr>
    </w:p>
    <w:p w14:paraId="34BA73D2" w14:textId="77777777" w:rsidR="000557ED" w:rsidRDefault="000557ED" w:rsidP="000557ED">
      <w:pPr>
        <w:rPr>
          <w:lang w:val="es-MX" w:eastAsia="en-US"/>
        </w:rPr>
      </w:pPr>
    </w:p>
    <w:p w14:paraId="6FFA10E2" w14:textId="77777777" w:rsidR="000557ED" w:rsidRDefault="000557ED" w:rsidP="000557ED">
      <w:pPr>
        <w:rPr>
          <w:lang w:val="es-MX" w:eastAsia="en-US"/>
        </w:rPr>
      </w:pPr>
    </w:p>
    <w:p w14:paraId="6766A6E2" w14:textId="77777777" w:rsidR="000557ED" w:rsidRPr="000557ED" w:rsidRDefault="000557ED" w:rsidP="000557ED">
      <w:pPr>
        <w:rPr>
          <w:lang w:val="es-MX" w:eastAsia="en-US"/>
        </w:rPr>
      </w:pPr>
    </w:p>
    <w:p w14:paraId="11DEB8C9" w14:textId="77777777" w:rsidR="004B2054" w:rsidRDefault="004B2054" w:rsidP="00AC3871">
      <w:pPr>
        <w:pStyle w:val="Epgrafe"/>
      </w:pPr>
    </w:p>
    <w:p w14:paraId="65531D86" w14:textId="2381A26B" w:rsidR="004F0477" w:rsidRPr="00F765C3" w:rsidRDefault="0011110A" w:rsidP="00AC3871">
      <w:pPr>
        <w:pStyle w:val="Epgrafe"/>
      </w:pPr>
      <w:r>
        <w:t xml:space="preserve">Personas Capacitadas </w:t>
      </w:r>
    </w:p>
    <w:p w14:paraId="40A079EB" w14:textId="7FA906F1" w:rsidR="004F0477" w:rsidRPr="00F765C3" w:rsidRDefault="00C0452C" w:rsidP="00AC3871">
      <w:pPr>
        <w:pStyle w:val="Epgrafe"/>
      </w:pPr>
      <w:r>
        <w:t>(2007-2019</w:t>
      </w:r>
      <w:r w:rsidR="004F0477" w:rsidRPr="00F765C3">
        <w:t>)</w:t>
      </w:r>
    </w:p>
    <w:p w14:paraId="3A5ACF0D" w14:textId="48C5ED6E" w:rsidR="004B6B72" w:rsidRDefault="00B545F3" w:rsidP="006372CE">
      <w:pPr>
        <w:jc w:val="left"/>
        <w:rPr>
          <w:rFonts w:eastAsia="Times New Roman" w:cs="Futura"/>
          <w:color w:val="595959"/>
          <w:sz w:val="16"/>
        </w:rPr>
      </w:pPr>
      <w:r w:rsidRPr="00F765C3">
        <w:rPr>
          <w:rFonts w:eastAsia="Calibri" w:cs="Times New Roman"/>
          <w:noProof/>
          <w:color w:val="595959"/>
          <w:szCs w:val="22"/>
          <w:lang w:val="es-MX" w:eastAsia="es-MX"/>
        </w:rPr>
        <w:lastRenderedPageBreak/>
        <w:drawing>
          <wp:inline distT="0" distB="0" distL="0" distR="0" wp14:anchorId="0708333A" wp14:editId="754EBD22">
            <wp:extent cx="6419850" cy="2510155"/>
            <wp:effectExtent l="0" t="0" r="0" b="4445"/>
            <wp:docPr id="7"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E0509" w:rsidRPr="00F765C3">
        <w:rPr>
          <w:rFonts w:eastAsia="Times New Roman" w:cs="Futura"/>
          <w:color w:val="595959"/>
          <w:sz w:val="16"/>
        </w:rPr>
        <w:t>Fuente:</w:t>
      </w:r>
      <w:r w:rsidR="00E80265">
        <w:rPr>
          <w:rFonts w:eastAsia="Times New Roman" w:cs="Futura"/>
          <w:color w:val="595959"/>
          <w:sz w:val="16"/>
        </w:rPr>
        <w:t xml:space="preserve"> Coordinación de Capacitación del IDAIPQROO</w:t>
      </w:r>
    </w:p>
    <w:p w14:paraId="2863AA0C" w14:textId="77777777" w:rsidR="004B2054" w:rsidRPr="004B6B72" w:rsidRDefault="004B2054" w:rsidP="004B6B72">
      <w:pPr>
        <w:jc w:val="center"/>
        <w:rPr>
          <w:rFonts w:eastAsia="Calibri" w:cs="Times New Roman"/>
          <w:color w:val="595959"/>
          <w:szCs w:val="22"/>
          <w:lang w:val="es-MX" w:eastAsia="en-US"/>
        </w:rPr>
      </w:pPr>
    </w:p>
    <w:p w14:paraId="515B2F55" w14:textId="3233B017" w:rsidR="004B6B72" w:rsidRDefault="004B6B72" w:rsidP="004B2054">
      <w:pPr>
        <w:rPr>
          <w:color w:val="595959" w:themeColor="text1" w:themeTint="A6"/>
          <w:lang w:val="es-MX"/>
        </w:rPr>
      </w:pPr>
      <w:r w:rsidRPr="00EF6ACF">
        <w:rPr>
          <w:color w:val="595959" w:themeColor="text1" w:themeTint="A6"/>
          <w:lang w:val="es-MX"/>
        </w:rPr>
        <w:t>El desconocimiento de los temas que se han ido ampliando en nuestro país  en materia de acceso a la información y transparencia, puede generar obstáculos para el cumplimiento y progresividad de los mismos, por ello, la disposición que tiene este órgano garante es que haya una capacitación continua y especializada en los tres sectores de la sociedad, las cuales son constantes, para contribuir a la sensibilización  y mejor percepción de la naturaleza y alcance de los derechos de Acceso a la Información y Transparencia.</w:t>
      </w:r>
    </w:p>
    <w:p w14:paraId="03F71E87" w14:textId="77777777" w:rsidR="004B6B72" w:rsidRDefault="004B6B72" w:rsidP="004B6B72">
      <w:pPr>
        <w:spacing w:line="360" w:lineRule="auto"/>
        <w:rPr>
          <w:color w:val="595959" w:themeColor="text1" w:themeTint="A6"/>
          <w:lang w:val="es-MX"/>
        </w:rPr>
      </w:pPr>
    </w:p>
    <w:p w14:paraId="3FDC644A" w14:textId="77777777" w:rsidR="004B2054" w:rsidRDefault="004B2054" w:rsidP="004B6B72">
      <w:pPr>
        <w:spacing w:line="360" w:lineRule="auto"/>
        <w:rPr>
          <w:color w:val="595959" w:themeColor="text1" w:themeTint="A6"/>
          <w:lang w:val="es-MX"/>
        </w:rPr>
      </w:pPr>
    </w:p>
    <w:p w14:paraId="05003BE2" w14:textId="77777777" w:rsidR="004B2054" w:rsidRPr="004B6B72" w:rsidRDefault="004B2054" w:rsidP="004B6B72">
      <w:pPr>
        <w:spacing w:line="360" w:lineRule="auto"/>
        <w:rPr>
          <w:color w:val="595959" w:themeColor="text1" w:themeTint="A6"/>
          <w:lang w:val="es-MX"/>
        </w:rPr>
      </w:pPr>
    </w:p>
    <w:p w14:paraId="1B960D28" w14:textId="77777777" w:rsidR="004B6B72" w:rsidRPr="004B2054" w:rsidRDefault="004B6B72" w:rsidP="004B6B72">
      <w:pPr>
        <w:spacing w:line="360" w:lineRule="auto"/>
        <w:rPr>
          <w:b/>
          <w:color w:val="31849B" w:themeColor="accent5" w:themeShade="BF"/>
          <w:sz w:val="28"/>
          <w:szCs w:val="28"/>
        </w:rPr>
      </w:pPr>
      <w:r w:rsidRPr="004B2054">
        <w:rPr>
          <w:rStyle w:val="Referenciasutil"/>
          <w:b/>
          <w:color w:val="31849B" w:themeColor="accent5" w:themeShade="BF"/>
          <w:sz w:val="28"/>
          <w:szCs w:val="28"/>
          <w:u w:val="none"/>
          <w:lang w:val="es-MX"/>
        </w:rPr>
        <w:t xml:space="preserve">Solicitudes de Información Pública Procesadas por los Sujetos Obligados del Estado de Quintana Roo </w:t>
      </w:r>
    </w:p>
    <w:p w14:paraId="66836922" w14:textId="77777777" w:rsidR="004B6B72" w:rsidRPr="00EF6ACF" w:rsidRDefault="004B6B72" w:rsidP="004B2054">
      <w:pPr>
        <w:rPr>
          <w:rFonts w:cs="Arial"/>
          <w:bCs/>
          <w:color w:val="595959" w:themeColor="text1" w:themeTint="A6"/>
          <w:lang w:val="es-ES"/>
        </w:rPr>
      </w:pPr>
      <w:r w:rsidRPr="00EF6ACF">
        <w:rPr>
          <w:rFonts w:cs="Arial"/>
          <w:bCs/>
          <w:color w:val="595959" w:themeColor="text1" w:themeTint="A6"/>
          <w:lang w:val="es-ES"/>
        </w:rPr>
        <w:lastRenderedPageBreak/>
        <w:t>El Instituto de Acceso a la Información y Protección de Datos Personales de Quintana Roo (IDAIPQROO) realiza una labor de sensibilización y trabajo coordinado con los Sujetos que contempla la nueva Ley de Transparencia y Acceso a la Información Pública para el Estado de Quintana Roo (LTAIPQROO), marco normativo armonizado con la Ley General de Transparencia y Acceso a la Información, que contempla además de nuevas atribuciones una ampliación de los entes públicos que se encuentran obligados a observar la Ley.</w:t>
      </w:r>
    </w:p>
    <w:p w14:paraId="5A6520A1" w14:textId="77777777" w:rsidR="004B6B72" w:rsidRPr="00EF6ACF" w:rsidRDefault="004B6B72" w:rsidP="004B2054">
      <w:pPr>
        <w:rPr>
          <w:rFonts w:cs="Arial"/>
          <w:bCs/>
          <w:color w:val="595959" w:themeColor="text1" w:themeTint="A6"/>
          <w:lang w:val="es-ES"/>
        </w:rPr>
      </w:pPr>
      <w:r w:rsidRPr="00EF6ACF">
        <w:rPr>
          <w:rFonts w:cs="Arial"/>
          <w:bCs/>
          <w:color w:val="595959" w:themeColor="text1" w:themeTint="A6"/>
          <w:lang w:val="es-ES"/>
        </w:rPr>
        <w:t xml:space="preserve">La LTAIPQROO que entró en vigor en mayo de 2016, en su artículo 52, define a los Sujetos Obligados de la siguiente manera: </w:t>
      </w:r>
    </w:p>
    <w:p w14:paraId="74A1B42D" w14:textId="77777777" w:rsidR="004B6B72" w:rsidRPr="002A6A4E" w:rsidRDefault="004B6B72" w:rsidP="004B6B72">
      <w:pPr>
        <w:spacing w:line="360" w:lineRule="auto"/>
        <w:ind w:left="567" w:right="616"/>
        <w:rPr>
          <w:rFonts w:cs="Arial"/>
          <w:bCs/>
          <w:color w:val="595959" w:themeColor="text1" w:themeTint="A6"/>
          <w:lang w:val="es-ES"/>
        </w:rPr>
      </w:pPr>
      <w:r w:rsidRPr="002A6A4E">
        <w:rPr>
          <w:rFonts w:cs="Arial"/>
          <w:bCs/>
          <w:color w:val="595959" w:themeColor="text1" w:themeTint="A6"/>
          <w:lang w:val="es-ES"/>
        </w:rPr>
        <w:t>“Son sujetos obligados a transparentar y permitir el acceso a su información y proteger los datos personales que obren en su poder: cualquier autoridad, entidad, órgano y organismo de los Poderes Ejecutivo, Legislativo y Judicial, municipio, órganos autónomos, partidos políticos, fideicomisos y fondos públicos, así como cualquier persona física, moral o sindicato que reciba y ejerza recursos públicos o realice actos de autoridad en el Estado”</w:t>
      </w:r>
      <w:r w:rsidRPr="002A6A4E">
        <w:rPr>
          <w:rFonts w:cs="Arial"/>
          <w:bCs/>
          <w:noProof/>
          <w:color w:val="595959" w:themeColor="text1" w:themeTint="A6"/>
          <w:lang w:val="es-MX" w:eastAsia="es-MX"/>
        </w:rPr>
        <w:t xml:space="preserve"> </w:t>
      </w:r>
    </w:p>
    <w:p w14:paraId="7A8A0D91" w14:textId="77777777" w:rsidR="004B6B72" w:rsidRPr="00EF6ACF" w:rsidRDefault="004B6B72" w:rsidP="004B6B72">
      <w:pPr>
        <w:rPr>
          <w:color w:val="595959" w:themeColor="text1" w:themeTint="A6"/>
        </w:rPr>
      </w:pPr>
    </w:p>
    <w:p w14:paraId="1D37712F" w14:textId="6A16E579" w:rsidR="004B6B72" w:rsidRPr="00CB0E05" w:rsidRDefault="004B6B72" w:rsidP="004B2054">
      <w:pPr>
        <w:rPr>
          <w:rFonts w:cs="Arial"/>
          <w:bCs/>
          <w:color w:val="595959" w:themeColor="text1" w:themeTint="A6"/>
          <w:lang w:val="es-ES"/>
        </w:rPr>
      </w:pPr>
      <w:r w:rsidRPr="00CB0E05">
        <w:rPr>
          <w:rFonts w:cs="Arial"/>
          <w:bCs/>
          <w:color w:val="595959" w:themeColor="text1" w:themeTint="A6"/>
          <w:lang w:val="es-ES"/>
        </w:rPr>
        <w:t>Es así como el padrón de Sujetos Obligados</w:t>
      </w:r>
      <w:r>
        <w:rPr>
          <w:rFonts w:cs="Arial"/>
          <w:bCs/>
          <w:color w:val="595959" w:themeColor="text1" w:themeTint="A6"/>
          <w:lang w:val="es-ES"/>
        </w:rPr>
        <w:t xml:space="preserve"> en la entidad paso a 105, que comprende los 3 Poderes del Estado, 7</w:t>
      </w:r>
      <w:r w:rsidRPr="00CB0E05">
        <w:rPr>
          <w:rFonts w:cs="Arial"/>
          <w:bCs/>
          <w:color w:val="595959" w:themeColor="text1" w:themeTint="A6"/>
          <w:lang w:val="es-ES"/>
        </w:rPr>
        <w:t xml:space="preserve"> Órganos </w:t>
      </w:r>
      <w:r>
        <w:rPr>
          <w:rFonts w:cs="Arial"/>
          <w:bCs/>
          <w:color w:val="595959" w:themeColor="text1" w:themeTint="A6"/>
          <w:lang w:val="es-ES"/>
        </w:rPr>
        <w:t>Autónomos y 11 Municipios, a 105</w:t>
      </w:r>
      <w:r w:rsidRPr="00CB0E05">
        <w:rPr>
          <w:rFonts w:cs="Arial"/>
          <w:bCs/>
          <w:color w:val="595959" w:themeColor="text1" w:themeTint="A6"/>
          <w:lang w:val="es-ES"/>
        </w:rPr>
        <w:t xml:space="preserve"> Sujetos Obligados que </w:t>
      </w:r>
      <w:r>
        <w:rPr>
          <w:rFonts w:cs="Arial"/>
          <w:bCs/>
          <w:color w:val="595959" w:themeColor="text1" w:themeTint="A6"/>
          <w:lang w:val="es-ES"/>
        </w:rPr>
        <w:t>además de incluir los veintiuno</w:t>
      </w:r>
      <w:r w:rsidRPr="00CB0E05">
        <w:rPr>
          <w:rFonts w:cs="Arial"/>
          <w:bCs/>
          <w:color w:val="595959" w:themeColor="text1" w:themeTint="A6"/>
          <w:lang w:val="es-ES"/>
        </w:rPr>
        <w:t xml:space="preserve"> ya </w:t>
      </w:r>
      <w:r>
        <w:rPr>
          <w:rFonts w:cs="Arial"/>
          <w:bCs/>
          <w:color w:val="595959" w:themeColor="text1" w:themeTint="A6"/>
          <w:lang w:val="es-ES"/>
        </w:rPr>
        <w:t>mencionados se desagregan los 77</w:t>
      </w:r>
      <w:r w:rsidRPr="00CB0E05">
        <w:rPr>
          <w:rFonts w:cs="Arial"/>
          <w:bCs/>
          <w:color w:val="595959" w:themeColor="text1" w:themeTint="A6"/>
          <w:lang w:val="es-ES"/>
        </w:rPr>
        <w:t xml:space="preserve"> entes que </w:t>
      </w:r>
      <w:r>
        <w:rPr>
          <w:rFonts w:cs="Arial"/>
          <w:bCs/>
          <w:color w:val="595959" w:themeColor="text1" w:themeTint="A6"/>
          <w:lang w:val="es-ES"/>
        </w:rPr>
        <w:t>componen el Poder Ejecutivo, los 11</w:t>
      </w:r>
      <w:r w:rsidRPr="00CB0E05">
        <w:rPr>
          <w:rFonts w:cs="Arial"/>
          <w:bCs/>
          <w:color w:val="595959" w:themeColor="text1" w:themeTint="A6"/>
          <w:lang w:val="es-ES"/>
        </w:rPr>
        <w:t xml:space="preserve"> Partidos Políticos que operan en el </w:t>
      </w:r>
      <w:r>
        <w:rPr>
          <w:rFonts w:cs="Arial"/>
          <w:bCs/>
          <w:color w:val="595959" w:themeColor="text1" w:themeTint="A6"/>
          <w:lang w:val="es-ES"/>
        </w:rPr>
        <w:t>Estado y una Asociación Política.</w:t>
      </w:r>
    </w:p>
    <w:p w14:paraId="72FDD523" w14:textId="77777777" w:rsidR="004B6B72" w:rsidRPr="00CB0E05" w:rsidRDefault="004B6B72" w:rsidP="004B2054">
      <w:pPr>
        <w:rPr>
          <w:rFonts w:cs="Arial"/>
          <w:bCs/>
          <w:color w:val="595959" w:themeColor="text1" w:themeTint="A6"/>
          <w:lang w:val="es-ES"/>
        </w:rPr>
      </w:pPr>
      <w:r w:rsidRPr="00CB0E05">
        <w:rPr>
          <w:rFonts w:cs="Arial"/>
          <w:bCs/>
          <w:color w:val="595959" w:themeColor="text1" w:themeTint="A6"/>
          <w:lang w:val="es-ES"/>
        </w:rPr>
        <w:t>En este contexto el padrón de los Sujetos Obligados  representa una herramienta de análisis que está en constante transformación, atendiendo las necesidades de desarrollo de nuestra entidad y de los subsecuentes cambios en la administración pública al interior de los tres órdenes de gobierno y en los niveles municipal y estatal.</w:t>
      </w:r>
    </w:p>
    <w:p w14:paraId="0EE6A158" w14:textId="77777777" w:rsidR="004B6B72" w:rsidRPr="00CB0E05" w:rsidRDefault="004B6B72" w:rsidP="004B2054">
      <w:pPr>
        <w:rPr>
          <w:rFonts w:cs="Arial"/>
          <w:bCs/>
          <w:color w:val="595959" w:themeColor="text1" w:themeTint="A6"/>
          <w:lang w:val="es-ES"/>
        </w:rPr>
      </w:pPr>
      <w:r w:rsidRPr="00CB0E05">
        <w:rPr>
          <w:rFonts w:cs="Arial"/>
          <w:bCs/>
          <w:color w:val="595959" w:themeColor="text1" w:themeTint="A6"/>
          <w:lang w:val="es-ES"/>
        </w:rPr>
        <w:t xml:space="preserve">Es importante mencionar que dentro de las modificaciones estructurales que trajo consigo el nuevo instrumento legal en materia de Transparencia, fue generar un enfoque de atención más directo entre la sociedad y las instituciones, fortaleciendo la sinergia entre ambas figuras al instalarse las Unidades </w:t>
      </w:r>
      <w:r w:rsidRPr="00CB0E05">
        <w:rPr>
          <w:rFonts w:cs="Arial"/>
          <w:bCs/>
          <w:color w:val="595959" w:themeColor="text1" w:themeTint="A6"/>
          <w:lang w:val="es-ES"/>
        </w:rPr>
        <w:lastRenderedPageBreak/>
        <w:t>de Transparencia, Acceso a la Información Pública y Protección de Datos Personales (U.T.) en cada uno de los Sujetos Obligados previstos en la Ley.</w:t>
      </w:r>
    </w:p>
    <w:p w14:paraId="40C869BC" w14:textId="77777777" w:rsidR="004B6B72" w:rsidRPr="00CB0E05" w:rsidRDefault="004B6B72" w:rsidP="004B2054">
      <w:pPr>
        <w:rPr>
          <w:rFonts w:cs="Arial"/>
          <w:bCs/>
          <w:color w:val="595959" w:themeColor="text1" w:themeTint="A6"/>
          <w:lang w:val="es-ES"/>
        </w:rPr>
      </w:pPr>
      <w:r w:rsidRPr="00CB0E05">
        <w:rPr>
          <w:rFonts w:cs="Arial"/>
          <w:bCs/>
          <w:color w:val="595959" w:themeColor="text1" w:themeTint="A6"/>
          <w:lang w:val="es-ES"/>
        </w:rPr>
        <w:t>Dicho proceso organizacional detalla que el Sujeto Obligado  que mayor cambio mostró fue el Poder Ejecutivo del Estado, pues para atender las necesidades de Acceso a la Información de la sociedad, fue ineludible la publicación del acuerdo de extinción de la Unidad de Transparencia y Acceso a la Información del Poder Ejecutivo (UTAIPPE) el 29 de julio del año 2016, figura responsable de procesar y atender las Solicitudes de Información  desde el año 2005.</w:t>
      </w:r>
    </w:p>
    <w:p w14:paraId="638D370C" w14:textId="77777777" w:rsidR="004B6B72" w:rsidRPr="00CB0E05" w:rsidRDefault="004B6B72" w:rsidP="004B2054">
      <w:pPr>
        <w:rPr>
          <w:rFonts w:cs="Arial"/>
          <w:bCs/>
          <w:color w:val="595959" w:themeColor="text1" w:themeTint="A6"/>
          <w:lang w:val="es-ES"/>
        </w:rPr>
      </w:pPr>
      <w:r w:rsidRPr="00CB0E05">
        <w:rPr>
          <w:rFonts w:cs="Arial"/>
          <w:bCs/>
          <w:color w:val="595959" w:themeColor="text1" w:themeTint="A6"/>
          <w:lang w:val="es-ES"/>
        </w:rPr>
        <w:t>Como resultado de la conclusión de la UTAIPPE como figura concentradora del Poder Ejecutivo en temas de Transparencia y Acceso a la Información, el Pleno del Instituto, en su calidad de Órgano Garante en la entidad, emitió un acuerdo el 4 de julio del 2016 con fines de carácter operativo respecto a la gestión de las solicitudes de información en el Sistema INFOMEX; determinando que a partir del primero de septiembre de ese mismo año, el ejercicio del Derecho de Acceso a la Información pública será atendido por cada una de las dependencias, entidades, órganos, organismos, fideicomisos y fondos públicos del Poder Ejecutivo y que por tanto la UTAIPPE sería responsable de la atención de las solicitudes hasta el día 31 del mes de agosto del año 2016.</w:t>
      </w:r>
    </w:p>
    <w:p w14:paraId="3B85BAD3" w14:textId="77777777" w:rsidR="004B6B72" w:rsidRPr="00CB0E05" w:rsidRDefault="004B6B72" w:rsidP="004B6B72">
      <w:pPr>
        <w:spacing w:line="360" w:lineRule="auto"/>
        <w:rPr>
          <w:rFonts w:cs="Arial"/>
          <w:bCs/>
          <w:color w:val="595959" w:themeColor="text1" w:themeTint="A6"/>
          <w:lang w:val="es-ES"/>
        </w:rPr>
      </w:pPr>
      <w:r w:rsidRPr="00CB0E05">
        <w:rPr>
          <w:rFonts w:cs="Arial"/>
          <w:bCs/>
          <w:color w:val="595959" w:themeColor="text1" w:themeTint="A6"/>
          <w:lang w:val="es-ES"/>
        </w:rPr>
        <w:t xml:space="preserve">Ante el nuevo panorama, las instituciones que componen el ejecutivo en la entidad, se vieron en la imperante necesidad de cumplir con los objetivos que plantea la Ley en la materia e involucrarse en la atención directa a la sociedad y permitir que la información gubernamental sea accesible para todos. </w:t>
      </w:r>
    </w:p>
    <w:p w14:paraId="145D06F9" w14:textId="77777777" w:rsidR="004B6B72" w:rsidRPr="00CB0E05" w:rsidRDefault="004B6B72" w:rsidP="004B2054">
      <w:pPr>
        <w:rPr>
          <w:rFonts w:cs="Arial"/>
          <w:bCs/>
          <w:color w:val="595959" w:themeColor="text1" w:themeTint="A6"/>
          <w:lang w:val="es-ES"/>
        </w:rPr>
      </w:pPr>
      <w:r w:rsidRPr="00CB0E05">
        <w:rPr>
          <w:rFonts w:cs="Arial"/>
          <w:bCs/>
          <w:color w:val="595959" w:themeColor="text1" w:themeTint="A6"/>
          <w:lang w:val="es-ES"/>
        </w:rPr>
        <w:t>Para el IDAIPQROO ha sido una prioridad inmediata colaborar estrechamente con las instituciones en este proceso, a fin de que estén en la posibilidad de atender de manera directa las solicitudes de información y apoyarlos con asistencia técnica para que puedan realizar los ajustes necesarios para realizar la instalación de sus Unidades y Comités de Transparencia, así como llevar a cabo la armonización de su normatividad.</w:t>
      </w:r>
    </w:p>
    <w:p w14:paraId="4FE13B86" w14:textId="77777777" w:rsidR="004B6B72" w:rsidRPr="00CB0E05" w:rsidRDefault="004B6B72" w:rsidP="004B2054">
      <w:pPr>
        <w:rPr>
          <w:rFonts w:cs="Arial"/>
          <w:bCs/>
          <w:color w:val="595959" w:themeColor="text1" w:themeTint="A6"/>
          <w:lang w:val="es-ES"/>
        </w:rPr>
      </w:pPr>
      <w:r w:rsidRPr="00CB0E05">
        <w:rPr>
          <w:rFonts w:cs="Arial"/>
          <w:bCs/>
          <w:color w:val="595959" w:themeColor="text1" w:themeTint="A6"/>
          <w:lang w:val="es-ES"/>
        </w:rPr>
        <w:t>Es por ello que el  objetivo primordial que se persigue  es dar a conocer a los quintanarroenses y a todos los interesados en la materia, el fenómeno de participación de los diferentes sectores de la sociedad en mostrar su interés respecto al quehacer público y su nivel de involucramiento con las instituciones públicas.</w:t>
      </w:r>
    </w:p>
    <w:p w14:paraId="0EB55EF2" w14:textId="77777777" w:rsidR="004B6B72" w:rsidRDefault="004B6B72" w:rsidP="004B2054">
      <w:pPr>
        <w:rPr>
          <w:rFonts w:cs="Arial"/>
          <w:bCs/>
          <w:color w:val="595959" w:themeColor="text1" w:themeTint="A6"/>
          <w:lang w:val="es-ES"/>
        </w:rPr>
      </w:pPr>
      <w:r w:rsidRPr="00CB0E05">
        <w:rPr>
          <w:rFonts w:cs="Arial"/>
          <w:bCs/>
          <w:color w:val="595959" w:themeColor="text1" w:themeTint="A6"/>
          <w:lang w:val="es-ES"/>
        </w:rPr>
        <w:lastRenderedPageBreak/>
        <w:t xml:space="preserve">El IDAIPQROO, se abre no sólo a nueva etapa en la consolidación de la democracia en el Estado, sino que motiva a la sociedad a participar de manera más directa a través del ejercicio del derecho humano de Acceso a la Información Pública. </w:t>
      </w:r>
    </w:p>
    <w:p w14:paraId="61FACCBF" w14:textId="77777777" w:rsidR="004B2054" w:rsidRDefault="004B2054" w:rsidP="004B2054">
      <w:pPr>
        <w:rPr>
          <w:rFonts w:cs="Arial"/>
          <w:bCs/>
          <w:color w:val="595959" w:themeColor="text1" w:themeTint="A6"/>
          <w:lang w:val="es-ES"/>
        </w:rPr>
      </w:pPr>
    </w:p>
    <w:p w14:paraId="6D8D9406" w14:textId="77777777" w:rsidR="004B2054" w:rsidRPr="00CB0E05" w:rsidRDefault="004B2054" w:rsidP="004B2054">
      <w:pPr>
        <w:rPr>
          <w:rFonts w:cs="Arial"/>
          <w:bCs/>
          <w:color w:val="595959" w:themeColor="text1" w:themeTint="A6"/>
          <w:lang w:val="es-ES"/>
        </w:rPr>
      </w:pPr>
    </w:p>
    <w:p w14:paraId="0718C131" w14:textId="77777777" w:rsidR="004B6B72" w:rsidRPr="004B2054" w:rsidRDefault="004B6B72" w:rsidP="004B6B72">
      <w:pPr>
        <w:spacing w:line="360" w:lineRule="auto"/>
        <w:rPr>
          <w:b/>
          <w:color w:val="31849B" w:themeColor="accent5" w:themeShade="BF"/>
          <w:sz w:val="28"/>
          <w:szCs w:val="28"/>
        </w:rPr>
      </w:pPr>
      <w:r w:rsidRPr="004B2054">
        <w:rPr>
          <w:b/>
          <w:color w:val="31849B" w:themeColor="accent5" w:themeShade="BF"/>
          <w:sz w:val="28"/>
          <w:szCs w:val="28"/>
        </w:rPr>
        <w:t>ANÁLISIS DE LAS SOLICITUDES DE INFORMACIÓN POR AÑO</w:t>
      </w:r>
    </w:p>
    <w:p w14:paraId="5BB83BAE" w14:textId="77777777" w:rsidR="004B6B72" w:rsidRPr="00CB0E05" w:rsidRDefault="004B6B72" w:rsidP="004B2054">
      <w:pPr>
        <w:rPr>
          <w:rFonts w:cs="Arial"/>
          <w:bCs/>
          <w:color w:val="595959" w:themeColor="text1" w:themeTint="A6"/>
          <w:lang w:val="es-ES"/>
        </w:rPr>
      </w:pPr>
      <w:r w:rsidRPr="00CB0E05">
        <w:rPr>
          <w:rFonts w:cs="Arial"/>
          <w:bCs/>
          <w:color w:val="595959" w:themeColor="text1" w:themeTint="A6"/>
          <w:lang w:val="es-ES"/>
        </w:rPr>
        <w:t>Uno de los indicadores más representativos para conocer la eficiencia de las instituciones públicas respecto a la atención del Acceso a la Información Pública, es a través de la atención a las solicitudes de información que realiza la sociedad por medio de las Unidades de Transparencia de los Sujetos Obligados. Dichos requerimientos sobre el quehacer público pueden ser realizados por cualquier persona interesada sin ningún tipo de restricciones, incluyendo el interés jurídico o motivación sobre el tema que se requiere investigar como lo garantiza el Art. 143 de la LTAIPQROO.</w:t>
      </w:r>
    </w:p>
    <w:p w14:paraId="45D67BF8" w14:textId="77777777" w:rsidR="004B6B72" w:rsidRPr="00CB0E05" w:rsidRDefault="004B6B72" w:rsidP="004B2054">
      <w:pPr>
        <w:rPr>
          <w:rFonts w:cs="Arial"/>
          <w:bCs/>
          <w:color w:val="595959" w:themeColor="text1" w:themeTint="A6"/>
          <w:lang w:val="es-ES"/>
        </w:rPr>
      </w:pPr>
      <w:r w:rsidRPr="00CB0E05">
        <w:rPr>
          <w:rFonts w:cs="Arial"/>
          <w:bCs/>
          <w:color w:val="595959" w:themeColor="text1" w:themeTint="A6"/>
          <w:lang w:val="es-ES"/>
        </w:rPr>
        <w:t>La apertura e innovación digital a través de los desarrollos tecnológicos y de sistemas nos  permiten que el Acceso a la Información Pública se realice de una manera más rápida y en la mayoría de los casos más eficaz, respecto a los tiempos de atención al público.</w:t>
      </w:r>
    </w:p>
    <w:p w14:paraId="55A10679" w14:textId="52412875" w:rsidR="004B6B72" w:rsidRDefault="004B6B72" w:rsidP="004B2054">
      <w:pPr>
        <w:rPr>
          <w:rFonts w:cs="Arial"/>
          <w:bCs/>
          <w:color w:val="595959" w:themeColor="text1" w:themeTint="A6"/>
          <w:lang w:val="es-ES"/>
        </w:rPr>
      </w:pPr>
      <w:r w:rsidRPr="00F10FCB">
        <w:rPr>
          <w:rFonts w:cs="Arial"/>
          <w:color w:val="595959" w:themeColor="text1" w:themeTint="A6"/>
          <w:lang w:val="es-MX"/>
        </w:rPr>
        <w:t>En nuestro Estado, el IDAIPQROO por m</w:t>
      </w:r>
      <w:r>
        <w:rPr>
          <w:rFonts w:cs="Arial"/>
          <w:color w:val="595959" w:themeColor="text1" w:themeTint="A6"/>
          <w:lang w:val="es-MX"/>
        </w:rPr>
        <w:t>ás de trece</w:t>
      </w:r>
      <w:r w:rsidRPr="00F10FCB">
        <w:rPr>
          <w:rFonts w:cs="Arial"/>
          <w:color w:val="595959" w:themeColor="text1" w:themeTint="A6"/>
          <w:lang w:val="es-MX"/>
        </w:rPr>
        <w:t xml:space="preserve"> años, ha abocado sus esfuerzos para generar las condiciones óptimas que garanticen éste derecho humano. Para comprender con más detalle está evolución institucional en el siguiente cuadro </w:t>
      </w:r>
      <w:r w:rsidRPr="00F10FCB">
        <w:rPr>
          <w:rFonts w:cs="Arial"/>
          <w:bCs/>
          <w:color w:val="595959" w:themeColor="text1" w:themeTint="A6"/>
          <w:lang w:val="es-ES"/>
        </w:rPr>
        <w:t xml:space="preserve">se puede observar la evolución del número total de las solicitudes de información atendidas en el Estado por año, desde la entrada en vigor del ejercicio del Derecho de Acceso a la </w:t>
      </w:r>
      <w:r>
        <w:rPr>
          <w:rFonts w:cs="Arial"/>
          <w:bCs/>
          <w:color w:val="595959" w:themeColor="text1" w:themeTint="A6"/>
          <w:lang w:val="es-ES"/>
        </w:rPr>
        <w:t>Información (31 de julio de 2007</w:t>
      </w:r>
      <w:r w:rsidRPr="00F10FCB">
        <w:rPr>
          <w:rFonts w:cs="Arial"/>
          <w:bCs/>
          <w:color w:val="595959" w:themeColor="text1" w:themeTint="A6"/>
          <w:lang w:val="es-ES"/>
        </w:rPr>
        <w:t>) al 31</w:t>
      </w:r>
      <w:r>
        <w:rPr>
          <w:rFonts w:cs="Arial"/>
          <w:bCs/>
          <w:color w:val="595959" w:themeColor="text1" w:themeTint="A6"/>
          <w:lang w:val="es-ES"/>
        </w:rPr>
        <w:t xml:space="preserve"> de diciembre de 2019</w:t>
      </w:r>
      <w:r w:rsidRPr="00EF6ACF">
        <w:rPr>
          <w:rFonts w:cs="Arial"/>
          <w:bCs/>
          <w:color w:val="595959" w:themeColor="text1" w:themeTint="A6"/>
          <w:lang w:val="es-ES"/>
        </w:rPr>
        <w:t>.</w:t>
      </w:r>
    </w:p>
    <w:p w14:paraId="1FD4DC44" w14:textId="77777777" w:rsidR="00820CE6" w:rsidRDefault="00820CE6" w:rsidP="004B2054">
      <w:pPr>
        <w:rPr>
          <w:rFonts w:cs="Arial"/>
          <w:bCs/>
          <w:color w:val="595959" w:themeColor="text1" w:themeTint="A6"/>
          <w:lang w:val="es-ES"/>
        </w:rPr>
      </w:pPr>
    </w:p>
    <w:p w14:paraId="2F82C02F" w14:textId="4DEC041B" w:rsidR="001420D7" w:rsidRDefault="001420D7" w:rsidP="001420D7">
      <w:pPr>
        <w:spacing w:line="360" w:lineRule="auto"/>
        <w:jc w:val="center"/>
        <w:rPr>
          <w:rFonts w:cs="Arial"/>
          <w:b/>
          <w:bCs/>
          <w:color w:val="31849B" w:themeColor="accent5" w:themeShade="BF"/>
          <w:lang w:val="es-ES"/>
        </w:rPr>
      </w:pPr>
      <w:r w:rsidRPr="001420D7">
        <w:rPr>
          <w:rFonts w:cs="Arial"/>
          <w:b/>
          <w:bCs/>
          <w:color w:val="31849B" w:themeColor="accent5" w:themeShade="BF"/>
          <w:lang w:val="es-ES"/>
        </w:rPr>
        <w:t xml:space="preserve">Total de </w:t>
      </w:r>
      <w:r>
        <w:rPr>
          <w:rFonts w:cs="Arial"/>
          <w:b/>
          <w:bCs/>
          <w:color w:val="31849B" w:themeColor="accent5" w:themeShade="BF"/>
          <w:lang w:val="es-ES"/>
        </w:rPr>
        <w:t>s</w:t>
      </w:r>
      <w:r w:rsidRPr="001420D7">
        <w:rPr>
          <w:rFonts w:cs="Arial"/>
          <w:b/>
          <w:bCs/>
          <w:color w:val="31849B" w:themeColor="accent5" w:themeShade="BF"/>
          <w:lang w:val="es-ES"/>
        </w:rPr>
        <w:t>olicitudes recibidas por los Sujetos Obligados</w:t>
      </w:r>
    </w:p>
    <w:p w14:paraId="46139C99" w14:textId="3330E200" w:rsidR="001420D7" w:rsidRPr="004B2054" w:rsidRDefault="001420D7" w:rsidP="004B2054">
      <w:pPr>
        <w:spacing w:line="360" w:lineRule="auto"/>
        <w:jc w:val="center"/>
        <w:rPr>
          <w:rFonts w:cs="Arial"/>
          <w:b/>
          <w:bCs/>
          <w:color w:val="31849B" w:themeColor="accent5" w:themeShade="BF"/>
          <w:lang w:val="es-ES"/>
        </w:rPr>
      </w:pPr>
      <w:r>
        <w:rPr>
          <w:rFonts w:cs="Arial"/>
          <w:b/>
          <w:bCs/>
          <w:color w:val="31849B" w:themeColor="accent5" w:themeShade="BF"/>
          <w:lang w:val="es-ES"/>
        </w:rPr>
        <w:t>(2007-2019)</w:t>
      </w:r>
    </w:p>
    <w:p w14:paraId="71458295" w14:textId="61900FFF" w:rsidR="00820CE6" w:rsidRPr="00820CE6" w:rsidRDefault="001420D7" w:rsidP="00820CE6">
      <w:pPr>
        <w:spacing w:line="360" w:lineRule="auto"/>
        <w:rPr>
          <w:rFonts w:cs="Arial"/>
          <w:bCs/>
          <w:color w:val="595959" w:themeColor="text1" w:themeTint="A6"/>
          <w:lang w:val="es-ES"/>
        </w:rPr>
      </w:pPr>
      <w:r w:rsidRPr="00F765C3">
        <w:rPr>
          <w:rFonts w:eastAsia="Calibri" w:cs="Times New Roman"/>
          <w:noProof/>
          <w:color w:val="595959"/>
          <w:szCs w:val="22"/>
          <w:lang w:val="es-MX" w:eastAsia="es-MX"/>
        </w:rPr>
        <w:lastRenderedPageBreak/>
        <w:drawing>
          <wp:inline distT="0" distB="0" distL="0" distR="0" wp14:anchorId="3DFA5C57" wp14:editId="2FCCCA73">
            <wp:extent cx="6286500" cy="2743200"/>
            <wp:effectExtent l="0" t="0" r="0" b="0"/>
            <wp:docPr id="1"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820CE6" w:rsidRPr="006372CE">
        <w:rPr>
          <w:rFonts w:cs="Arial"/>
          <w:bCs/>
          <w:color w:val="595959" w:themeColor="text1" w:themeTint="A6"/>
          <w:sz w:val="16"/>
          <w:szCs w:val="16"/>
          <w:lang w:val="es-ES"/>
        </w:rPr>
        <w:t>Fuente: Coordinación de Vinculación del IDAIPQROO</w:t>
      </w:r>
    </w:p>
    <w:p w14:paraId="2E028EE6" w14:textId="07663AC7" w:rsidR="004B2054" w:rsidRDefault="004B2054" w:rsidP="004B2054">
      <w:pPr>
        <w:rPr>
          <w:rFonts w:cs="Arial"/>
          <w:bCs/>
          <w:color w:val="595959" w:themeColor="text1" w:themeTint="A6"/>
          <w:lang w:val="es-ES"/>
        </w:rPr>
      </w:pPr>
      <w:r w:rsidRPr="00526334">
        <w:rPr>
          <w:rFonts w:cs="Arial"/>
          <w:bCs/>
          <w:color w:val="595959" w:themeColor="text1" w:themeTint="A6"/>
          <w:lang w:val="es-ES"/>
        </w:rPr>
        <w:t>Como se pu</w:t>
      </w:r>
      <w:r w:rsidR="00444499">
        <w:rPr>
          <w:rFonts w:cs="Arial"/>
          <w:bCs/>
          <w:color w:val="595959" w:themeColor="text1" w:themeTint="A6"/>
          <w:lang w:val="es-ES"/>
        </w:rPr>
        <w:t xml:space="preserve">ede apreciar, durante los últimos 3 </w:t>
      </w:r>
      <w:r w:rsidRPr="00526334">
        <w:rPr>
          <w:rFonts w:cs="Arial"/>
          <w:bCs/>
          <w:color w:val="595959" w:themeColor="text1" w:themeTint="A6"/>
          <w:lang w:val="es-ES"/>
        </w:rPr>
        <w:t xml:space="preserve"> años se </w:t>
      </w:r>
      <w:r w:rsidR="00444499">
        <w:rPr>
          <w:rFonts w:cs="Arial"/>
          <w:bCs/>
          <w:color w:val="595959" w:themeColor="text1" w:themeTint="A6"/>
          <w:lang w:val="es-ES"/>
        </w:rPr>
        <w:t>distingue un incremento alto</w:t>
      </w:r>
      <w:r w:rsidRPr="00526334">
        <w:rPr>
          <w:rFonts w:cs="Arial"/>
          <w:bCs/>
          <w:color w:val="595959" w:themeColor="text1" w:themeTint="A6"/>
          <w:lang w:val="es-ES"/>
        </w:rPr>
        <w:t xml:space="preserve"> respecto al ingreso</w:t>
      </w:r>
      <w:r w:rsidR="00444499">
        <w:rPr>
          <w:rFonts w:cs="Arial"/>
          <w:bCs/>
          <w:color w:val="595959" w:themeColor="text1" w:themeTint="A6"/>
          <w:lang w:val="es-ES"/>
        </w:rPr>
        <w:t xml:space="preserve"> de solicitudes de información con 32,738 solicitudes.</w:t>
      </w:r>
    </w:p>
    <w:p w14:paraId="69F058B3" w14:textId="66B17637" w:rsidR="00444499" w:rsidRPr="00820CE6" w:rsidRDefault="00444499" w:rsidP="00444499">
      <w:pPr>
        <w:rPr>
          <w:rFonts w:cs="Arial"/>
          <w:b/>
          <w:bCs/>
          <w:color w:val="31849B" w:themeColor="accent5" w:themeShade="BF"/>
          <w:sz w:val="28"/>
          <w:szCs w:val="28"/>
          <w:lang w:val="es-ES"/>
        </w:rPr>
      </w:pPr>
      <w:r w:rsidRPr="00820CE6">
        <w:rPr>
          <w:rFonts w:cs="Arial"/>
          <w:b/>
          <w:bCs/>
          <w:color w:val="31849B" w:themeColor="accent5" w:themeShade="BF"/>
          <w:sz w:val="28"/>
          <w:szCs w:val="28"/>
          <w:lang w:val="es-ES"/>
        </w:rPr>
        <w:t>ACTIVIDAD DEL IDAIPQROO EN MATE</w:t>
      </w:r>
      <w:r w:rsidR="00820CE6">
        <w:rPr>
          <w:rFonts w:cs="Arial"/>
          <w:b/>
          <w:bCs/>
          <w:color w:val="31849B" w:themeColor="accent5" w:themeShade="BF"/>
          <w:sz w:val="28"/>
          <w:szCs w:val="28"/>
          <w:lang w:val="es-ES"/>
        </w:rPr>
        <w:t>RIA DE RECURSOS DE REVISIÓN 2007-2019</w:t>
      </w:r>
    </w:p>
    <w:p w14:paraId="4487B5BA" w14:textId="174E7C4C" w:rsidR="00444499" w:rsidRPr="00444499" w:rsidRDefault="00444499" w:rsidP="00444499">
      <w:pPr>
        <w:rPr>
          <w:rFonts w:cs="Arial"/>
          <w:bCs/>
          <w:color w:val="595959" w:themeColor="text1" w:themeTint="A6"/>
          <w:lang w:val="es-ES"/>
        </w:rPr>
      </w:pPr>
      <w:r w:rsidRPr="00444499">
        <w:rPr>
          <w:rFonts w:cs="Arial"/>
          <w:bCs/>
          <w:color w:val="595959" w:themeColor="text1" w:themeTint="A6"/>
          <w:lang w:val="es-ES"/>
        </w:rPr>
        <w:t>En materia de Recursos de Revisión y siendo este un indicador, el Instituto de Acceso a la Información y Protección de Datos Personales de Quintana Roo  ha recibido un total de 685 Recurs</w:t>
      </w:r>
      <w:r>
        <w:rPr>
          <w:rFonts w:cs="Arial"/>
          <w:bCs/>
          <w:color w:val="595959" w:themeColor="text1" w:themeTint="A6"/>
          <w:lang w:val="es-ES"/>
        </w:rPr>
        <w:t>os de Revisión de 2007 a 2019</w:t>
      </w:r>
      <w:r w:rsidRPr="00444499">
        <w:rPr>
          <w:rFonts w:cs="Arial"/>
          <w:bCs/>
          <w:color w:val="595959" w:themeColor="text1" w:themeTint="A6"/>
          <w:lang w:val="es-ES"/>
        </w:rPr>
        <w:t>, reflejando el interés de los ciudadanos de seguir activando, con mayor intensidad este instrumento legal que les garantiza el ejercicio del derecho de acceso a la información y  dando así debido cumplimiento a la atribución que le confiere el artículo 29, fracción III de la Ley de Transparencia y Acceso a la Información Pública para el Estado de Quintana Roo, de “Conocer y resolver los Recursos de Revisión que se interpongan contra los actos y resoluciones dictados por los Sujetos Obligados con relación a las solicitudes de acceso a la información” y siendo un indicador relevante en el instituto.</w:t>
      </w:r>
    </w:p>
    <w:p w14:paraId="25536D39" w14:textId="77777777" w:rsidR="00444499" w:rsidRPr="00444499" w:rsidRDefault="00444499" w:rsidP="00444499">
      <w:pPr>
        <w:rPr>
          <w:rFonts w:cs="Arial"/>
          <w:bCs/>
          <w:color w:val="595959" w:themeColor="text1" w:themeTint="A6"/>
          <w:lang w:val="es-ES"/>
        </w:rPr>
      </w:pPr>
      <w:r w:rsidRPr="00444499">
        <w:rPr>
          <w:rFonts w:cs="Arial"/>
          <w:bCs/>
          <w:color w:val="595959" w:themeColor="text1" w:themeTint="A6"/>
          <w:lang w:val="es-ES"/>
        </w:rPr>
        <w:t>Temas más recurridos.</w:t>
      </w:r>
    </w:p>
    <w:p w14:paraId="0C91F695" w14:textId="77777777" w:rsidR="00444499" w:rsidRPr="00444499" w:rsidRDefault="00444499" w:rsidP="00444499">
      <w:pPr>
        <w:rPr>
          <w:rFonts w:cs="Arial"/>
          <w:bCs/>
          <w:color w:val="595959" w:themeColor="text1" w:themeTint="A6"/>
          <w:lang w:val="es-ES"/>
        </w:rPr>
      </w:pPr>
      <w:r w:rsidRPr="00444499">
        <w:rPr>
          <w:rFonts w:cs="Arial"/>
          <w:bCs/>
          <w:color w:val="595959" w:themeColor="text1" w:themeTint="A6"/>
          <w:lang w:val="es-ES"/>
        </w:rPr>
        <w:lastRenderedPageBreak/>
        <w:t xml:space="preserve">Con relación a los temas controvertidos, la información más recurrida en los medios de impugnación (Recursos de Revisión)  se encuentran los relativos a: </w:t>
      </w:r>
    </w:p>
    <w:p w14:paraId="4C3C3E50" w14:textId="1A789ABC" w:rsidR="00444499" w:rsidRPr="00820CE6" w:rsidRDefault="00444499" w:rsidP="00820CE6">
      <w:pPr>
        <w:pStyle w:val="Prrafodelista"/>
        <w:numPr>
          <w:ilvl w:val="0"/>
          <w:numId w:val="33"/>
        </w:numPr>
        <w:rPr>
          <w:rFonts w:cs="Arial"/>
          <w:bCs/>
          <w:color w:val="595959" w:themeColor="text1" w:themeTint="A6"/>
          <w:lang w:val="es-ES"/>
        </w:rPr>
      </w:pPr>
      <w:r w:rsidRPr="00820CE6">
        <w:rPr>
          <w:rFonts w:cs="Arial"/>
          <w:bCs/>
          <w:color w:val="595959" w:themeColor="text1" w:themeTint="A6"/>
          <w:lang w:val="es-ES"/>
        </w:rPr>
        <w:t>Nómina, percepciones salariales y perfil profesional y 2. Presupuesto, ingresos y ejercicio del gasto público, siendo estos mismos los 2 asuntos más recurrido</w:t>
      </w:r>
      <w:r w:rsidR="00820CE6">
        <w:rPr>
          <w:rFonts w:cs="Arial"/>
          <w:bCs/>
          <w:color w:val="595959" w:themeColor="text1" w:themeTint="A6"/>
          <w:lang w:val="es-ES"/>
        </w:rPr>
        <w:t>s que se reportaron el año 2018y 2019</w:t>
      </w:r>
      <w:r w:rsidRPr="00820CE6">
        <w:rPr>
          <w:rFonts w:cs="Arial"/>
          <w:bCs/>
          <w:color w:val="595959" w:themeColor="text1" w:themeTint="A6"/>
          <w:lang w:val="es-ES"/>
        </w:rPr>
        <w:t>.</w:t>
      </w:r>
    </w:p>
    <w:p w14:paraId="23E26B3E" w14:textId="77777777" w:rsidR="00820CE6" w:rsidRDefault="00820CE6" w:rsidP="00820CE6">
      <w:pPr>
        <w:spacing w:line="360" w:lineRule="auto"/>
        <w:ind w:left="360"/>
        <w:jc w:val="center"/>
        <w:rPr>
          <w:rFonts w:cs="Arial"/>
          <w:b/>
          <w:bCs/>
          <w:color w:val="31849B" w:themeColor="accent5" w:themeShade="BF"/>
          <w:lang w:val="es-ES"/>
        </w:rPr>
      </w:pPr>
    </w:p>
    <w:p w14:paraId="4038F7C0" w14:textId="77777777" w:rsidR="00820CE6" w:rsidRDefault="00820CE6" w:rsidP="00820CE6">
      <w:pPr>
        <w:spacing w:line="360" w:lineRule="auto"/>
        <w:ind w:left="360"/>
        <w:jc w:val="center"/>
        <w:rPr>
          <w:rFonts w:cs="Arial"/>
          <w:b/>
          <w:bCs/>
          <w:color w:val="31849B" w:themeColor="accent5" w:themeShade="BF"/>
          <w:lang w:val="es-ES"/>
        </w:rPr>
      </w:pPr>
    </w:p>
    <w:p w14:paraId="64854C80" w14:textId="77777777" w:rsidR="00820CE6" w:rsidRDefault="00820CE6" w:rsidP="00820CE6">
      <w:pPr>
        <w:spacing w:line="360" w:lineRule="auto"/>
        <w:ind w:left="360"/>
        <w:jc w:val="center"/>
        <w:rPr>
          <w:rFonts w:cs="Arial"/>
          <w:b/>
          <w:bCs/>
          <w:color w:val="31849B" w:themeColor="accent5" w:themeShade="BF"/>
          <w:lang w:val="es-ES"/>
        </w:rPr>
      </w:pPr>
    </w:p>
    <w:p w14:paraId="68D4BCD7" w14:textId="77777777" w:rsidR="00820CE6" w:rsidRDefault="00820CE6" w:rsidP="00820CE6">
      <w:pPr>
        <w:spacing w:line="360" w:lineRule="auto"/>
        <w:ind w:left="360"/>
        <w:jc w:val="center"/>
        <w:rPr>
          <w:rFonts w:cs="Arial"/>
          <w:b/>
          <w:bCs/>
          <w:color w:val="31849B" w:themeColor="accent5" w:themeShade="BF"/>
          <w:lang w:val="es-ES"/>
        </w:rPr>
      </w:pPr>
    </w:p>
    <w:p w14:paraId="445D64FD" w14:textId="77777777" w:rsidR="00820CE6" w:rsidRDefault="00820CE6" w:rsidP="00820CE6">
      <w:pPr>
        <w:spacing w:line="360" w:lineRule="auto"/>
        <w:ind w:left="360"/>
        <w:jc w:val="center"/>
        <w:rPr>
          <w:rFonts w:cs="Arial"/>
          <w:b/>
          <w:bCs/>
          <w:color w:val="31849B" w:themeColor="accent5" w:themeShade="BF"/>
          <w:lang w:val="es-ES"/>
        </w:rPr>
      </w:pPr>
    </w:p>
    <w:p w14:paraId="4DF8126E" w14:textId="77777777" w:rsidR="00820CE6" w:rsidRDefault="00820CE6" w:rsidP="00820CE6">
      <w:pPr>
        <w:spacing w:line="360" w:lineRule="auto"/>
        <w:ind w:left="360"/>
        <w:jc w:val="center"/>
        <w:rPr>
          <w:rFonts w:cs="Arial"/>
          <w:b/>
          <w:bCs/>
          <w:color w:val="31849B" w:themeColor="accent5" w:themeShade="BF"/>
          <w:lang w:val="es-ES"/>
        </w:rPr>
      </w:pPr>
    </w:p>
    <w:p w14:paraId="3C226A9A" w14:textId="1DC8154C" w:rsidR="00820CE6" w:rsidRPr="00820CE6" w:rsidRDefault="00820CE6" w:rsidP="00820CE6">
      <w:pPr>
        <w:spacing w:line="360" w:lineRule="auto"/>
        <w:ind w:left="360"/>
        <w:jc w:val="center"/>
        <w:rPr>
          <w:rFonts w:cs="Arial"/>
          <w:b/>
          <w:bCs/>
          <w:color w:val="31849B" w:themeColor="accent5" w:themeShade="BF"/>
          <w:lang w:val="es-ES"/>
        </w:rPr>
      </w:pPr>
      <w:r>
        <w:rPr>
          <w:rFonts w:cs="Arial"/>
          <w:b/>
          <w:bCs/>
          <w:color w:val="31849B" w:themeColor="accent5" w:themeShade="BF"/>
          <w:lang w:val="es-ES"/>
        </w:rPr>
        <w:t>Recursos de Revisión Interpuestos ante el IDAIPQROO</w:t>
      </w:r>
    </w:p>
    <w:p w14:paraId="0F6061ED" w14:textId="77777777" w:rsidR="00820CE6" w:rsidRPr="00820CE6" w:rsidRDefault="00820CE6" w:rsidP="00820CE6">
      <w:pPr>
        <w:pStyle w:val="Prrafodelista"/>
        <w:spacing w:line="360" w:lineRule="auto"/>
        <w:jc w:val="center"/>
        <w:rPr>
          <w:rFonts w:cs="Arial"/>
          <w:b/>
          <w:bCs/>
          <w:color w:val="31849B" w:themeColor="accent5" w:themeShade="BF"/>
          <w:lang w:val="es-ES"/>
        </w:rPr>
      </w:pPr>
      <w:r w:rsidRPr="00820CE6">
        <w:rPr>
          <w:rFonts w:cs="Arial"/>
          <w:b/>
          <w:bCs/>
          <w:color w:val="31849B" w:themeColor="accent5" w:themeShade="BF"/>
          <w:lang w:val="es-ES"/>
        </w:rPr>
        <w:t>(2007-2019)</w:t>
      </w:r>
    </w:p>
    <w:p w14:paraId="44659086" w14:textId="49FC67DB" w:rsidR="00444499" w:rsidRPr="003A76DD" w:rsidRDefault="006372CE" w:rsidP="004B2054">
      <w:r w:rsidRPr="00F765C3">
        <w:rPr>
          <w:rFonts w:eastAsia="Calibri" w:cs="Times New Roman"/>
          <w:noProof/>
          <w:color w:val="595959"/>
          <w:szCs w:val="22"/>
          <w:lang w:val="es-MX" w:eastAsia="es-MX"/>
        </w:rPr>
        <w:lastRenderedPageBreak/>
        <w:drawing>
          <wp:inline distT="0" distB="0" distL="0" distR="0" wp14:anchorId="73290E14" wp14:editId="57686B94">
            <wp:extent cx="6062345" cy="2644775"/>
            <wp:effectExtent l="0" t="0" r="0" b="3175"/>
            <wp:docPr id="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DF0AA7" w14:textId="79BFF363" w:rsidR="00695E2D" w:rsidRDefault="00820CE6" w:rsidP="006372CE">
      <w:pPr>
        <w:jc w:val="left"/>
        <w:rPr>
          <w:color w:val="808080" w:themeColor="background1" w:themeShade="80"/>
          <w:sz w:val="16"/>
          <w:szCs w:val="16"/>
        </w:rPr>
      </w:pPr>
      <w:r w:rsidRPr="006372CE">
        <w:rPr>
          <w:color w:val="808080" w:themeColor="background1" w:themeShade="80"/>
          <w:sz w:val="16"/>
          <w:szCs w:val="16"/>
        </w:rPr>
        <w:t>Fuente: Coordinación Jurídica del IDAIPQROO</w:t>
      </w:r>
    </w:p>
    <w:p w14:paraId="26F95E01" w14:textId="22CE1781" w:rsidR="006372CE" w:rsidRDefault="006372CE" w:rsidP="006372CE">
      <w:pPr>
        <w:jc w:val="left"/>
        <w:rPr>
          <w:rFonts w:cs="Arial"/>
          <w:color w:val="595959" w:themeColor="text1" w:themeTint="A6"/>
        </w:rPr>
      </w:pPr>
      <w:r w:rsidRPr="007F2AE2">
        <w:rPr>
          <w:rFonts w:cs="Arial"/>
          <w:color w:val="595959" w:themeColor="text1" w:themeTint="A6"/>
        </w:rPr>
        <w:t>Se destaca en la gráfica anterior, que</w:t>
      </w:r>
      <w:r>
        <w:rPr>
          <w:rFonts w:cs="Arial"/>
          <w:color w:val="595959" w:themeColor="text1" w:themeTint="A6"/>
        </w:rPr>
        <w:t xml:space="preserve"> en el año 2018 y 2019, se recepcionaron 1,215</w:t>
      </w:r>
      <w:r w:rsidRPr="007F2AE2">
        <w:rPr>
          <w:rFonts w:cs="Arial"/>
          <w:color w:val="595959" w:themeColor="text1" w:themeTint="A6"/>
        </w:rPr>
        <w:t xml:space="preserve"> Recursos de Revisión</w:t>
      </w:r>
      <w:r>
        <w:rPr>
          <w:rFonts w:cs="Arial"/>
          <w:color w:val="595959" w:themeColor="text1" w:themeTint="A6"/>
        </w:rPr>
        <w:t>.</w:t>
      </w:r>
    </w:p>
    <w:p w14:paraId="2F7F5CEE" w14:textId="77777777" w:rsidR="00511401" w:rsidRDefault="00511401" w:rsidP="006372CE">
      <w:pPr>
        <w:jc w:val="left"/>
        <w:rPr>
          <w:rFonts w:cs="Arial"/>
          <w:color w:val="595959" w:themeColor="text1" w:themeTint="A6"/>
        </w:rPr>
      </w:pPr>
    </w:p>
    <w:p w14:paraId="0EE5FB37" w14:textId="77777777" w:rsidR="00511401" w:rsidRDefault="00511401" w:rsidP="00511401">
      <w:pPr>
        <w:spacing w:line="360" w:lineRule="auto"/>
        <w:rPr>
          <w:b/>
          <w:color w:val="595959" w:themeColor="text1" w:themeTint="A6"/>
          <w:sz w:val="28"/>
          <w:szCs w:val="28"/>
        </w:rPr>
      </w:pPr>
    </w:p>
    <w:p w14:paraId="27E315D1" w14:textId="77777777" w:rsidR="00511401" w:rsidRDefault="00511401" w:rsidP="00511401">
      <w:pPr>
        <w:spacing w:line="360" w:lineRule="auto"/>
        <w:rPr>
          <w:b/>
          <w:color w:val="595959" w:themeColor="text1" w:themeTint="A6"/>
          <w:sz w:val="28"/>
          <w:szCs w:val="28"/>
        </w:rPr>
      </w:pPr>
    </w:p>
    <w:p w14:paraId="23C03979" w14:textId="77777777" w:rsidR="00511401" w:rsidRPr="00511401" w:rsidRDefault="00511401" w:rsidP="00511401">
      <w:pPr>
        <w:rPr>
          <w:b/>
          <w:color w:val="31849B" w:themeColor="accent5" w:themeShade="BF"/>
          <w:sz w:val="28"/>
          <w:szCs w:val="28"/>
        </w:rPr>
      </w:pPr>
      <w:r w:rsidRPr="00511401">
        <w:rPr>
          <w:b/>
          <w:color w:val="31849B" w:themeColor="accent5" w:themeShade="BF"/>
          <w:sz w:val="28"/>
          <w:szCs w:val="28"/>
        </w:rPr>
        <w:t>TRABAJO DE COORDINACIÓN CON LOS SUJETOS OBLIGADOS DEL ESTADO</w:t>
      </w:r>
    </w:p>
    <w:p w14:paraId="2069ABEE" w14:textId="77777777" w:rsidR="00511401" w:rsidRPr="00EB7236" w:rsidRDefault="00511401" w:rsidP="00511401">
      <w:pPr>
        <w:rPr>
          <w:rFonts w:eastAsia="Times New Roman" w:cstheme="minorHAnsi"/>
          <w:color w:val="595959" w:themeColor="text1" w:themeTint="A6"/>
          <w:lang w:val="es-ES"/>
        </w:rPr>
      </w:pPr>
      <w:r w:rsidRPr="00EB7236">
        <w:rPr>
          <w:rFonts w:eastAsia="Times New Roman" w:cstheme="minorHAnsi"/>
          <w:color w:val="595959" w:themeColor="text1" w:themeTint="A6"/>
          <w:lang w:val="es-ES"/>
        </w:rPr>
        <w:t>En el marco de las obligaciones establecidas para los Sujetos Obligados en la Ley  Estatal, este Instituto emprendió acciones de vinculación que garantizaran a la ciudadanía el libre ejercicio de sus derechos. Se estableció un esquema que permitió trabajar con el nuevo Padrón de Sujetos Obligados, conformado por un total de 100, entre los cuales figuraron autoridades, entidades, órganos y organismos de los poderes legislativo, ejecutivo y judicial, municipios, órganos públicos autónomos, partidos políticos, fideicomisos y fondos públicos.</w:t>
      </w:r>
    </w:p>
    <w:p w14:paraId="10F57C31" w14:textId="77777777" w:rsidR="00511401" w:rsidRPr="00EB7236" w:rsidRDefault="00511401" w:rsidP="00511401">
      <w:pPr>
        <w:spacing w:before="240" w:after="0"/>
        <w:rPr>
          <w:rFonts w:eastAsia="Times New Roman" w:cstheme="minorHAnsi"/>
          <w:color w:val="595959" w:themeColor="text1" w:themeTint="A6"/>
        </w:rPr>
      </w:pPr>
      <w:r w:rsidRPr="00EB7236">
        <w:rPr>
          <w:rFonts w:eastAsia="Times New Roman" w:cstheme="minorHAnsi"/>
          <w:color w:val="595959" w:themeColor="text1" w:themeTint="A6"/>
        </w:rPr>
        <w:lastRenderedPageBreak/>
        <w:t>En este contexto, a través de todas las áreas del Instituto, se otorgó orientación y capacitación a los Titulares de las Unidades de Transparencia, Acceso a la Información Pública y Protección de Datos Personales de todos los Sujetos Obligados, para que adquirieran conocimientos e información básica que les contribuyera de manera sustancial con el buen desempeño de sus encomiendas.</w:t>
      </w:r>
    </w:p>
    <w:p w14:paraId="52E98C1F" w14:textId="77777777" w:rsidR="00511401" w:rsidRDefault="00511401" w:rsidP="00511401">
      <w:pPr>
        <w:autoSpaceDE w:val="0"/>
        <w:autoSpaceDN w:val="0"/>
        <w:adjustRightInd w:val="0"/>
        <w:spacing w:after="0" w:line="360" w:lineRule="auto"/>
        <w:jc w:val="left"/>
        <w:rPr>
          <w:rFonts w:cs="Century Gothic"/>
          <w:b/>
          <w:color w:val="595959" w:themeColor="text1" w:themeTint="A6"/>
          <w:sz w:val="28"/>
          <w:szCs w:val="28"/>
          <w:lang w:val="es-ES"/>
        </w:rPr>
      </w:pPr>
    </w:p>
    <w:p w14:paraId="64B15EFF" w14:textId="77777777" w:rsidR="00511401" w:rsidRPr="00511401" w:rsidRDefault="00511401" w:rsidP="00511401">
      <w:pPr>
        <w:autoSpaceDE w:val="0"/>
        <w:autoSpaceDN w:val="0"/>
        <w:adjustRightInd w:val="0"/>
        <w:spacing w:after="0"/>
        <w:jc w:val="left"/>
        <w:rPr>
          <w:rFonts w:cs="Century Gothic"/>
          <w:b/>
          <w:color w:val="31849B" w:themeColor="accent5" w:themeShade="BF"/>
          <w:sz w:val="28"/>
          <w:szCs w:val="28"/>
          <w:lang w:val="es-ES"/>
        </w:rPr>
      </w:pPr>
      <w:r w:rsidRPr="00511401">
        <w:rPr>
          <w:rFonts w:cs="Century Gothic"/>
          <w:b/>
          <w:color w:val="31849B" w:themeColor="accent5" w:themeShade="BF"/>
          <w:sz w:val="28"/>
          <w:szCs w:val="28"/>
          <w:lang w:val="es-ES"/>
        </w:rPr>
        <w:t>VERIFICACIÓN DE PORTALES DE TRANSPARENCIA Y SISTEMA</w:t>
      </w:r>
    </w:p>
    <w:p w14:paraId="03963F65" w14:textId="77777777" w:rsidR="00511401" w:rsidRPr="00511401" w:rsidRDefault="00511401" w:rsidP="00511401">
      <w:pPr>
        <w:rPr>
          <w:rFonts w:cs="Century Gothic"/>
          <w:b/>
          <w:color w:val="31849B" w:themeColor="accent5" w:themeShade="BF"/>
          <w:sz w:val="28"/>
          <w:szCs w:val="28"/>
          <w:lang w:val="es-ES"/>
        </w:rPr>
      </w:pPr>
      <w:r w:rsidRPr="00511401">
        <w:rPr>
          <w:rFonts w:cs="Century Gothic"/>
          <w:b/>
          <w:color w:val="31849B" w:themeColor="accent5" w:themeShade="BF"/>
          <w:sz w:val="28"/>
          <w:szCs w:val="28"/>
          <w:lang w:val="es-ES"/>
        </w:rPr>
        <w:t>DE DATOS PERSONALES</w:t>
      </w:r>
    </w:p>
    <w:p w14:paraId="360AC89A" w14:textId="77777777" w:rsidR="00511401" w:rsidRDefault="00511401" w:rsidP="00511401">
      <w:pPr>
        <w:autoSpaceDE w:val="0"/>
        <w:autoSpaceDN w:val="0"/>
        <w:adjustRightInd w:val="0"/>
        <w:spacing w:after="0"/>
        <w:rPr>
          <w:rFonts w:cs="Century Gothic"/>
          <w:color w:val="595959" w:themeColor="text1" w:themeTint="A6"/>
          <w:lang w:val="es-ES"/>
        </w:rPr>
      </w:pPr>
      <w:r w:rsidRPr="00C45D9C">
        <w:rPr>
          <w:rFonts w:cs="Century Gothic"/>
          <w:color w:val="595959" w:themeColor="text1" w:themeTint="A6"/>
          <w:lang w:val="es-ES"/>
        </w:rPr>
        <w:t>Con fundamento en el Artículo 15 en Ley de Transparencia y Acceso a la Información Pública del Estado de Quintana Roo, que a la letra dice</w:t>
      </w:r>
      <w:r w:rsidRPr="00C45D9C">
        <w:rPr>
          <w:rFonts w:cs="Century Gothic,Italic"/>
          <w:iCs/>
          <w:color w:val="595959" w:themeColor="text1" w:themeTint="A6"/>
          <w:lang w:val="es-ES"/>
        </w:rPr>
        <w:t>: “Los sujetos</w:t>
      </w:r>
      <w:r w:rsidRPr="00C45D9C">
        <w:rPr>
          <w:rFonts w:cs="Century Gothic"/>
          <w:color w:val="595959" w:themeColor="text1" w:themeTint="A6"/>
          <w:lang w:val="es-ES"/>
        </w:rPr>
        <w:t xml:space="preserve"> </w:t>
      </w:r>
      <w:r w:rsidRPr="00C45D9C">
        <w:rPr>
          <w:rFonts w:cs="Century Gothic,Italic"/>
          <w:iCs/>
          <w:color w:val="595959" w:themeColor="text1" w:themeTint="A6"/>
          <w:lang w:val="es-ES"/>
        </w:rPr>
        <w:t>obligados deberán publicar a través de internet, en forma permanente y</w:t>
      </w:r>
      <w:r w:rsidRPr="00C45D9C">
        <w:rPr>
          <w:rFonts w:cs="Century Gothic"/>
          <w:color w:val="595959" w:themeColor="text1" w:themeTint="A6"/>
          <w:lang w:val="es-ES"/>
        </w:rPr>
        <w:t xml:space="preserve"> </w:t>
      </w:r>
      <w:r w:rsidRPr="00C45D9C">
        <w:rPr>
          <w:rFonts w:cs="Century Gothic,Italic"/>
          <w:iCs/>
          <w:color w:val="595959" w:themeColor="text1" w:themeTint="A6"/>
          <w:lang w:val="es-ES"/>
        </w:rPr>
        <w:t>actualizada, con acceso al público y mediante procesos informáticos sencillos y de</w:t>
      </w:r>
      <w:r w:rsidRPr="00C45D9C">
        <w:rPr>
          <w:rFonts w:cs="Century Gothic"/>
          <w:color w:val="595959" w:themeColor="text1" w:themeTint="A6"/>
          <w:lang w:val="es-ES"/>
        </w:rPr>
        <w:t xml:space="preserve"> </w:t>
      </w:r>
      <w:r w:rsidRPr="00C45D9C">
        <w:rPr>
          <w:rFonts w:cs="Century Gothic,Italic"/>
          <w:iCs/>
          <w:color w:val="595959" w:themeColor="text1" w:themeTint="A6"/>
          <w:lang w:val="es-ES"/>
        </w:rPr>
        <w:t>fácil comprensión, la información básica siguiente:…”</w:t>
      </w:r>
      <w:r w:rsidRPr="00C45D9C">
        <w:rPr>
          <w:rFonts w:cs="Century Gothic"/>
          <w:color w:val="595959" w:themeColor="text1" w:themeTint="A6"/>
          <w:lang w:val="es-ES"/>
        </w:rPr>
        <w:t>, el IDAIPQROO estableció el Programa de Verificación de Portales, a través del cual y de manera periódica se verifica el cumplimiento de las obligaciones de transparencia establecidas en las veintidós fracciones del citado artículo. Lo anterior, con el objetivo de conocer de manera clara y expedita el estatus que guarda el cumplimiento de dicho artículo parte de los Sujetos Obligados en la entidad.</w:t>
      </w:r>
    </w:p>
    <w:p w14:paraId="56BE9DA7" w14:textId="77777777" w:rsidR="00511401" w:rsidRDefault="00511401" w:rsidP="00511401">
      <w:pPr>
        <w:autoSpaceDE w:val="0"/>
        <w:autoSpaceDN w:val="0"/>
        <w:adjustRightInd w:val="0"/>
        <w:spacing w:after="0" w:line="360" w:lineRule="auto"/>
        <w:jc w:val="left"/>
        <w:rPr>
          <w:rFonts w:cs="Century Gothic"/>
          <w:color w:val="595959" w:themeColor="text1" w:themeTint="A6"/>
          <w:lang w:val="es-ES"/>
        </w:rPr>
      </w:pPr>
    </w:p>
    <w:p w14:paraId="69B2E41C" w14:textId="781FDB0E" w:rsidR="00511401" w:rsidRDefault="00511401" w:rsidP="00511401">
      <w:pPr>
        <w:spacing w:before="120" w:after="120"/>
        <w:jc w:val="left"/>
        <w:rPr>
          <w:rFonts w:eastAsia="Arial" w:cs="Times New Roman"/>
          <w:bCs/>
          <w:color w:val="595959" w:themeColor="text1" w:themeTint="A6"/>
          <w:lang w:val="es-MX" w:eastAsia="en-US"/>
        </w:rPr>
      </w:pPr>
      <w:r>
        <w:rPr>
          <w:rFonts w:eastAsia="Arial" w:cs="Times New Roman"/>
          <w:bCs/>
          <w:color w:val="595959" w:themeColor="text1" w:themeTint="A6"/>
          <w:lang w:val="es-MX" w:eastAsia="en-US"/>
        </w:rPr>
        <w:t>A través de estos 15</w:t>
      </w:r>
      <w:r w:rsidRPr="004C628F">
        <w:rPr>
          <w:rFonts w:eastAsia="Arial" w:cs="Times New Roman"/>
          <w:bCs/>
          <w:color w:val="595959" w:themeColor="text1" w:themeTint="A6"/>
          <w:lang w:val="es-MX" w:eastAsia="en-US"/>
        </w:rPr>
        <w:t xml:space="preserve"> años el IDAIPQROO ha intensificado el fomento de la Ley de Acceso a la Información Pública</w:t>
      </w:r>
      <w:r>
        <w:rPr>
          <w:rFonts w:eastAsia="Arial" w:cs="Times New Roman"/>
          <w:bCs/>
          <w:color w:val="595959" w:themeColor="text1" w:themeTint="A6"/>
          <w:lang w:val="es-MX" w:eastAsia="en-US"/>
        </w:rPr>
        <w:t xml:space="preserve"> ene l estado de Quintana Roo</w:t>
      </w:r>
      <w:r w:rsidRPr="004C628F">
        <w:rPr>
          <w:rFonts w:eastAsia="Arial" w:cs="Times New Roman"/>
          <w:bCs/>
          <w:color w:val="595959" w:themeColor="text1" w:themeTint="A6"/>
          <w:lang w:val="es-MX" w:eastAsia="en-US"/>
        </w:rPr>
        <w:t xml:space="preserve">, por ello se desglosan los problemas más relevantes a que se enfrenta y sus causas probables. </w:t>
      </w:r>
    </w:p>
    <w:p w14:paraId="7923B2ED" w14:textId="77777777" w:rsidR="00511401" w:rsidRDefault="00511401" w:rsidP="00511401">
      <w:pPr>
        <w:spacing w:before="120" w:after="120"/>
        <w:jc w:val="left"/>
        <w:rPr>
          <w:rFonts w:eastAsia="Arial" w:cs="Times New Roman"/>
          <w:bCs/>
          <w:color w:val="595959" w:themeColor="text1" w:themeTint="A6"/>
          <w:lang w:val="es-MX" w:eastAsia="en-US"/>
        </w:rPr>
      </w:pPr>
    </w:p>
    <w:p w14:paraId="1E3F2983" w14:textId="598D671E" w:rsidR="00511401" w:rsidRPr="00511401" w:rsidRDefault="00511401" w:rsidP="00AC3871">
      <w:pPr>
        <w:pStyle w:val="Epgrafe"/>
        <w:rPr>
          <w:lang w:val="es-ES_tradnl"/>
        </w:rPr>
      </w:pPr>
      <w:r w:rsidRPr="00511401">
        <w:t>Resumen de problemas relevantes en el Instituto de Acceso a la Información y la Protección de Datos Personales</w:t>
      </w:r>
      <w:r w:rsidRPr="00511401">
        <w:rPr>
          <w:lang w:val="es-ES_tradnl"/>
        </w:rPr>
        <w:t xml:space="preserve"> de Quintana Roo</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019"/>
        <w:gridCol w:w="6047"/>
      </w:tblGrid>
      <w:tr w:rsidR="00511401" w:rsidRPr="0052236B" w14:paraId="3E40A9E5" w14:textId="77777777" w:rsidTr="00060026">
        <w:trPr>
          <w:trHeight w:val="247"/>
          <w:tblHeader/>
          <w:jc w:val="center"/>
        </w:trPr>
        <w:tc>
          <w:tcPr>
            <w:tcW w:w="3019" w:type="dxa"/>
            <w:shd w:val="clear" w:color="auto" w:fill="A6A6A6" w:themeFill="background1" w:themeFillShade="A6"/>
            <w:tcMar>
              <w:top w:w="72" w:type="dxa"/>
              <w:left w:w="144" w:type="dxa"/>
              <w:bottom w:w="72" w:type="dxa"/>
              <w:right w:w="144" w:type="dxa"/>
            </w:tcMar>
            <w:vAlign w:val="center"/>
            <w:hideMark/>
          </w:tcPr>
          <w:p w14:paraId="67239758" w14:textId="77777777" w:rsidR="00511401" w:rsidRPr="004B310D" w:rsidRDefault="00511401" w:rsidP="00060026">
            <w:pPr>
              <w:spacing w:after="0"/>
              <w:jc w:val="center"/>
              <w:rPr>
                <w:rFonts w:ascii="Futura Std Condensed Light" w:eastAsia="Calibri" w:hAnsi="Futura Std Condensed Light" w:cs="Calibri"/>
                <w:color w:val="595959" w:themeColor="text1" w:themeTint="A6"/>
                <w:sz w:val="20"/>
                <w:szCs w:val="20"/>
              </w:rPr>
            </w:pPr>
            <w:r w:rsidRPr="004B310D">
              <w:rPr>
                <w:rFonts w:ascii="Futura Std Condensed Light" w:eastAsia="Calibri" w:hAnsi="Futura Std Condensed Light" w:cs="Calibri"/>
                <w:color w:val="595959" w:themeColor="text1" w:themeTint="A6"/>
                <w:sz w:val="20"/>
                <w:szCs w:val="20"/>
              </w:rPr>
              <w:t>Problemas</w:t>
            </w:r>
          </w:p>
        </w:tc>
        <w:tc>
          <w:tcPr>
            <w:tcW w:w="6047" w:type="dxa"/>
            <w:shd w:val="clear" w:color="auto" w:fill="A6A6A6" w:themeFill="background1" w:themeFillShade="A6"/>
            <w:tcMar>
              <w:top w:w="72" w:type="dxa"/>
              <w:left w:w="144" w:type="dxa"/>
              <w:bottom w:w="72" w:type="dxa"/>
              <w:right w:w="144" w:type="dxa"/>
            </w:tcMar>
            <w:vAlign w:val="center"/>
            <w:hideMark/>
          </w:tcPr>
          <w:p w14:paraId="5B71F7EA" w14:textId="77777777" w:rsidR="00511401" w:rsidRPr="004B310D" w:rsidRDefault="00511401" w:rsidP="00060026">
            <w:pPr>
              <w:spacing w:after="0"/>
              <w:jc w:val="center"/>
              <w:rPr>
                <w:rFonts w:ascii="Futura Std Condensed Light" w:eastAsia="Calibri" w:hAnsi="Futura Std Condensed Light" w:cs="Calibri"/>
                <w:color w:val="595959" w:themeColor="text1" w:themeTint="A6"/>
                <w:sz w:val="20"/>
                <w:szCs w:val="20"/>
              </w:rPr>
            </w:pPr>
            <w:r w:rsidRPr="004B310D">
              <w:rPr>
                <w:rFonts w:ascii="Futura Std Condensed Light" w:eastAsia="Calibri" w:hAnsi="Futura Std Condensed Light" w:cs="Calibri"/>
                <w:color w:val="595959" w:themeColor="text1" w:themeTint="A6"/>
                <w:sz w:val="20"/>
                <w:szCs w:val="20"/>
              </w:rPr>
              <w:t>Causas probables</w:t>
            </w:r>
          </w:p>
        </w:tc>
      </w:tr>
      <w:tr w:rsidR="00511401" w:rsidRPr="0052236B" w14:paraId="1EF5EBCA" w14:textId="77777777" w:rsidTr="00060026">
        <w:trPr>
          <w:trHeight w:val="135"/>
          <w:jc w:val="center"/>
        </w:trPr>
        <w:tc>
          <w:tcPr>
            <w:tcW w:w="3019" w:type="dxa"/>
            <w:vMerge w:val="restart"/>
            <w:shd w:val="clear" w:color="auto" w:fill="FFFFFF" w:themeFill="background1"/>
            <w:tcMar>
              <w:top w:w="72" w:type="dxa"/>
              <w:left w:w="144" w:type="dxa"/>
              <w:bottom w:w="72" w:type="dxa"/>
              <w:right w:w="144" w:type="dxa"/>
            </w:tcMar>
            <w:vAlign w:val="center"/>
          </w:tcPr>
          <w:p w14:paraId="51C28085"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sidRPr="004B310D">
              <w:rPr>
                <w:rFonts w:ascii="Futura Std Condensed Light" w:eastAsia="Times New Roman" w:hAnsi="Futura Std Condensed Light" w:cs="Futura"/>
                <w:color w:val="595959" w:themeColor="text1" w:themeTint="A6"/>
                <w:sz w:val="20"/>
                <w:szCs w:val="20"/>
              </w:rPr>
              <w:t>Problema 1</w:t>
            </w:r>
            <w:r>
              <w:rPr>
                <w:rFonts w:ascii="Futura Std Condensed Light" w:eastAsia="Times New Roman" w:hAnsi="Futura Std Condensed Light" w:cs="Futura"/>
                <w:color w:val="595959" w:themeColor="text1" w:themeTint="A6"/>
                <w:sz w:val="20"/>
                <w:szCs w:val="20"/>
              </w:rPr>
              <w:t xml:space="preserve"> Falta de personal para realizar el fomento  de la Ley de Protección de Datos Personales en Posesión de Sujetos obligados.</w:t>
            </w:r>
          </w:p>
        </w:tc>
        <w:tc>
          <w:tcPr>
            <w:tcW w:w="6047" w:type="dxa"/>
            <w:shd w:val="clear" w:color="auto" w:fill="FFFFFF" w:themeFill="background1"/>
            <w:tcMar>
              <w:top w:w="72" w:type="dxa"/>
              <w:left w:w="144" w:type="dxa"/>
              <w:bottom w:w="72" w:type="dxa"/>
              <w:right w:w="144" w:type="dxa"/>
            </w:tcMar>
            <w:vAlign w:val="center"/>
          </w:tcPr>
          <w:p w14:paraId="2DC94F5A" w14:textId="436FA3A3"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sidRPr="004B310D">
              <w:rPr>
                <w:rFonts w:ascii="Futura Std Condensed Light" w:eastAsia="Times New Roman" w:hAnsi="Futura Std Condensed Light" w:cs="Futura"/>
                <w:color w:val="595959" w:themeColor="text1" w:themeTint="A6"/>
                <w:sz w:val="20"/>
                <w:szCs w:val="20"/>
              </w:rPr>
              <w:t>Causa 1</w:t>
            </w:r>
            <w:r>
              <w:rPr>
                <w:rFonts w:ascii="Futura Std Condensed Light" w:eastAsia="Times New Roman" w:hAnsi="Futura Std Condensed Light" w:cs="Futura"/>
                <w:color w:val="595959" w:themeColor="text1" w:themeTint="A6"/>
                <w:sz w:val="20"/>
                <w:szCs w:val="20"/>
              </w:rPr>
              <w:t xml:space="preserve"> La dirección de Protección de Datos Personales en posesión de sujetos obligados cuenta tan solo con dos persona</w:t>
            </w:r>
            <w:r w:rsidR="00640A6E">
              <w:rPr>
                <w:rFonts w:ascii="Futura Std Condensed Light" w:eastAsia="Times New Roman" w:hAnsi="Futura Std Condensed Light" w:cs="Futura"/>
                <w:color w:val="595959" w:themeColor="text1" w:themeTint="A6"/>
                <w:sz w:val="20"/>
                <w:szCs w:val="20"/>
              </w:rPr>
              <w:t>s, para fomentar a la sociedad Q</w:t>
            </w:r>
            <w:r>
              <w:rPr>
                <w:rFonts w:ascii="Futura Std Condensed Light" w:eastAsia="Times New Roman" w:hAnsi="Futura Std Condensed Light" w:cs="Futura"/>
                <w:color w:val="595959" w:themeColor="text1" w:themeTint="A6"/>
                <w:sz w:val="20"/>
                <w:szCs w:val="20"/>
              </w:rPr>
              <w:t>uinta</w:t>
            </w:r>
            <w:r w:rsidR="00013197">
              <w:rPr>
                <w:rFonts w:ascii="Futura Std Condensed Light" w:eastAsia="Times New Roman" w:hAnsi="Futura Std Condensed Light" w:cs="Futura"/>
                <w:color w:val="595959" w:themeColor="text1" w:themeTint="A6"/>
                <w:sz w:val="20"/>
                <w:szCs w:val="20"/>
              </w:rPr>
              <w:t>na</w:t>
            </w:r>
            <w:r>
              <w:rPr>
                <w:rFonts w:ascii="Futura Std Condensed Light" w:eastAsia="Times New Roman" w:hAnsi="Futura Std Condensed Light" w:cs="Futura"/>
                <w:color w:val="595959" w:themeColor="text1" w:themeTint="A6"/>
                <w:sz w:val="20"/>
                <w:szCs w:val="20"/>
              </w:rPr>
              <w:t>rroense esta cultura.</w:t>
            </w:r>
          </w:p>
        </w:tc>
      </w:tr>
      <w:tr w:rsidR="00511401" w:rsidRPr="0052236B" w14:paraId="530112C7" w14:textId="77777777" w:rsidTr="00060026">
        <w:trPr>
          <w:trHeight w:val="466"/>
          <w:jc w:val="center"/>
        </w:trPr>
        <w:tc>
          <w:tcPr>
            <w:tcW w:w="3019" w:type="dxa"/>
            <w:vMerge/>
            <w:shd w:val="clear" w:color="auto" w:fill="FFFFFF" w:themeFill="background1"/>
            <w:tcMar>
              <w:top w:w="72" w:type="dxa"/>
              <w:left w:w="144" w:type="dxa"/>
              <w:bottom w:w="72" w:type="dxa"/>
              <w:right w:w="144" w:type="dxa"/>
            </w:tcMar>
            <w:vAlign w:val="center"/>
          </w:tcPr>
          <w:p w14:paraId="5B6371C8"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p>
        </w:tc>
        <w:tc>
          <w:tcPr>
            <w:tcW w:w="6047" w:type="dxa"/>
            <w:shd w:val="clear" w:color="auto" w:fill="FFFFFF" w:themeFill="background1"/>
            <w:tcMar>
              <w:top w:w="72" w:type="dxa"/>
              <w:left w:w="144" w:type="dxa"/>
              <w:bottom w:w="72" w:type="dxa"/>
              <w:right w:w="144" w:type="dxa"/>
            </w:tcMar>
            <w:vAlign w:val="center"/>
          </w:tcPr>
          <w:p w14:paraId="1110F7DA"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Causa 2 La sociedad está cada día más interesada con el tema de la protección  de sus datos personales por lo que se considera necesario reforzar está dirección.</w:t>
            </w:r>
          </w:p>
        </w:tc>
      </w:tr>
      <w:tr w:rsidR="00511401" w:rsidRPr="0052236B" w14:paraId="5A984961" w14:textId="77777777" w:rsidTr="00060026">
        <w:trPr>
          <w:trHeight w:val="135"/>
          <w:jc w:val="center"/>
        </w:trPr>
        <w:tc>
          <w:tcPr>
            <w:tcW w:w="3019" w:type="dxa"/>
            <w:vMerge w:val="restart"/>
            <w:shd w:val="clear" w:color="auto" w:fill="FFFFFF" w:themeFill="background1"/>
            <w:tcMar>
              <w:top w:w="72" w:type="dxa"/>
              <w:left w:w="144" w:type="dxa"/>
              <w:bottom w:w="72" w:type="dxa"/>
              <w:right w:w="144" w:type="dxa"/>
            </w:tcMar>
            <w:vAlign w:val="center"/>
          </w:tcPr>
          <w:p w14:paraId="6B3A390D"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 xml:space="preserve">Problema 2 Falta de personal para auxiliar el </w:t>
            </w:r>
            <w:r>
              <w:rPr>
                <w:rFonts w:ascii="Futura Std Condensed Light" w:eastAsia="Times New Roman" w:hAnsi="Futura Std Condensed Light" w:cs="Futura"/>
                <w:color w:val="595959" w:themeColor="text1" w:themeTint="A6"/>
                <w:sz w:val="20"/>
                <w:szCs w:val="20"/>
              </w:rPr>
              <w:lastRenderedPageBreak/>
              <w:t>proceso de las solicitudes de información del instituto.</w:t>
            </w:r>
          </w:p>
        </w:tc>
        <w:tc>
          <w:tcPr>
            <w:tcW w:w="6047" w:type="dxa"/>
            <w:shd w:val="clear" w:color="auto" w:fill="FFFFFF" w:themeFill="background1"/>
            <w:tcMar>
              <w:top w:w="72" w:type="dxa"/>
              <w:left w:w="144" w:type="dxa"/>
              <w:bottom w:w="72" w:type="dxa"/>
              <w:right w:w="144" w:type="dxa"/>
            </w:tcMar>
            <w:vAlign w:val="center"/>
          </w:tcPr>
          <w:p w14:paraId="33ABA2FB"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sidRPr="004B310D">
              <w:rPr>
                <w:rFonts w:ascii="Futura Std Condensed Light" w:eastAsia="Times New Roman" w:hAnsi="Futura Std Condensed Light" w:cs="Futura"/>
                <w:color w:val="595959" w:themeColor="text1" w:themeTint="A6"/>
                <w:sz w:val="20"/>
                <w:szCs w:val="20"/>
              </w:rPr>
              <w:lastRenderedPageBreak/>
              <w:t>Causa 1</w:t>
            </w:r>
            <w:r>
              <w:rPr>
                <w:rFonts w:ascii="Futura Std Condensed Light" w:eastAsia="Times New Roman" w:hAnsi="Futura Std Condensed Light" w:cs="Futura"/>
                <w:color w:val="595959" w:themeColor="text1" w:themeTint="A6"/>
                <w:sz w:val="20"/>
                <w:szCs w:val="20"/>
              </w:rPr>
              <w:t xml:space="preserve"> Incremento de las solicitudes de información por parte de la sociedad.</w:t>
            </w:r>
          </w:p>
        </w:tc>
      </w:tr>
      <w:tr w:rsidR="00511401" w:rsidRPr="0052236B" w14:paraId="59FD8C09" w14:textId="77777777" w:rsidTr="00060026">
        <w:trPr>
          <w:trHeight w:val="135"/>
          <w:jc w:val="center"/>
        </w:trPr>
        <w:tc>
          <w:tcPr>
            <w:tcW w:w="3019" w:type="dxa"/>
            <w:vMerge/>
            <w:shd w:val="clear" w:color="auto" w:fill="FFFFFF" w:themeFill="background1"/>
            <w:tcMar>
              <w:top w:w="72" w:type="dxa"/>
              <w:left w:w="144" w:type="dxa"/>
              <w:bottom w:w="72" w:type="dxa"/>
              <w:right w:w="144" w:type="dxa"/>
            </w:tcMar>
            <w:vAlign w:val="center"/>
          </w:tcPr>
          <w:p w14:paraId="1F43F20C"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p>
        </w:tc>
        <w:tc>
          <w:tcPr>
            <w:tcW w:w="6047" w:type="dxa"/>
            <w:shd w:val="clear" w:color="auto" w:fill="FFFFFF" w:themeFill="background1"/>
            <w:tcMar>
              <w:top w:w="72" w:type="dxa"/>
              <w:left w:w="144" w:type="dxa"/>
              <w:bottom w:w="72" w:type="dxa"/>
              <w:right w:w="144" w:type="dxa"/>
            </w:tcMar>
            <w:vAlign w:val="center"/>
          </w:tcPr>
          <w:p w14:paraId="0CA967BE"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Causa 2 La unidad de transparencia cuenta con personal limitado para dar seguimiento y respuesta a las solicitudes de información.</w:t>
            </w:r>
          </w:p>
        </w:tc>
      </w:tr>
      <w:tr w:rsidR="00511401" w:rsidRPr="0052236B" w14:paraId="6AD6B3A2" w14:textId="77777777" w:rsidTr="00060026">
        <w:trPr>
          <w:trHeight w:val="135"/>
          <w:jc w:val="center"/>
        </w:trPr>
        <w:tc>
          <w:tcPr>
            <w:tcW w:w="3019" w:type="dxa"/>
            <w:vMerge w:val="restart"/>
            <w:shd w:val="clear" w:color="auto" w:fill="FFFFFF" w:themeFill="background1"/>
            <w:tcMar>
              <w:top w:w="72" w:type="dxa"/>
              <w:left w:w="144" w:type="dxa"/>
              <w:bottom w:w="72" w:type="dxa"/>
              <w:right w:w="144" w:type="dxa"/>
            </w:tcMar>
            <w:vAlign w:val="center"/>
          </w:tcPr>
          <w:p w14:paraId="029DED75" w14:textId="711AA81A" w:rsidR="00511401" w:rsidRPr="004B310D" w:rsidRDefault="00FF1B99" w:rsidP="00060026">
            <w:pPr>
              <w:spacing w:after="0"/>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lastRenderedPageBreak/>
              <w:t>Problema 3</w:t>
            </w:r>
            <w:r w:rsidR="00511401">
              <w:rPr>
                <w:rFonts w:ascii="Futura Std Condensed Light" w:eastAsia="Times New Roman" w:hAnsi="Futura Std Condensed Light" w:cs="Futura"/>
                <w:color w:val="595959"/>
                <w:sz w:val="20"/>
                <w:szCs w:val="20"/>
              </w:rPr>
              <w:t xml:space="preserve"> Falta de Representación física del Instituto de Acceso a la Información y Protección de Datos Personales (IDAIPQROO) en la Zona Norte.</w:t>
            </w:r>
          </w:p>
        </w:tc>
        <w:tc>
          <w:tcPr>
            <w:tcW w:w="6047" w:type="dxa"/>
            <w:shd w:val="clear" w:color="auto" w:fill="FFFFFF" w:themeFill="background1"/>
            <w:tcMar>
              <w:top w:w="72" w:type="dxa"/>
              <w:left w:w="144" w:type="dxa"/>
              <w:bottom w:w="72" w:type="dxa"/>
              <w:right w:w="144" w:type="dxa"/>
            </w:tcMar>
            <w:vAlign w:val="center"/>
          </w:tcPr>
          <w:p w14:paraId="7FAB5487" w14:textId="77777777" w:rsidR="00511401" w:rsidRPr="001A30E3" w:rsidRDefault="00511401" w:rsidP="00060026">
            <w:pPr>
              <w:spacing w:after="0"/>
              <w:rPr>
                <w:rFonts w:ascii="Futura Std Condensed Light" w:eastAsia="Times New Roman" w:hAnsi="Futura Std Condensed Light" w:cs="Futura"/>
                <w:color w:val="595959"/>
                <w:sz w:val="20"/>
                <w:szCs w:val="20"/>
              </w:rPr>
            </w:pPr>
            <w:r w:rsidRPr="004B310D">
              <w:rPr>
                <w:rFonts w:ascii="Futura Std Condensed Light" w:eastAsia="Times New Roman" w:hAnsi="Futura Std Condensed Light" w:cs="Futura"/>
                <w:color w:val="595959" w:themeColor="text1" w:themeTint="A6"/>
                <w:sz w:val="20"/>
                <w:szCs w:val="20"/>
              </w:rPr>
              <w:t>Causa 1</w:t>
            </w:r>
            <w:r w:rsidRPr="006C4AE1">
              <w:rPr>
                <w:rFonts w:ascii="Futura Std Condensed Light" w:eastAsia="Times New Roman" w:hAnsi="Futura Std Condensed Light" w:cs="Futura"/>
                <w:color w:val="595959"/>
                <w:sz w:val="20"/>
                <w:szCs w:val="20"/>
              </w:rPr>
              <w:t xml:space="preserve"> </w:t>
            </w:r>
            <w:r>
              <w:rPr>
                <w:rFonts w:ascii="Futura Std Condensed Light" w:eastAsia="Times New Roman" w:hAnsi="Futura Std Condensed Light" w:cs="Futura"/>
                <w:color w:val="595959"/>
                <w:sz w:val="20"/>
                <w:szCs w:val="20"/>
              </w:rPr>
              <w:t xml:space="preserve">La  sociedad es cada vez más participativa en el ejercicio de su Derecho de Acceso a la Información Pública. Motivo por el cual se considera necesaria la creación de una oficina de representación en la Zona Norte para garantizar el derecho humano de la sociedad. </w:t>
            </w:r>
          </w:p>
        </w:tc>
      </w:tr>
      <w:tr w:rsidR="00511401" w:rsidRPr="0052236B" w14:paraId="743AE698" w14:textId="77777777" w:rsidTr="00060026">
        <w:trPr>
          <w:trHeight w:val="135"/>
          <w:jc w:val="center"/>
        </w:trPr>
        <w:tc>
          <w:tcPr>
            <w:tcW w:w="3019" w:type="dxa"/>
            <w:vMerge/>
            <w:shd w:val="clear" w:color="auto" w:fill="FFFFFF" w:themeFill="background1"/>
            <w:tcMar>
              <w:top w:w="72" w:type="dxa"/>
              <w:left w:w="144" w:type="dxa"/>
              <w:bottom w:w="72" w:type="dxa"/>
              <w:right w:w="144" w:type="dxa"/>
            </w:tcMar>
            <w:vAlign w:val="center"/>
          </w:tcPr>
          <w:p w14:paraId="49B630AF"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p>
        </w:tc>
        <w:tc>
          <w:tcPr>
            <w:tcW w:w="6047" w:type="dxa"/>
            <w:shd w:val="clear" w:color="auto" w:fill="FFFFFF" w:themeFill="background1"/>
            <w:tcMar>
              <w:top w:w="72" w:type="dxa"/>
              <w:left w:w="144" w:type="dxa"/>
              <w:bottom w:w="72" w:type="dxa"/>
              <w:right w:w="144" w:type="dxa"/>
            </w:tcMar>
            <w:vAlign w:val="center"/>
          </w:tcPr>
          <w:p w14:paraId="6D767387"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Causa 2 Consolidación territorial en el estado de Quintana Roo en atención a la Ley de Transparencia</w:t>
            </w:r>
          </w:p>
        </w:tc>
      </w:tr>
      <w:tr w:rsidR="00511401" w:rsidRPr="0052236B" w14:paraId="13309288" w14:textId="77777777" w:rsidTr="00060026">
        <w:trPr>
          <w:trHeight w:val="818"/>
          <w:jc w:val="center"/>
        </w:trPr>
        <w:tc>
          <w:tcPr>
            <w:tcW w:w="3019" w:type="dxa"/>
            <w:vMerge w:val="restart"/>
            <w:shd w:val="clear" w:color="auto" w:fill="FFFFFF" w:themeFill="background1"/>
            <w:tcMar>
              <w:top w:w="72" w:type="dxa"/>
              <w:left w:w="144" w:type="dxa"/>
              <w:bottom w:w="72" w:type="dxa"/>
              <w:right w:w="144" w:type="dxa"/>
            </w:tcMar>
            <w:vAlign w:val="center"/>
          </w:tcPr>
          <w:p w14:paraId="5BF0502A" w14:textId="13D6DDC3" w:rsidR="00511401" w:rsidRPr="004B310D" w:rsidRDefault="00FF1B99" w:rsidP="00060026">
            <w:pPr>
              <w:spacing w:after="0"/>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Problema 4</w:t>
            </w:r>
            <w:r w:rsidR="00511401">
              <w:rPr>
                <w:rFonts w:ascii="Futura Std Condensed Light" w:eastAsia="Times New Roman" w:hAnsi="Futura Std Condensed Light" w:cs="Futura"/>
                <w:color w:val="595959" w:themeColor="text1" w:themeTint="A6"/>
                <w:sz w:val="20"/>
                <w:szCs w:val="20"/>
              </w:rPr>
              <w:t xml:space="preserve"> </w:t>
            </w:r>
            <w:r w:rsidR="00511401">
              <w:rPr>
                <w:rFonts w:ascii="Futura Std Condensed Light" w:eastAsia="Times New Roman" w:hAnsi="Futura Std Condensed Light" w:cs="Futura"/>
                <w:color w:val="595959"/>
                <w:sz w:val="20"/>
                <w:szCs w:val="20"/>
              </w:rPr>
              <w:t xml:space="preserve">Falta de Personal Para Verificación en los portales web de  las Obligaciones de Transparencia mínimas </w:t>
            </w:r>
            <w:r>
              <w:rPr>
                <w:rFonts w:ascii="Futura Std Condensed Light" w:eastAsia="Times New Roman" w:hAnsi="Futura Std Condensed Light" w:cs="Futura"/>
                <w:color w:val="595959"/>
                <w:sz w:val="20"/>
                <w:szCs w:val="20"/>
              </w:rPr>
              <w:t>obligatorias de los 105</w:t>
            </w:r>
            <w:r w:rsidR="00511401">
              <w:rPr>
                <w:rFonts w:ascii="Futura Std Condensed Light" w:eastAsia="Times New Roman" w:hAnsi="Futura Std Condensed Light" w:cs="Futura"/>
                <w:color w:val="595959"/>
                <w:sz w:val="20"/>
                <w:szCs w:val="20"/>
              </w:rPr>
              <w:t xml:space="preserve"> Sujetos Obligados establecidas en  la Ley de Transparencia y Acceso a la Información para el estado de Quintana Roo.</w:t>
            </w:r>
          </w:p>
        </w:tc>
        <w:tc>
          <w:tcPr>
            <w:tcW w:w="6047" w:type="dxa"/>
            <w:shd w:val="clear" w:color="auto" w:fill="FFFFFF" w:themeFill="background1"/>
            <w:tcMar>
              <w:top w:w="72" w:type="dxa"/>
              <w:left w:w="144" w:type="dxa"/>
              <w:bottom w:w="72" w:type="dxa"/>
              <w:right w:w="144" w:type="dxa"/>
            </w:tcMar>
            <w:vAlign w:val="center"/>
          </w:tcPr>
          <w:p w14:paraId="2D4034A6" w14:textId="045451A4"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sidRPr="004B310D">
              <w:rPr>
                <w:rFonts w:ascii="Futura Std Condensed Light" w:eastAsia="Times New Roman" w:hAnsi="Futura Std Condensed Light" w:cs="Futura"/>
                <w:color w:val="595959" w:themeColor="text1" w:themeTint="A6"/>
                <w:sz w:val="20"/>
                <w:szCs w:val="20"/>
              </w:rPr>
              <w:t>Causa 1</w:t>
            </w:r>
            <w:r>
              <w:rPr>
                <w:rFonts w:ascii="Futura Std Condensed Light" w:eastAsia="Times New Roman" w:hAnsi="Futura Std Condensed Light" w:cs="Futura"/>
                <w:color w:val="595959"/>
                <w:sz w:val="20"/>
                <w:szCs w:val="20"/>
              </w:rPr>
              <w:t xml:space="preserve"> Debido al increment</w:t>
            </w:r>
            <w:r w:rsidR="00FF1B99">
              <w:rPr>
                <w:rFonts w:ascii="Futura Std Condensed Light" w:eastAsia="Times New Roman" w:hAnsi="Futura Std Condensed Light" w:cs="Futura"/>
                <w:color w:val="595959"/>
                <w:sz w:val="20"/>
                <w:szCs w:val="20"/>
              </w:rPr>
              <w:t>o de los Sujetos Obligados de 99 a 105</w:t>
            </w:r>
            <w:r>
              <w:rPr>
                <w:rFonts w:ascii="Futura Std Condensed Light" w:eastAsia="Times New Roman" w:hAnsi="Futura Std Condensed Light" w:cs="Futura"/>
                <w:color w:val="595959"/>
                <w:sz w:val="20"/>
                <w:szCs w:val="20"/>
              </w:rPr>
              <w:t xml:space="preserve">  a la Ley de Transparencia y Acceso a la Información en Quintana Roo, la Dirección de Verificación de Obligaciones de Transparencia solo cuenta con dos personas encargadas a realizar la revisión de los  Sujetos Obligados. </w:t>
            </w:r>
          </w:p>
        </w:tc>
      </w:tr>
      <w:tr w:rsidR="00511401" w:rsidRPr="0052236B" w14:paraId="46F7AAE5" w14:textId="77777777" w:rsidTr="00060026">
        <w:trPr>
          <w:trHeight w:val="817"/>
          <w:jc w:val="center"/>
        </w:trPr>
        <w:tc>
          <w:tcPr>
            <w:tcW w:w="3019" w:type="dxa"/>
            <w:vMerge/>
            <w:shd w:val="clear" w:color="auto" w:fill="FFFFFF" w:themeFill="background1"/>
            <w:tcMar>
              <w:top w:w="72" w:type="dxa"/>
              <w:left w:w="144" w:type="dxa"/>
              <w:bottom w:w="72" w:type="dxa"/>
              <w:right w:w="144" w:type="dxa"/>
            </w:tcMar>
            <w:vAlign w:val="center"/>
          </w:tcPr>
          <w:p w14:paraId="49723729" w14:textId="77777777" w:rsidR="00511401" w:rsidRDefault="00511401" w:rsidP="00060026">
            <w:pPr>
              <w:spacing w:after="0"/>
              <w:rPr>
                <w:rFonts w:ascii="Futura Std Condensed Light" w:eastAsia="Times New Roman" w:hAnsi="Futura Std Condensed Light" w:cs="Futura"/>
                <w:color w:val="595959" w:themeColor="text1" w:themeTint="A6"/>
                <w:sz w:val="20"/>
                <w:szCs w:val="20"/>
              </w:rPr>
            </w:pPr>
          </w:p>
        </w:tc>
        <w:tc>
          <w:tcPr>
            <w:tcW w:w="6047" w:type="dxa"/>
            <w:shd w:val="clear" w:color="auto" w:fill="FFFFFF" w:themeFill="background1"/>
            <w:tcMar>
              <w:top w:w="72" w:type="dxa"/>
              <w:left w:w="144" w:type="dxa"/>
              <w:bottom w:w="72" w:type="dxa"/>
              <w:right w:w="144" w:type="dxa"/>
            </w:tcMar>
            <w:vAlign w:val="center"/>
          </w:tcPr>
          <w:p w14:paraId="3DBAEBDF" w14:textId="45299613"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 xml:space="preserve">Causa 2 De acuerdo a la Ley de Transparencia es necesario realizar revisiones trimestrales de los </w:t>
            </w:r>
            <w:r w:rsidR="00FC3000">
              <w:rPr>
                <w:rFonts w:ascii="Futura Std Condensed Light" w:eastAsia="Times New Roman" w:hAnsi="Futura Std Condensed Light" w:cs="Futura"/>
                <w:color w:val="595959" w:themeColor="text1" w:themeTint="A6"/>
                <w:sz w:val="20"/>
                <w:szCs w:val="20"/>
              </w:rPr>
              <w:t>sitios web de los 105</w:t>
            </w:r>
            <w:r>
              <w:rPr>
                <w:rFonts w:ascii="Futura Std Condensed Light" w:eastAsia="Times New Roman" w:hAnsi="Futura Std Condensed Light" w:cs="Futura"/>
                <w:color w:val="595959" w:themeColor="text1" w:themeTint="A6"/>
                <w:sz w:val="20"/>
                <w:szCs w:val="20"/>
              </w:rPr>
              <w:t xml:space="preserve"> sujetos obligados.</w:t>
            </w:r>
          </w:p>
        </w:tc>
      </w:tr>
      <w:tr w:rsidR="00511401" w:rsidRPr="0052236B" w14:paraId="1F25A1E3" w14:textId="77777777" w:rsidTr="00060026">
        <w:trPr>
          <w:trHeight w:val="247"/>
          <w:jc w:val="center"/>
        </w:trPr>
        <w:tc>
          <w:tcPr>
            <w:tcW w:w="3019" w:type="dxa"/>
            <w:vMerge w:val="restart"/>
            <w:shd w:val="clear" w:color="auto" w:fill="FFFFFF" w:themeFill="background1"/>
            <w:tcMar>
              <w:top w:w="72" w:type="dxa"/>
              <w:left w:w="144" w:type="dxa"/>
              <w:bottom w:w="72" w:type="dxa"/>
              <w:right w:w="144" w:type="dxa"/>
            </w:tcMar>
            <w:vAlign w:val="center"/>
            <w:hideMark/>
          </w:tcPr>
          <w:p w14:paraId="4B2A918C" w14:textId="7CC35952" w:rsidR="00511401" w:rsidRPr="004B310D" w:rsidRDefault="00FF1B99" w:rsidP="00060026">
            <w:pPr>
              <w:spacing w:after="0"/>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Problema 5</w:t>
            </w:r>
            <w:r w:rsidR="00511401">
              <w:rPr>
                <w:rFonts w:ascii="Futura Std Condensed Light" w:eastAsia="Times New Roman" w:hAnsi="Futura Std Condensed Light" w:cs="Futura"/>
                <w:color w:val="595959" w:themeColor="text1" w:themeTint="A6"/>
                <w:sz w:val="20"/>
                <w:szCs w:val="20"/>
              </w:rPr>
              <w:t xml:space="preserve"> En las Capacitaciones de Acceso a la Información y la Protección de Datos Personales existe</w:t>
            </w:r>
            <w:r w:rsidR="00511401" w:rsidRPr="004B310D">
              <w:rPr>
                <w:rFonts w:ascii="Futura Std Condensed Light" w:eastAsia="Times New Roman" w:hAnsi="Futura Std Condensed Light" w:cs="Calibri"/>
                <w:color w:val="595959" w:themeColor="text1" w:themeTint="A6"/>
                <w:sz w:val="20"/>
                <w:szCs w:val="20"/>
                <w:lang w:val="es-ES"/>
              </w:rPr>
              <w:t xml:space="preserve"> </w:t>
            </w:r>
            <w:r w:rsidR="00511401">
              <w:rPr>
                <w:rFonts w:ascii="Futura Std Condensed Light" w:eastAsia="Times New Roman" w:hAnsi="Futura Std Condensed Light" w:cs="Calibri"/>
                <w:color w:val="595959" w:themeColor="text1" w:themeTint="A6"/>
                <w:sz w:val="20"/>
                <w:szCs w:val="20"/>
                <w:lang w:val="es-ES"/>
              </w:rPr>
              <w:t>d</w:t>
            </w:r>
            <w:r w:rsidR="00511401" w:rsidRPr="004B310D">
              <w:rPr>
                <w:rFonts w:ascii="Futura Std Condensed Light" w:eastAsia="Times New Roman" w:hAnsi="Futura Std Condensed Light" w:cs="Calibri"/>
                <w:color w:val="595959" w:themeColor="text1" w:themeTint="A6"/>
                <w:sz w:val="20"/>
                <w:szCs w:val="20"/>
                <w:lang w:val="es-ES"/>
              </w:rPr>
              <w:t>esconocimiento del tema por parte de la sociedad</w:t>
            </w:r>
          </w:p>
        </w:tc>
        <w:tc>
          <w:tcPr>
            <w:tcW w:w="6047" w:type="dxa"/>
            <w:shd w:val="clear" w:color="auto" w:fill="FFFFFF" w:themeFill="background1"/>
            <w:tcMar>
              <w:top w:w="72" w:type="dxa"/>
              <w:left w:w="144" w:type="dxa"/>
              <w:bottom w:w="72" w:type="dxa"/>
              <w:right w:w="144" w:type="dxa"/>
            </w:tcMar>
            <w:vAlign w:val="center"/>
            <w:hideMark/>
          </w:tcPr>
          <w:p w14:paraId="3B1E9422"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sidRPr="004B310D">
              <w:rPr>
                <w:rFonts w:ascii="Futura Std Condensed Light" w:eastAsia="Times New Roman" w:hAnsi="Futura Std Condensed Light" w:cs="Futura"/>
                <w:color w:val="595959" w:themeColor="text1" w:themeTint="A6"/>
                <w:sz w:val="20"/>
                <w:szCs w:val="20"/>
              </w:rPr>
              <w:t>Causa 1</w:t>
            </w:r>
            <w:r w:rsidRPr="004B310D">
              <w:rPr>
                <w:rFonts w:ascii="Futura Std Condensed Light" w:eastAsia="Times New Roman" w:hAnsi="Futura Std Condensed Light" w:cs="Calibri"/>
                <w:color w:val="595959" w:themeColor="text1" w:themeTint="A6"/>
                <w:sz w:val="20"/>
                <w:szCs w:val="20"/>
                <w:lang w:val="es-ES"/>
              </w:rPr>
              <w:t xml:space="preserve"> Falta de interés por parte de la sociedad</w:t>
            </w:r>
          </w:p>
        </w:tc>
      </w:tr>
      <w:tr w:rsidR="00511401" w:rsidRPr="0052236B" w14:paraId="60DA2B9C" w14:textId="77777777" w:rsidTr="00060026">
        <w:trPr>
          <w:trHeight w:val="247"/>
          <w:jc w:val="center"/>
        </w:trPr>
        <w:tc>
          <w:tcPr>
            <w:tcW w:w="3019" w:type="dxa"/>
            <w:vMerge/>
            <w:shd w:val="clear" w:color="auto" w:fill="FFFFFF" w:themeFill="background1"/>
            <w:vAlign w:val="center"/>
            <w:hideMark/>
          </w:tcPr>
          <w:p w14:paraId="01C04A86"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p>
        </w:tc>
        <w:tc>
          <w:tcPr>
            <w:tcW w:w="6047" w:type="dxa"/>
            <w:shd w:val="clear" w:color="auto" w:fill="FFFFFF" w:themeFill="background1"/>
            <w:tcMar>
              <w:top w:w="72" w:type="dxa"/>
              <w:left w:w="144" w:type="dxa"/>
              <w:bottom w:w="72" w:type="dxa"/>
              <w:right w:w="144" w:type="dxa"/>
            </w:tcMar>
            <w:vAlign w:val="center"/>
            <w:hideMark/>
          </w:tcPr>
          <w:p w14:paraId="48F7ADFA" w14:textId="77777777" w:rsidR="00511401" w:rsidRPr="004B310D" w:rsidRDefault="00511401" w:rsidP="00060026">
            <w:pPr>
              <w:spacing w:after="0"/>
              <w:rPr>
                <w:rFonts w:ascii="Futura Std Condensed Light" w:eastAsia="Times New Roman" w:hAnsi="Futura Std Condensed Light" w:cs="Futura"/>
                <w:color w:val="595959" w:themeColor="text1" w:themeTint="A6"/>
                <w:sz w:val="20"/>
                <w:szCs w:val="20"/>
              </w:rPr>
            </w:pPr>
            <w:r w:rsidRPr="004B310D">
              <w:rPr>
                <w:rFonts w:ascii="Futura Std Condensed Light" w:eastAsia="Times New Roman" w:hAnsi="Futura Std Condensed Light" w:cs="Futura"/>
                <w:color w:val="595959" w:themeColor="text1" w:themeTint="A6"/>
                <w:sz w:val="20"/>
                <w:szCs w:val="20"/>
              </w:rPr>
              <w:t>Causa 2</w:t>
            </w:r>
            <w:r w:rsidRPr="004B310D">
              <w:rPr>
                <w:rFonts w:ascii="Futura Std Condensed Light" w:eastAsia="Times New Roman" w:hAnsi="Futura Std Condensed Light" w:cs="Calibri"/>
                <w:color w:val="595959" w:themeColor="text1" w:themeTint="A6"/>
                <w:sz w:val="20"/>
                <w:szCs w:val="20"/>
                <w:lang w:val="es-ES"/>
              </w:rPr>
              <w:t xml:space="preserve"> La inadecuada definición e integración de ellos en la formación de personas.</w:t>
            </w:r>
          </w:p>
        </w:tc>
      </w:tr>
      <w:tr w:rsidR="00511401" w:rsidRPr="0052236B" w14:paraId="134FF66F" w14:textId="77777777" w:rsidTr="00060026">
        <w:trPr>
          <w:trHeight w:val="440"/>
          <w:jc w:val="center"/>
        </w:trPr>
        <w:tc>
          <w:tcPr>
            <w:tcW w:w="3019" w:type="dxa"/>
            <w:vMerge w:val="restart"/>
            <w:shd w:val="clear" w:color="auto" w:fill="FFFFFF" w:themeFill="background1"/>
            <w:tcMar>
              <w:top w:w="72" w:type="dxa"/>
              <w:left w:w="144" w:type="dxa"/>
              <w:bottom w:w="72" w:type="dxa"/>
              <w:right w:w="144" w:type="dxa"/>
            </w:tcMar>
            <w:vAlign w:val="center"/>
          </w:tcPr>
          <w:p w14:paraId="6E00F0B6" w14:textId="48FAEBD8" w:rsidR="00511401" w:rsidRPr="00D01B6F" w:rsidRDefault="00FF1B99" w:rsidP="00060026">
            <w:pPr>
              <w:spacing w:after="0"/>
              <w:rPr>
                <w:rFonts w:ascii="Futura Std Condensed Light" w:eastAsia="Times New Roman" w:hAnsi="Futura Std Condensed Light" w:cs="Futura"/>
                <w:color w:val="595959" w:themeColor="text1" w:themeTint="A6"/>
                <w:sz w:val="20"/>
                <w:szCs w:val="20"/>
              </w:rPr>
            </w:pPr>
            <w:r>
              <w:rPr>
                <w:rFonts w:ascii="Futura Std Condensed Light" w:eastAsia="Times New Roman" w:hAnsi="Futura Std Condensed Light" w:cs="Futura"/>
                <w:color w:val="595959" w:themeColor="text1" w:themeTint="A6"/>
                <w:sz w:val="20"/>
                <w:szCs w:val="20"/>
              </w:rPr>
              <w:t>Problema 6</w:t>
            </w:r>
            <w:r w:rsidR="00511401">
              <w:rPr>
                <w:rFonts w:ascii="Futura Std Condensed Light" w:eastAsia="Times New Roman" w:hAnsi="Futura Std Condensed Light" w:cs="Futura"/>
                <w:color w:val="595959" w:themeColor="text1" w:themeTint="A6"/>
                <w:sz w:val="20"/>
                <w:szCs w:val="20"/>
              </w:rPr>
              <w:t xml:space="preserve"> </w:t>
            </w:r>
            <w:r w:rsidR="00511401" w:rsidRPr="005730A5">
              <w:rPr>
                <w:rFonts w:ascii="Futura Std Condensed Light" w:eastAsia="Times New Roman" w:hAnsi="Futura Std Condensed Light" w:cs="Calibri"/>
                <w:color w:val="595959" w:themeColor="text1" w:themeTint="A6"/>
                <w:sz w:val="20"/>
                <w:szCs w:val="20"/>
                <w:lang w:val="es-ES"/>
              </w:rPr>
              <w:t>Falta de Información Actualizada</w:t>
            </w:r>
            <w:r w:rsidR="00511401">
              <w:rPr>
                <w:rFonts w:ascii="Futura Std Condensed Light" w:eastAsia="Times New Roman" w:hAnsi="Futura Std Condensed Light" w:cs="Calibri"/>
                <w:color w:val="595959" w:themeColor="text1" w:themeTint="A6"/>
                <w:sz w:val="20"/>
                <w:szCs w:val="20"/>
                <w:lang w:val="es-ES"/>
              </w:rPr>
              <w:t xml:space="preserve"> al realizar las Verificaciones de Obligaciones de Transparencia</w:t>
            </w:r>
          </w:p>
        </w:tc>
        <w:tc>
          <w:tcPr>
            <w:tcW w:w="6047" w:type="dxa"/>
            <w:shd w:val="clear" w:color="auto" w:fill="FFFFFF" w:themeFill="background1"/>
            <w:tcMar>
              <w:top w:w="72" w:type="dxa"/>
              <w:left w:w="144" w:type="dxa"/>
              <w:bottom w:w="72" w:type="dxa"/>
              <w:right w:w="144" w:type="dxa"/>
            </w:tcMar>
            <w:vAlign w:val="center"/>
          </w:tcPr>
          <w:p w14:paraId="351F781E" w14:textId="77777777" w:rsidR="00511401" w:rsidRPr="00D01B6F" w:rsidRDefault="00511401" w:rsidP="00060026">
            <w:pPr>
              <w:spacing w:after="0" w:line="240" w:lineRule="auto"/>
              <w:rPr>
                <w:rFonts w:ascii="Futura Std Condensed Light" w:eastAsia="Times New Roman" w:hAnsi="Futura Std Condensed Light" w:cs="Futura"/>
                <w:color w:val="595959" w:themeColor="text1" w:themeTint="A6"/>
                <w:sz w:val="20"/>
                <w:szCs w:val="20"/>
              </w:rPr>
            </w:pPr>
            <w:r w:rsidRPr="005730A5">
              <w:rPr>
                <w:rFonts w:ascii="Futura Std Condensed Light" w:eastAsia="Times New Roman" w:hAnsi="Futura Std Condensed Light" w:cs="Futura"/>
                <w:color w:val="595959" w:themeColor="text1" w:themeTint="A6"/>
                <w:sz w:val="20"/>
                <w:szCs w:val="20"/>
              </w:rPr>
              <w:t>Causa 1</w:t>
            </w:r>
            <w:r w:rsidRPr="005730A5">
              <w:rPr>
                <w:rFonts w:ascii="Futura Std Condensed Light" w:eastAsia="Times New Roman" w:hAnsi="Futura Std Condensed Light" w:cs="Calibri"/>
                <w:color w:val="595959" w:themeColor="text1" w:themeTint="A6"/>
                <w:sz w:val="20"/>
                <w:szCs w:val="20"/>
                <w:lang w:val="es-ES"/>
              </w:rPr>
              <w:t xml:space="preserve"> Falta de Información Pública  en los formatos del SIPOT dentro de la Plataforma Nacional de Transparencia</w:t>
            </w:r>
          </w:p>
        </w:tc>
      </w:tr>
      <w:tr w:rsidR="00511401" w:rsidRPr="0052236B" w14:paraId="3456B3EA" w14:textId="77777777" w:rsidTr="00060026">
        <w:trPr>
          <w:trHeight w:val="440"/>
          <w:jc w:val="center"/>
        </w:trPr>
        <w:tc>
          <w:tcPr>
            <w:tcW w:w="3019" w:type="dxa"/>
            <w:vMerge/>
            <w:shd w:val="clear" w:color="auto" w:fill="FFFFFF" w:themeFill="background1"/>
            <w:tcMar>
              <w:top w:w="72" w:type="dxa"/>
              <w:left w:w="144" w:type="dxa"/>
              <w:bottom w:w="72" w:type="dxa"/>
              <w:right w:w="144" w:type="dxa"/>
            </w:tcMar>
            <w:vAlign w:val="center"/>
          </w:tcPr>
          <w:p w14:paraId="7DADCA80" w14:textId="77777777" w:rsidR="00511401" w:rsidRPr="00D01B6F" w:rsidRDefault="00511401" w:rsidP="00060026">
            <w:pPr>
              <w:spacing w:after="0"/>
              <w:rPr>
                <w:rFonts w:ascii="Futura Std Condensed Light" w:eastAsia="Times New Roman" w:hAnsi="Futura Std Condensed Light" w:cs="Futura"/>
                <w:color w:val="595959" w:themeColor="text1" w:themeTint="A6"/>
                <w:sz w:val="20"/>
                <w:szCs w:val="20"/>
              </w:rPr>
            </w:pPr>
          </w:p>
        </w:tc>
        <w:tc>
          <w:tcPr>
            <w:tcW w:w="6047" w:type="dxa"/>
            <w:shd w:val="clear" w:color="auto" w:fill="FFFFFF" w:themeFill="background1"/>
            <w:tcMar>
              <w:top w:w="72" w:type="dxa"/>
              <w:left w:w="144" w:type="dxa"/>
              <w:bottom w:w="72" w:type="dxa"/>
              <w:right w:w="144" w:type="dxa"/>
            </w:tcMar>
            <w:vAlign w:val="center"/>
          </w:tcPr>
          <w:p w14:paraId="0F3E89F6" w14:textId="77777777" w:rsidR="00511401" w:rsidRPr="005730A5" w:rsidRDefault="00511401" w:rsidP="00060026">
            <w:pPr>
              <w:spacing w:after="0"/>
              <w:rPr>
                <w:rFonts w:ascii="Futura Std Condensed Light" w:eastAsia="Times New Roman" w:hAnsi="Futura Std Condensed Light" w:cs="Calibri"/>
                <w:color w:val="595959" w:themeColor="text1" w:themeTint="A6"/>
                <w:sz w:val="20"/>
                <w:szCs w:val="20"/>
                <w:lang w:val="es-ES"/>
              </w:rPr>
            </w:pPr>
            <w:r w:rsidRPr="005730A5">
              <w:rPr>
                <w:rFonts w:ascii="Futura Std Condensed Light" w:eastAsia="Times New Roman" w:hAnsi="Futura Std Condensed Light" w:cs="Futura"/>
                <w:color w:val="595959" w:themeColor="text1" w:themeTint="A6"/>
                <w:sz w:val="20"/>
                <w:szCs w:val="20"/>
              </w:rPr>
              <w:t>Causa 2</w:t>
            </w:r>
            <w:r w:rsidRPr="005730A5">
              <w:rPr>
                <w:rFonts w:ascii="Futura Std Condensed Light" w:eastAsia="Times New Roman" w:hAnsi="Futura Std Condensed Light" w:cs="Calibri"/>
                <w:color w:val="595959" w:themeColor="text1" w:themeTint="A6"/>
                <w:sz w:val="20"/>
                <w:szCs w:val="20"/>
                <w:lang w:val="es-ES"/>
              </w:rPr>
              <w:t xml:space="preserve"> Falta de Información Pública de la Plataforma Nacional de Transparencia dentro de los Portales de Internet</w:t>
            </w:r>
          </w:p>
          <w:p w14:paraId="6D3F66C6" w14:textId="77777777" w:rsidR="00511401" w:rsidRPr="00D21585" w:rsidRDefault="00511401" w:rsidP="00060026">
            <w:pPr>
              <w:spacing w:after="0" w:line="240" w:lineRule="auto"/>
              <w:rPr>
                <w:rFonts w:ascii="Futura Std Condensed Light" w:eastAsia="Times New Roman" w:hAnsi="Futura Std Condensed Light" w:cs="Futura"/>
                <w:color w:val="595959" w:themeColor="text1" w:themeTint="A6"/>
                <w:sz w:val="20"/>
                <w:szCs w:val="20"/>
                <w:lang w:val="es-ES"/>
              </w:rPr>
            </w:pPr>
          </w:p>
        </w:tc>
      </w:tr>
      <w:tr w:rsidR="00511401" w:rsidRPr="0052236B" w14:paraId="0D916D96" w14:textId="77777777" w:rsidTr="00060026">
        <w:trPr>
          <w:trHeight w:val="440"/>
          <w:jc w:val="center"/>
        </w:trPr>
        <w:tc>
          <w:tcPr>
            <w:tcW w:w="3019" w:type="dxa"/>
            <w:vMerge/>
            <w:shd w:val="clear" w:color="auto" w:fill="FFFFFF" w:themeFill="background1"/>
            <w:tcMar>
              <w:top w:w="72" w:type="dxa"/>
              <w:left w:w="144" w:type="dxa"/>
              <w:bottom w:w="72" w:type="dxa"/>
              <w:right w:w="144" w:type="dxa"/>
            </w:tcMar>
            <w:vAlign w:val="center"/>
          </w:tcPr>
          <w:p w14:paraId="7D40E6C1" w14:textId="77777777" w:rsidR="00511401" w:rsidRPr="00D01B6F" w:rsidRDefault="00511401" w:rsidP="00060026">
            <w:pPr>
              <w:spacing w:after="0"/>
              <w:rPr>
                <w:rFonts w:ascii="Futura Std Condensed Light" w:eastAsia="Times New Roman" w:hAnsi="Futura Std Condensed Light" w:cs="Futura"/>
                <w:color w:val="595959" w:themeColor="text1" w:themeTint="A6"/>
                <w:sz w:val="20"/>
                <w:szCs w:val="20"/>
              </w:rPr>
            </w:pPr>
          </w:p>
        </w:tc>
        <w:tc>
          <w:tcPr>
            <w:tcW w:w="6047" w:type="dxa"/>
            <w:shd w:val="clear" w:color="auto" w:fill="FFFFFF" w:themeFill="background1"/>
            <w:tcMar>
              <w:top w:w="72" w:type="dxa"/>
              <w:left w:w="144" w:type="dxa"/>
              <w:bottom w:w="72" w:type="dxa"/>
              <w:right w:w="144" w:type="dxa"/>
            </w:tcMar>
            <w:vAlign w:val="center"/>
          </w:tcPr>
          <w:p w14:paraId="3DE176A5" w14:textId="77777777" w:rsidR="00511401" w:rsidRPr="00D01B6F" w:rsidRDefault="00511401" w:rsidP="00060026">
            <w:pPr>
              <w:spacing w:after="0" w:line="240" w:lineRule="auto"/>
              <w:rPr>
                <w:rFonts w:ascii="Futura Std Condensed Light" w:eastAsia="Times New Roman" w:hAnsi="Futura Std Condensed Light" w:cs="Futura"/>
                <w:color w:val="595959" w:themeColor="text1" w:themeTint="A6"/>
                <w:sz w:val="20"/>
                <w:szCs w:val="20"/>
              </w:rPr>
            </w:pPr>
            <w:r w:rsidRPr="005730A5">
              <w:rPr>
                <w:rFonts w:ascii="Futura Std Condensed Light" w:eastAsia="Times New Roman" w:hAnsi="Futura Std Condensed Light" w:cs="Futura"/>
                <w:color w:val="595959" w:themeColor="text1" w:themeTint="A6"/>
                <w:sz w:val="20"/>
                <w:szCs w:val="20"/>
              </w:rPr>
              <w:t>Causa 3 Falta de atención a los periodos de carga de la información</w:t>
            </w:r>
          </w:p>
        </w:tc>
      </w:tr>
    </w:tbl>
    <w:p w14:paraId="78283F9B" w14:textId="77777777" w:rsidR="00511401" w:rsidRPr="00511401" w:rsidRDefault="00511401" w:rsidP="00511401">
      <w:pPr>
        <w:rPr>
          <w:lang w:eastAsia="en-US"/>
        </w:rPr>
      </w:pPr>
    </w:p>
    <w:p w14:paraId="69941E43" w14:textId="77777777" w:rsidR="00511401" w:rsidRDefault="00511401" w:rsidP="00511401">
      <w:pPr>
        <w:spacing w:before="120" w:after="120"/>
        <w:jc w:val="center"/>
        <w:rPr>
          <w:rFonts w:eastAsia="Arial" w:cs="Times New Roman"/>
          <w:bCs/>
          <w:color w:val="595959" w:themeColor="text1" w:themeTint="A6"/>
          <w:lang w:val="es-MX" w:eastAsia="en-US"/>
        </w:rPr>
      </w:pPr>
    </w:p>
    <w:p w14:paraId="441CD45A" w14:textId="77777777" w:rsidR="00511401" w:rsidRPr="006372CE" w:rsidRDefault="00511401" w:rsidP="006372CE">
      <w:pPr>
        <w:jc w:val="left"/>
        <w:rPr>
          <w:rFonts w:eastAsia="Times New Roman" w:cs="Futura"/>
          <w:color w:val="595959"/>
        </w:rPr>
      </w:pPr>
    </w:p>
    <w:p w14:paraId="2EA87C4A" w14:textId="77777777" w:rsidR="00695E2D" w:rsidRDefault="00695E2D" w:rsidP="00695E2D">
      <w:pPr>
        <w:pStyle w:val="Ttulo"/>
      </w:pPr>
    </w:p>
    <w:p w14:paraId="10B4F1A3" w14:textId="77777777" w:rsidR="00695E2D" w:rsidRDefault="00695E2D" w:rsidP="00695E2D">
      <w:pPr>
        <w:pStyle w:val="Ttulo"/>
      </w:pPr>
    </w:p>
    <w:p w14:paraId="20B9CE88" w14:textId="77777777" w:rsidR="00511401" w:rsidRDefault="00511401" w:rsidP="00695E2D">
      <w:pPr>
        <w:pStyle w:val="Ttulo"/>
      </w:pPr>
    </w:p>
    <w:p w14:paraId="1334E8B6" w14:textId="77777777" w:rsidR="00511401" w:rsidRDefault="00511401" w:rsidP="00695E2D">
      <w:pPr>
        <w:pStyle w:val="Ttulo"/>
      </w:pPr>
    </w:p>
    <w:p w14:paraId="6FD05585" w14:textId="77777777" w:rsidR="00511401" w:rsidRDefault="00511401" w:rsidP="00695E2D">
      <w:pPr>
        <w:pStyle w:val="Ttulo"/>
      </w:pPr>
    </w:p>
    <w:p w14:paraId="5E574C22" w14:textId="77777777" w:rsidR="00511401" w:rsidRDefault="00511401" w:rsidP="00695E2D">
      <w:pPr>
        <w:pStyle w:val="Ttulo"/>
      </w:pPr>
    </w:p>
    <w:p w14:paraId="08A6AA06" w14:textId="77777777" w:rsidR="00695E2D" w:rsidRDefault="00695E2D" w:rsidP="00695E2D">
      <w:pPr>
        <w:pStyle w:val="Ttulo"/>
      </w:pPr>
    </w:p>
    <w:p w14:paraId="7CD5574E" w14:textId="292C5CA6" w:rsidR="00695E2D" w:rsidRDefault="00695E2D" w:rsidP="00695E2D">
      <w:pPr>
        <w:pStyle w:val="Ttulo"/>
        <w:rPr>
          <w:color w:val="4BACC6"/>
        </w:rPr>
      </w:pPr>
      <w:r>
        <w:rPr>
          <w:color w:val="4BACC6"/>
        </w:rPr>
        <w:t>CONTEXTO</w:t>
      </w:r>
    </w:p>
    <w:p w14:paraId="1F835535"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1DB05E00" w14:textId="77777777" w:rsidR="005441E8" w:rsidRDefault="005441E8" w:rsidP="0035377A">
      <w:pPr>
        <w:pStyle w:val="Ttulo1"/>
      </w:pPr>
    </w:p>
    <w:p w14:paraId="1212E398" w14:textId="77777777" w:rsidR="005441E8" w:rsidRDefault="005441E8" w:rsidP="0035377A">
      <w:pPr>
        <w:pStyle w:val="Ttulo1"/>
      </w:pPr>
    </w:p>
    <w:p w14:paraId="79B1FD88" w14:textId="77777777" w:rsidR="005441E8" w:rsidRDefault="005441E8" w:rsidP="0035377A">
      <w:pPr>
        <w:pStyle w:val="Ttulo1"/>
      </w:pPr>
    </w:p>
    <w:p w14:paraId="3C5836E7" w14:textId="2CE58613" w:rsidR="005441E8" w:rsidRDefault="005441E8" w:rsidP="0035377A">
      <w:pPr>
        <w:pStyle w:val="Ttulo1"/>
      </w:pPr>
    </w:p>
    <w:p w14:paraId="7C5542EB" w14:textId="77777777" w:rsidR="00013197" w:rsidRPr="00013197" w:rsidRDefault="00013197" w:rsidP="00013197">
      <w:pPr>
        <w:rPr>
          <w:lang w:val="es-MX" w:eastAsia="en-US"/>
        </w:rPr>
      </w:pPr>
    </w:p>
    <w:p w14:paraId="704B7037" w14:textId="6CC6A848" w:rsidR="005F7240" w:rsidRDefault="0035377A" w:rsidP="0035377A">
      <w:pPr>
        <w:pStyle w:val="Ttulo1"/>
      </w:pPr>
      <w:bookmarkStart w:id="6" w:name="_Toc477971051"/>
      <w:r>
        <w:t xml:space="preserve">VI. </w:t>
      </w:r>
      <w:r w:rsidR="005F7240" w:rsidRPr="00F765C3">
        <w:t>CONTEXTO</w:t>
      </w:r>
      <w:bookmarkEnd w:id="6"/>
    </w:p>
    <w:p w14:paraId="3CEED5C3" w14:textId="77777777" w:rsidR="00E563FB" w:rsidRDefault="00E563FB" w:rsidP="00E563FB">
      <w:pPr>
        <w:rPr>
          <w:rFonts w:cs="Arial"/>
          <w:bCs/>
          <w:color w:val="595959" w:themeColor="text1" w:themeTint="A6"/>
          <w:lang w:val="es-ES"/>
        </w:rPr>
      </w:pPr>
      <w:r w:rsidRPr="00D36113">
        <w:rPr>
          <w:color w:val="595959" w:themeColor="text1" w:themeTint="A6"/>
        </w:rPr>
        <w:t xml:space="preserve">Los derechos de acceso a la información y protección de datos personales son fundamentales en un país que se conduce bajo el principio del Estado de Derecho. En este sentido, el fortalecimiento de la imagen nacional de México como nación democrática debe sustentarse en la certidumbre de que los asuntos públicos se conducen con transparencia y rendición de cuentas. El Instituto de </w:t>
      </w:r>
      <w:r>
        <w:rPr>
          <w:color w:val="595959" w:themeColor="text1" w:themeTint="A6"/>
        </w:rPr>
        <w:t xml:space="preserve">Acceso a la Información y Protección de Datos Personales de Quintana Roo </w:t>
      </w:r>
      <w:r w:rsidRPr="00D36113">
        <w:rPr>
          <w:color w:val="595959" w:themeColor="text1" w:themeTint="A6"/>
        </w:rPr>
        <w:t>(</w:t>
      </w:r>
      <w:r>
        <w:rPr>
          <w:color w:val="595959" w:themeColor="text1" w:themeTint="A6"/>
        </w:rPr>
        <w:t>IDAIPQROO)</w:t>
      </w:r>
      <w:r w:rsidRPr="00CB0E05">
        <w:rPr>
          <w:rFonts w:cs="Arial"/>
          <w:bCs/>
          <w:color w:val="595959" w:themeColor="text1" w:themeTint="A6"/>
          <w:lang w:val="es-ES"/>
        </w:rPr>
        <w:t>, se abre no sólo a nueva etapa en la consolidación de la democracia en el Estado, sino que motiva a la sociedad a participar de manera más directa a través del ejercicio del derecho humano de Acceso a la Información Pública</w:t>
      </w:r>
      <w:r>
        <w:rPr>
          <w:rFonts w:cs="Arial"/>
          <w:bCs/>
          <w:color w:val="595959" w:themeColor="text1" w:themeTint="A6"/>
          <w:lang w:val="es-ES"/>
        </w:rPr>
        <w:t xml:space="preserve"> y la Protección de Datos Personales en posesión de los Sujetos Obligados.</w:t>
      </w:r>
    </w:p>
    <w:p w14:paraId="1C32D655" w14:textId="77777777" w:rsidR="0035377A" w:rsidRPr="0035377A" w:rsidRDefault="0035377A" w:rsidP="0035377A">
      <w:pPr>
        <w:rPr>
          <w:lang w:val="es-MX" w:eastAsia="en-US"/>
        </w:rPr>
      </w:pPr>
    </w:p>
    <w:p w14:paraId="34C83D16" w14:textId="77777777" w:rsidR="005F7240" w:rsidRDefault="005F7240" w:rsidP="00B545F3">
      <w:pPr>
        <w:rPr>
          <w:rFonts w:eastAsia="Times New Roman" w:cs="Futura"/>
          <w:color w:val="595959"/>
        </w:rPr>
      </w:pPr>
    </w:p>
    <w:p w14:paraId="77AAAC66" w14:textId="77777777" w:rsidR="00E563FB" w:rsidRDefault="00E563FB" w:rsidP="00B545F3">
      <w:pPr>
        <w:rPr>
          <w:rFonts w:eastAsia="Times New Roman" w:cs="Futura"/>
          <w:color w:val="595959"/>
        </w:rPr>
      </w:pPr>
    </w:p>
    <w:p w14:paraId="69A4BE70" w14:textId="77777777" w:rsidR="00E563FB" w:rsidRDefault="00E563FB" w:rsidP="00B545F3">
      <w:pPr>
        <w:rPr>
          <w:rFonts w:eastAsia="Times New Roman" w:cs="Futura"/>
          <w:color w:val="595959"/>
        </w:rPr>
      </w:pPr>
    </w:p>
    <w:p w14:paraId="00DC3AC1" w14:textId="79BC70C8" w:rsidR="005F7240" w:rsidRPr="00F765C3" w:rsidRDefault="005F7240" w:rsidP="00AC3871">
      <w:pPr>
        <w:pStyle w:val="Ttulo2"/>
        <w:spacing w:line="276" w:lineRule="auto"/>
      </w:pPr>
      <w:bookmarkStart w:id="7" w:name="_Toc477971052"/>
      <w:r w:rsidRPr="00F765C3">
        <w:t>Alineación del Programa con el Plan Nacional de Desarroll</w:t>
      </w:r>
      <w:r w:rsidR="00161F45">
        <w:t>o, Programa Sectorial Federal Y</w:t>
      </w:r>
      <w:r w:rsidR="005E5612">
        <w:t xml:space="preserve"> </w:t>
      </w:r>
      <w:r w:rsidRPr="00F765C3">
        <w:t>PED 2016-2022</w:t>
      </w:r>
      <w:bookmarkEnd w:id="7"/>
      <w:r w:rsidR="005E5612">
        <w:t xml:space="preserve"> </w:t>
      </w:r>
    </w:p>
    <w:p w14:paraId="21C62397" w14:textId="77777777" w:rsidR="00E563FB" w:rsidRPr="00C45D9C" w:rsidRDefault="00E563FB" w:rsidP="00AC3871">
      <w:pPr>
        <w:rPr>
          <w:rFonts w:cs="Arial"/>
          <w:bCs/>
          <w:color w:val="595959" w:themeColor="text1" w:themeTint="A6"/>
          <w:lang w:val="es-MX"/>
        </w:rPr>
      </w:pPr>
      <w:r w:rsidRPr="00C45D9C">
        <w:rPr>
          <w:rFonts w:cs="Arial"/>
          <w:bCs/>
          <w:color w:val="595959" w:themeColor="text1" w:themeTint="A6"/>
          <w:lang w:val="es-MX"/>
        </w:rPr>
        <w:t xml:space="preserve">En términos generales la responsabilidad social de las instituciones públicas se ha multiplicado con la apertura en detalle de la información que el gobierno está obligado a entregar al ciudadano, y por </w:t>
      </w:r>
      <w:r w:rsidRPr="00C45D9C">
        <w:rPr>
          <w:rFonts w:cs="Arial"/>
          <w:bCs/>
          <w:color w:val="595959" w:themeColor="text1" w:themeTint="A6"/>
          <w:lang w:val="es-MX"/>
        </w:rPr>
        <w:lastRenderedPageBreak/>
        <w:t xml:space="preserve">su parte, las personas, retribuir a esta estructura de orden en el gobierno con un involucramiento mayor en la observancia del ejercicio de los recursos y el quehacer público.           </w:t>
      </w:r>
    </w:p>
    <w:p w14:paraId="766825DC" w14:textId="7D9B47BD" w:rsidR="001C4945" w:rsidRPr="00747F15" w:rsidRDefault="00E563FB" w:rsidP="00AC3871">
      <w:pPr>
        <w:rPr>
          <w:rFonts w:cs="Arial"/>
          <w:bCs/>
          <w:color w:val="595959" w:themeColor="text1" w:themeTint="A6"/>
          <w:lang w:val="es-MX"/>
        </w:rPr>
      </w:pPr>
      <w:r>
        <w:rPr>
          <w:rFonts w:cs="Arial"/>
          <w:bCs/>
          <w:color w:val="595959" w:themeColor="text1" w:themeTint="A6"/>
          <w:lang w:val="es-MX"/>
        </w:rPr>
        <w:t>De esta forma el Instituto de Acceso a la Información y Protección de Datos Personales realiza la alineación con los objetivos Nacionales y estatales como se detalla a continuación:</w:t>
      </w:r>
    </w:p>
    <w:p w14:paraId="47510B48" w14:textId="77777777" w:rsidR="00AC3871" w:rsidRDefault="00AC3871" w:rsidP="00AC3871">
      <w:pPr>
        <w:pStyle w:val="Epgrafe"/>
      </w:pPr>
    </w:p>
    <w:p w14:paraId="3FF24709" w14:textId="77777777" w:rsidR="00AC3871" w:rsidRPr="00AC3871" w:rsidRDefault="00AC3871" w:rsidP="00AC3871">
      <w:pPr>
        <w:rPr>
          <w:lang w:val="es-MX" w:eastAsia="en-US"/>
        </w:rPr>
      </w:pPr>
    </w:p>
    <w:p w14:paraId="466022DA" w14:textId="53D646CF" w:rsidR="005F7240" w:rsidRPr="00AC3871" w:rsidRDefault="005F7240" w:rsidP="00AC3871">
      <w:pPr>
        <w:pStyle w:val="Epgrafe"/>
      </w:pPr>
      <w:r w:rsidRPr="00AC3871">
        <w:t xml:space="preserve">Alineación a los </w:t>
      </w:r>
      <w:r w:rsidRPr="00AC3871">
        <w:rPr>
          <w:color w:val="4BACC6"/>
        </w:rPr>
        <w:t>Objetivos</w:t>
      </w:r>
      <w:r w:rsidRPr="00AC3871">
        <w:t xml:space="preserve"> Nacionales y Estatales</w:t>
      </w:r>
    </w:p>
    <w:p w14:paraId="1BC2D2A2" w14:textId="77777777" w:rsidR="00AC3871" w:rsidRPr="00AC3871" w:rsidRDefault="00AC3871" w:rsidP="00AC3871">
      <w:pPr>
        <w:rPr>
          <w:lang w:val="es-MX" w:eastAsia="en-US"/>
        </w:rPr>
      </w:pPr>
    </w:p>
    <w:p w14:paraId="5E11AAD7" w14:textId="28BC31D9" w:rsidR="00E563FB" w:rsidRDefault="00E563FB" w:rsidP="00E563FB">
      <w:pPr>
        <w:jc w:val="left"/>
        <w:rPr>
          <w:rFonts w:cs="Arial"/>
          <w:bCs/>
          <w:color w:val="595959" w:themeColor="text1" w:themeTint="A6"/>
          <w:lang w:val="es-MX"/>
        </w:rPr>
      </w:pPr>
      <w:r>
        <w:rPr>
          <w:rFonts w:cs="Arial"/>
          <w:bCs/>
          <w:color w:val="595959" w:themeColor="text1" w:themeTint="A6"/>
          <w:lang w:val="es-MX"/>
        </w:rPr>
        <w:t>El Instituto tiene como objetivo institucional que la sociedad quintanarroense tenga el Derecho de Acceso a la Información y la Protección de Datos Personales en ape</w:t>
      </w:r>
      <w:r w:rsidR="00FC3000">
        <w:rPr>
          <w:rFonts w:cs="Arial"/>
          <w:bCs/>
          <w:color w:val="595959" w:themeColor="text1" w:themeTint="A6"/>
          <w:lang w:val="es-MX"/>
        </w:rPr>
        <w:t xml:space="preserve">go a los principios de certeza, </w:t>
      </w:r>
      <w:r>
        <w:rPr>
          <w:rFonts w:cs="Arial"/>
          <w:bCs/>
          <w:color w:val="595959" w:themeColor="text1" w:themeTint="A6"/>
          <w:lang w:val="es-MX"/>
        </w:rPr>
        <w:t>legalidad,</w:t>
      </w:r>
      <w:r w:rsidR="00FC3000">
        <w:rPr>
          <w:rFonts w:cs="Arial"/>
          <w:bCs/>
          <w:color w:val="595959" w:themeColor="text1" w:themeTint="A6"/>
          <w:lang w:val="es-MX"/>
        </w:rPr>
        <w:t xml:space="preserve"> </w:t>
      </w:r>
      <w:r>
        <w:rPr>
          <w:rFonts w:cs="Arial"/>
          <w:bCs/>
          <w:color w:val="595959" w:themeColor="text1" w:themeTint="A6"/>
          <w:lang w:val="es-MX"/>
        </w:rPr>
        <w:t>independencia,</w:t>
      </w:r>
      <w:r w:rsidR="00FC3000">
        <w:rPr>
          <w:rFonts w:cs="Arial"/>
          <w:bCs/>
          <w:color w:val="595959" w:themeColor="text1" w:themeTint="A6"/>
          <w:lang w:val="es-MX"/>
        </w:rPr>
        <w:t xml:space="preserve"> </w:t>
      </w:r>
      <w:r>
        <w:rPr>
          <w:rFonts w:cs="Arial"/>
          <w:bCs/>
          <w:color w:val="595959" w:themeColor="text1" w:themeTint="A6"/>
          <w:lang w:val="es-MX"/>
        </w:rPr>
        <w:t>imparcialidad,</w:t>
      </w:r>
      <w:r w:rsidR="00FC3000">
        <w:rPr>
          <w:rFonts w:cs="Arial"/>
          <w:bCs/>
          <w:color w:val="595959" w:themeColor="text1" w:themeTint="A6"/>
          <w:lang w:val="es-MX"/>
        </w:rPr>
        <w:t xml:space="preserve"> </w:t>
      </w:r>
      <w:r>
        <w:rPr>
          <w:rFonts w:cs="Arial"/>
          <w:bCs/>
          <w:color w:val="595959" w:themeColor="text1" w:themeTint="A6"/>
          <w:lang w:val="es-MX"/>
        </w:rPr>
        <w:t>eficacia,</w:t>
      </w:r>
      <w:r w:rsidR="00FC3000">
        <w:rPr>
          <w:rFonts w:cs="Arial"/>
          <w:bCs/>
          <w:color w:val="595959" w:themeColor="text1" w:themeTint="A6"/>
          <w:lang w:val="es-MX"/>
        </w:rPr>
        <w:t xml:space="preserve"> </w:t>
      </w:r>
      <w:r>
        <w:rPr>
          <w:rFonts w:cs="Arial"/>
          <w:bCs/>
          <w:color w:val="595959" w:themeColor="text1" w:themeTint="A6"/>
          <w:lang w:val="es-MX"/>
        </w:rPr>
        <w:t>objetividad,</w:t>
      </w:r>
      <w:r w:rsidR="00FC3000">
        <w:rPr>
          <w:rFonts w:cs="Arial"/>
          <w:bCs/>
          <w:color w:val="595959" w:themeColor="text1" w:themeTint="A6"/>
          <w:lang w:val="es-MX"/>
        </w:rPr>
        <w:t xml:space="preserve"> </w:t>
      </w:r>
      <w:r>
        <w:rPr>
          <w:rFonts w:cs="Arial"/>
          <w:bCs/>
          <w:color w:val="595959" w:themeColor="text1" w:themeTint="A6"/>
          <w:lang w:val="es-MX"/>
        </w:rPr>
        <w:t>profesionalismo,</w:t>
      </w:r>
      <w:r w:rsidR="00FC3000">
        <w:rPr>
          <w:rFonts w:cs="Arial"/>
          <w:bCs/>
          <w:color w:val="595959" w:themeColor="text1" w:themeTint="A6"/>
          <w:lang w:val="es-MX"/>
        </w:rPr>
        <w:t xml:space="preserve"> </w:t>
      </w:r>
      <w:r>
        <w:rPr>
          <w:rFonts w:cs="Arial"/>
          <w:bCs/>
          <w:color w:val="595959" w:themeColor="text1" w:themeTint="A6"/>
          <w:lang w:val="es-MX"/>
        </w:rPr>
        <w:t>transparencia y máxima publicidad. Por ello se trabaja en conjunto alineándonos a  los objetivos Nacionales y Estatales como se puede observar a continuación:</w:t>
      </w:r>
    </w:p>
    <w:p w14:paraId="0D3FBE50" w14:textId="77777777" w:rsidR="00AC3871" w:rsidRDefault="00AC3871" w:rsidP="00E563FB">
      <w:pPr>
        <w:jc w:val="left"/>
        <w:rPr>
          <w:rFonts w:cs="Arial"/>
          <w:bCs/>
          <w:color w:val="595959" w:themeColor="text1" w:themeTint="A6"/>
          <w:lang w:val="es-MX"/>
        </w:rPr>
      </w:pPr>
    </w:p>
    <w:p w14:paraId="40D1AFC6" w14:textId="77777777" w:rsidR="00AC3871" w:rsidRPr="006D35AA" w:rsidRDefault="00AC3871" w:rsidP="00E563FB">
      <w:pPr>
        <w:jc w:val="left"/>
        <w:rPr>
          <w:lang w:val="es-MX" w:eastAsia="en-US"/>
        </w:rPr>
      </w:pPr>
    </w:p>
    <w:tbl>
      <w:tblPr>
        <w:tblpPr w:leftFromText="141" w:rightFromText="141" w:vertAnchor="text" w:horzAnchor="margin" w:tblpXSpec="center" w:tblpY="75"/>
        <w:tblW w:w="44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006"/>
        <w:gridCol w:w="2107"/>
        <w:gridCol w:w="1753"/>
        <w:gridCol w:w="1729"/>
      </w:tblGrid>
      <w:tr w:rsidR="00747F15" w:rsidRPr="0069403A" w14:paraId="567827D0" w14:textId="77777777" w:rsidTr="00AC3871">
        <w:trPr>
          <w:trHeight w:val="305"/>
          <w:tblHeader/>
        </w:trPr>
        <w:tc>
          <w:tcPr>
            <w:tcW w:w="1748" w:type="pct"/>
            <w:shd w:val="clear" w:color="auto" w:fill="A6A6A6" w:themeFill="background1" w:themeFillShade="A6"/>
          </w:tcPr>
          <w:p w14:paraId="5AAD4907" w14:textId="77777777" w:rsidR="00747F15" w:rsidRPr="0069403A" w:rsidRDefault="00747F15" w:rsidP="00747F15">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 xml:space="preserve">Objetivos </w:t>
            </w:r>
            <w:r>
              <w:rPr>
                <w:rFonts w:ascii="Futura Std Condensed Light" w:eastAsia="Calibri" w:hAnsi="Futura Std Condensed Light" w:cs="Calibri"/>
                <w:b/>
                <w:color w:val="595959"/>
                <w:sz w:val="20"/>
                <w:szCs w:val="20"/>
              </w:rPr>
              <w:t>institucionales</w:t>
            </w:r>
            <w:r w:rsidRPr="0069403A">
              <w:rPr>
                <w:rFonts w:ascii="Futura Std Condensed Light" w:eastAsia="Calibri" w:hAnsi="Futura Std Condensed Light" w:cs="Calibri"/>
                <w:b/>
                <w:color w:val="595959"/>
                <w:sz w:val="20"/>
                <w:szCs w:val="20"/>
              </w:rPr>
              <w:t xml:space="preserve"> del Programa</w:t>
            </w:r>
          </w:p>
        </w:tc>
        <w:tc>
          <w:tcPr>
            <w:tcW w:w="1225" w:type="pct"/>
            <w:shd w:val="clear" w:color="auto" w:fill="A6A6A6" w:themeFill="background1" w:themeFillShade="A6"/>
            <w:tcMar>
              <w:top w:w="72" w:type="dxa"/>
              <w:left w:w="144" w:type="dxa"/>
              <w:bottom w:w="72" w:type="dxa"/>
              <w:right w:w="144" w:type="dxa"/>
            </w:tcMar>
            <w:vAlign w:val="center"/>
            <w:hideMark/>
          </w:tcPr>
          <w:p w14:paraId="44D77E57" w14:textId="77777777" w:rsidR="00747F15" w:rsidRPr="0069403A" w:rsidRDefault="00747F15" w:rsidP="00747F15">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Objetivos del PED 2016-2022</w:t>
            </w:r>
          </w:p>
        </w:tc>
        <w:tc>
          <w:tcPr>
            <w:tcW w:w="1020" w:type="pct"/>
            <w:shd w:val="clear" w:color="auto" w:fill="A6A6A6" w:themeFill="background1" w:themeFillShade="A6"/>
            <w:tcMar>
              <w:top w:w="72" w:type="dxa"/>
              <w:left w:w="144" w:type="dxa"/>
              <w:bottom w:w="72" w:type="dxa"/>
              <w:right w:w="144" w:type="dxa"/>
            </w:tcMar>
            <w:vAlign w:val="center"/>
            <w:hideMark/>
          </w:tcPr>
          <w:p w14:paraId="1A169F8E" w14:textId="77777777" w:rsidR="00747F15" w:rsidRPr="0069403A" w:rsidRDefault="00747F15" w:rsidP="00747F15">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Objetivos del Programa Sectorial u homólogo federal 2013-2018</w:t>
            </w:r>
          </w:p>
        </w:tc>
        <w:tc>
          <w:tcPr>
            <w:tcW w:w="1006" w:type="pct"/>
            <w:shd w:val="clear" w:color="auto" w:fill="A6A6A6" w:themeFill="background1" w:themeFillShade="A6"/>
            <w:tcMar>
              <w:top w:w="72" w:type="dxa"/>
              <w:left w:w="144" w:type="dxa"/>
              <w:bottom w:w="72" w:type="dxa"/>
              <w:right w:w="144" w:type="dxa"/>
            </w:tcMar>
            <w:vAlign w:val="center"/>
            <w:hideMark/>
          </w:tcPr>
          <w:p w14:paraId="70F3DD27" w14:textId="77777777" w:rsidR="00747F15" w:rsidRPr="0069403A" w:rsidRDefault="00747F15" w:rsidP="00747F15">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Objetivos del PND 2013-2018</w:t>
            </w:r>
          </w:p>
        </w:tc>
      </w:tr>
      <w:tr w:rsidR="00747F15" w:rsidRPr="0069403A" w14:paraId="64654AB6" w14:textId="77777777" w:rsidTr="00AC3871">
        <w:trPr>
          <w:trHeight w:val="305"/>
        </w:trPr>
        <w:tc>
          <w:tcPr>
            <w:tcW w:w="1748" w:type="pct"/>
            <w:shd w:val="clear" w:color="auto" w:fill="FFFFFF" w:themeFill="background1"/>
          </w:tcPr>
          <w:p w14:paraId="5A9C4023" w14:textId="16FE9A03" w:rsidR="00747F15" w:rsidRPr="00747F15" w:rsidRDefault="00747F15" w:rsidP="00747F15">
            <w:pPr>
              <w:spacing w:before="120" w:after="120" w:line="360" w:lineRule="auto"/>
              <w:rPr>
                <w:rFonts w:ascii="Futura Std Condensed Light" w:hAnsi="Futura Std Condensed Light"/>
                <w:color w:val="4BACC6" w:themeColor="accent5"/>
                <w:sz w:val="14"/>
                <w:szCs w:val="14"/>
              </w:rPr>
            </w:pPr>
            <w:r w:rsidRPr="00747F15">
              <w:rPr>
                <w:rFonts w:eastAsia="Times New Roman" w:cs="Futura"/>
                <w:color w:val="595959"/>
                <w:sz w:val="14"/>
                <w:szCs w:val="14"/>
              </w:rPr>
              <w:t xml:space="preserve"> </w:t>
            </w:r>
            <w:r w:rsidRPr="00747F15">
              <w:rPr>
                <w:rFonts w:ascii="Futura Std Condensed Light" w:eastAsia="Times New Roman" w:hAnsi="Futura Std Condensed Light" w:cs="Futura"/>
                <w:color w:val="595959"/>
                <w:sz w:val="14"/>
                <w:szCs w:val="14"/>
              </w:rPr>
              <w:t>Consolidar el cumplimiento de los derechos de acceso a la información pública y la protección de sus datos personales en posesión de los sujetos obligados en el estado de Quintana Roo.</w:t>
            </w:r>
          </w:p>
          <w:p w14:paraId="375555EF" w14:textId="77777777" w:rsidR="00747F15" w:rsidRPr="00747F15" w:rsidRDefault="00747F15" w:rsidP="00747F15">
            <w:pPr>
              <w:spacing w:after="0" w:line="240" w:lineRule="auto"/>
              <w:jc w:val="center"/>
              <w:rPr>
                <w:rFonts w:ascii="Futura Std Condensed Light" w:eastAsia="Calibri" w:hAnsi="Futura Std Condensed Light" w:cs="Calibri"/>
                <w:color w:val="595959"/>
                <w:sz w:val="14"/>
                <w:szCs w:val="14"/>
              </w:rPr>
            </w:pPr>
          </w:p>
        </w:tc>
        <w:tc>
          <w:tcPr>
            <w:tcW w:w="1225" w:type="pct"/>
            <w:shd w:val="clear" w:color="auto" w:fill="FFFFFF" w:themeFill="background1"/>
            <w:tcMar>
              <w:top w:w="72" w:type="dxa"/>
              <w:left w:w="144" w:type="dxa"/>
              <w:bottom w:w="72" w:type="dxa"/>
              <w:right w:w="144" w:type="dxa"/>
            </w:tcMar>
            <w:vAlign w:val="center"/>
            <w:hideMark/>
          </w:tcPr>
          <w:p w14:paraId="5FCE75C8" w14:textId="0565B5F1" w:rsidR="00747F15" w:rsidRPr="00747F15" w:rsidRDefault="00C93750" w:rsidP="00747F15">
            <w:pPr>
              <w:spacing w:after="0" w:line="240" w:lineRule="auto"/>
              <w:jc w:val="left"/>
              <w:rPr>
                <w:rFonts w:ascii="Futura Std Condensed Light" w:eastAsia="Calibri" w:hAnsi="Futura Std Condensed Light" w:cs="Calibri"/>
                <w:color w:val="595959"/>
                <w:sz w:val="14"/>
                <w:szCs w:val="14"/>
              </w:rPr>
            </w:pPr>
            <w:r w:rsidRPr="00C93750">
              <w:rPr>
                <w:rFonts w:ascii="Futura Std Condensed Light" w:eastAsia="Calibri" w:hAnsi="Futura Std Condensed Light" w:cs="Calibri"/>
                <w:color w:val="595959"/>
                <w:sz w:val="14"/>
                <w:szCs w:val="14"/>
              </w:rPr>
              <w:t>Impulsar una administración pública ordenada, controlada y transparente en la obtención de resultados y materialización de sus metas, que garantice la efectiva rendición de cuentas y el combate frontal a la corrupción.</w:t>
            </w:r>
          </w:p>
        </w:tc>
        <w:tc>
          <w:tcPr>
            <w:tcW w:w="1020" w:type="pct"/>
            <w:shd w:val="clear" w:color="auto" w:fill="FFFFFF" w:themeFill="background1"/>
            <w:tcMar>
              <w:top w:w="72" w:type="dxa"/>
              <w:left w:w="144" w:type="dxa"/>
              <w:bottom w:w="72" w:type="dxa"/>
              <w:right w:w="144" w:type="dxa"/>
            </w:tcMar>
            <w:vAlign w:val="center"/>
            <w:hideMark/>
          </w:tcPr>
          <w:p w14:paraId="0E897032" w14:textId="3F926618" w:rsidR="00747F15" w:rsidRPr="0069403A" w:rsidRDefault="0037365E" w:rsidP="00747F15">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themeColor="text1" w:themeTint="A6"/>
                <w:sz w:val="20"/>
                <w:szCs w:val="20"/>
              </w:rPr>
              <w:t>N/D</w:t>
            </w:r>
          </w:p>
        </w:tc>
        <w:tc>
          <w:tcPr>
            <w:tcW w:w="1006" w:type="pct"/>
            <w:shd w:val="clear" w:color="auto" w:fill="FFFFFF" w:themeFill="background1"/>
            <w:tcMar>
              <w:top w:w="72" w:type="dxa"/>
              <w:left w:w="144" w:type="dxa"/>
              <w:bottom w:w="72" w:type="dxa"/>
              <w:right w:w="144" w:type="dxa"/>
            </w:tcMar>
            <w:vAlign w:val="center"/>
            <w:hideMark/>
          </w:tcPr>
          <w:p w14:paraId="49A1EF47" w14:textId="42094E1C" w:rsidR="00747F15" w:rsidRPr="0069403A" w:rsidRDefault="00E122AF" w:rsidP="00E122AF">
            <w:pPr>
              <w:spacing w:after="0" w:line="240" w:lineRule="auto"/>
              <w:jc w:val="left"/>
              <w:rPr>
                <w:rFonts w:ascii="Futura Std Condensed Light" w:eastAsia="Calibri" w:hAnsi="Futura Std Condensed Light" w:cs="Calibri"/>
                <w:color w:val="595959"/>
                <w:sz w:val="20"/>
                <w:szCs w:val="20"/>
              </w:rPr>
            </w:pPr>
            <w:r w:rsidRPr="00E122AF">
              <w:rPr>
                <w:rFonts w:ascii="Tahoma" w:hAnsi="Tahoma" w:cs="Tahoma"/>
                <w:color w:val="808080" w:themeColor="background1" w:themeShade="80"/>
                <w:sz w:val="17"/>
                <w:szCs w:val="17"/>
                <w:shd w:val="clear" w:color="auto" w:fill="FFFFFF"/>
              </w:rPr>
              <w:t>1-05 - Hacia una democracia participativa.</w:t>
            </w:r>
          </w:p>
        </w:tc>
      </w:tr>
    </w:tbl>
    <w:p w14:paraId="3103138C" w14:textId="77777777" w:rsidR="00E563FB" w:rsidRPr="00E563FB" w:rsidRDefault="00E563FB" w:rsidP="00E563FB">
      <w:pPr>
        <w:rPr>
          <w:lang w:val="es-MX" w:eastAsia="en-US"/>
        </w:rPr>
      </w:pPr>
    </w:p>
    <w:p w14:paraId="5587D446" w14:textId="77777777" w:rsidR="005F7240" w:rsidRPr="00F765C3" w:rsidRDefault="005F7240" w:rsidP="00B545F3">
      <w:pPr>
        <w:rPr>
          <w:rFonts w:eastAsia="Times New Roman" w:cs="Futura"/>
          <w:color w:val="595959"/>
        </w:rPr>
      </w:pPr>
    </w:p>
    <w:p w14:paraId="6457245C" w14:textId="77777777" w:rsidR="00747F15" w:rsidRDefault="00747F15" w:rsidP="00B545F3">
      <w:pPr>
        <w:rPr>
          <w:rFonts w:eastAsia="Times New Roman" w:cs="Futura"/>
          <w:color w:val="595959"/>
        </w:rPr>
      </w:pPr>
    </w:p>
    <w:p w14:paraId="6517BE54" w14:textId="60DF5A40" w:rsidR="005F7240" w:rsidRDefault="005F7240" w:rsidP="00B545F3">
      <w:pPr>
        <w:rPr>
          <w:rFonts w:eastAsia="Times New Roman" w:cs="Futura"/>
          <w:color w:val="595959"/>
        </w:rPr>
      </w:pPr>
    </w:p>
    <w:p w14:paraId="6B7C7A28" w14:textId="77777777" w:rsidR="00F239AE" w:rsidRDefault="00F239AE" w:rsidP="00B545F3">
      <w:pPr>
        <w:rPr>
          <w:rFonts w:eastAsia="Times New Roman" w:cs="Futura"/>
          <w:color w:val="595959"/>
        </w:rPr>
      </w:pPr>
    </w:p>
    <w:p w14:paraId="0F555EE1" w14:textId="77777777" w:rsidR="00F239AE" w:rsidRDefault="00F239AE" w:rsidP="00B545F3">
      <w:pPr>
        <w:rPr>
          <w:rFonts w:eastAsia="Times New Roman" w:cs="Futura"/>
          <w:color w:val="595959"/>
        </w:rPr>
      </w:pPr>
    </w:p>
    <w:p w14:paraId="56A3478D" w14:textId="77777777" w:rsidR="00AC3871" w:rsidRDefault="00AC3871" w:rsidP="00B545F3">
      <w:pPr>
        <w:rPr>
          <w:rFonts w:eastAsia="Times New Roman" w:cs="Futura"/>
          <w:color w:val="595959"/>
        </w:rPr>
      </w:pPr>
    </w:p>
    <w:p w14:paraId="54065483" w14:textId="2B5EBC9E" w:rsidR="00AC3871" w:rsidRPr="00FE0C02" w:rsidRDefault="00013197" w:rsidP="00AC3871">
      <w:pPr>
        <w:rPr>
          <w:rFonts w:eastAsia="Times New Roman" w:cs="Futura"/>
          <w:color w:val="595959"/>
          <w:sz w:val="16"/>
        </w:rPr>
      </w:pPr>
      <w:r>
        <w:rPr>
          <w:rFonts w:eastAsia="Times New Roman" w:cs="Futura"/>
          <w:color w:val="595959"/>
          <w:sz w:val="16"/>
        </w:rPr>
        <w:t xml:space="preserve">           </w:t>
      </w:r>
      <w:r w:rsidR="00AC3871" w:rsidRPr="00F765C3">
        <w:rPr>
          <w:rFonts w:eastAsia="Times New Roman" w:cs="Futura"/>
          <w:color w:val="595959"/>
          <w:sz w:val="16"/>
        </w:rPr>
        <w:t>Fuente:</w:t>
      </w:r>
      <w:r w:rsidR="00AC3871">
        <w:rPr>
          <w:rFonts w:eastAsia="Times New Roman" w:cs="Futura"/>
          <w:color w:val="595959"/>
          <w:sz w:val="16"/>
        </w:rPr>
        <w:t xml:space="preserve"> Instituto de Acceso a la Información y Protección de Datos Personales de Quintana Roo (IDAIPQROO)</w:t>
      </w:r>
    </w:p>
    <w:p w14:paraId="78B876A9" w14:textId="77777777" w:rsidR="00AC3871" w:rsidRDefault="00AC3871" w:rsidP="00B545F3">
      <w:pPr>
        <w:rPr>
          <w:rFonts w:eastAsia="Times New Roman" w:cs="Futura"/>
          <w:color w:val="595959"/>
          <w:sz w:val="16"/>
        </w:rPr>
      </w:pPr>
    </w:p>
    <w:p w14:paraId="1C1746E1" w14:textId="6C76CFB7" w:rsidR="00AC3871" w:rsidRDefault="00AC3871" w:rsidP="00B545F3">
      <w:pPr>
        <w:rPr>
          <w:rFonts w:eastAsia="Times New Roman" w:cs="Futura"/>
          <w:color w:val="595959"/>
        </w:rPr>
      </w:pPr>
    </w:p>
    <w:p w14:paraId="250B82EA" w14:textId="77777777" w:rsidR="00013197" w:rsidRPr="00F765C3" w:rsidRDefault="00013197" w:rsidP="00B545F3">
      <w:pPr>
        <w:rPr>
          <w:rFonts w:eastAsia="Times New Roman" w:cs="Futura"/>
          <w:color w:val="595959"/>
        </w:rPr>
      </w:pPr>
    </w:p>
    <w:p w14:paraId="1CBFD590" w14:textId="412B1B22" w:rsidR="002365EE" w:rsidRDefault="002365EE" w:rsidP="005441E8">
      <w:pPr>
        <w:pStyle w:val="Ttulo2"/>
      </w:pPr>
      <w:bookmarkStart w:id="8" w:name="_Toc477971053"/>
      <w:r w:rsidRPr="00F765C3">
        <w:t xml:space="preserve">Alineación Estructural </w:t>
      </w:r>
      <w:r w:rsidR="00DE798A">
        <w:t xml:space="preserve">PED y </w:t>
      </w:r>
      <w:r w:rsidRPr="00F765C3">
        <w:t xml:space="preserve">Programa </w:t>
      </w:r>
      <w:bookmarkEnd w:id="8"/>
      <w:r w:rsidR="005E5612">
        <w:t>INSTITUCIONAL</w:t>
      </w:r>
    </w:p>
    <w:p w14:paraId="57C0C997" w14:textId="77777777" w:rsidR="00AC3871" w:rsidRPr="00AC3871" w:rsidRDefault="00AC3871" w:rsidP="00AC3871">
      <w:pPr>
        <w:rPr>
          <w:lang w:val="es-MX" w:eastAsia="en-US"/>
        </w:rPr>
      </w:pPr>
    </w:p>
    <w:p w14:paraId="5591471C" w14:textId="77777777" w:rsidR="00AC3871" w:rsidRDefault="00AC3871" w:rsidP="00AC3871">
      <w:pPr>
        <w:rPr>
          <w:color w:val="595959" w:themeColor="text1" w:themeTint="A6"/>
          <w:lang w:val="es-MX" w:eastAsia="en-US"/>
        </w:rPr>
      </w:pPr>
      <w:r>
        <w:rPr>
          <w:color w:val="595959" w:themeColor="text1" w:themeTint="A6"/>
          <w:lang w:val="es-MX" w:eastAsia="en-US"/>
        </w:rPr>
        <w:t>A continuación s</w:t>
      </w:r>
      <w:r w:rsidRPr="00DD5D3D">
        <w:rPr>
          <w:color w:val="595959" w:themeColor="text1" w:themeTint="A6"/>
          <w:lang w:val="es-MX" w:eastAsia="en-US"/>
        </w:rPr>
        <w:t xml:space="preserve">e realiza la alineación </w:t>
      </w:r>
      <w:r>
        <w:rPr>
          <w:color w:val="595959" w:themeColor="text1" w:themeTint="A6"/>
          <w:lang w:val="es-MX" w:eastAsia="en-US"/>
        </w:rPr>
        <w:t xml:space="preserve"> estructural del Programa Estatal de Desarrollo y el Programa Institucional “Promoción, Fomento y Garantía del Derecho de Acceso a la Información y Protección de Datos Personales del Estado de Quintana Roo”.</w:t>
      </w:r>
    </w:p>
    <w:p w14:paraId="4161D823" w14:textId="77777777" w:rsidR="00AC3871" w:rsidRDefault="00AC3871" w:rsidP="00AC3871">
      <w:pPr>
        <w:rPr>
          <w:color w:val="595959" w:themeColor="text1" w:themeTint="A6"/>
          <w:lang w:val="es-MX" w:eastAsia="en-US"/>
        </w:rPr>
      </w:pPr>
    </w:p>
    <w:p w14:paraId="61AD7DD2" w14:textId="77777777" w:rsidR="00AC3871" w:rsidRDefault="00AC3871" w:rsidP="00AC3871">
      <w:pPr>
        <w:spacing w:line="360" w:lineRule="auto"/>
        <w:rPr>
          <w:color w:val="595959" w:themeColor="text1" w:themeTint="A6"/>
          <w:lang w:val="es-MX" w:eastAsia="en-US"/>
        </w:rPr>
      </w:pPr>
    </w:p>
    <w:p w14:paraId="2EE60559" w14:textId="77777777" w:rsidR="00AC3871" w:rsidRPr="00DD5D3D" w:rsidRDefault="00AC3871" w:rsidP="00AC3871">
      <w:pPr>
        <w:spacing w:line="360" w:lineRule="auto"/>
        <w:rPr>
          <w:color w:val="595959" w:themeColor="text1" w:themeTint="A6"/>
          <w:lang w:val="es-MX" w:eastAsia="en-US"/>
        </w:rPr>
      </w:pPr>
    </w:p>
    <w:p w14:paraId="739621E3" w14:textId="77777777" w:rsidR="00C2741A" w:rsidRPr="00C2741A" w:rsidRDefault="00C2741A" w:rsidP="00C2741A">
      <w:pPr>
        <w:rPr>
          <w:lang w:val="es-MX" w:eastAsia="en-US"/>
        </w:rPr>
      </w:pPr>
    </w:p>
    <w:p w14:paraId="081FB0CD" w14:textId="77777777" w:rsidR="006132B4" w:rsidRPr="006132B4" w:rsidRDefault="006132B4" w:rsidP="00B545F3">
      <w:pPr>
        <w:jc w:val="center"/>
        <w:rPr>
          <w:rFonts w:eastAsia="Arial" w:cs="Times New Roman"/>
          <w:b/>
          <w:color w:val="4BACC6" w:themeColor="accent5"/>
          <w:lang w:val="es-ES"/>
        </w:rPr>
      </w:pPr>
    </w:p>
    <w:p w14:paraId="0D42C6FB" w14:textId="63DE2260" w:rsidR="009448D6" w:rsidRDefault="009448D6" w:rsidP="009448D6">
      <w:pPr>
        <w:jc w:val="center"/>
        <w:rPr>
          <w:rFonts w:eastAsia="Arial" w:cs="Times New Roman"/>
          <w:b/>
          <w:color w:val="4BACC6" w:themeColor="accent5"/>
        </w:rPr>
      </w:pPr>
      <w:r w:rsidRPr="00F765C3">
        <w:rPr>
          <w:rFonts w:eastAsia="Arial" w:cs="Times New Roman"/>
          <w:b/>
          <w:color w:val="4BACC6" w:themeColor="accent5"/>
        </w:rPr>
        <w:t xml:space="preserve"> Alineación Estructural </w:t>
      </w:r>
      <w:r w:rsidR="00DE798A">
        <w:rPr>
          <w:rFonts w:eastAsia="Arial" w:cs="Times New Roman"/>
          <w:b/>
          <w:color w:val="4BACC6" w:themeColor="accent5"/>
        </w:rPr>
        <w:t xml:space="preserve">PED - </w:t>
      </w:r>
      <w:r w:rsidR="00A264E1">
        <w:rPr>
          <w:rFonts w:eastAsia="Arial" w:cs="Times New Roman"/>
          <w:b/>
          <w:color w:val="4BACC6" w:themeColor="accent5"/>
        </w:rPr>
        <w:t xml:space="preserve">Programa </w:t>
      </w:r>
      <w:r w:rsidRPr="00F765C3">
        <w:rPr>
          <w:rFonts w:eastAsia="Arial" w:cs="Times New Roman"/>
          <w:b/>
          <w:color w:val="4BACC6" w:themeColor="accent5"/>
        </w:rPr>
        <w:t>Institucional</w:t>
      </w:r>
    </w:p>
    <w:p w14:paraId="4967EE83" w14:textId="77777777" w:rsidR="00AC3871" w:rsidRPr="00F765C3" w:rsidRDefault="00AC3871" w:rsidP="009448D6">
      <w:pPr>
        <w:jc w:val="center"/>
        <w:rPr>
          <w:rFonts w:eastAsia="Arial" w:cs="Times New Roman"/>
          <w:b/>
          <w:color w:val="4BACC6" w:themeColor="accent5"/>
        </w:rPr>
      </w:pP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3032"/>
        <w:gridCol w:w="3281"/>
        <w:gridCol w:w="3276"/>
      </w:tblGrid>
      <w:tr w:rsidR="009448D6" w:rsidRPr="0069403A" w14:paraId="35ED7B02" w14:textId="77777777" w:rsidTr="006F51BC">
        <w:trPr>
          <w:trHeight w:val="283"/>
          <w:tblHeader/>
          <w:jc w:val="center"/>
        </w:trPr>
        <w:tc>
          <w:tcPr>
            <w:tcW w:w="1581" w:type="pct"/>
            <w:shd w:val="clear" w:color="auto" w:fill="A6A6A6" w:themeFill="background1" w:themeFillShade="A6"/>
            <w:tcMar>
              <w:top w:w="72" w:type="dxa"/>
              <w:left w:w="144" w:type="dxa"/>
              <w:bottom w:w="72" w:type="dxa"/>
              <w:right w:w="144" w:type="dxa"/>
            </w:tcMar>
            <w:vAlign w:val="center"/>
            <w:hideMark/>
          </w:tcPr>
          <w:p w14:paraId="1FFFF9AB" w14:textId="77777777" w:rsidR="009448D6" w:rsidRPr="0069403A" w:rsidRDefault="009448D6"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Programa PED</w:t>
            </w:r>
          </w:p>
        </w:tc>
        <w:tc>
          <w:tcPr>
            <w:tcW w:w="1711" w:type="pct"/>
            <w:shd w:val="clear" w:color="auto" w:fill="A6A6A6" w:themeFill="background1" w:themeFillShade="A6"/>
            <w:tcMar>
              <w:top w:w="72" w:type="dxa"/>
              <w:left w:w="144" w:type="dxa"/>
              <w:bottom w:w="72" w:type="dxa"/>
              <w:right w:w="144" w:type="dxa"/>
            </w:tcMar>
            <w:vAlign w:val="center"/>
            <w:hideMark/>
          </w:tcPr>
          <w:p w14:paraId="3A19CD65" w14:textId="77777777" w:rsidR="009448D6" w:rsidRPr="0069403A" w:rsidRDefault="009448D6"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Líneas de acción del PED</w:t>
            </w:r>
          </w:p>
        </w:tc>
        <w:tc>
          <w:tcPr>
            <w:tcW w:w="1708" w:type="pct"/>
            <w:shd w:val="clear" w:color="auto" w:fill="A6A6A6" w:themeFill="background1" w:themeFillShade="A6"/>
            <w:tcMar>
              <w:top w:w="72" w:type="dxa"/>
              <w:left w:w="144" w:type="dxa"/>
              <w:bottom w:w="72" w:type="dxa"/>
              <w:right w:w="144" w:type="dxa"/>
            </w:tcMar>
            <w:vAlign w:val="center"/>
            <w:hideMark/>
          </w:tcPr>
          <w:p w14:paraId="0AE95EFB" w14:textId="77777777" w:rsidR="009448D6" w:rsidRPr="0069403A" w:rsidRDefault="009448D6"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Objetivo  estratégico del Programa derivado</w:t>
            </w:r>
          </w:p>
        </w:tc>
      </w:tr>
      <w:tr w:rsidR="009448D6" w:rsidRPr="0069403A" w14:paraId="3403D8F2" w14:textId="77777777" w:rsidTr="006F51BC">
        <w:trPr>
          <w:trHeight w:val="283"/>
          <w:jc w:val="center"/>
        </w:trPr>
        <w:tc>
          <w:tcPr>
            <w:tcW w:w="1581" w:type="pct"/>
            <w:shd w:val="clear" w:color="auto" w:fill="FFFFFF" w:themeFill="background1"/>
            <w:tcMar>
              <w:top w:w="72" w:type="dxa"/>
              <w:left w:w="144" w:type="dxa"/>
              <w:bottom w:w="72" w:type="dxa"/>
              <w:right w:w="144" w:type="dxa"/>
            </w:tcMar>
            <w:vAlign w:val="center"/>
            <w:hideMark/>
          </w:tcPr>
          <w:p w14:paraId="7294BB90" w14:textId="7A1C6479" w:rsidR="009448D6" w:rsidRPr="0069403A" w:rsidRDefault="00AC3871" w:rsidP="006F51BC">
            <w:pPr>
              <w:spacing w:after="0" w:line="240" w:lineRule="auto"/>
              <w:rPr>
                <w:rFonts w:ascii="Futura Std Condensed Light" w:eastAsia="Calibri" w:hAnsi="Futura Std Condensed Light" w:cs="Calibri"/>
                <w:color w:val="595959"/>
                <w:sz w:val="20"/>
                <w:szCs w:val="20"/>
              </w:rPr>
            </w:pPr>
            <w:r w:rsidRPr="00F43AC4">
              <w:rPr>
                <w:rFonts w:ascii="Futura Std Condensed Light" w:eastAsia="Times New Roman" w:hAnsi="Futura Std Condensed Light" w:cs="Calibri"/>
                <w:color w:val="595959" w:themeColor="text1" w:themeTint="A6"/>
                <w:sz w:val="20"/>
                <w:szCs w:val="20"/>
              </w:rPr>
              <w:t>Gobierno Transparente y de Puertas Abiertas</w:t>
            </w:r>
          </w:p>
        </w:tc>
        <w:tc>
          <w:tcPr>
            <w:tcW w:w="1711" w:type="pct"/>
            <w:shd w:val="clear" w:color="auto" w:fill="FFFFFF" w:themeFill="background1"/>
            <w:tcMar>
              <w:top w:w="72" w:type="dxa"/>
              <w:left w:w="144" w:type="dxa"/>
              <w:bottom w:w="72" w:type="dxa"/>
              <w:right w:w="144" w:type="dxa"/>
            </w:tcMar>
            <w:vAlign w:val="center"/>
            <w:hideMark/>
          </w:tcPr>
          <w:p w14:paraId="4EEC7A39" w14:textId="3E77DA4D" w:rsidR="009448D6" w:rsidRPr="0069403A" w:rsidRDefault="00C93750" w:rsidP="006F51BC">
            <w:pPr>
              <w:spacing w:after="0" w:line="240" w:lineRule="auto"/>
              <w:rPr>
                <w:rFonts w:ascii="Futura Std Condensed Light" w:eastAsia="Calibri" w:hAnsi="Futura Std Condensed Light" w:cs="Calibri"/>
                <w:color w:val="595959"/>
                <w:sz w:val="20"/>
                <w:szCs w:val="20"/>
              </w:rPr>
            </w:pPr>
            <w:r w:rsidRPr="00C93750">
              <w:rPr>
                <w:rFonts w:ascii="Futura Std Condensed Light" w:eastAsia="Calibri" w:hAnsi="Futura Std Condensed Light" w:cs="Calibri"/>
                <w:color w:val="595959"/>
                <w:sz w:val="20"/>
                <w:szCs w:val="20"/>
              </w:rPr>
              <w:t xml:space="preserve"> Atender las quejas y denuncias ciudadanas presentadas con relación al funcionamiento del gobierno.</w:t>
            </w:r>
          </w:p>
        </w:tc>
        <w:tc>
          <w:tcPr>
            <w:tcW w:w="1708" w:type="pct"/>
            <w:shd w:val="clear" w:color="auto" w:fill="FFFFFF" w:themeFill="background1"/>
            <w:tcMar>
              <w:top w:w="72" w:type="dxa"/>
              <w:left w:w="144" w:type="dxa"/>
              <w:bottom w:w="72" w:type="dxa"/>
              <w:right w:w="144" w:type="dxa"/>
            </w:tcMar>
            <w:vAlign w:val="center"/>
            <w:hideMark/>
          </w:tcPr>
          <w:p w14:paraId="6119C0BC" w14:textId="49EF5952" w:rsidR="009448D6" w:rsidRPr="0069403A" w:rsidRDefault="00C93750" w:rsidP="00C93750">
            <w:pPr>
              <w:spacing w:before="120" w:after="120"/>
              <w:rPr>
                <w:rFonts w:ascii="Futura Std Condensed Light" w:eastAsia="Calibri" w:hAnsi="Futura Std Condensed Light" w:cs="Calibri"/>
                <w:color w:val="595959"/>
                <w:sz w:val="20"/>
                <w:szCs w:val="20"/>
              </w:rPr>
            </w:pPr>
            <w:r w:rsidRPr="00C93750">
              <w:rPr>
                <w:rFonts w:ascii="Futura Std Condensed Light" w:eastAsia="Calibri" w:hAnsi="Futura Std Condensed Light" w:cs="Calibri"/>
                <w:color w:val="595959"/>
                <w:sz w:val="20"/>
                <w:szCs w:val="20"/>
              </w:rPr>
              <w:t>Impulsar una administración pública ordenada, controlada y transparente en la obtención de resultados y materialización de sus metas, que garantice la efectiva rendición de cuentas y el combate frontal a la corrupción.</w:t>
            </w:r>
          </w:p>
        </w:tc>
      </w:tr>
    </w:tbl>
    <w:p w14:paraId="7D119180" w14:textId="2607D8B5" w:rsidR="00AC3871" w:rsidRPr="00AC3871" w:rsidRDefault="004E0509" w:rsidP="00AC3871">
      <w:pPr>
        <w:rPr>
          <w:rFonts w:eastAsia="Times New Roman" w:cs="Futura"/>
          <w:color w:val="595959"/>
          <w:sz w:val="16"/>
        </w:rPr>
      </w:pPr>
      <w:r w:rsidRPr="00F765C3">
        <w:rPr>
          <w:rFonts w:eastAsia="Times New Roman" w:cs="Futura"/>
          <w:color w:val="595959"/>
          <w:sz w:val="16"/>
        </w:rPr>
        <w:t>Fuente:</w:t>
      </w:r>
      <w:r w:rsidR="00AC3871" w:rsidRPr="00AC3871">
        <w:t xml:space="preserve"> </w:t>
      </w:r>
      <w:r w:rsidR="00AC3871" w:rsidRPr="00AC3871">
        <w:rPr>
          <w:rFonts w:eastAsia="Times New Roman" w:cs="Futura"/>
          <w:color w:val="595959"/>
          <w:sz w:val="16"/>
        </w:rPr>
        <w:t>Instituto de Acceso a la Información y Protección de Datos Personales de Quintana Roo (IDAIPQROO)</w:t>
      </w:r>
    </w:p>
    <w:p w14:paraId="3EB6D8F3" w14:textId="77777777" w:rsidR="004E0509" w:rsidRPr="00F765C3" w:rsidRDefault="004E0509" w:rsidP="00D43C55">
      <w:pPr>
        <w:rPr>
          <w:rFonts w:eastAsia="Times New Roman" w:cs="Futura"/>
          <w:color w:val="595959"/>
          <w:sz w:val="16"/>
        </w:rPr>
      </w:pPr>
    </w:p>
    <w:p w14:paraId="503FE453" w14:textId="2CE05725" w:rsidR="005F7240" w:rsidRPr="00F765C3" w:rsidRDefault="005F7240" w:rsidP="00B545F3">
      <w:pPr>
        <w:rPr>
          <w:rFonts w:eastAsia="Times New Roman" w:cs="Futura"/>
          <w:color w:val="595959"/>
        </w:rPr>
      </w:pPr>
    </w:p>
    <w:p w14:paraId="00E1067B" w14:textId="33824572" w:rsidR="005F7240" w:rsidRDefault="005F7240" w:rsidP="00B545F3">
      <w:pPr>
        <w:jc w:val="center"/>
        <w:rPr>
          <w:rFonts w:eastAsia="Arial" w:cs="Times New Roman"/>
          <w:b/>
          <w:color w:val="4BACC6" w:themeColor="accent5"/>
        </w:rPr>
      </w:pPr>
      <w:r w:rsidRPr="00F765C3">
        <w:rPr>
          <w:rFonts w:eastAsia="Arial" w:cs="Times New Roman"/>
          <w:b/>
          <w:color w:val="4BACC6" w:themeColor="accent5"/>
        </w:rPr>
        <w:t>Indicadores y Metas del Programa 2016-2022</w:t>
      </w:r>
    </w:p>
    <w:p w14:paraId="55106D36" w14:textId="77777777" w:rsidR="00AC3871" w:rsidRDefault="00AC3871" w:rsidP="00AC3871">
      <w:pPr>
        <w:jc w:val="left"/>
        <w:rPr>
          <w:rFonts w:ascii="Futura Std Condensed Light" w:eastAsia="Calibri" w:hAnsi="Futura Std Condensed Light" w:cs="Calibri"/>
          <w:sz w:val="20"/>
          <w:szCs w:val="22"/>
        </w:rPr>
      </w:pPr>
      <w:r>
        <w:rPr>
          <w:color w:val="595959" w:themeColor="text1" w:themeTint="A6"/>
          <w:lang w:val="es-MX" w:eastAsia="en-US"/>
        </w:rPr>
        <w:t xml:space="preserve">Uno de los indicadores que  utilizará el Instituto de Acceso a la Información y Protección de Datos Personales del estado de Quintana Roo es el índice Nacional de los órganos Garantes del Derecho de Acceso a la Información, el cuál  </w:t>
      </w:r>
      <w:r>
        <w:rPr>
          <w:rFonts w:eastAsia="Calibri" w:cs="Calibri"/>
          <w:color w:val="595959" w:themeColor="text1" w:themeTint="A6"/>
        </w:rPr>
        <w:t>Fortalece</w:t>
      </w:r>
      <w:r w:rsidRPr="00120979">
        <w:rPr>
          <w:rFonts w:eastAsia="Calibri" w:cs="Calibri"/>
          <w:color w:val="595959" w:themeColor="text1" w:themeTint="A6"/>
        </w:rPr>
        <w:t xml:space="preserve"> los mecanismos de rendición de cuentas, promoción del Derecho de Acceso a la Información y Resolución de controversias de los órganos garantes  del Derecho de Acceso a la Información</w:t>
      </w:r>
      <w:r>
        <w:rPr>
          <w:rFonts w:ascii="Futura Std Condensed Light" w:eastAsia="Calibri" w:hAnsi="Futura Std Condensed Light" w:cs="Calibri"/>
          <w:sz w:val="20"/>
          <w:szCs w:val="22"/>
        </w:rPr>
        <w:t>.</w:t>
      </w:r>
    </w:p>
    <w:p w14:paraId="27AF07E6" w14:textId="77777777" w:rsidR="00AC3871" w:rsidRDefault="00AC3871" w:rsidP="00AC3871">
      <w:pPr>
        <w:jc w:val="left"/>
        <w:rPr>
          <w:rFonts w:eastAsia="Arial" w:cs="Times New Roman"/>
          <w:b/>
          <w:color w:val="4BACC6" w:themeColor="accent5"/>
        </w:rPr>
      </w:pPr>
    </w:p>
    <w:p w14:paraId="00CEC219" w14:textId="77777777" w:rsidR="00AC3871" w:rsidRPr="00F765C3" w:rsidRDefault="00AC3871" w:rsidP="00B545F3">
      <w:pPr>
        <w:jc w:val="center"/>
        <w:rPr>
          <w:rFonts w:eastAsia="Arial" w:cs="Times New Roman"/>
          <w:b/>
          <w:color w:val="4BACC6" w:themeColor="accent5"/>
        </w:rPr>
      </w:pPr>
    </w:p>
    <w:tbl>
      <w:tblPr>
        <w:tblW w:w="11163" w:type="dxa"/>
        <w:jc w:val="center"/>
        <w:shd w:val="clear" w:color="auto" w:fill="FFFFFF" w:themeFill="background1"/>
        <w:tblLayout w:type="fixed"/>
        <w:tblCellMar>
          <w:left w:w="0" w:type="dxa"/>
          <w:right w:w="0" w:type="dxa"/>
        </w:tblCellMar>
        <w:tblLook w:val="0420" w:firstRow="1" w:lastRow="0" w:firstColumn="0" w:lastColumn="0" w:noHBand="0" w:noVBand="1"/>
      </w:tblPr>
      <w:tblGrid>
        <w:gridCol w:w="1632"/>
        <w:gridCol w:w="1640"/>
        <w:gridCol w:w="1647"/>
        <w:gridCol w:w="984"/>
        <w:gridCol w:w="985"/>
        <w:gridCol w:w="984"/>
        <w:gridCol w:w="985"/>
        <w:gridCol w:w="821"/>
        <w:gridCol w:w="47"/>
        <w:gridCol w:w="688"/>
        <w:gridCol w:w="683"/>
        <w:gridCol w:w="67"/>
      </w:tblGrid>
      <w:tr w:rsidR="0096589B" w:rsidRPr="0069403A" w14:paraId="14A1C4B4" w14:textId="77777777" w:rsidTr="00060026">
        <w:trPr>
          <w:trHeight w:val="238"/>
          <w:tblHeader/>
          <w:jc w:val="center"/>
        </w:trPr>
        <w:tc>
          <w:tcPr>
            <w:tcW w:w="1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53C24478" w14:textId="669061FD" w:rsidR="005F7240" w:rsidRPr="0069403A" w:rsidRDefault="005F7240" w:rsidP="00BC3B73">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 xml:space="preserve">Indicador </w:t>
            </w:r>
          </w:p>
        </w:tc>
        <w:tc>
          <w:tcPr>
            <w:tcW w:w="164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5EC99ABE"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Fuente</w:t>
            </w:r>
          </w:p>
        </w:tc>
        <w:tc>
          <w:tcPr>
            <w:tcW w:w="164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77424695"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98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449AC0FC"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7FEA4AF3"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2017</w:t>
            </w:r>
          </w:p>
        </w:tc>
        <w:tc>
          <w:tcPr>
            <w:tcW w:w="98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5A4A5073"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2018</w:t>
            </w:r>
          </w:p>
        </w:tc>
        <w:tc>
          <w:tcPr>
            <w:tcW w:w="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6FFD3580"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2019</w:t>
            </w:r>
          </w:p>
        </w:tc>
        <w:tc>
          <w:tcPr>
            <w:tcW w:w="82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5FFA54A7"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2020</w:t>
            </w:r>
          </w:p>
        </w:tc>
        <w:tc>
          <w:tcPr>
            <w:tcW w:w="73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218E6CE7"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2021</w:t>
            </w:r>
          </w:p>
        </w:tc>
        <w:tc>
          <w:tcPr>
            <w:tcW w:w="75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6FF49269"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2022</w:t>
            </w:r>
          </w:p>
        </w:tc>
      </w:tr>
      <w:tr w:rsidR="0096589B" w:rsidRPr="0069403A" w14:paraId="6FA59449" w14:textId="77777777" w:rsidTr="00060026">
        <w:trPr>
          <w:gridAfter w:val="1"/>
          <w:wAfter w:w="67" w:type="dxa"/>
          <w:trHeight w:val="238"/>
          <w:jc w:val="center"/>
        </w:trPr>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D03D8ED" w14:textId="67F7E7C1" w:rsidR="005F7240"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themeColor="text1" w:themeTint="A6"/>
                <w:sz w:val="20"/>
                <w:szCs w:val="20"/>
              </w:rPr>
              <w:t>Índice Nacional de los Órganos Garantes del Derecho de Acceso a la Información</w:t>
            </w:r>
          </w:p>
        </w:tc>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7A5C408" w14:textId="44881690" w:rsidR="005F7240" w:rsidRPr="0096589B" w:rsidRDefault="008E4226" w:rsidP="0096589B">
            <w:pPr>
              <w:spacing w:after="0" w:line="240" w:lineRule="auto"/>
              <w:jc w:val="left"/>
              <w:rPr>
                <w:rFonts w:ascii="Futura Std Condensed Light" w:eastAsia="Calibri" w:hAnsi="Futura Std Condensed Light" w:cs="Calibri"/>
                <w:color w:val="595959"/>
                <w:sz w:val="16"/>
                <w:szCs w:val="16"/>
              </w:rPr>
            </w:pPr>
            <w:hyperlink r:id="rId15" w:anchor="!/principal?evaluacion=2018" w:history="1">
              <w:r w:rsidR="0096589B" w:rsidRPr="0096589B">
                <w:rPr>
                  <w:color w:val="0000FF"/>
                  <w:sz w:val="16"/>
                  <w:szCs w:val="16"/>
                  <w:u w:val="single"/>
                </w:rPr>
                <w:t>https://enogdai.org/#!/principal?evaluacion=2018</w:t>
              </w:r>
            </w:hyperlink>
          </w:p>
        </w:tc>
        <w:tc>
          <w:tcPr>
            <w:tcW w:w="164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D5E28C4" w14:textId="0A8B27CA" w:rsidR="005F7240"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themeColor="text1" w:themeTint="A6"/>
                <w:sz w:val="20"/>
                <w:szCs w:val="20"/>
              </w:rPr>
              <w:t>Porcentaje de Transparencia</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04EDA71" w14:textId="6235D270" w:rsidR="005F7240"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51.3</w:t>
            </w:r>
          </w:p>
        </w:tc>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C1F08F9" w14:textId="45D6F6F1" w:rsidR="005F7240"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52.7</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DA83630" w14:textId="1BE86D3D" w:rsidR="005F7240"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54.1</w:t>
            </w:r>
          </w:p>
        </w:tc>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933A17C" w14:textId="3EB38BD6" w:rsidR="005F7240"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54.6</w:t>
            </w:r>
          </w:p>
        </w:tc>
        <w:tc>
          <w:tcPr>
            <w:tcW w:w="8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CC6E7EA" w14:textId="09086B72" w:rsidR="005F7240"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55.3</w:t>
            </w:r>
          </w:p>
        </w:tc>
        <w:tc>
          <w:tcPr>
            <w:tcW w:w="68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5BBDBFD" w14:textId="230EB65A" w:rsidR="005F7240"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57.1</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2F36CE7" w14:textId="06766E8B" w:rsidR="005F7240"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57.4</w:t>
            </w:r>
          </w:p>
        </w:tc>
      </w:tr>
      <w:tr w:rsidR="0096589B" w:rsidRPr="0069403A" w14:paraId="3EFD2EA2" w14:textId="77777777" w:rsidTr="00060026">
        <w:trPr>
          <w:gridAfter w:val="1"/>
          <w:wAfter w:w="67" w:type="dxa"/>
          <w:trHeight w:val="238"/>
          <w:jc w:val="center"/>
        </w:trPr>
        <w:tc>
          <w:tcPr>
            <w:tcW w:w="491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E718FBF" w14:textId="7F7B87E9" w:rsidR="00C22C55" w:rsidRPr="0069403A" w:rsidRDefault="00C22C55" w:rsidP="00C22C55">
            <w:pPr>
              <w:spacing w:after="0" w:line="240" w:lineRule="auto"/>
              <w:jc w:val="right"/>
              <w:rPr>
                <w:rFonts w:ascii="Futura Std Condensed Light" w:eastAsia="Calibri" w:hAnsi="Futura Std Condensed Light" w:cs="Calibri"/>
                <w:color w:val="595959"/>
                <w:sz w:val="20"/>
                <w:szCs w:val="20"/>
              </w:rPr>
            </w:pPr>
            <w:r w:rsidRPr="0069403A">
              <w:rPr>
                <w:rFonts w:ascii="Futura Std Condensed Light" w:eastAsia="Calibri" w:hAnsi="Futura Std Condensed Light" w:cs="Calibri"/>
                <w:color w:val="595959"/>
                <w:sz w:val="20"/>
                <w:szCs w:val="20"/>
              </w:rPr>
              <w:t>Posición</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5A47C56" w14:textId="31EE270C" w:rsidR="00C22C55"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14</w:t>
            </w:r>
          </w:p>
        </w:tc>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242C2F0" w14:textId="185CB853" w:rsidR="00C22C55"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13</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63D46E7" w14:textId="38180E23" w:rsidR="00C22C55"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12</w:t>
            </w:r>
          </w:p>
        </w:tc>
        <w:tc>
          <w:tcPr>
            <w:tcW w:w="98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7D60454" w14:textId="0DE32138" w:rsidR="00C22C55"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11</w:t>
            </w:r>
          </w:p>
        </w:tc>
        <w:tc>
          <w:tcPr>
            <w:tcW w:w="86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870E062" w14:textId="5D7E2647" w:rsidR="00C22C55"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10</w:t>
            </w:r>
          </w:p>
        </w:tc>
        <w:tc>
          <w:tcPr>
            <w:tcW w:w="688"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D5CEF96" w14:textId="4B8F4FD4" w:rsidR="00C22C55"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9</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1601B1E" w14:textId="53F65048" w:rsidR="00C22C55" w:rsidRPr="0069403A" w:rsidRDefault="0096589B"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8</w:t>
            </w:r>
          </w:p>
        </w:tc>
      </w:tr>
    </w:tbl>
    <w:p w14:paraId="408695FA" w14:textId="77777777" w:rsidR="00060026" w:rsidRPr="00013197" w:rsidRDefault="00060026" w:rsidP="00060026">
      <w:pPr>
        <w:rPr>
          <w:rFonts w:eastAsia="Times New Roman" w:cs="Futura"/>
          <w:color w:val="595959"/>
          <w:sz w:val="16"/>
          <w:szCs w:val="16"/>
        </w:rPr>
      </w:pPr>
      <w:r w:rsidRPr="00013197">
        <w:rPr>
          <w:rFonts w:eastAsia="Times New Roman" w:cs="Futura"/>
          <w:color w:val="595959"/>
          <w:sz w:val="16"/>
          <w:szCs w:val="16"/>
        </w:rPr>
        <w:t>Fuente:</w:t>
      </w:r>
      <w:r w:rsidRPr="00013197">
        <w:rPr>
          <w:rFonts w:eastAsia="Calibri" w:cs="Calibri"/>
          <w:color w:val="595959" w:themeColor="text1" w:themeTint="A6"/>
          <w:sz w:val="16"/>
          <w:szCs w:val="16"/>
        </w:rPr>
        <w:t xml:space="preserve"> Instituto de Acceso a la Información y Protección de Datos Personales de Quintana Roo</w:t>
      </w:r>
    </w:p>
    <w:p w14:paraId="52F7F6AE" w14:textId="77777777" w:rsidR="00CD0826" w:rsidRDefault="00CD0826" w:rsidP="006132B4">
      <w:pPr>
        <w:rPr>
          <w:rFonts w:eastAsia="Times New Roman" w:cs="Futura"/>
          <w:color w:val="595959"/>
          <w:lang w:val="es-ES"/>
        </w:rPr>
      </w:pPr>
    </w:p>
    <w:p w14:paraId="19F62DD2" w14:textId="77777777" w:rsidR="00695E2D" w:rsidRDefault="00695E2D" w:rsidP="00695E2D">
      <w:pPr>
        <w:pStyle w:val="Ttulo"/>
      </w:pPr>
    </w:p>
    <w:p w14:paraId="087B87CB" w14:textId="77777777" w:rsidR="0096589B" w:rsidRDefault="0096589B" w:rsidP="00695E2D">
      <w:pPr>
        <w:pStyle w:val="Ttulo"/>
      </w:pPr>
    </w:p>
    <w:p w14:paraId="06151A31" w14:textId="77777777" w:rsidR="0096589B" w:rsidRDefault="0096589B" w:rsidP="00695E2D">
      <w:pPr>
        <w:pStyle w:val="Ttulo"/>
      </w:pPr>
    </w:p>
    <w:p w14:paraId="729A7A0D" w14:textId="77777777" w:rsidR="0096589B" w:rsidRDefault="0096589B" w:rsidP="00695E2D">
      <w:pPr>
        <w:pStyle w:val="Ttulo"/>
      </w:pPr>
    </w:p>
    <w:p w14:paraId="2B494407" w14:textId="77777777" w:rsidR="0096589B" w:rsidRDefault="0096589B" w:rsidP="00695E2D">
      <w:pPr>
        <w:pStyle w:val="Ttulo"/>
      </w:pPr>
    </w:p>
    <w:p w14:paraId="47238222" w14:textId="77777777" w:rsidR="00695E2D" w:rsidRDefault="00695E2D" w:rsidP="00695E2D">
      <w:pPr>
        <w:pStyle w:val="Ttulo"/>
      </w:pPr>
    </w:p>
    <w:p w14:paraId="38443063" w14:textId="77777777" w:rsidR="00695E2D" w:rsidRDefault="00695E2D" w:rsidP="00695E2D">
      <w:pPr>
        <w:pStyle w:val="Ttulo"/>
      </w:pPr>
    </w:p>
    <w:p w14:paraId="2B011E3B" w14:textId="77777777" w:rsidR="00695E2D" w:rsidRDefault="00695E2D" w:rsidP="00695E2D">
      <w:pPr>
        <w:pStyle w:val="Ttulo"/>
      </w:pPr>
    </w:p>
    <w:p w14:paraId="4CC78D23" w14:textId="77777777" w:rsidR="0096589B" w:rsidRDefault="0096589B" w:rsidP="00695E2D">
      <w:pPr>
        <w:pStyle w:val="Ttulo"/>
        <w:rPr>
          <w:color w:val="4BACC6"/>
        </w:rPr>
      </w:pPr>
    </w:p>
    <w:p w14:paraId="1E7E63B0" w14:textId="77777777" w:rsidR="0096589B" w:rsidRDefault="0096589B" w:rsidP="00695E2D">
      <w:pPr>
        <w:pStyle w:val="Ttulo"/>
        <w:rPr>
          <w:color w:val="4BACC6"/>
        </w:rPr>
      </w:pPr>
    </w:p>
    <w:p w14:paraId="71C326F5" w14:textId="77777777" w:rsidR="0096589B" w:rsidRDefault="0096589B" w:rsidP="00695E2D">
      <w:pPr>
        <w:pStyle w:val="Ttulo"/>
        <w:rPr>
          <w:color w:val="4BACC6"/>
        </w:rPr>
      </w:pPr>
    </w:p>
    <w:p w14:paraId="66BA84E8" w14:textId="77777777" w:rsidR="0096589B" w:rsidRDefault="0096589B" w:rsidP="00695E2D">
      <w:pPr>
        <w:pStyle w:val="Ttulo"/>
        <w:rPr>
          <w:color w:val="4BACC6"/>
        </w:rPr>
      </w:pPr>
    </w:p>
    <w:p w14:paraId="64F19639" w14:textId="006CC436" w:rsidR="00695E2D" w:rsidRDefault="00695E2D" w:rsidP="00695E2D">
      <w:pPr>
        <w:pStyle w:val="Ttulo"/>
        <w:rPr>
          <w:color w:val="4BACC6"/>
        </w:rPr>
      </w:pPr>
      <w:r>
        <w:rPr>
          <w:color w:val="4BACC6"/>
        </w:rPr>
        <w:t>MISIÓN</w:t>
      </w:r>
    </w:p>
    <w:p w14:paraId="34C38B66" w14:textId="77777777" w:rsidR="0096589B" w:rsidRDefault="0096589B" w:rsidP="00695E2D">
      <w:pPr>
        <w:pStyle w:val="Ttulo"/>
        <w:rPr>
          <w:color w:val="4BACC6"/>
        </w:rPr>
      </w:pPr>
    </w:p>
    <w:p w14:paraId="231CEBEA"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48019571" w14:textId="77777777" w:rsidR="00E0460C" w:rsidRDefault="00E0460C" w:rsidP="0035377A">
      <w:pPr>
        <w:pStyle w:val="Ttulo1"/>
      </w:pPr>
    </w:p>
    <w:p w14:paraId="7FCEF653" w14:textId="77777777" w:rsidR="00E0460C" w:rsidRDefault="00E0460C" w:rsidP="0035377A">
      <w:pPr>
        <w:pStyle w:val="Ttulo1"/>
      </w:pPr>
    </w:p>
    <w:p w14:paraId="41CCCC08" w14:textId="77777777" w:rsidR="00E0460C" w:rsidRDefault="00E0460C" w:rsidP="0035377A">
      <w:pPr>
        <w:pStyle w:val="Ttulo1"/>
      </w:pPr>
    </w:p>
    <w:p w14:paraId="68BC2EBD" w14:textId="77777777" w:rsidR="00E0460C" w:rsidRDefault="00E0460C" w:rsidP="0035377A">
      <w:pPr>
        <w:pStyle w:val="Ttulo1"/>
      </w:pPr>
    </w:p>
    <w:p w14:paraId="1659EEB7" w14:textId="77777777" w:rsidR="00E0460C" w:rsidRDefault="00E0460C" w:rsidP="0035377A">
      <w:pPr>
        <w:pStyle w:val="Ttulo1"/>
      </w:pPr>
    </w:p>
    <w:p w14:paraId="1327A518" w14:textId="77777777" w:rsidR="00E0460C" w:rsidRDefault="00E0460C" w:rsidP="0035377A">
      <w:pPr>
        <w:pStyle w:val="Ttulo1"/>
      </w:pPr>
    </w:p>
    <w:p w14:paraId="20042BC7" w14:textId="65553E3D" w:rsidR="005F7240" w:rsidRDefault="0035377A" w:rsidP="0035377A">
      <w:pPr>
        <w:pStyle w:val="Ttulo1"/>
      </w:pPr>
      <w:bookmarkStart w:id="9" w:name="_Toc477971054"/>
      <w:r>
        <w:t xml:space="preserve">VII. </w:t>
      </w:r>
      <w:r w:rsidR="005F7240" w:rsidRPr="00F765C3">
        <w:t>MISIÓN</w:t>
      </w:r>
      <w:bookmarkEnd w:id="9"/>
    </w:p>
    <w:p w14:paraId="12418F51" w14:textId="77777777" w:rsidR="0035377A" w:rsidRPr="0035377A" w:rsidRDefault="0035377A" w:rsidP="0035377A">
      <w:pPr>
        <w:rPr>
          <w:lang w:val="es-MX" w:eastAsia="en-US"/>
        </w:rPr>
      </w:pPr>
    </w:p>
    <w:p w14:paraId="1918F0AD" w14:textId="1E5E6183" w:rsidR="005F7240" w:rsidRPr="00F765C3" w:rsidRDefault="00BD678C" w:rsidP="00BD678C">
      <w:pPr>
        <w:rPr>
          <w:rFonts w:eastAsia="Times New Roman" w:cs="Futura"/>
          <w:color w:val="595959"/>
        </w:rPr>
      </w:pPr>
      <w:r>
        <w:rPr>
          <w:rFonts w:eastAsia="Times New Roman" w:cs="Futura"/>
          <w:color w:val="595959"/>
        </w:rPr>
        <w:t>Garantizar a la sociedad el derecho de acceso a la información y la protección de datos personales, en apego a los principios de certeza, legalidad, independencia, imparcialidad, eficacia, objetividad, profesionalismo, transparencia y máxima publicidad.</w:t>
      </w:r>
    </w:p>
    <w:p w14:paraId="6CD5CE5F"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2793365E" w14:textId="77777777" w:rsidR="00695E2D" w:rsidRDefault="00695E2D" w:rsidP="00695E2D">
      <w:pPr>
        <w:pStyle w:val="Ttulo"/>
      </w:pPr>
    </w:p>
    <w:p w14:paraId="55997D21" w14:textId="77777777" w:rsidR="00695E2D" w:rsidRDefault="00695E2D" w:rsidP="00695E2D">
      <w:pPr>
        <w:pStyle w:val="Ttulo"/>
      </w:pPr>
    </w:p>
    <w:p w14:paraId="7C6231AD" w14:textId="77777777" w:rsidR="00695E2D" w:rsidRDefault="00695E2D" w:rsidP="00695E2D">
      <w:pPr>
        <w:pStyle w:val="Ttulo"/>
      </w:pPr>
    </w:p>
    <w:p w14:paraId="5E18C01E" w14:textId="77777777" w:rsidR="00695E2D" w:rsidRDefault="00695E2D" w:rsidP="00695E2D">
      <w:pPr>
        <w:pStyle w:val="Ttulo"/>
      </w:pPr>
    </w:p>
    <w:p w14:paraId="768F2BEB" w14:textId="60A35520" w:rsidR="00695E2D" w:rsidRDefault="00695E2D" w:rsidP="00695E2D">
      <w:pPr>
        <w:pStyle w:val="Ttulo"/>
        <w:rPr>
          <w:color w:val="4BACC6"/>
        </w:rPr>
      </w:pPr>
      <w:r>
        <w:rPr>
          <w:color w:val="4BACC6"/>
        </w:rPr>
        <w:t>VISIÓN</w:t>
      </w:r>
    </w:p>
    <w:p w14:paraId="6D94BB39"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4FA62305" w14:textId="77777777" w:rsidR="00C2741A" w:rsidRDefault="00C2741A" w:rsidP="0035377A">
      <w:pPr>
        <w:pStyle w:val="Ttulo1"/>
      </w:pPr>
    </w:p>
    <w:p w14:paraId="339A5886" w14:textId="77777777" w:rsidR="00C2741A" w:rsidRDefault="00C2741A" w:rsidP="0035377A">
      <w:pPr>
        <w:pStyle w:val="Ttulo1"/>
      </w:pPr>
    </w:p>
    <w:p w14:paraId="4342E120" w14:textId="77777777" w:rsidR="00C2741A" w:rsidRDefault="00C2741A" w:rsidP="0035377A">
      <w:pPr>
        <w:pStyle w:val="Ttulo1"/>
      </w:pPr>
    </w:p>
    <w:p w14:paraId="77C3574C" w14:textId="77777777" w:rsidR="00C2741A" w:rsidRDefault="00C2741A" w:rsidP="0035377A">
      <w:pPr>
        <w:pStyle w:val="Ttulo1"/>
      </w:pPr>
    </w:p>
    <w:p w14:paraId="72F54F8D" w14:textId="77777777" w:rsidR="00E0460C" w:rsidRDefault="00E0460C" w:rsidP="00E0460C">
      <w:pPr>
        <w:rPr>
          <w:lang w:val="es-MX" w:eastAsia="en-US"/>
        </w:rPr>
      </w:pPr>
    </w:p>
    <w:p w14:paraId="47F9B927" w14:textId="77777777" w:rsidR="00E0460C" w:rsidRPr="00E0460C" w:rsidRDefault="00E0460C" w:rsidP="00E0460C">
      <w:pPr>
        <w:rPr>
          <w:lang w:val="es-MX" w:eastAsia="en-US"/>
        </w:rPr>
      </w:pPr>
    </w:p>
    <w:p w14:paraId="615B152F" w14:textId="1141A65E" w:rsidR="005F7240" w:rsidRDefault="0035377A" w:rsidP="0035377A">
      <w:pPr>
        <w:pStyle w:val="Ttulo1"/>
      </w:pPr>
      <w:bookmarkStart w:id="10" w:name="_Toc477971055"/>
      <w:r>
        <w:t xml:space="preserve">VIII. </w:t>
      </w:r>
      <w:r w:rsidR="005F7240" w:rsidRPr="00F765C3">
        <w:t>VISIÓN</w:t>
      </w:r>
      <w:bookmarkEnd w:id="10"/>
    </w:p>
    <w:p w14:paraId="1BF8F42D" w14:textId="77777777" w:rsidR="00C2741A" w:rsidRPr="00C2741A" w:rsidRDefault="00C2741A" w:rsidP="00C2741A">
      <w:pPr>
        <w:rPr>
          <w:lang w:val="es-MX" w:eastAsia="en-US"/>
        </w:rPr>
      </w:pPr>
    </w:p>
    <w:p w14:paraId="55F9087D" w14:textId="57E349DD" w:rsidR="005F7240" w:rsidRPr="00F765C3" w:rsidRDefault="00BD678C" w:rsidP="00BD678C">
      <w:pPr>
        <w:rPr>
          <w:rFonts w:eastAsia="Times New Roman" w:cs="Futura"/>
          <w:color w:val="595959"/>
        </w:rPr>
      </w:pPr>
      <w:r w:rsidRPr="00BD678C">
        <w:rPr>
          <w:rFonts w:eastAsia="Times New Roman" w:cs="Futura"/>
          <w:color w:val="595959"/>
        </w:rPr>
        <w:t>Ser una institución que consolide el derecho de acceso a la información y la protección de datos personales, mediante la participación de la sociedad y la ape</w:t>
      </w:r>
      <w:r w:rsidR="00640A6E">
        <w:rPr>
          <w:rFonts w:eastAsia="Times New Roman" w:cs="Futura"/>
          <w:color w:val="595959"/>
        </w:rPr>
        <w:t>rtura informativa, que coadyuve</w:t>
      </w:r>
      <w:r w:rsidRPr="00BD678C">
        <w:rPr>
          <w:rFonts w:eastAsia="Times New Roman" w:cs="Futura"/>
          <w:color w:val="595959"/>
        </w:rPr>
        <w:t xml:space="preserve"> con el fortalecimiento del sistema democrático de la Entidad, hacia el mejoramiento de la calidad de vida de las personas.</w:t>
      </w:r>
      <w:r w:rsidR="005F7240" w:rsidRPr="00F765C3">
        <w:rPr>
          <w:rFonts w:eastAsia="Times New Roman" w:cs="Futura"/>
          <w:color w:val="595959"/>
        </w:rPr>
        <w:t xml:space="preserve"> </w:t>
      </w:r>
    </w:p>
    <w:p w14:paraId="4DC7808C"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75058B08" w14:textId="77777777" w:rsidR="00695E2D" w:rsidRDefault="00695E2D" w:rsidP="00695E2D">
      <w:pPr>
        <w:pStyle w:val="Ttulo"/>
      </w:pPr>
    </w:p>
    <w:p w14:paraId="70B3AD03" w14:textId="77777777" w:rsidR="00695E2D" w:rsidRDefault="00695E2D" w:rsidP="00695E2D">
      <w:pPr>
        <w:pStyle w:val="Ttulo"/>
      </w:pPr>
    </w:p>
    <w:p w14:paraId="380136B7" w14:textId="77777777" w:rsidR="00695E2D" w:rsidRDefault="00695E2D" w:rsidP="00695E2D">
      <w:pPr>
        <w:pStyle w:val="Ttulo"/>
      </w:pPr>
    </w:p>
    <w:p w14:paraId="219CD03E" w14:textId="77777777" w:rsidR="00695E2D" w:rsidRDefault="00695E2D" w:rsidP="00695E2D">
      <w:pPr>
        <w:pStyle w:val="Ttulo"/>
      </w:pPr>
    </w:p>
    <w:p w14:paraId="17ED921F" w14:textId="0A88CADD" w:rsidR="00695E2D" w:rsidRDefault="00695E2D" w:rsidP="00695E2D">
      <w:pPr>
        <w:pStyle w:val="Ttulo"/>
        <w:rPr>
          <w:color w:val="4BACC6"/>
        </w:rPr>
      </w:pPr>
      <w:r>
        <w:rPr>
          <w:color w:val="4BACC6"/>
        </w:rPr>
        <w:t>POLÍTICAS</w:t>
      </w:r>
    </w:p>
    <w:p w14:paraId="100B8090"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38BC15AD" w14:textId="77777777" w:rsidR="00C2741A" w:rsidRDefault="00C2741A" w:rsidP="0035377A">
      <w:pPr>
        <w:pStyle w:val="Ttulo1"/>
      </w:pPr>
    </w:p>
    <w:p w14:paraId="22985196" w14:textId="77777777" w:rsidR="00C2741A" w:rsidRDefault="00C2741A" w:rsidP="0035377A">
      <w:pPr>
        <w:pStyle w:val="Ttulo1"/>
      </w:pPr>
    </w:p>
    <w:p w14:paraId="487EA2C3" w14:textId="77777777" w:rsidR="00C2741A" w:rsidRDefault="00C2741A" w:rsidP="0035377A">
      <w:pPr>
        <w:pStyle w:val="Ttulo1"/>
      </w:pPr>
    </w:p>
    <w:p w14:paraId="5240DA6B" w14:textId="77777777" w:rsidR="00E0460C" w:rsidRDefault="00E0460C" w:rsidP="00E0460C">
      <w:pPr>
        <w:rPr>
          <w:lang w:val="es-MX" w:eastAsia="en-US"/>
        </w:rPr>
      </w:pPr>
    </w:p>
    <w:p w14:paraId="1D081F21" w14:textId="77777777" w:rsidR="00E0460C" w:rsidRPr="00E0460C" w:rsidRDefault="00E0460C" w:rsidP="00E0460C">
      <w:pPr>
        <w:rPr>
          <w:lang w:val="es-MX" w:eastAsia="en-US"/>
        </w:rPr>
      </w:pPr>
    </w:p>
    <w:p w14:paraId="3D36E051" w14:textId="77777777" w:rsidR="00C2741A" w:rsidRDefault="00C2741A" w:rsidP="0035377A">
      <w:pPr>
        <w:pStyle w:val="Ttulo1"/>
      </w:pPr>
    </w:p>
    <w:p w14:paraId="799B4C3A" w14:textId="1E981E38" w:rsidR="005F7240" w:rsidRDefault="0035377A" w:rsidP="0035377A">
      <w:pPr>
        <w:pStyle w:val="Ttulo1"/>
      </w:pPr>
      <w:bookmarkStart w:id="11" w:name="_Toc477971056"/>
      <w:r>
        <w:t xml:space="preserve">IX. </w:t>
      </w:r>
      <w:r w:rsidR="005F7240" w:rsidRPr="00F765C3">
        <w:t>POLÍTICAS</w:t>
      </w:r>
      <w:bookmarkEnd w:id="11"/>
    </w:p>
    <w:p w14:paraId="7D485638" w14:textId="77777777" w:rsidR="00C2741A" w:rsidRPr="00C2741A" w:rsidRDefault="00C2741A" w:rsidP="00C2741A">
      <w:pPr>
        <w:rPr>
          <w:lang w:val="es-MX" w:eastAsia="en-US"/>
        </w:rPr>
      </w:pPr>
    </w:p>
    <w:p w14:paraId="55C85750" w14:textId="37FAB97D" w:rsidR="005F7240" w:rsidRPr="00F765C3" w:rsidRDefault="00BD678C" w:rsidP="00B545F3">
      <w:pPr>
        <w:rPr>
          <w:rFonts w:eastAsia="Times New Roman" w:cs="Futura"/>
          <w:color w:val="595959"/>
        </w:rPr>
      </w:pPr>
      <w:r>
        <w:rPr>
          <w:rFonts w:eastAsia="Times New Roman" w:cs="Futura"/>
          <w:color w:val="595959"/>
        </w:rPr>
        <w:t xml:space="preserve">La </w:t>
      </w:r>
      <w:r w:rsidR="00AA04AD">
        <w:rPr>
          <w:rFonts w:eastAsia="Times New Roman" w:cs="Futura"/>
          <w:color w:val="595959"/>
        </w:rPr>
        <w:t>Política</w:t>
      </w:r>
      <w:r>
        <w:rPr>
          <w:rFonts w:eastAsia="Times New Roman" w:cs="Futura"/>
          <w:color w:val="595959"/>
        </w:rPr>
        <w:t xml:space="preserve"> a realizar a través del Programa Institucional de promoción, fomento y garantía del derecho de acceso a la información </w:t>
      </w:r>
      <w:r w:rsidR="00AA04AD">
        <w:rPr>
          <w:rFonts w:eastAsia="Times New Roman" w:cs="Futura"/>
          <w:color w:val="595959"/>
        </w:rPr>
        <w:t>pública</w:t>
      </w:r>
      <w:r>
        <w:rPr>
          <w:rFonts w:eastAsia="Times New Roman" w:cs="Futura"/>
          <w:color w:val="595959"/>
        </w:rPr>
        <w:t xml:space="preserve"> y la </w:t>
      </w:r>
      <w:r w:rsidR="00AA04AD">
        <w:rPr>
          <w:rFonts w:eastAsia="Times New Roman" w:cs="Futura"/>
          <w:color w:val="595959"/>
        </w:rPr>
        <w:t>Protección</w:t>
      </w:r>
      <w:r>
        <w:rPr>
          <w:rFonts w:eastAsia="Times New Roman" w:cs="Futura"/>
          <w:color w:val="595959"/>
        </w:rPr>
        <w:t xml:space="preserve"> de datos personales en el Estado de Quintana Roo, es garantizar a la sociedad quintanarroense el derecho </w:t>
      </w:r>
      <w:r w:rsidR="00AA04AD">
        <w:rPr>
          <w:rFonts w:eastAsia="Times New Roman" w:cs="Futura"/>
          <w:color w:val="595959"/>
        </w:rPr>
        <w:t>de acceso a la información y la protección de datos personales, previsto en la Ley de Transparencia y Acceso a la Información P</w:t>
      </w:r>
      <w:r w:rsidR="00AA04AD" w:rsidRPr="00AA04AD">
        <w:rPr>
          <w:rFonts w:eastAsia="Times New Roman" w:cs="Futura"/>
          <w:color w:val="595959"/>
        </w:rPr>
        <w:t>ú</w:t>
      </w:r>
      <w:r w:rsidR="00AA04AD">
        <w:rPr>
          <w:rFonts w:eastAsia="Times New Roman" w:cs="Futura"/>
          <w:color w:val="595959"/>
        </w:rPr>
        <w:t xml:space="preserve">blica del Estado de Quintana Roo y la Ley de Protección de Datos Personales de Quintana Roo y toda la normatividad aplicable. </w:t>
      </w:r>
    </w:p>
    <w:p w14:paraId="01CA76DA"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3CDB2EBE" w14:textId="77777777" w:rsidR="00695E2D" w:rsidRDefault="00695E2D" w:rsidP="00695E2D">
      <w:pPr>
        <w:pStyle w:val="Ttulo"/>
      </w:pPr>
    </w:p>
    <w:p w14:paraId="3F9CFA2D" w14:textId="77777777" w:rsidR="00695E2D" w:rsidRDefault="00695E2D" w:rsidP="00695E2D">
      <w:pPr>
        <w:pStyle w:val="Ttulo"/>
      </w:pPr>
    </w:p>
    <w:p w14:paraId="0436714F" w14:textId="77777777" w:rsidR="00695E2D" w:rsidRDefault="00695E2D" w:rsidP="00695E2D">
      <w:pPr>
        <w:pStyle w:val="Ttulo"/>
      </w:pPr>
    </w:p>
    <w:p w14:paraId="37A598D3" w14:textId="77777777" w:rsidR="00695E2D" w:rsidRDefault="00695E2D" w:rsidP="00695E2D">
      <w:pPr>
        <w:pStyle w:val="Ttulo"/>
      </w:pPr>
    </w:p>
    <w:p w14:paraId="66E4A82C" w14:textId="3E5D8F47" w:rsidR="00695E2D" w:rsidRDefault="00695E2D" w:rsidP="00695E2D">
      <w:pPr>
        <w:pStyle w:val="Ttulo"/>
        <w:rPr>
          <w:color w:val="4BACC6"/>
        </w:rPr>
      </w:pPr>
      <w:r>
        <w:rPr>
          <w:color w:val="4BACC6"/>
        </w:rPr>
        <w:t>APARTADO ESTRATÉGICO</w:t>
      </w:r>
    </w:p>
    <w:p w14:paraId="6D1491CC"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5B209788" w14:textId="77777777" w:rsidR="00C2741A" w:rsidRDefault="00C2741A" w:rsidP="0035377A">
      <w:pPr>
        <w:pStyle w:val="Ttulo1"/>
      </w:pPr>
    </w:p>
    <w:p w14:paraId="5B9EE9D0" w14:textId="77777777" w:rsidR="00E0460C" w:rsidRDefault="00E0460C" w:rsidP="00E0460C">
      <w:pPr>
        <w:rPr>
          <w:lang w:val="es-MX" w:eastAsia="en-US"/>
        </w:rPr>
      </w:pPr>
    </w:p>
    <w:p w14:paraId="7A7CAC92" w14:textId="77777777" w:rsidR="00E0460C" w:rsidRPr="00E0460C" w:rsidRDefault="00E0460C" w:rsidP="00E0460C">
      <w:pPr>
        <w:rPr>
          <w:lang w:val="es-MX" w:eastAsia="en-US"/>
        </w:rPr>
      </w:pPr>
    </w:p>
    <w:p w14:paraId="415FBA87" w14:textId="77777777" w:rsidR="00C2741A" w:rsidRDefault="00C2741A" w:rsidP="0035377A">
      <w:pPr>
        <w:pStyle w:val="Ttulo1"/>
      </w:pPr>
    </w:p>
    <w:p w14:paraId="4F3E340E" w14:textId="4CCC1B6A" w:rsidR="005F7240" w:rsidRPr="00F765C3" w:rsidRDefault="0035377A" w:rsidP="0035377A">
      <w:pPr>
        <w:pStyle w:val="Ttulo1"/>
      </w:pPr>
      <w:bookmarkStart w:id="12" w:name="_Toc477971057"/>
      <w:r>
        <w:t xml:space="preserve">X. </w:t>
      </w:r>
      <w:r w:rsidR="005F7240" w:rsidRPr="00F765C3">
        <w:t>APARTADO ESTRATÉGICO</w:t>
      </w:r>
      <w:bookmarkEnd w:id="12"/>
    </w:p>
    <w:p w14:paraId="1083ABC1" w14:textId="77777777" w:rsidR="00C2741A" w:rsidRDefault="00C2741A" w:rsidP="005441E8">
      <w:pPr>
        <w:pStyle w:val="Ttulo2"/>
      </w:pPr>
    </w:p>
    <w:p w14:paraId="205FD309" w14:textId="77777777" w:rsidR="005F7240" w:rsidRDefault="005F7240" w:rsidP="005441E8">
      <w:pPr>
        <w:pStyle w:val="Ttulo2"/>
      </w:pPr>
      <w:bookmarkStart w:id="13" w:name="_Toc477971058"/>
      <w:r w:rsidRPr="00F765C3">
        <w:t>Objetivos, estrategias y líneas de acción</w:t>
      </w:r>
      <w:bookmarkEnd w:id="13"/>
    </w:p>
    <w:p w14:paraId="673C091D" w14:textId="77777777" w:rsidR="00917F94" w:rsidRDefault="00917F94" w:rsidP="00917F94">
      <w:pPr>
        <w:rPr>
          <w:b/>
          <w:color w:val="4BACC6" w:themeColor="accent5"/>
          <w:lang w:val="es-MX" w:eastAsia="en-US"/>
        </w:rPr>
      </w:pPr>
    </w:p>
    <w:p w14:paraId="053678E0" w14:textId="77777777" w:rsidR="00917F94" w:rsidRDefault="00917F94" w:rsidP="00917F94">
      <w:pPr>
        <w:rPr>
          <w:b/>
          <w:color w:val="4BACC6" w:themeColor="accent5"/>
          <w:lang w:val="es-MX" w:eastAsia="en-US"/>
        </w:rPr>
      </w:pPr>
    </w:p>
    <w:p w14:paraId="332E271D" w14:textId="7E9ECB6C" w:rsidR="00917F94" w:rsidRPr="00917F94" w:rsidRDefault="00917F94" w:rsidP="00917F94">
      <w:pPr>
        <w:rPr>
          <w:b/>
          <w:color w:val="4BACC6" w:themeColor="accent5"/>
          <w:lang w:val="es-MX" w:eastAsia="en-US"/>
        </w:rPr>
      </w:pPr>
      <w:r w:rsidRPr="00917F94">
        <w:rPr>
          <w:b/>
          <w:color w:val="4BACC6" w:themeColor="accent5"/>
          <w:lang w:val="es-MX" w:eastAsia="en-US"/>
        </w:rPr>
        <w:t>TEMA: ACCESO A LA INFORMACIÓ</w:t>
      </w:r>
      <w:r>
        <w:rPr>
          <w:b/>
          <w:color w:val="4BACC6" w:themeColor="accent5"/>
          <w:lang w:val="es-MX" w:eastAsia="en-US"/>
        </w:rPr>
        <w:t>N Y PROTECCI</w:t>
      </w:r>
      <w:r w:rsidRPr="00917F94">
        <w:rPr>
          <w:b/>
          <w:color w:val="4BACC6" w:themeColor="accent5"/>
          <w:lang w:val="es-MX" w:eastAsia="en-US"/>
        </w:rPr>
        <w:t>Ó</w:t>
      </w:r>
      <w:r>
        <w:rPr>
          <w:b/>
          <w:color w:val="4BACC6" w:themeColor="accent5"/>
          <w:lang w:val="es-MX" w:eastAsia="en-US"/>
        </w:rPr>
        <w:t>N DE DATOS PERSONALES EN POSESI</w:t>
      </w:r>
      <w:r w:rsidRPr="00917F94">
        <w:rPr>
          <w:b/>
          <w:color w:val="4BACC6" w:themeColor="accent5"/>
          <w:lang w:val="es-MX" w:eastAsia="en-US"/>
        </w:rPr>
        <w:t>Ó</w:t>
      </w:r>
      <w:r>
        <w:rPr>
          <w:b/>
          <w:color w:val="4BACC6" w:themeColor="accent5"/>
          <w:lang w:val="es-MX" w:eastAsia="en-US"/>
        </w:rPr>
        <w:t>N DE SUJETOS OBLIGADOS.</w:t>
      </w:r>
    </w:p>
    <w:p w14:paraId="1BB93BF1" w14:textId="77777777" w:rsidR="005F7240" w:rsidRPr="00F765C3" w:rsidRDefault="005F7240" w:rsidP="00B545F3">
      <w:pPr>
        <w:rPr>
          <w:rFonts w:eastAsia="Times New Roman" w:cs="Futura"/>
          <w:color w:val="595959"/>
        </w:rPr>
      </w:pPr>
    </w:p>
    <w:p w14:paraId="655ACF24" w14:textId="2357B2C1" w:rsidR="00917F94" w:rsidRPr="0034293B" w:rsidRDefault="0034293B" w:rsidP="00B545F3">
      <w:pPr>
        <w:rPr>
          <w:rFonts w:eastAsia="Times New Roman" w:cs="Futura"/>
          <w:color w:val="4BACC6" w:themeColor="accent5"/>
        </w:rPr>
      </w:pPr>
      <w:r>
        <w:rPr>
          <w:rFonts w:eastAsia="Times New Roman" w:cs="Futura"/>
          <w:color w:val="4BACC6" w:themeColor="accent5"/>
        </w:rPr>
        <w:t>Objetivo</w:t>
      </w:r>
    </w:p>
    <w:p w14:paraId="0638099D" w14:textId="586D74B8" w:rsidR="005F7240" w:rsidRPr="00F765C3" w:rsidRDefault="0034293B" w:rsidP="00B545F3">
      <w:pPr>
        <w:rPr>
          <w:rFonts w:eastAsia="Times New Roman" w:cs="Futura"/>
          <w:color w:val="595959"/>
        </w:rPr>
      </w:pPr>
      <w:r>
        <w:rPr>
          <w:rFonts w:eastAsia="Times New Roman" w:cs="Futura"/>
          <w:color w:val="595959"/>
        </w:rPr>
        <w:t xml:space="preserve">Consolidar el cumplimiento de los derechos de acceso a la información pública y la protección </w:t>
      </w:r>
      <w:r w:rsidR="001C75FE">
        <w:rPr>
          <w:rFonts w:eastAsia="Times New Roman" w:cs="Futura"/>
          <w:color w:val="595959"/>
        </w:rPr>
        <w:t xml:space="preserve">de </w:t>
      </w:r>
      <w:r>
        <w:rPr>
          <w:rFonts w:eastAsia="Times New Roman" w:cs="Futura"/>
          <w:color w:val="595959"/>
        </w:rPr>
        <w:t xml:space="preserve">datos personales en posesión de los sujetos obligados en el estado de Quintana Roo. </w:t>
      </w:r>
    </w:p>
    <w:p w14:paraId="2ED58AAD" w14:textId="77777777" w:rsidR="005F7240" w:rsidRPr="00F765C3" w:rsidRDefault="005F7240" w:rsidP="00B545F3">
      <w:pPr>
        <w:rPr>
          <w:rFonts w:eastAsia="Times New Roman" w:cs="Futura"/>
          <w:color w:val="595959"/>
        </w:rPr>
      </w:pPr>
    </w:p>
    <w:p w14:paraId="5135E2FE" w14:textId="1030FE80" w:rsidR="005F7240" w:rsidRPr="00224224" w:rsidRDefault="005F7240" w:rsidP="00B545F3">
      <w:pPr>
        <w:rPr>
          <w:rFonts w:eastAsia="Times New Roman" w:cs="Futura"/>
          <w:color w:val="4BACC6" w:themeColor="accent5"/>
        </w:rPr>
      </w:pPr>
      <w:r w:rsidRPr="00224224">
        <w:rPr>
          <w:rFonts w:eastAsia="Times New Roman" w:cs="Futura"/>
          <w:color w:val="4BACC6" w:themeColor="accent5"/>
        </w:rPr>
        <w:t xml:space="preserve">Estrategias </w:t>
      </w:r>
    </w:p>
    <w:p w14:paraId="1B520371" w14:textId="4820F7CF" w:rsidR="005F7240" w:rsidRDefault="00224224" w:rsidP="00B545F3">
      <w:pPr>
        <w:rPr>
          <w:rFonts w:eastAsia="Times New Roman" w:cs="Futura"/>
          <w:color w:val="595959"/>
        </w:rPr>
      </w:pPr>
      <w:r>
        <w:rPr>
          <w:rFonts w:eastAsia="Times New Roman" w:cs="Futura"/>
          <w:color w:val="595959"/>
        </w:rPr>
        <w:t>Promover en la sociedad quintanarroense el pleno ejercicio de estos derechos; la transparencia y la apertura de la información en posesión de cualquier sujeto obligado, en apego a los principios de certeza, legalidad, independencia, imparcialidad, eficacia, objetividad, profesionalismo y máxima publicidad.</w:t>
      </w:r>
    </w:p>
    <w:p w14:paraId="23C25DFD" w14:textId="77777777" w:rsidR="002E2925" w:rsidRDefault="002E2925" w:rsidP="00B545F3">
      <w:pPr>
        <w:rPr>
          <w:rFonts w:eastAsia="Times New Roman" w:cs="Futura"/>
          <w:color w:val="595959"/>
        </w:rPr>
      </w:pPr>
    </w:p>
    <w:p w14:paraId="33CFA68D" w14:textId="726EBFF1" w:rsidR="00224224" w:rsidRPr="00CD0ACA" w:rsidRDefault="00224224" w:rsidP="00B545F3">
      <w:pPr>
        <w:rPr>
          <w:rFonts w:eastAsia="Times New Roman" w:cs="Futura"/>
          <w:color w:val="4BACC6" w:themeColor="accent5"/>
        </w:rPr>
      </w:pPr>
      <w:r w:rsidRPr="00CD0ACA">
        <w:rPr>
          <w:rFonts w:eastAsia="Times New Roman" w:cs="Futura"/>
          <w:color w:val="4BACC6" w:themeColor="accent5"/>
        </w:rPr>
        <w:lastRenderedPageBreak/>
        <w:t>Líneas de Acción</w:t>
      </w:r>
    </w:p>
    <w:p w14:paraId="345ABF5F" w14:textId="0802627A" w:rsidR="005F7240" w:rsidRPr="00F765C3" w:rsidRDefault="005F7240" w:rsidP="00B545F3">
      <w:pPr>
        <w:rPr>
          <w:rFonts w:eastAsia="Times New Roman" w:cs="Futura"/>
          <w:color w:val="595959"/>
        </w:rPr>
      </w:pPr>
      <w:r w:rsidRPr="00F765C3">
        <w:rPr>
          <w:rFonts w:eastAsia="Times New Roman" w:cs="Futura"/>
          <w:color w:val="595959"/>
        </w:rPr>
        <w:t xml:space="preserve">1. </w:t>
      </w:r>
      <w:r w:rsidR="008A7F43">
        <w:rPr>
          <w:rFonts w:eastAsia="Times New Roman" w:cs="Futura"/>
          <w:color w:val="595959"/>
        </w:rPr>
        <w:t>Atender Solicitudes de Información P</w:t>
      </w:r>
      <w:r w:rsidR="008A7F43" w:rsidRPr="008A7F43">
        <w:rPr>
          <w:rFonts w:eastAsia="Times New Roman" w:cs="Futura"/>
          <w:color w:val="595959"/>
        </w:rPr>
        <w:t>ú</w:t>
      </w:r>
      <w:r w:rsidR="008A7F43">
        <w:rPr>
          <w:rFonts w:eastAsia="Times New Roman" w:cs="Futura"/>
          <w:color w:val="595959"/>
        </w:rPr>
        <w:t>blica, de acceso, rectificación, cancelación y oposición de datos personales en posesión de sujetos obligados.</w:t>
      </w:r>
    </w:p>
    <w:p w14:paraId="186C77A1" w14:textId="04E82E4A" w:rsidR="005F7240" w:rsidRPr="00F765C3" w:rsidRDefault="005F7240" w:rsidP="00B545F3">
      <w:pPr>
        <w:rPr>
          <w:rFonts w:eastAsia="Times New Roman" w:cs="Futura"/>
          <w:color w:val="595959"/>
        </w:rPr>
      </w:pPr>
      <w:r w:rsidRPr="00F765C3">
        <w:rPr>
          <w:rFonts w:eastAsia="Times New Roman" w:cs="Futura"/>
          <w:color w:val="595959"/>
        </w:rPr>
        <w:t xml:space="preserve">2. </w:t>
      </w:r>
      <w:r w:rsidR="008A7F43">
        <w:rPr>
          <w:rFonts w:eastAsia="Times New Roman" w:cs="Futura"/>
          <w:color w:val="595959"/>
        </w:rPr>
        <w:t>Vigilar el cumplimiento y actualización periódica de las obligaciones de transparencia en el portal del Instituto y en la PNT, por las Unidades Administrativas del Instituto, conforme a la normatividad aplicable.</w:t>
      </w:r>
    </w:p>
    <w:p w14:paraId="14362658" w14:textId="4D9E11A7" w:rsidR="005F7240" w:rsidRDefault="008A7F43" w:rsidP="00B545F3">
      <w:pPr>
        <w:rPr>
          <w:rFonts w:eastAsia="Times New Roman" w:cs="Futura"/>
          <w:color w:val="595959"/>
        </w:rPr>
      </w:pPr>
      <w:r>
        <w:rPr>
          <w:rFonts w:eastAsia="Times New Roman" w:cs="Futura"/>
          <w:color w:val="595959"/>
        </w:rPr>
        <w:t>3. Capacitar y promover en materia del Derecho de Acceso a la Información y del Derecho a la Protección de Datos Personales.</w:t>
      </w:r>
    </w:p>
    <w:p w14:paraId="4418044A" w14:textId="5EA8E671" w:rsidR="008A7F43" w:rsidRDefault="008A7F43" w:rsidP="00B545F3">
      <w:pPr>
        <w:rPr>
          <w:rFonts w:eastAsia="Times New Roman" w:cs="Futura"/>
          <w:color w:val="595959"/>
        </w:rPr>
      </w:pPr>
      <w:r>
        <w:rPr>
          <w:rFonts w:eastAsia="Times New Roman" w:cs="Futura"/>
          <w:color w:val="595959"/>
        </w:rPr>
        <w:t>4. Asesorar a los Sujetos Obligados de acuerdo a la Ley</w:t>
      </w:r>
      <w:r w:rsidR="00CD0ACA">
        <w:rPr>
          <w:rFonts w:eastAsia="Times New Roman" w:cs="Futura"/>
          <w:color w:val="595959"/>
        </w:rPr>
        <w:t xml:space="preserve"> de Transparencia y Acceso a la Información P</w:t>
      </w:r>
      <w:r w:rsidR="00CD0ACA" w:rsidRPr="00CD0ACA">
        <w:rPr>
          <w:rFonts w:eastAsia="Times New Roman" w:cs="Futura"/>
          <w:color w:val="595959"/>
        </w:rPr>
        <w:t>ú</w:t>
      </w:r>
      <w:r w:rsidR="00CD0ACA">
        <w:rPr>
          <w:rFonts w:eastAsia="Times New Roman" w:cs="Futura"/>
          <w:color w:val="595959"/>
        </w:rPr>
        <w:t>blica para el Estado de Quintana Roo.</w:t>
      </w:r>
    </w:p>
    <w:p w14:paraId="45811F06" w14:textId="2AFB55CA" w:rsidR="00CD0ACA" w:rsidRDefault="00CD0ACA" w:rsidP="00B545F3">
      <w:pPr>
        <w:rPr>
          <w:rFonts w:eastAsia="Times New Roman" w:cs="Futura"/>
          <w:color w:val="595959"/>
        </w:rPr>
      </w:pPr>
      <w:r>
        <w:rPr>
          <w:rFonts w:eastAsia="Times New Roman" w:cs="Futura"/>
          <w:color w:val="595959"/>
        </w:rPr>
        <w:t xml:space="preserve">5. Verificar el cumplimiento de las obligaciones de transparencia de acuerdo a lo establecido en la Ley de Transparencia y Acceso a la </w:t>
      </w:r>
      <w:r w:rsidR="000D6500">
        <w:rPr>
          <w:rFonts w:eastAsia="Times New Roman" w:cs="Futura"/>
          <w:color w:val="595959"/>
        </w:rPr>
        <w:t xml:space="preserve">información </w:t>
      </w:r>
      <w:r>
        <w:rPr>
          <w:rFonts w:eastAsia="Times New Roman" w:cs="Futura"/>
          <w:color w:val="595959"/>
        </w:rPr>
        <w:t xml:space="preserve"> </w:t>
      </w:r>
      <w:r w:rsidR="000D6500" w:rsidRPr="000D6500">
        <w:rPr>
          <w:rFonts w:eastAsia="Times New Roman" w:cs="Futura"/>
          <w:color w:val="595959"/>
        </w:rPr>
        <w:t>Pública</w:t>
      </w:r>
      <w:r w:rsidR="000D6500">
        <w:rPr>
          <w:rFonts w:eastAsia="Times New Roman" w:cs="Futura"/>
          <w:color w:val="595959"/>
        </w:rPr>
        <w:t xml:space="preserve"> para el Estado de Quintana Roo, Lineamientos Técnicos Generales para la Publicación, Homologación y Estandarización de la información de las obligaciones establecidas en el capítulo IV del Artículo 31 de la Ley General de Transparencia y Acceso a la Información </w:t>
      </w:r>
      <w:r w:rsidR="000D6500" w:rsidRPr="000D6500">
        <w:rPr>
          <w:rFonts w:eastAsia="Times New Roman" w:cs="Futura"/>
          <w:color w:val="595959"/>
        </w:rPr>
        <w:t>Pública</w:t>
      </w:r>
      <w:r w:rsidR="000D6500">
        <w:rPr>
          <w:rFonts w:eastAsia="Times New Roman" w:cs="Futura"/>
          <w:color w:val="595959"/>
        </w:rPr>
        <w:t xml:space="preserve"> y los lineamientos para la implementación y operación de la Plataforma Nacional de Transparencia</w:t>
      </w:r>
      <w:r w:rsidR="00AD1042">
        <w:rPr>
          <w:rFonts w:eastAsia="Times New Roman" w:cs="Futura"/>
          <w:color w:val="595959"/>
        </w:rPr>
        <w:t>.</w:t>
      </w:r>
    </w:p>
    <w:p w14:paraId="708149DB" w14:textId="1ADF1898" w:rsidR="00AD1042" w:rsidRDefault="00AD1042" w:rsidP="00B545F3">
      <w:pPr>
        <w:rPr>
          <w:rFonts w:eastAsia="Times New Roman" w:cs="Futura"/>
          <w:color w:val="595959"/>
        </w:rPr>
      </w:pPr>
      <w:r>
        <w:rPr>
          <w:rFonts w:eastAsia="Times New Roman" w:cs="Futura"/>
          <w:color w:val="595959"/>
        </w:rPr>
        <w:t xml:space="preserve">6. Atender  las denuncias por incumplimiento a la Ley de Transparencia y Acceso a la información </w:t>
      </w:r>
      <w:r w:rsidRPr="00AD1042">
        <w:rPr>
          <w:rFonts w:eastAsia="Times New Roman" w:cs="Futura"/>
          <w:color w:val="595959"/>
        </w:rPr>
        <w:t>Pública</w:t>
      </w:r>
      <w:r>
        <w:rPr>
          <w:rFonts w:eastAsia="Times New Roman" w:cs="Futura"/>
          <w:color w:val="595959"/>
        </w:rPr>
        <w:t xml:space="preserve"> para el Estado de Quintana Roo.</w:t>
      </w:r>
    </w:p>
    <w:p w14:paraId="4389DC8E" w14:textId="061609D8" w:rsidR="00AD1042" w:rsidRDefault="00AD1042" w:rsidP="00B545F3">
      <w:pPr>
        <w:rPr>
          <w:rFonts w:eastAsia="Times New Roman" w:cs="Futura"/>
          <w:color w:val="595959"/>
        </w:rPr>
      </w:pPr>
      <w:r>
        <w:rPr>
          <w:rFonts w:eastAsia="Times New Roman" w:cs="Futura"/>
          <w:color w:val="595959"/>
        </w:rPr>
        <w:t>7. Sustanciar y notificar los recursos de revisión, en los términos de la Ley en materia y demás normatividad aplicable, así como elaborar las propuestas de acuerdos que ponen fin al procedimiento.</w:t>
      </w:r>
    </w:p>
    <w:p w14:paraId="168456A6" w14:textId="372D24AE" w:rsidR="00AD1042" w:rsidRDefault="00AD1042" w:rsidP="00B545F3">
      <w:pPr>
        <w:rPr>
          <w:rFonts w:eastAsia="Times New Roman" w:cs="Futura"/>
          <w:color w:val="595959"/>
        </w:rPr>
      </w:pPr>
      <w:r>
        <w:rPr>
          <w:rFonts w:eastAsia="Times New Roman" w:cs="Futura"/>
          <w:color w:val="595959"/>
        </w:rPr>
        <w:t>8. Vigilar y verificar el cumplimiento de la Ley de Protección de Datos Personales en Posesión de sujetos obligados.</w:t>
      </w:r>
    </w:p>
    <w:p w14:paraId="6151372F" w14:textId="77777777" w:rsidR="00AD1042" w:rsidRDefault="00AD1042" w:rsidP="00B545F3">
      <w:pPr>
        <w:rPr>
          <w:rFonts w:eastAsia="Times New Roman" w:cs="Futura"/>
          <w:color w:val="595959"/>
        </w:rPr>
      </w:pPr>
      <w:r>
        <w:rPr>
          <w:rFonts w:eastAsia="Times New Roman" w:cs="Futura"/>
          <w:color w:val="595959"/>
        </w:rPr>
        <w:t>9. Atender las denuncias originadas por el incumplimiento a la Ley de Protección de Datos Personales en Posesión de sujetos obligados.</w:t>
      </w:r>
    </w:p>
    <w:p w14:paraId="59E4F057" w14:textId="5BF9AD54" w:rsidR="00AD1042" w:rsidRPr="00F765C3" w:rsidRDefault="00AD1042" w:rsidP="00B545F3">
      <w:pPr>
        <w:rPr>
          <w:rFonts w:eastAsia="Times New Roman" w:cs="Futura"/>
          <w:color w:val="595959"/>
        </w:rPr>
      </w:pPr>
      <w:r>
        <w:rPr>
          <w:rFonts w:eastAsia="Times New Roman" w:cs="Futura"/>
          <w:color w:val="595959"/>
        </w:rPr>
        <w:t xml:space="preserve">10. Fomentar el cumplimiento del Sistema Institucional de Archivo. </w:t>
      </w:r>
    </w:p>
    <w:p w14:paraId="2570DD3A" w14:textId="77777777" w:rsidR="00F16992" w:rsidRPr="00F765C3" w:rsidRDefault="00F16992" w:rsidP="00F16992">
      <w:pPr>
        <w:rPr>
          <w:rFonts w:eastAsia="Times New Roman" w:cs="Futura"/>
          <w:b/>
          <w:color w:val="595959"/>
        </w:rPr>
      </w:pPr>
    </w:p>
    <w:p w14:paraId="0C4E8D75" w14:textId="0380E80A" w:rsidR="005F7240" w:rsidRPr="00F765C3" w:rsidRDefault="005F7240" w:rsidP="00B545F3">
      <w:pPr>
        <w:rPr>
          <w:rFonts w:eastAsia="Times New Roman" w:cs="Futura"/>
          <w:color w:val="595959"/>
        </w:rPr>
      </w:pPr>
    </w:p>
    <w:p w14:paraId="0B4475A3" w14:textId="77777777" w:rsidR="00D43C55" w:rsidRPr="00F765C3" w:rsidRDefault="00D43C55">
      <w:pPr>
        <w:rPr>
          <w:rFonts w:eastAsia="Times New Roman" w:cs="Futura"/>
          <w:color w:val="595959"/>
          <w:sz w:val="32"/>
          <w:szCs w:val="32"/>
        </w:rPr>
      </w:pPr>
      <w:r w:rsidRPr="00F765C3">
        <w:rPr>
          <w:rFonts w:eastAsia="Times New Roman" w:cs="Futura"/>
          <w:color w:val="595959"/>
          <w:sz w:val="32"/>
          <w:szCs w:val="32"/>
        </w:rPr>
        <w:br w:type="page"/>
      </w:r>
    </w:p>
    <w:p w14:paraId="7DC66B31" w14:textId="77777777" w:rsidR="00C2741A" w:rsidRDefault="00C2741A" w:rsidP="0035377A">
      <w:pPr>
        <w:pStyle w:val="Ttulo1"/>
      </w:pPr>
    </w:p>
    <w:p w14:paraId="264E701C" w14:textId="77777777" w:rsidR="00695E2D" w:rsidRDefault="00695E2D" w:rsidP="00695E2D">
      <w:pPr>
        <w:pStyle w:val="Ttulo"/>
      </w:pPr>
    </w:p>
    <w:p w14:paraId="2A2FA96E" w14:textId="77777777" w:rsidR="00695E2D" w:rsidRDefault="00695E2D" w:rsidP="00695E2D">
      <w:pPr>
        <w:pStyle w:val="Ttulo"/>
      </w:pPr>
    </w:p>
    <w:p w14:paraId="0183B0D7" w14:textId="77777777" w:rsidR="00695E2D" w:rsidRDefault="00695E2D" w:rsidP="00695E2D">
      <w:pPr>
        <w:pStyle w:val="Ttulo"/>
      </w:pPr>
    </w:p>
    <w:p w14:paraId="3423CD59" w14:textId="77777777" w:rsidR="00695E2D" w:rsidRDefault="00695E2D" w:rsidP="00695E2D">
      <w:pPr>
        <w:pStyle w:val="Ttulo"/>
      </w:pPr>
    </w:p>
    <w:p w14:paraId="37DC60B5" w14:textId="77777777" w:rsidR="00695E2D" w:rsidRDefault="00695E2D" w:rsidP="00695E2D">
      <w:pPr>
        <w:pStyle w:val="Ttulo"/>
        <w:rPr>
          <w:color w:val="4BACC6"/>
        </w:rPr>
      </w:pPr>
      <w:r w:rsidRPr="00695E2D">
        <w:rPr>
          <w:color w:val="4BACC6"/>
        </w:rPr>
        <w:t xml:space="preserve">BASES PARA SU COORDINACIÓN </w:t>
      </w:r>
    </w:p>
    <w:p w14:paraId="24016A24" w14:textId="1C76D1E1" w:rsidR="00695E2D" w:rsidRDefault="00695E2D" w:rsidP="00695E2D">
      <w:pPr>
        <w:pStyle w:val="Ttulo"/>
        <w:rPr>
          <w:b w:val="0"/>
          <w:bCs/>
          <w:caps/>
          <w:color w:val="4BACC6"/>
          <w:sz w:val="32"/>
          <w:szCs w:val="28"/>
          <w:lang w:val="es-MX" w:eastAsia="en-US"/>
        </w:rPr>
      </w:pPr>
      <w:r w:rsidRPr="00695E2D">
        <w:rPr>
          <w:color w:val="4BACC6"/>
        </w:rPr>
        <w:t>Y CONCERTACIÓN</w:t>
      </w:r>
      <w:r>
        <w:rPr>
          <w:color w:val="4BACC6"/>
        </w:rPr>
        <w:t xml:space="preserve"> </w:t>
      </w:r>
      <w:r>
        <w:rPr>
          <w:color w:val="4BACC6"/>
        </w:rPr>
        <w:br w:type="page"/>
      </w:r>
    </w:p>
    <w:p w14:paraId="4649FD5D" w14:textId="77777777" w:rsidR="00E0460C" w:rsidRDefault="00E0460C" w:rsidP="00E0460C">
      <w:pPr>
        <w:rPr>
          <w:lang w:val="es-MX" w:eastAsia="en-US"/>
        </w:rPr>
      </w:pPr>
    </w:p>
    <w:p w14:paraId="1F89AD62" w14:textId="77777777" w:rsidR="00E0460C" w:rsidRPr="00E0460C" w:rsidRDefault="00E0460C" w:rsidP="00E0460C">
      <w:pPr>
        <w:rPr>
          <w:lang w:val="es-MX" w:eastAsia="en-US"/>
        </w:rPr>
      </w:pPr>
    </w:p>
    <w:p w14:paraId="3A3E081E" w14:textId="77777777" w:rsidR="00C2741A" w:rsidRDefault="00C2741A" w:rsidP="0035377A">
      <w:pPr>
        <w:pStyle w:val="Ttulo1"/>
      </w:pPr>
    </w:p>
    <w:p w14:paraId="3C957009" w14:textId="4D449FE0" w:rsidR="005F7240" w:rsidRDefault="0035377A" w:rsidP="0035377A">
      <w:pPr>
        <w:pStyle w:val="Ttulo1"/>
      </w:pPr>
      <w:bookmarkStart w:id="14" w:name="_Toc477971060"/>
      <w:r>
        <w:t xml:space="preserve">XI. </w:t>
      </w:r>
      <w:r w:rsidR="005F7240" w:rsidRPr="00F765C3">
        <w:t>BASES PARA SU COORDINACIÓN Y CONCERTACIÓN</w:t>
      </w:r>
      <w:bookmarkEnd w:id="14"/>
    </w:p>
    <w:p w14:paraId="03F84247" w14:textId="77777777" w:rsidR="002E2925" w:rsidRPr="002E2925" w:rsidRDefault="002E2925" w:rsidP="002E2925">
      <w:pPr>
        <w:ind w:right="618"/>
        <w:rPr>
          <w:color w:val="595959" w:themeColor="text1" w:themeTint="A6"/>
        </w:rPr>
      </w:pPr>
      <w:r w:rsidRPr="002E2925">
        <w:rPr>
          <w:rFonts w:cs="Arial"/>
          <w:bCs/>
          <w:color w:val="595959" w:themeColor="text1" w:themeTint="A6"/>
          <w:lang w:val="es-ES"/>
        </w:rPr>
        <w:t xml:space="preserve">De acuerdo a las competencias que  otorga la Ley de Transparencia y Acceso a la Información Pública del Estado de Quintana Roo, en el artículo 52° la cual indica que </w:t>
      </w:r>
      <w:r w:rsidRPr="002E2925">
        <w:rPr>
          <w:color w:val="595959" w:themeColor="text1" w:themeTint="A6"/>
        </w:rPr>
        <w:t>Son sujetos obligados a transparentar y permitir el acceso a su información y proteger los datos personales que obren en su poder: cualquier autoridad, entidad, órgano y organismo de los Poderes Ejecutivo, Legislativo y Judicial, municipios, órganos autónomos, partidos políticos, fideicomisos y fondos públicos, así como cualquier persona física, moral o sindicato que reciba y ejerza recursos públicos o realice actos de autoridad en el Estado.</w:t>
      </w:r>
    </w:p>
    <w:p w14:paraId="66135C48" w14:textId="77777777" w:rsidR="002E2925" w:rsidRPr="002E2925" w:rsidRDefault="002E2925" w:rsidP="002E2925">
      <w:pPr>
        <w:ind w:right="618"/>
        <w:rPr>
          <w:rFonts w:cs="Arial"/>
          <w:bCs/>
          <w:color w:val="595959" w:themeColor="text1" w:themeTint="A6"/>
          <w:lang w:val="es-ES"/>
        </w:rPr>
      </w:pPr>
      <w:r w:rsidRPr="002E2925">
        <w:rPr>
          <w:rFonts w:cs="Arial"/>
          <w:bCs/>
          <w:color w:val="595959" w:themeColor="text1" w:themeTint="A6"/>
          <w:lang w:val="es-ES"/>
        </w:rPr>
        <w:t xml:space="preserve"> Esta obligación resulta de gran trascendencia para el IDAIPQROO para hacer aplicables las disposiciones en la materia, trabajando en coordinación con los Sujetos Obligados para garantizar el cumplimiento de la Ley antes mencionada. </w:t>
      </w:r>
    </w:p>
    <w:p w14:paraId="0FC822BB" w14:textId="77777777" w:rsidR="002E2925" w:rsidRDefault="002E2925" w:rsidP="002E2925">
      <w:pPr>
        <w:ind w:right="618"/>
        <w:rPr>
          <w:rFonts w:cs="Arial"/>
          <w:bCs/>
          <w:color w:val="595959" w:themeColor="text1" w:themeTint="A6"/>
          <w:lang w:val="es-ES"/>
        </w:rPr>
      </w:pPr>
      <w:r w:rsidRPr="002E2925">
        <w:rPr>
          <w:rFonts w:cs="Arial"/>
          <w:bCs/>
          <w:color w:val="595959" w:themeColor="text1" w:themeTint="A6"/>
          <w:lang w:val="es-ES"/>
        </w:rPr>
        <w:t>A continuación se presenta el Padrón de Sujetos Obligados para el Estado de Quintana Roo con los que se trabaja en coordinación para brindarles el apoyo técnico y administrativo orientado al cumplimiento de sus facultades en términos de la Ley.</w:t>
      </w:r>
    </w:p>
    <w:p w14:paraId="37815EB1" w14:textId="77777777" w:rsidR="002E2925" w:rsidRDefault="002E2925" w:rsidP="002E2925">
      <w:pPr>
        <w:ind w:right="618"/>
        <w:rPr>
          <w:rFonts w:cs="Arial"/>
          <w:bCs/>
          <w:color w:val="595959" w:themeColor="text1" w:themeTint="A6"/>
          <w:lang w:val="es-ES"/>
        </w:rPr>
      </w:pPr>
    </w:p>
    <w:p w14:paraId="4E0D7008" w14:textId="77777777" w:rsidR="002E2925" w:rsidRDefault="002E2925" w:rsidP="002E2925">
      <w:pPr>
        <w:ind w:right="618"/>
        <w:rPr>
          <w:color w:val="595959" w:themeColor="text1" w:themeTint="A6"/>
        </w:rPr>
      </w:pPr>
    </w:p>
    <w:p w14:paraId="56D115B7" w14:textId="77777777" w:rsidR="00FC3000" w:rsidRDefault="00FC3000" w:rsidP="002E2925">
      <w:pPr>
        <w:ind w:right="618"/>
        <w:rPr>
          <w:color w:val="595959" w:themeColor="text1" w:themeTint="A6"/>
        </w:rPr>
      </w:pPr>
    </w:p>
    <w:p w14:paraId="2E3AFD0D" w14:textId="77777777" w:rsidR="00FC3000" w:rsidRDefault="00FC3000" w:rsidP="002E2925">
      <w:pPr>
        <w:ind w:right="618"/>
        <w:rPr>
          <w:color w:val="595959" w:themeColor="text1" w:themeTint="A6"/>
        </w:rPr>
      </w:pPr>
    </w:p>
    <w:p w14:paraId="748FB0D4" w14:textId="77777777" w:rsidR="002E2925" w:rsidRDefault="002E2925" w:rsidP="002E2925">
      <w:pPr>
        <w:ind w:right="618"/>
        <w:rPr>
          <w:color w:val="595959" w:themeColor="text1" w:themeTint="A6"/>
        </w:rPr>
      </w:pPr>
    </w:p>
    <w:p w14:paraId="08CDFD4D" w14:textId="29A4B7E9" w:rsidR="002E2925" w:rsidRPr="002E2925" w:rsidRDefault="002E2925" w:rsidP="002E2925">
      <w:pPr>
        <w:ind w:right="618"/>
        <w:rPr>
          <w:b/>
          <w:color w:val="31849B" w:themeColor="accent5" w:themeShade="BF"/>
        </w:rPr>
      </w:pPr>
      <w:r w:rsidRPr="002E2925">
        <w:rPr>
          <w:rFonts w:cs="Arial"/>
          <w:b/>
          <w:bCs/>
          <w:color w:val="31849B" w:themeColor="accent5" w:themeShade="BF"/>
          <w:lang w:val="es-ES"/>
        </w:rPr>
        <w:t>Padrón de Sujetos Obligados para el Estado de Quintana Roo</w:t>
      </w:r>
    </w:p>
    <w:p w14:paraId="2FCEE20C" w14:textId="77777777" w:rsidR="002E2925" w:rsidRPr="000E0A5A" w:rsidRDefault="002E2925" w:rsidP="002E2925">
      <w:pPr>
        <w:ind w:right="618"/>
        <w:rPr>
          <w:b/>
          <w:color w:val="595959" w:themeColor="text1" w:themeTint="A6"/>
        </w:rPr>
      </w:pPr>
      <w:r w:rsidRPr="000E0A5A">
        <w:rPr>
          <w:b/>
          <w:color w:val="595959" w:themeColor="text1" w:themeTint="A6"/>
        </w:rPr>
        <w:t>Poder Ejecutivo</w:t>
      </w:r>
    </w:p>
    <w:p w14:paraId="2EC2C033" w14:textId="77777777" w:rsidR="002E2925" w:rsidRPr="000E0A5A" w:rsidRDefault="002E2925" w:rsidP="002E2925">
      <w:pPr>
        <w:ind w:right="618"/>
        <w:rPr>
          <w:b/>
          <w:color w:val="595959" w:themeColor="text1" w:themeTint="A6"/>
        </w:rPr>
      </w:pPr>
      <w:r w:rsidRPr="000E0A5A">
        <w:rPr>
          <w:b/>
          <w:color w:val="595959" w:themeColor="text1" w:themeTint="A6"/>
        </w:rPr>
        <w:lastRenderedPageBreak/>
        <w:t>Dependencias</w:t>
      </w:r>
    </w:p>
    <w:p w14:paraId="00543634" w14:textId="62A7C65F" w:rsidR="002E2925" w:rsidRPr="002E2925" w:rsidRDefault="002E2925" w:rsidP="002E2925">
      <w:pPr>
        <w:ind w:right="618"/>
        <w:rPr>
          <w:color w:val="595959" w:themeColor="text1" w:themeTint="A6"/>
        </w:rPr>
      </w:pPr>
      <w:r>
        <w:rPr>
          <w:color w:val="595959" w:themeColor="text1" w:themeTint="A6"/>
        </w:rPr>
        <w:t xml:space="preserve">1 </w:t>
      </w:r>
      <w:r w:rsidRPr="002E2925">
        <w:rPr>
          <w:color w:val="595959" w:themeColor="text1" w:themeTint="A6"/>
        </w:rPr>
        <w:t>Oficialía Mayor</w:t>
      </w:r>
    </w:p>
    <w:p w14:paraId="39B01BEB" w14:textId="597208C5" w:rsidR="002E2925" w:rsidRPr="002E2925" w:rsidRDefault="002E2925" w:rsidP="002E2925">
      <w:pPr>
        <w:ind w:right="618"/>
        <w:rPr>
          <w:color w:val="595959" w:themeColor="text1" w:themeTint="A6"/>
        </w:rPr>
      </w:pPr>
      <w:r>
        <w:rPr>
          <w:color w:val="595959" w:themeColor="text1" w:themeTint="A6"/>
        </w:rPr>
        <w:t xml:space="preserve">2 </w:t>
      </w:r>
      <w:r w:rsidRPr="002E2925">
        <w:rPr>
          <w:color w:val="595959" w:themeColor="text1" w:themeTint="A6"/>
        </w:rPr>
        <w:t>Secretaría de Desarrollo Agropecuario, Rural y Pesca</w:t>
      </w:r>
    </w:p>
    <w:p w14:paraId="342BD499" w14:textId="06C75ABE" w:rsidR="002E2925" w:rsidRPr="002E2925" w:rsidRDefault="002E2925" w:rsidP="002E2925">
      <w:pPr>
        <w:ind w:right="618"/>
        <w:rPr>
          <w:color w:val="595959" w:themeColor="text1" w:themeTint="A6"/>
        </w:rPr>
      </w:pPr>
      <w:r>
        <w:rPr>
          <w:color w:val="595959" w:themeColor="text1" w:themeTint="A6"/>
        </w:rPr>
        <w:t xml:space="preserve">3 </w:t>
      </w:r>
      <w:r w:rsidRPr="002E2925">
        <w:rPr>
          <w:color w:val="595959" w:themeColor="text1" w:themeTint="A6"/>
        </w:rPr>
        <w:t>Secretaría de Desarrollo Económico</w:t>
      </w:r>
    </w:p>
    <w:p w14:paraId="1087CBB9" w14:textId="39921D52" w:rsidR="002E2925" w:rsidRPr="002E2925" w:rsidRDefault="002E2925" w:rsidP="002E2925">
      <w:pPr>
        <w:ind w:right="618"/>
        <w:rPr>
          <w:color w:val="595959" w:themeColor="text1" w:themeTint="A6"/>
        </w:rPr>
      </w:pPr>
      <w:r>
        <w:rPr>
          <w:color w:val="595959" w:themeColor="text1" w:themeTint="A6"/>
        </w:rPr>
        <w:t xml:space="preserve">4 </w:t>
      </w:r>
      <w:r w:rsidRPr="002E2925">
        <w:rPr>
          <w:color w:val="595959" w:themeColor="text1" w:themeTint="A6"/>
        </w:rPr>
        <w:t>Secretaría de Desarrollo Social</w:t>
      </w:r>
    </w:p>
    <w:p w14:paraId="449F3F64" w14:textId="65D97FCE" w:rsidR="002E2925" w:rsidRPr="002E2925" w:rsidRDefault="002E2925" w:rsidP="002E2925">
      <w:pPr>
        <w:ind w:right="618"/>
        <w:rPr>
          <w:color w:val="595959" w:themeColor="text1" w:themeTint="A6"/>
        </w:rPr>
      </w:pPr>
      <w:r>
        <w:rPr>
          <w:color w:val="595959" w:themeColor="text1" w:themeTint="A6"/>
        </w:rPr>
        <w:t xml:space="preserve">5 </w:t>
      </w:r>
      <w:r w:rsidRPr="002E2925">
        <w:rPr>
          <w:color w:val="595959" w:themeColor="text1" w:themeTint="A6"/>
        </w:rPr>
        <w:t>Secretaría de Desarrollo Territorial Urbano Sustentable</w:t>
      </w:r>
    </w:p>
    <w:p w14:paraId="2C4FA83C" w14:textId="433F2940" w:rsidR="002E2925" w:rsidRPr="002E2925" w:rsidRDefault="002E2925" w:rsidP="002E2925">
      <w:pPr>
        <w:ind w:right="618"/>
        <w:rPr>
          <w:color w:val="595959" w:themeColor="text1" w:themeTint="A6"/>
        </w:rPr>
      </w:pPr>
      <w:r>
        <w:rPr>
          <w:color w:val="595959" w:themeColor="text1" w:themeTint="A6"/>
        </w:rPr>
        <w:t xml:space="preserve">6 </w:t>
      </w:r>
      <w:r w:rsidRPr="002E2925">
        <w:rPr>
          <w:color w:val="595959" w:themeColor="text1" w:themeTint="A6"/>
        </w:rPr>
        <w:t>Secretaría de Ecología y Medio Ambiente</w:t>
      </w:r>
    </w:p>
    <w:p w14:paraId="06F5D586" w14:textId="4E6604AB" w:rsidR="002E2925" w:rsidRPr="002E2925" w:rsidRDefault="002E2925" w:rsidP="002E2925">
      <w:pPr>
        <w:ind w:right="618"/>
        <w:rPr>
          <w:color w:val="595959" w:themeColor="text1" w:themeTint="A6"/>
        </w:rPr>
      </w:pPr>
      <w:r>
        <w:rPr>
          <w:color w:val="595959" w:themeColor="text1" w:themeTint="A6"/>
        </w:rPr>
        <w:t xml:space="preserve">7 </w:t>
      </w:r>
      <w:r w:rsidRPr="002E2925">
        <w:rPr>
          <w:color w:val="595959" w:themeColor="text1" w:themeTint="A6"/>
        </w:rPr>
        <w:t>Secretaría de Educación</w:t>
      </w:r>
    </w:p>
    <w:p w14:paraId="200D3359" w14:textId="0CA70015" w:rsidR="002E2925" w:rsidRPr="002E2925" w:rsidRDefault="002E2925" w:rsidP="002E2925">
      <w:pPr>
        <w:ind w:right="618"/>
        <w:rPr>
          <w:color w:val="595959" w:themeColor="text1" w:themeTint="A6"/>
        </w:rPr>
      </w:pPr>
      <w:r>
        <w:rPr>
          <w:color w:val="595959" w:themeColor="text1" w:themeTint="A6"/>
        </w:rPr>
        <w:t xml:space="preserve">8 </w:t>
      </w:r>
      <w:r w:rsidRPr="002E2925">
        <w:rPr>
          <w:color w:val="595959" w:themeColor="text1" w:themeTint="A6"/>
        </w:rPr>
        <w:t>Secretaría de Finanzas y Planeación</w:t>
      </w:r>
    </w:p>
    <w:p w14:paraId="3577A39E" w14:textId="02F9E010" w:rsidR="002E2925" w:rsidRPr="002E2925" w:rsidRDefault="002E2925" w:rsidP="002E2925">
      <w:pPr>
        <w:ind w:right="618"/>
        <w:rPr>
          <w:color w:val="595959" w:themeColor="text1" w:themeTint="A6"/>
        </w:rPr>
      </w:pPr>
      <w:r>
        <w:rPr>
          <w:color w:val="595959" w:themeColor="text1" w:themeTint="A6"/>
        </w:rPr>
        <w:t xml:space="preserve">9 </w:t>
      </w:r>
      <w:r w:rsidRPr="002E2925">
        <w:rPr>
          <w:color w:val="595959" w:themeColor="text1" w:themeTint="A6"/>
        </w:rPr>
        <w:t>Secretaría de Gobierno</w:t>
      </w:r>
    </w:p>
    <w:p w14:paraId="49CCA669" w14:textId="1F678BB6" w:rsidR="002E2925" w:rsidRPr="002E2925" w:rsidRDefault="002E2925" w:rsidP="002E2925">
      <w:pPr>
        <w:ind w:right="618"/>
        <w:rPr>
          <w:color w:val="595959" w:themeColor="text1" w:themeTint="A6"/>
        </w:rPr>
      </w:pPr>
      <w:r>
        <w:rPr>
          <w:color w:val="595959" w:themeColor="text1" w:themeTint="A6"/>
        </w:rPr>
        <w:t xml:space="preserve">10 </w:t>
      </w:r>
      <w:r w:rsidRPr="002E2925">
        <w:rPr>
          <w:color w:val="595959" w:themeColor="text1" w:themeTint="A6"/>
        </w:rPr>
        <w:t>Secretaría de Obras Públicas</w:t>
      </w:r>
    </w:p>
    <w:p w14:paraId="4B18E4F5" w14:textId="3AEE1E53" w:rsidR="002E2925" w:rsidRPr="002E2925" w:rsidRDefault="002E2925" w:rsidP="002E2925">
      <w:pPr>
        <w:ind w:right="618"/>
        <w:rPr>
          <w:color w:val="595959" w:themeColor="text1" w:themeTint="A6"/>
        </w:rPr>
      </w:pPr>
      <w:r>
        <w:rPr>
          <w:color w:val="595959" w:themeColor="text1" w:themeTint="A6"/>
        </w:rPr>
        <w:t xml:space="preserve">11 </w:t>
      </w:r>
      <w:r w:rsidRPr="002E2925">
        <w:rPr>
          <w:color w:val="595959" w:themeColor="text1" w:themeTint="A6"/>
        </w:rPr>
        <w:t>Secretaría de la Contraloría</w:t>
      </w:r>
    </w:p>
    <w:p w14:paraId="15146A8A" w14:textId="273FD5DA" w:rsidR="002E2925" w:rsidRPr="002E2925" w:rsidRDefault="002E2925" w:rsidP="002E2925">
      <w:pPr>
        <w:ind w:right="618"/>
        <w:rPr>
          <w:color w:val="595959" w:themeColor="text1" w:themeTint="A6"/>
        </w:rPr>
      </w:pPr>
      <w:r>
        <w:rPr>
          <w:color w:val="595959" w:themeColor="text1" w:themeTint="A6"/>
        </w:rPr>
        <w:t xml:space="preserve">12 </w:t>
      </w:r>
      <w:r w:rsidRPr="002E2925">
        <w:rPr>
          <w:color w:val="595959" w:themeColor="text1" w:themeTint="A6"/>
        </w:rPr>
        <w:t>Secretaría de Salud</w:t>
      </w:r>
    </w:p>
    <w:p w14:paraId="4B47FA50" w14:textId="146BA4FA" w:rsidR="002E2925" w:rsidRPr="002E2925" w:rsidRDefault="002E2925" w:rsidP="002E2925">
      <w:pPr>
        <w:ind w:right="618"/>
        <w:rPr>
          <w:color w:val="595959" w:themeColor="text1" w:themeTint="A6"/>
        </w:rPr>
      </w:pPr>
      <w:r>
        <w:rPr>
          <w:color w:val="595959" w:themeColor="text1" w:themeTint="A6"/>
        </w:rPr>
        <w:t xml:space="preserve">13 </w:t>
      </w:r>
      <w:r w:rsidRPr="002E2925">
        <w:rPr>
          <w:color w:val="595959" w:themeColor="text1" w:themeTint="A6"/>
        </w:rPr>
        <w:t>Secretaría de Seguridad Pública</w:t>
      </w:r>
    </w:p>
    <w:p w14:paraId="235AA229" w14:textId="00A4C3D8" w:rsidR="002E2925" w:rsidRPr="002E2925" w:rsidRDefault="002E2925" w:rsidP="002E2925">
      <w:pPr>
        <w:ind w:right="618"/>
        <w:rPr>
          <w:color w:val="595959" w:themeColor="text1" w:themeTint="A6"/>
        </w:rPr>
      </w:pPr>
      <w:r>
        <w:rPr>
          <w:color w:val="595959" w:themeColor="text1" w:themeTint="A6"/>
        </w:rPr>
        <w:t xml:space="preserve">14 </w:t>
      </w:r>
      <w:r w:rsidRPr="002E2925">
        <w:rPr>
          <w:color w:val="595959" w:themeColor="text1" w:themeTint="A6"/>
        </w:rPr>
        <w:t>Secretaría de Turismo</w:t>
      </w:r>
    </w:p>
    <w:p w14:paraId="670BC33A" w14:textId="677BC4C7" w:rsidR="002E2925" w:rsidRPr="002E2925" w:rsidRDefault="002E2925" w:rsidP="002E2925">
      <w:pPr>
        <w:ind w:right="618"/>
        <w:rPr>
          <w:color w:val="595959" w:themeColor="text1" w:themeTint="A6"/>
        </w:rPr>
      </w:pPr>
      <w:r>
        <w:rPr>
          <w:color w:val="595959" w:themeColor="text1" w:themeTint="A6"/>
        </w:rPr>
        <w:t xml:space="preserve">15 </w:t>
      </w:r>
      <w:r w:rsidRPr="002E2925">
        <w:rPr>
          <w:color w:val="595959" w:themeColor="text1" w:themeTint="A6"/>
        </w:rPr>
        <w:t>Secretaría del Trabajo y Previsión Social</w:t>
      </w:r>
    </w:p>
    <w:p w14:paraId="494D7B16" w14:textId="4EBAAE75" w:rsidR="002E2925" w:rsidRPr="002E2925" w:rsidRDefault="002E2925" w:rsidP="002E2925">
      <w:pPr>
        <w:ind w:right="618"/>
        <w:rPr>
          <w:color w:val="595959" w:themeColor="text1" w:themeTint="A6"/>
        </w:rPr>
      </w:pPr>
      <w:r>
        <w:rPr>
          <w:color w:val="595959" w:themeColor="text1" w:themeTint="A6"/>
        </w:rPr>
        <w:t xml:space="preserve">16 </w:t>
      </w:r>
      <w:r w:rsidRPr="002E2925">
        <w:rPr>
          <w:color w:val="595959" w:themeColor="text1" w:themeTint="A6"/>
        </w:rPr>
        <w:t>Consejería Jurídica del Poder Ejecutivo</w:t>
      </w:r>
    </w:p>
    <w:p w14:paraId="2C627148" w14:textId="7095E4F4" w:rsidR="002E2925" w:rsidRPr="000E0A5A" w:rsidRDefault="002E2925" w:rsidP="002E2925">
      <w:pPr>
        <w:ind w:right="618"/>
        <w:rPr>
          <w:b/>
          <w:color w:val="595959" w:themeColor="text1" w:themeTint="A6"/>
        </w:rPr>
      </w:pPr>
      <w:r w:rsidRPr="000E0A5A">
        <w:rPr>
          <w:b/>
          <w:color w:val="595959" w:themeColor="text1" w:themeTint="A6"/>
        </w:rPr>
        <w:t>Unidades Administrativas d</w:t>
      </w:r>
      <w:r w:rsidR="000E0A5A" w:rsidRPr="000E0A5A">
        <w:rPr>
          <w:b/>
          <w:color w:val="595959" w:themeColor="text1" w:themeTint="A6"/>
        </w:rPr>
        <w:t>el Despacho del Poder Ejecutivo</w:t>
      </w:r>
    </w:p>
    <w:p w14:paraId="497C8647" w14:textId="10A9460F" w:rsidR="002E2925" w:rsidRPr="002E2925" w:rsidRDefault="002E2925" w:rsidP="002E2925">
      <w:pPr>
        <w:ind w:right="618"/>
        <w:rPr>
          <w:color w:val="595959" w:themeColor="text1" w:themeTint="A6"/>
        </w:rPr>
      </w:pPr>
      <w:r>
        <w:rPr>
          <w:color w:val="595959" w:themeColor="text1" w:themeTint="A6"/>
        </w:rPr>
        <w:t xml:space="preserve">17 </w:t>
      </w:r>
      <w:r w:rsidRPr="002E2925">
        <w:rPr>
          <w:color w:val="595959" w:themeColor="text1" w:themeTint="A6"/>
        </w:rPr>
        <w:t xml:space="preserve">Unidades de Asesoría, Apoyo Técnico, Jurídico y de Coordinación adscritas al Gobernador del Estado (Coordinación del Gabinete de Seguridad y Justicia; Coordinación General de </w:t>
      </w:r>
      <w:r w:rsidRPr="002E2925">
        <w:rPr>
          <w:color w:val="595959" w:themeColor="text1" w:themeTint="A6"/>
        </w:rPr>
        <w:lastRenderedPageBreak/>
        <w:t xml:space="preserve">Asesores; Oficina del Gobernador; Secretaría Particular del Gobernador; Coordinación </w:t>
      </w:r>
      <w:r w:rsidR="000E0A5A">
        <w:rPr>
          <w:color w:val="595959" w:themeColor="text1" w:themeTint="A6"/>
        </w:rPr>
        <w:t>Administrativa del Gobernador).</w:t>
      </w:r>
    </w:p>
    <w:p w14:paraId="49381BE6" w14:textId="77777777" w:rsidR="002E2925" w:rsidRPr="000E0A5A" w:rsidRDefault="002E2925" w:rsidP="002E2925">
      <w:pPr>
        <w:ind w:right="618"/>
        <w:rPr>
          <w:b/>
          <w:color w:val="595959" w:themeColor="text1" w:themeTint="A6"/>
        </w:rPr>
      </w:pPr>
      <w:r w:rsidRPr="000E0A5A">
        <w:rPr>
          <w:b/>
          <w:color w:val="595959" w:themeColor="text1" w:themeTint="A6"/>
        </w:rPr>
        <w:t>Entidades</w:t>
      </w:r>
    </w:p>
    <w:p w14:paraId="089312AF" w14:textId="77777777" w:rsidR="002E2925" w:rsidRPr="000E0A5A" w:rsidRDefault="002E2925" w:rsidP="002E2925">
      <w:pPr>
        <w:ind w:right="618"/>
        <w:rPr>
          <w:b/>
          <w:color w:val="595959" w:themeColor="text1" w:themeTint="A6"/>
        </w:rPr>
      </w:pPr>
      <w:r w:rsidRPr="000E0A5A">
        <w:rPr>
          <w:b/>
          <w:color w:val="595959" w:themeColor="text1" w:themeTint="A6"/>
        </w:rPr>
        <w:t>Organismos Descentralizados</w:t>
      </w:r>
    </w:p>
    <w:p w14:paraId="0D408C09" w14:textId="109ED833" w:rsidR="002E2925" w:rsidRPr="002E2925" w:rsidRDefault="002E2925" w:rsidP="002E2925">
      <w:pPr>
        <w:ind w:right="618"/>
        <w:rPr>
          <w:color w:val="595959" w:themeColor="text1" w:themeTint="A6"/>
        </w:rPr>
      </w:pPr>
      <w:r>
        <w:rPr>
          <w:color w:val="595959" w:themeColor="text1" w:themeTint="A6"/>
        </w:rPr>
        <w:t xml:space="preserve">18 </w:t>
      </w:r>
      <w:r w:rsidRPr="002E2925">
        <w:rPr>
          <w:color w:val="595959" w:themeColor="text1" w:themeTint="A6"/>
        </w:rPr>
        <w:t>Centro de Estudios de Bachillerato Técnico "Eva Sámano de López Mateos"</w:t>
      </w:r>
    </w:p>
    <w:p w14:paraId="0048DB30" w14:textId="70E445B4" w:rsidR="002E2925" w:rsidRPr="002E2925" w:rsidRDefault="002E2925" w:rsidP="002E2925">
      <w:pPr>
        <w:ind w:right="618"/>
        <w:rPr>
          <w:color w:val="595959" w:themeColor="text1" w:themeTint="A6"/>
        </w:rPr>
      </w:pPr>
      <w:r>
        <w:rPr>
          <w:color w:val="595959" w:themeColor="text1" w:themeTint="A6"/>
        </w:rPr>
        <w:t xml:space="preserve">19 </w:t>
      </w:r>
      <w:r w:rsidRPr="002E2925">
        <w:rPr>
          <w:color w:val="595959" w:themeColor="text1" w:themeTint="A6"/>
        </w:rPr>
        <w:t>Colegio de Bachilleres del Estado de Quintana Roo</w:t>
      </w:r>
    </w:p>
    <w:p w14:paraId="060D7078" w14:textId="0D1AB759" w:rsidR="002E2925" w:rsidRPr="002E2925" w:rsidRDefault="002E2925" w:rsidP="002E2925">
      <w:pPr>
        <w:ind w:right="618"/>
        <w:rPr>
          <w:color w:val="595959" w:themeColor="text1" w:themeTint="A6"/>
        </w:rPr>
      </w:pPr>
      <w:r>
        <w:rPr>
          <w:color w:val="595959" w:themeColor="text1" w:themeTint="A6"/>
        </w:rPr>
        <w:t xml:space="preserve">20 </w:t>
      </w:r>
      <w:r w:rsidRPr="002E2925">
        <w:rPr>
          <w:color w:val="595959" w:themeColor="text1" w:themeTint="A6"/>
        </w:rPr>
        <w:t>Colegio de Educación Profesional Técnica del Estado de Quintana Roo</w:t>
      </w:r>
    </w:p>
    <w:p w14:paraId="4CA06FA1" w14:textId="2EE1E99F" w:rsidR="002E2925" w:rsidRPr="002E2925" w:rsidRDefault="002E2925" w:rsidP="002E2925">
      <w:pPr>
        <w:ind w:right="618"/>
        <w:rPr>
          <w:color w:val="595959" w:themeColor="text1" w:themeTint="A6"/>
        </w:rPr>
      </w:pPr>
      <w:r>
        <w:rPr>
          <w:color w:val="595959" w:themeColor="text1" w:themeTint="A6"/>
        </w:rPr>
        <w:t xml:space="preserve">21 </w:t>
      </w:r>
      <w:r w:rsidRPr="002E2925">
        <w:rPr>
          <w:color w:val="595959" w:themeColor="text1" w:themeTint="A6"/>
        </w:rPr>
        <w:t>Colegio de Estudios Científicos y Tecnológicos de Quintana Roo</w:t>
      </w:r>
    </w:p>
    <w:p w14:paraId="41E75901" w14:textId="703780D3" w:rsidR="002E2925" w:rsidRPr="002E2925" w:rsidRDefault="002E2925" w:rsidP="002E2925">
      <w:pPr>
        <w:ind w:right="618"/>
        <w:rPr>
          <w:color w:val="595959" w:themeColor="text1" w:themeTint="A6"/>
        </w:rPr>
      </w:pPr>
      <w:r>
        <w:rPr>
          <w:color w:val="595959" w:themeColor="text1" w:themeTint="A6"/>
        </w:rPr>
        <w:t xml:space="preserve">22 </w:t>
      </w:r>
      <w:r w:rsidRPr="002E2925">
        <w:rPr>
          <w:color w:val="595959" w:themeColor="text1" w:themeTint="A6"/>
        </w:rPr>
        <w:t>Comisión de Agua Potable y Alcantarillado</w:t>
      </w:r>
    </w:p>
    <w:p w14:paraId="634E4311" w14:textId="7C644B98" w:rsidR="002E2925" w:rsidRPr="002E2925" w:rsidRDefault="002E2925" w:rsidP="002E2925">
      <w:pPr>
        <w:ind w:right="618"/>
        <w:rPr>
          <w:color w:val="595959" w:themeColor="text1" w:themeTint="A6"/>
        </w:rPr>
      </w:pPr>
      <w:r>
        <w:rPr>
          <w:color w:val="595959" w:themeColor="text1" w:themeTint="A6"/>
        </w:rPr>
        <w:t xml:space="preserve">23 </w:t>
      </w:r>
      <w:r w:rsidRPr="002E2925">
        <w:rPr>
          <w:color w:val="595959" w:themeColor="text1" w:themeTint="A6"/>
        </w:rPr>
        <w:t>Comisión para la Juventud y el Deporte de Quintana Roo</w:t>
      </w:r>
    </w:p>
    <w:p w14:paraId="4C6FDCDC" w14:textId="0A2A164C" w:rsidR="002E2925" w:rsidRPr="002E2925" w:rsidRDefault="002E2925" w:rsidP="002E2925">
      <w:pPr>
        <w:ind w:right="618"/>
        <w:rPr>
          <w:color w:val="595959" w:themeColor="text1" w:themeTint="A6"/>
        </w:rPr>
      </w:pPr>
      <w:r>
        <w:rPr>
          <w:color w:val="595959" w:themeColor="text1" w:themeTint="A6"/>
        </w:rPr>
        <w:t xml:space="preserve">24 </w:t>
      </w:r>
      <w:r w:rsidRPr="002E2925">
        <w:rPr>
          <w:color w:val="595959" w:themeColor="text1" w:themeTint="A6"/>
        </w:rPr>
        <w:t>Consejo Quintanarroense de Ciencia y Tecnología</w:t>
      </w:r>
    </w:p>
    <w:p w14:paraId="7A78BD29" w14:textId="5DFA6E83" w:rsidR="002E2925" w:rsidRPr="002E2925" w:rsidRDefault="002E2925" w:rsidP="002E2925">
      <w:pPr>
        <w:ind w:right="618"/>
        <w:rPr>
          <w:color w:val="595959" w:themeColor="text1" w:themeTint="A6"/>
        </w:rPr>
      </w:pPr>
      <w:r>
        <w:rPr>
          <w:color w:val="595959" w:themeColor="text1" w:themeTint="A6"/>
        </w:rPr>
        <w:t xml:space="preserve">25 </w:t>
      </w:r>
      <w:r w:rsidRPr="002E2925">
        <w:rPr>
          <w:color w:val="595959" w:themeColor="text1" w:themeTint="A6"/>
        </w:rPr>
        <w:t>Comisión Ejecutiva de Atención a Víctimas del Estado de Quintana Roo</w:t>
      </w:r>
    </w:p>
    <w:p w14:paraId="04FDB48D" w14:textId="5492FD45" w:rsidR="002E2925" w:rsidRPr="002E2925" w:rsidRDefault="002E2925" w:rsidP="002E2925">
      <w:pPr>
        <w:ind w:right="618"/>
        <w:rPr>
          <w:color w:val="595959" w:themeColor="text1" w:themeTint="A6"/>
        </w:rPr>
      </w:pPr>
      <w:r>
        <w:rPr>
          <w:color w:val="595959" w:themeColor="text1" w:themeTint="A6"/>
        </w:rPr>
        <w:t xml:space="preserve">26 </w:t>
      </w:r>
      <w:r w:rsidRPr="002E2925">
        <w:rPr>
          <w:color w:val="595959" w:themeColor="text1" w:themeTint="A6"/>
        </w:rPr>
        <w:t>Fundación de Parques y Museos de Cozumel Quintana Roo</w:t>
      </w:r>
    </w:p>
    <w:p w14:paraId="14043302" w14:textId="12669109" w:rsidR="002E2925" w:rsidRPr="002E2925" w:rsidRDefault="002E2925" w:rsidP="002E2925">
      <w:pPr>
        <w:ind w:right="618"/>
        <w:rPr>
          <w:color w:val="595959" w:themeColor="text1" w:themeTint="A6"/>
        </w:rPr>
      </w:pPr>
      <w:r>
        <w:rPr>
          <w:color w:val="595959" w:themeColor="text1" w:themeTint="A6"/>
        </w:rPr>
        <w:t xml:space="preserve">27 </w:t>
      </w:r>
      <w:r w:rsidRPr="002E2925">
        <w:rPr>
          <w:color w:val="595959" w:themeColor="text1" w:themeTint="A6"/>
        </w:rPr>
        <w:t>Instituto de Capacitación para el Trabajo del Estado de Quintana Roo</w:t>
      </w:r>
    </w:p>
    <w:p w14:paraId="00258688" w14:textId="5FD7439A" w:rsidR="002E2925" w:rsidRPr="002E2925" w:rsidRDefault="002E2925" w:rsidP="002E2925">
      <w:pPr>
        <w:ind w:right="618"/>
        <w:rPr>
          <w:color w:val="595959" w:themeColor="text1" w:themeTint="A6"/>
        </w:rPr>
      </w:pPr>
      <w:r>
        <w:rPr>
          <w:color w:val="595959" w:themeColor="text1" w:themeTint="A6"/>
        </w:rPr>
        <w:t xml:space="preserve">28 </w:t>
      </w:r>
      <w:r w:rsidRPr="002E2925">
        <w:rPr>
          <w:color w:val="595959" w:themeColor="text1" w:themeTint="A6"/>
        </w:rPr>
        <w:t>Instituto de Infraestructura Física Educativa del Estado de Quintana Roo</w:t>
      </w:r>
    </w:p>
    <w:p w14:paraId="3AA6C8BA" w14:textId="7593082E" w:rsidR="002E2925" w:rsidRPr="002E2925" w:rsidRDefault="002E2925" w:rsidP="002E2925">
      <w:pPr>
        <w:ind w:right="618"/>
        <w:rPr>
          <w:color w:val="595959" w:themeColor="text1" w:themeTint="A6"/>
        </w:rPr>
      </w:pPr>
      <w:r>
        <w:rPr>
          <w:color w:val="595959" w:themeColor="text1" w:themeTint="A6"/>
        </w:rPr>
        <w:t xml:space="preserve">29 </w:t>
      </w:r>
      <w:r w:rsidRPr="002E2925">
        <w:rPr>
          <w:color w:val="595959" w:themeColor="text1" w:themeTint="A6"/>
        </w:rPr>
        <w:t>Agencia de Proyectos Estratégicos del Estado de Quintana Roo</w:t>
      </w:r>
    </w:p>
    <w:p w14:paraId="2B6F5FB0" w14:textId="39F72634" w:rsidR="002E2925" w:rsidRPr="002E2925" w:rsidRDefault="002E2925" w:rsidP="002E2925">
      <w:pPr>
        <w:ind w:right="618"/>
        <w:rPr>
          <w:color w:val="595959" w:themeColor="text1" w:themeTint="A6"/>
        </w:rPr>
      </w:pPr>
      <w:r>
        <w:rPr>
          <w:color w:val="595959" w:themeColor="text1" w:themeTint="A6"/>
        </w:rPr>
        <w:t xml:space="preserve">30 </w:t>
      </w:r>
      <w:r w:rsidRPr="002E2925">
        <w:rPr>
          <w:color w:val="595959" w:themeColor="text1" w:themeTint="A6"/>
        </w:rPr>
        <w:t>Instituto Estatal Para la Educación de Jóvenes y Adultos</w:t>
      </w:r>
    </w:p>
    <w:p w14:paraId="6AB6BC2D" w14:textId="53160465" w:rsidR="002E2925" w:rsidRPr="002E2925" w:rsidRDefault="002E2925" w:rsidP="002E2925">
      <w:pPr>
        <w:ind w:right="618"/>
        <w:rPr>
          <w:color w:val="595959" w:themeColor="text1" w:themeTint="A6"/>
        </w:rPr>
      </w:pPr>
      <w:r>
        <w:rPr>
          <w:color w:val="595959" w:themeColor="text1" w:themeTint="A6"/>
        </w:rPr>
        <w:t xml:space="preserve">31 </w:t>
      </w:r>
      <w:r w:rsidRPr="002E2925">
        <w:rPr>
          <w:color w:val="595959" w:themeColor="text1" w:themeTint="A6"/>
        </w:rPr>
        <w:t>Instituto para el Desarrollo y Financiamiento del Estado de Quintana Roo</w:t>
      </w:r>
    </w:p>
    <w:p w14:paraId="7F5DF0FF" w14:textId="14474AB6" w:rsidR="002E2925" w:rsidRPr="002E2925" w:rsidRDefault="002E2925" w:rsidP="002E2925">
      <w:pPr>
        <w:ind w:right="618"/>
        <w:rPr>
          <w:color w:val="595959" w:themeColor="text1" w:themeTint="A6"/>
        </w:rPr>
      </w:pPr>
      <w:r>
        <w:rPr>
          <w:color w:val="595959" w:themeColor="text1" w:themeTint="A6"/>
        </w:rPr>
        <w:t xml:space="preserve">32 </w:t>
      </w:r>
      <w:r w:rsidRPr="002E2925">
        <w:rPr>
          <w:color w:val="595959" w:themeColor="text1" w:themeTint="A6"/>
        </w:rPr>
        <w:t>Instituto Quintanarroense de la Mujer</w:t>
      </w:r>
    </w:p>
    <w:p w14:paraId="51F360FE" w14:textId="2D1A324B" w:rsidR="002E2925" w:rsidRPr="002E2925" w:rsidRDefault="002E2925" w:rsidP="002E2925">
      <w:pPr>
        <w:ind w:right="618"/>
        <w:rPr>
          <w:color w:val="595959" w:themeColor="text1" w:themeTint="A6"/>
        </w:rPr>
      </w:pPr>
      <w:r>
        <w:rPr>
          <w:color w:val="595959" w:themeColor="text1" w:themeTint="A6"/>
        </w:rPr>
        <w:t xml:space="preserve">33 </w:t>
      </w:r>
      <w:r w:rsidRPr="002E2925">
        <w:rPr>
          <w:color w:val="595959" w:themeColor="text1" w:themeTint="A6"/>
        </w:rPr>
        <w:t>Instituto Tecnológico Superior de Felipe Carrillo Puerto</w:t>
      </w:r>
    </w:p>
    <w:p w14:paraId="00DCE1F2" w14:textId="14FD976F" w:rsidR="002E2925" w:rsidRPr="002E2925" w:rsidRDefault="002E2925" w:rsidP="002E2925">
      <w:pPr>
        <w:ind w:right="618"/>
        <w:rPr>
          <w:color w:val="595959" w:themeColor="text1" w:themeTint="A6"/>
        </w:rPr>
      </w:pPr>
      <w:r>
        <w:rPr>
          <w:color w:val="595959" w:themeColor="text1" w:themeTint="A6"/>
        </w:rPr>
        <w:t xml:space="preserve">34 </w:t>
      </w:r>
      <w:r w:rsidRPr="002E2925">
        <w:rPr>
          <w:color w:val="595959" w:themeColor="text1" w:themeTint="A6"/>
        </w:rPr>
        <w:t>Servicios Educativos de Quintana Roo</w:t>
      </w:r>
    </w:p>
    <w:p w14:paraId="34D4A315" w14:textId="2DC5861A" w:rsidR="002E2925" w:rsidRPr="002E2925" w:rsidRDefault="002E2925" w:rsidP="002E2925">
      <w:pPr>
        <w:ind w:right="618"/>
        <w:rPr>
          <w:color w:val="595959" w:themeColor="text1" w:themeTint="A6"/>
        </w:rPr>
      </w:pPr>
      <w:r>
        <w:rPr>
          <w:color w:val="595959" w:themeColor="text1" w:themeTint="A6"/>
        </w:rPr>
        <w:lastRenderedPageBreak/>
        <w:t xml:space="preserve">35 </w:t>
      </w:r>
      <w:r w:rsidRPr="002E2925">
        <w:rPr>
          <w:color w:val="595959" w:themeColor="text1" w:themeTint="A6"/>
        </w:rPr>
        <w:t>Servicios Estatales de Salud</w:t>
      </w:r>
    </w:p>
    <w:p w14:paraId="5C812FE0" w14:textId="26BCE709" w:rsidR="002E2925" w:rsidRPr="002E2925" w:rsidRDefault="002E2925" w:rsidP="002E2925">
      <w:pPr>
        <w:ind w:right="618"/>
        <w:rPr>
          <w:color w:val="595959" w:themeColor="text1" w:themeTint="A6"/>
        </w:rPr>
      </w:pPr>
      <w:r>
        <w:rPr>
          <w:color w:val="595959" w:themeColor="text1" w:themeTint="A6"/>
        </w:rPr>
        <w:t xml:space="preserve">36 </w:t>
      </w:r>
      <w:r w:rsidRPr="002E2925">
        <w:rPr>
          <w:color w:val="595959" w:themeColor="text1" w:themeTint="A6"/>
        </w:rPr>
        <w:t>Sistema para el Desarrollo Integral de la Familia</w:t>
      </w:r>
    </w:p>
    <w:p w14:paraId="63168225" w14:textId="413B314A" w:rsidR="002E2925" w:rsidRPr="002E2925" w:rsidRDefault="002E2925" w:rsidP="002E2925">
      <w:pPr>
        <w:ind w:right="618"/>
        <w:rPr>
          <w:color w:val="595959" w:themeColor="text1" w:themeTint="A6"/>
        </w:rPr>
      </w:pPr>
      <w:r>
        <w:rPr>
          <w:color w:val="595959" w:themeColor="text1" w:themeTint="A6"/>
        </w:rPr>
        <w:t xml:space="preserve">37 </w:t>
      </w:r>
      <w:r w:rsidRPr="002E2925">
        <w:rPr>
          <w:color w:val="595959" w:themeColor="text1" w:themeTint="A6"/>
        </w:rPr>
        <w:t>Sistema Quintanarroense de Comunicación Social</w:t>
      </w:r>
    </w:p>
    <w:p w14:paraId="718BBED3" w14:textId="78B4244D" w:rsidR="002E2925" w:rsidRPr="002E2925" w:rsidRDefault="002E2925" w:rsidP="002E2925">
      <w:pPr>
        <w:ind w:right="618"/>
        <w:rPr>
          <w:color w:val="595959" w:themeColor="text1" w:themeTint="A6"/>
        </w:rPr>
      </w:pPr>
      <w:r>
        <w:rPr>
          <w:color w:val="595959" w:themeColor="text1" w:themeTint="A6"/>
        </w:rPr>
        <w:t xml:space="preserve">38 </w:t>
      </w:r>
      <w:r w:rsidRPr="002E2925">
        <w:rPr>
          <w:color w:val="595959" w:themeColor="text1" w:themeTint="A6"/>
        </w:rPr>
        <w:t>Universidad de Quintana Roo</w:t>
      </w:r>
    </w:p>
    <w:p w14:paraId="19248862" w14:textId="355EAE9D" w:rsidR="002E2925" w:rsidRPr="002E2925" w:rsidRDefault="002E2925" w:rsidP="002E2925">
      <w:pPr>
        <w:ind w:right="618"/>
        <w:rPr>
          <w:color w:val="595959" w:themeColor="text1" w:themeTint="A6"/>
        </w:rPr>
      </w:pPr>
      <w:r>
        <w:rPr>
          <w:color w:val="595959" w:themeColor="text1" w:themeTint="A6"/>
        </w:rPr>
        <w:t xml:space="preserve">39 </w:t>
      </w:r>
      <w:r w:rsidRPr="002E2925">
        <w:rPr>
          <w:color w:val="595959" w:themeColor="text1" w:themeTint="A6"/>
        </w:rPr>
        <w:t>Universidad del Caribe</w:t>
      </w:r>
    </w:p>
    <w:p w14:paraId="2990E873" w14:textId="7B7517EF" w:rsidR="002E2925" w:rsidRPr="002E2925" w:rsidRDefault="002E2925" w:rsidP="002E2925">
      <w:pPr>
        <w:ind w:right="618"/>
        <w:rPr>
          <w:color w:val="595959" w:themeColor="text1" w:themeTint="A6"/>
        </w:rPr>
      </w:pPr>
      <w:r>
        <w:rPr>
          <w:color w:val="595959" w:themeColor="text1" w:themeTint="A6"/>
        </w:rPr>
        <w:t xml:space="preserve">40 </w:t>
      </w:r>
      <w:r w:rsidRPr="002E2925">
        <w:rPr>
          <w:color w:val="595959" w:themeColor="text1" w:themeTint="A6"/>
        </w:rPr>
        <w:t>Universidad Intercultural Maya de Quintana Roo</w:t>
      </w:r>
    </w:p>
    <w:p w14:paraId="37325D3E" w14:textId="44BCBA16" w:rsidR="002E2925" w:rsidRPr="002E2925" w:rsidRDefault="002E2925" w:rsidP="002E2925">
      <w:pPr>
        <w:ind w:right="618"/>
        <w:rPr>
          <w:color w:val="595959" w:themeColor="text1" w:themeTint="A6"/>
        </w:rPr>
      </w:pPr>
      <w:r>
        <w:rPr>
          <w:color w:val="595959" w:themeColor="text1" w:themeTint="A6"/>
        </w:rPr>
        <w:t xml:space="preserve">41 </w:t>
      </w:r>
      <w:r w:rsidRPr="002E2925">
        <w:rPr>
          <w:color w:val="595959" w:themeColor="text1" w:themeTint="A6"/>
        </w:rPr>
        <w:t>Universidad Politécnica de Bacalar</w:t>
      </w:r>
    </w:p>
    <w:p w14:paraId="222FE8B8" w14:textId="6858DFF0" w:rsidR="002E2925" w:rsidRPr="002E2925" w:rsidRDefault="002E2925" w:rsidP="002E2925">
      <w:pPr>
        <w:ind w:right="618"/>
        <w:rPr>
          <w:color w:val="595959" w:themeColor="text1" w:themeTint="A6"/>
        </w:rPr>
      </w:pPr>
      <w:r>
        <w:rPr>
          <w:color w:val="595959" w:themeColor="text1" w:themeTint="A6"/>
        </w:rPr>
        <w:t xml:space="preserve">42 </w:t>
      </w:r>
      <w:r w:rsidRPr="002E2925">
        <w:rPr>
          <w:color w:val="595959" w:themeColor="text1" w:themeTint="A6"/>
        </w:rPr>
        <w:t>Universidad Politécnica de Quintana Roo</w:t>
      </w:r>
    </w:p>
    <w:p w14:paraId="22FFA27A" w14:textId="29561E65" w:rsidR="002E2925" w:rsidRPr="002E2925" w:rsidRDefault="002E2925" w:rsidP="002E2925">
      <w:pPr>
        <w:ind w:right="618"/>
        <w:rPr>
          <w:color w:val="595959" w:themeColor="text1" w:themeTint="A6"/>
        </w:rPr>
      </w:pPr>
      <w:r>
        <w:rPr>
          <w:color w:val="595959" w:themeColor="text1" w:themeTint="A6"/>
        </w:rPr>
        <w:t xml:space="preserve">43 </w:t>
      </w:r>
      <w:r w:rsidRPr="002E2925">
        <w:rPr>
          <w:color w:val="595959" w:themeColor="text1" w:themeTint="A6"/>
        </w:rPr>
        <w:t>Universidad Tecnológica de Cancún</w:t>
      </w:r>
    </w:p>
    <w:p w14:paraId="4408EEAC" w14:textId="020D9FE8" w:rsidR="002E2925" w:rsidRPr="002E2925" w:rsidRDefault="002E2925" w:rsidP="002E2925">
      <w:pPr>
        <w:ind w:right="618"/>
        <w:rPr>
          <w:color w:val="595959" w:themeColor="text1" w:themeTint="A6"/>
        </w:rPr>
      </w:pPr>
      <w:r>
        <w:rPr>
          <w:color w:val="595959" w:themeColor="text1" w:themeTint="A6"/>
        </w:rPr>
        <w:t xml:space="preserve">44 </w:t>
      </w:r>
      <w:r w:rsidRPr="002E2925">
        <w:rPr>
          <w:color w:val="595959" w:themeColor="text1" w:themeTint="A6"/>
        </w:rPr>
        <w:t>Universidad Tecnológica de Chetumal</w:t>
      </w:r>
    </w:p>
    <w:p w14:paraId="25B919D9" w14:textId="5454C892" w:rsidR="002E2925" w:rsidRPr="002E2925" w:rsidRDefault="002E2925" w:rsidP="002E2925">
      <w:pPr>
        <w:ind w:right="618"/>
        <w:rPr>
          <w:color w:val="595959" w:themeColor="text1" w:themeTint="A6"/>
        </w:rPr>
      </w:pPr>
      <w:r>
        <w:rPr>
          <w:color w:val="595959" w:themeColor="text1" w:themeTint="A6"/>
        </w:rPr>
        <w:t xml:space="preserve">45 </w:t>
      </w:r>
      <w:r w:rsidRPr="002E2925">
        <w:rPr>
          <w:color w:val="595959" w:themeColor="text1" w:themeTint="A6"/>
        </w:rPr>
        <w:t>Universidad Tecnológica de la Riviera Maya</w:t>
      </w:r>
    </w:p>
    <w:p w14:paraId="492159BF" w14:textId="26674EFB" w:rsidR="002E2925" w:rsidRPr="002E2925" w:rsidRDefault="002E2925" w:rsidP="002E2925">
      <w:pPr>
        <w:ind w:right="618"/>
        <w:rPr>
          <w:color w:val="595959" w:themeColor="text1" w:themeTint="A6"/>
        </w:rPr>
      </w:pPr>
      <w:r>
        <w:rPr>
          <w:color w:val="595959" w:themeColor="text1" w:themeTint="A6"/>
        </w:rPr>
        <w:t xml:space="preserve">46 </w:t>
      </w:r>
      <w:r w:rsidRPr="002E2925">
        <w:rPr>
          <w:color w:val="595959" w:themeColor="text1" w:themeTint="A6"/>
        </w:rPr>
        <w:t>Instituto Quintanarroense de la Juventud</w:t>
      </w:r>
    </w:p>
    <w:p w14:paraId="11A73CC1" w14:textId="2CB7185C" w:rsidR="002E2925" w:rsidRPr="002E2925" w:rsidRDefault="002E2925" w:rsidP="002E2925">
      <w:pPr>
        <w:ind w:right="618"/>
        <w:rPr>
          <w:color w:val="595959" w:themeColor="text1" w:themeTint="A6"/>
        </w:rPr>
      </w:pPr>
      <w:r>
        <w:rPr>
          <w:color w:val="595959" w:themeColor="text1" w:themeTint="A6"/>
        </w:rPr>
        <w:t xml:space="preserve">47 </w:t>
      </w:r>
      <w:r w:rsidRPr="002E2925">
        <w:rPr>
          <w:color w:val="595959" w:themeColor="text1" w:themeTint="A6"/>
        </w:rPr>
        <w:t>Instituto de la Cult</w:t>
      </w:r>
      <w:r>
        <w:rPr>
          <w:color w:val="595959" w:themeColor="text1" w:themeTint="A6"/>
        </w:rPr>
        <w:t>ura y las Artes de Quintana Roo</w:t>
      </w:r>
    </w:p>
    <w:p w14:paraId="57D277CD" w14:textId="072E43F6" w:rsidR="002E2925" w:rsidRPr="002E2925" w:rsidRDefault="002E2925" w:rsidP="002E2925">
      <w:pPr>
        <w:ind w:right="618"/>
        <w:rPr>
          <w:color w:val="595959" w:themeColor="text1" w:themeTint="A6"/>
        </w:rPr>
      </w:pPr>
      <w:r>
        <w:rPr>
          <w:color w:val="595959" w:themeColor="text1" w:themeTint="A6"/>
        </w:rPr>
        <w:t xml:space="preserve">48 </w:t>
      </w:r>
      <w:r w:rsidRPr="002E2925">
        <w:rPr>
          <w:color w:val="595959" w:themeColor="text1" w:themeTint="A6"/>
        </w:rPr>
        <w:t>Instituto para el Desarrollo del Pueblo Maya y las Comunidades Indígenas del Estado de Q. Roo.</w:t>
      </w:r>
    </w:p>
    <w:p w14:paraId="404ADC73" w14:textId="210D077C" w:rsidR="002E2925" w:rsidRPr="002E2925" w:rsidRDefault="002E2925" w:rsidP="002E2925">
      <w:pPr>
        <w:ind w:right="618"/>
        <w:rPr>
          <w:color w:val="595959" w:themeColor="text1" w:themeTint="A6"/>
        </w:rPr>
      </w:pPr>
      <w:r>
        <w:rPr>
          <w:color w:val="595959" w:themeColor="text1" w:themeTint="A6"/>
        </w:rPr>
        <w:t xml:space="preserve">49 </w:t>
      </w:r>
      <w:r w:rsidRPr="002E2925">
        <w:rPr>
          <w:color w:val="595959" w:themeColor="text1" w:themeTint="A6"/>
        </w:rPr>
        <w:t>Consejo de Promoción Turística de Quintana Roo</w:t>
      </w:r>
    </w:p>
    <w:p w14:paraId="12F7ED9D" w14:textId="685F21A3" w:rsidR="002E2925" w:rsidRPr="002E2925" w:rsidRDefault="002E2925" w:rsidP="002E2925">
      <w:pPr>
        <w:ind w:right="618"/>
        <w:rPr>
          <w:color w:val="595959" w:themeColor="text1" w:themeTint="A6"/>
        </w:rPr>
      </w:pPr>
      <w:r>
        <w:rPr>
          <w:color w:val="595959" w:themeColor="text1" w:themeTint="A6"/>
        </w:rPr>
        <w:t xml:space="preserve">50 </w:t>
      </w:r>
      <w:r w:rsidRPr="002E2925">
        <w:rPr>
          <w:color w:val="595959" w:themeColor="text1" w:themeTint="A6"/>
        </w:rPr>
        <w:t>Instituto de Movilidad del Estado de Quintana Roo</w:t>
      </w:r>
    </w:p>
    <w:p w14:paraId="4C635E9A" w14:textId="5119F1C0" w:rsidR="002E2925" w:rsidRPr="002E2925" w:rsidRDefault="002E2925" w:rsidP="002E2925">
      <w:pPr>
        <w:ind w:right="618"/>
        <w:rPr>
          <w:color w:val="595959" w:themeColor="text1" w:themeTint="A6"/>
        </w:rPr>
      </w:pPr>
      <w:r>
        <w:rPr>
          <w:color w:val="595959" w:themeColor="text1" w:themeTint="A6"/>
        </w:rPr>
        <w:t xml:space="preserve">51 </w:t>
      </w:r>
      <w:r w:rsidRPr="002E2925">
        <w:rPr>
          <w:color w:val="595959" w:themeColor="text1" w:themeTint="A6"/>
        </w:rPr>
        <w:t>Secretaría Ejecutiva del Sistema Anticorrupción del Estado de Quintana Roo</w:t>
      </w:r>
    </w:p>
    <w:p w14:paraId="42EB0D8C" w14:textId="69AA4383" w:rsidR="002E2925" w:rsidRPr="002E2925" w:rsidRDefault="002E2925" w:rsidP="002E2925">
      <w:pPr>
        <w:ind w:right="618"/>
        <w:rPr>
          <w:color w:val="595959" w:themeColor="text1" w:themeTint="A6"/>
        </w:rPr>
      </w:pPr>
      <w:r>
        <w:rPr>
          <w:color w:val="595959" w:themeColor="text1" w:themeTint="A6"/>
        </w:rPr>
        <w:t xml:space="preserve">52 </w:t>
      </w:r>
      <w:r w:rsidRPr="002E2925">
        <w:rPr>
          <w:color w:val="595959" w:themeColor="text1" w:themeTint="A6"/>
        </w:rPr>
        <w:t>Sistema Dif Solidaridad</w:t>
      </w:r>
    </w:p>
    <w:p w14:paraId="42E1B442" w14:textId="77777777" w:rsidR="002E2925" w:rsidRPr="000E0A5A" w:rsidRDefault="002E2925" w:rsidP="002E2925">
      <w:pPr>
        <w:ind w:right="618"/>
        <w:rPr>
          <w:b/>
          <w:color w:val="595959" w:themeColor="text1" w:themeTint="A6"/>
        </w:rPr>
      </w:pPr>
      <w:r w:rsidRPr="000E0A5A">
        <w:rPr>
          <w:b/>
          <w:color w:val="595959" w:themeColor="text1" w:themeTint="A6"/>
        </w:rPr>
        <w:t>Empresas de participación estatal mayoritaria</w:t>
      </w:r>
    </w:p>
    <w:p w14:paraId="67CD276F" w14:textId="722E96A7" w:rsidR="002E2925" w:rsidRPr="002E2925" w:rsidRDefault="002E2925" w:rsidP="002E2925">
      <w:pPr>
        <w:ind w:right="618"/>
        <w:rPr>
          <w:color w:val="595959" w:themeColor="text1" w:themeTint="A6"/>
        </w:rPr>
      </w:pPr>
      <w:r>
        <w:rPr>
          <w:color w:val="595959" w:themeColor="text1" w:themeTint="A6"/>
        </w:rPr>
        <w:t xml:space="preserve">53 </w:t>
      </w:r>
      <w:r w:rsidRPr="002E2925">
        <w:rPr>
          <w:color w:val="595959" w:themeColor="text1" w:themeTint="A6"/>
        </w:rPr>
        <w:t>Administración Portuaria Integral de Quintana Roo S.A de C.V.</w:t>
      </w:r>
    </w:p>
    <w:p w14:paraId="446EB6E6" w14:textId="0FE12B75" w:rsidR="002E2925" w:rsidRPr="002E2925" w:rsidRDefault="002E2925" w:rsidP="002E2925">
      <w:pPr>
        <w:ind w:right="618"/>
        <w:rPr>
          <w:color w:val="595959" w:themeColor="text1" w:themeTint="A6"/>
        </w:rPr>
      </w:pPr>
      <w:r>
        <w:rPr>
          <w:color w:val="595959" w:themeColor="text1" w:themeTint="A6"/>
        </w:rPr>
        <w:lastRenderedPageBreak/>
        <w:t xml:space="preserve">54 </w:t>
      </w:r>
      <w:r w:rsidRPr="002E2925">
        <w:rPr>
          <w:color w:val="595959" w:themeColor="text1" w:themeTint="A6"/>
        </w:rPr>
        <w:t>VIP Servicios Aéreos Ejecutivos S.A. de C.V.</w:t>
      </w:r>
    </w:p>
    <w:p w14:paraId="4238ABE4" w14:textId="77777777" w:rsidR="002E2925" w:rsidRPr="000E0A5A" w:rsidRDefault="002E2925" w:rsidP="002E2925">
      <w:pPr>
        <w:ind w:right="618"/>
        <w:rPr>
          <w:b/>
          <w:color w:val="595959" w:themeColor="text1" w:themeTint="A6"/>
        </w:rPr>
      </w:pPr>
      <w:r w:rsidRPr="000E0A5A">
        <w:rPr>
          <w:b/>
          <w:color w:val="595959" w:themeColor="text1" w:themeTint="A6"/>
        </w:rPr>
        <w:t>Fideicomisos y Fondos Públicos</w:t>
      </w:r>
    </w:p>
    <w:p w14:paraId="26FE713E" w14:textId="6F463D9E" w:rsidR="002E2925" w:rsidRPr="002E2925" w:rsidRDefault="002E2925" w:rsidP="002E2925">
      <w:pPr>
        <w:ind w:right="618"/>
        <w:rPr>
          <w:color w:val="595959" w:themeColor="text1" w:themeTint="A6"/>
        </w:rPr>
      </w:pPr>
      <w:r>
        <w:rPr>
          <w:color w:val="595959" w:themeColor="text1" w:themeTint="A6"/>
        </w:rPr>
        <w:t xml:space="preserve">55 </w:t>
      </w:r>
      <w:r w:rsidRPr="002E2925">
        <w:rPr>
          <w:color w:val="595959" w:themeColor="text1" w:themeTint="A6"/>
        </w:rPr>
        <w:t>Fideicomiso Programa de Becas Nacionales para la Educación Superior en Quintana Roo (SEQ)</w:t>
      </w:r>
    </w:p>
    <w:p w14:paraId="047BD763" w14:textId="3F40C57F" w:rsidR="002E2925" w:rsidRPr="002E2925" w:rsidRDefault="002E2925" w:rsidP="002E2925">
      <w:pPr>
        <w:ind w:right="618"/>
        <w:rPr>
          <w:color w:val="595959" w:themeColor="text1" w:themeTint="A6"/>
        </w:rPr>
      </w:pPr>
      <w:r>
        <w:rPr>
          <w:color w:val="595959" w:themeColor="text1" w:themeTint="A6"/>
        </w:rPr>
        <w:t xml:space="preserve">56 </w:t>
      </w:r>
      <w:r w:rsidRPr="002E2925">
        <w:rPr>
          <w:color w:val="595959" w:themeColor="text1" w:themeTint="A6"/>
        </w:rPr>
        <w:t>Fideicomiso Programa de Tecnología y de Información para el Mag</w:t>
      </w:r>
      <w:r>
        <w:rPr>
          <w:color w:val="595959" w:themeColor="text1" w:themeTint="A6"/>
        </w:rPr>
        <w:t xml:space="preserve">isterio de Educación Básica del </w:t>
      </w:r>
      <w:r w:rsidRPr="002E2925">
        <w:rPr>
          <w:color w:val="595959" w:themeColor="text1" w:themeTint="A6"/>
        </w:rPr>
        <w:t>Estado de Quintana Roo (SEQ)</w:t>
      </w:r>
    </w:p>
    <w:p w14:paraId="7BD046DA" w14:textId="77777777" w:rsidR="002E2925" w:rsidRDefault="002E2925" w:rsidP="002E2925">
      <w:pPr>
        <w:ind w:right="618"/>
        <w:rPr>
          <w:color w:val="595959" w:themeColor="text1" w:themeTint="A6"/>
        </w:rPr>
      </w:pPr>
      <w:r>
        <w:rPr>
          <w:color w:val="595959" w:themeColor="text1" w:themeTint="A6"/>
        </w:rPr>
        <w:t xml:space="preserve">57 </w:t>
      </w:r>
      <w:r w:rsidRPr="002E2925">
        <w:rPr>
          <w:color w:val="595959" w:themeColor="text1" w:themeTint="A6"/>
        </w:rPr>
        <w:t xml:space="preserve">Contrato de Fideicomiso Irrevocable de Administración </w:t>
      </w:r>
      <w:r>
        <w:rPr>
          <w:color w:val="595959" w:themeColor="text1" w:themeTint="A6"/>
        </w:rPr>
        <w:t>y Fuente de Pago F/10906 (CAPA)</w:t>
      </w:r>
    </w:p>
    <w:p w14:paraId="128B8E0D" w14:textId="039D38BC" w:rsidR="002E2925" w:rsidRPr="002E2925" w:rsidRDefault="002E2925" w:rsidP="002E2925">
      <w:pPr>
        <w:ind w:right="618"/>
        <w:rPr>
          <w:color w:val="595959" w:themeColor="text1" w:themeTint="A6"/>
        </w:rPr>
      </w:pPr>
      <w:r>
        <w:rPr>
          <w:color w:val="595959" w:themeColor="text1" w:themeTint="A6"/>
        </w:rPr>
        <w:t xml:space="preserve">58 </w:t>
      </w:r>
      <w:r w:rsidRPr="002E2925">
        <w:rPr>
          <w:color w:val="595959" w:themeColor="text1" w:themeTint="A6"/>
        </w:rPr>
        <w:t>Fondo de Apoyo al Programa Especial de Financiamiento a la Viviend</w:t>
      </w:r>
      <w:r>
        <w:rPr>
          <w:color w:val="595959" w:themeColor="text1" w:themeTint="A6"/>
        </w:rPr>
        <w:t xml:space="preserve">a para el Magisterio del Estado </w:t>
      </w:r>
      <w:r w:rsidRPr="002E2925">
        <w:rPr>
          <w:color w:val="595959" w:themeColor="text1" w:themeTint="A6"/>
        </w:rPr>
        <w:t>de Quintana Roo (SEQ)</w:t>
      </w:r>
    </w:p>
    <w:p w14:paraId="0ED53A8E" w14:textId="3B84917D" w:rsidR="002E2925" w:rsidRPr="002E2925" w:rsidRDefault="002E2925" w:rsidP="002E2925">
      <w:pPr>
        <w:ind w:right="618"/>
        <w:rPr>
          <w:color w:val="595959" w:themeColor="text1" w:themeTint="A6"/>
        </w:rPr>
      </w:pPr>
      <w:r>
        <w:rPr>
          <w:color w:val="595959" w:themeColor="text1" w:themeTint="A6"/>
        </w:rPr>
        <w:t xml:space="preserve">59 </w:t>
      </w:r>
      <w:r w:rsidRPr="002E2925">
        <w:rPr>
          <w:color w:val="595959" w:themeColor="text1" w:themeTint="A6"/>
        </w:rPr>
        <w:t>Fondo de Fomento Agropecuario del Estado de Quintana Roo (SEDARPE)</w:t>
      </w:r>
    </w:p>
    <w:p w14:paraId="2534050C" w14:textId="22EF5F51" w:rsidR="002E2925" w:rsidRPr="002E2925" w:rsidRDefault="002E2925" w:rsidP="002E2925">
      <w:pPr>
        <w:ind w:right="618"/>
        <w:rPr>
          <w:color w:val="595959" w:themeColor="text1" w:themeTint="A6"/>
        </w:rPr>
      </w:pPr>
      <w:r>
        <w:rPr>
          <w:color w:val="595959" w:themeColor="text1" w:themeTint="A6"/>
        </w:rPr>
        <w:t xml:space="preserve">60 </w:t>
      </w:r>
      <w:r w:rsidRPr="002E2925">
        <w:rPr>
          <w:color w:val="595959" w:themeColor="text1" w:themeTint="A6"/>
        </w:rPr>
        <w:t>Fondo de Fomento para el Desarrollo Rural del Estado de Quintana Roo (SEDARPE)</w:t>
      </w:r>
    </w:p>
    <w:p w14:paraId="70D95C22" w14:textId="3D5DA8D1" w:rsidR="002E2925" w:rsidRPr="002E2925" w:rsidRDefault="002E2925" w:rsidP="002E2925">
      <w:pPr>
        <w:ind w:right="618"/>
        <w:rPr>
          <w:color w:val="595959" w:themeColor="text1" w:themeTint="A6"/>
        </w:rPr>
      </w:pPr>
      <w:r>
        <w:rPr>
          <w:color w:val="595959" w:themeColor="text1" w:themeTint="A6"/>
        </w:rPr>
        <w:t xml:space="preserve">61 </w:t>
      </w:r>
      <w:r w:rsidRPr="002E2925">
        <w:rPr>
          <w:color w:val="595959" w:themeColor="text1" w:themeTint="A6"/>
        </w:rPr>
        <w:t>Fondo de Garantía Liquida o Fuente Alterna de Pago del E</w:t>
      </w:r>
      <w:r w:rsidR="007E5218">
        <w:rPr>
          <w:color w:val="595959" w:themeColor="text1" w:themeTint="A6"/>
        </w:rPr>
        <w:t>stado de Quintana Roo (SEDARPE)</w:t>
      </w:r>
    </w:p>
    <w:p w14:paraId="5DB07737" w14:textId="77777777" w:rsidR="002E2925" w:rsidRPr="000E0A5A" w:rsidRDefault="002E2925" w:rsidP="002E2925">
      <w:pPr>
        <w:ind w:right="618"/>
        <w:rPr>
          <w:b/>
          <w:color w:val="595959" w:themeColor="text1" w:themeTint="A6"/>
        </w:rPr>
      </w:pPr>
      <w:r w:rsidRPr="000E0A5A">
        <w:rPr>
          <w:b/>
          <w:color w:val="595959" w:themeColor="text1" w:themeTint="A6"/>
        </w:rPr>
        <w:t>Órganos Administrativos Desconcentrados</w:t>
      </w:r>
    </w:p>
    <w:p w14:paraId="3648B5B3" w14:textId="451D4F05" w:rsidR="002E2925" w:rsidRPr="002E2925" w:rsidRDefault="002E2925" w:rsidP="002E2925">
      <w:pPr>
        <w:ind w:right="618"/>
        <w:rPr>
          <w:color w:val="595959" w:themeColor="text1" w:themeTint="A6"/>
        </w:rPr>
      </w:pPr>
      <w:r>
        <w:rPr>
          <w:color w:val="595959" w:themeColor="text1" w:themeTint="A6"/>
        </w:rPr>
        <w:t xml:space="preserve">62 </w:t>
      </w:r>
      <w:r w:rsidRPr="002E2925">
        <w:rPr>
          <w:color w:val="595959" w:themeColor="text1" w:themeTint="A6"/>
        </w:rPr>
        <w:t>Administración del Patrimonio de la Beneficencia Públ</w:t>
      </w:r>
      <w:r>
        <w:rPr>
          <w:color w:val="595959" w:themeColor="text1" w:themeTint="A6"/>
        </w:rPr>
        <w:t>ica del Estado de Quintana Roo</w:t>
      </w:r>
      <w:r>
        <w:rPr>
          <w:color w:val="595959" w:themeColor="text1" w:themeTint="A6"/>
        </w:rPr>
        <w:cr/>
        <w:t xml:space="preserve">63 </w:t>
      </w:r>
      <w:r w:rsidRPr="002E2925">
        <w:rPr>
          <w:color w:val="595959" w:themeColor="text1" w:themeTint="A6"/>
        </w:rPr>
        <w:t>Coordinación General de Comunicación del Gobierno del Estado de Quintana Roo</w:t>
      </w:r>
    </w:p>
    <w:p w14:paraId="1E6F682D" w14:textId="4A0912E3" w:rsidR="002E2925" w:rsidRPr="002E2925" w:rsidRDefault="002E2925" w:rsidP="002E2925">
      <w:pPr>
        <w:ind w:right="618"/>
        <w:rPr>
          <w:color w:val="595959" w:themeColor="text1" w:themeTint="A6"/>
        </w:rPr>
      </w:pPr>
      <w:r>
        <w:rPr>
          <w:color w:val="595959" w:themeColor="text1" w:themeTint="A6"/>
        </w:rPr>
        <w:t xml:space="preserve">64 </w:t>
      </w:r>
      <w:r w:rsidRPr="002E2925">
        <w:rPr>
          <w:color w:val="595959" w:themeColor="text1" w:themeTint="A6"/>
        </w:rPr>
        <w:t>Junta de Asistencia Social Privada de Quintana Roo</w:t>
      </w:r>
    </w:p>
    <w:p w14:paraId="32FC3926" w14:textId="31EC64F7" w:rsidR="002E2925" w:rsidRPr="002E2925" w:rsidRDefault="002E2925" w:rsidP="002E2925">
      <w:pPr>
        <w:ind w:right="618"/>
        <w:rPr>
          <w:color w:val="595959" w:themeColor="text1" w:themeTint="A6"/>
        </w:rPr>
      </w:pPr>
      <w:r>
        <w:rPr>
          <w:color w:val="595959" w:themeColor="text1" w:themeTint="A6"/>
        </w:rPr>
        <w:t xml:space="preserve">65 </w:t>
      </w:r>
      <w:r w:rsidRPr="002E2925">
        <w:rPr>
          <w:color w:val="595959" w:themeColor="text1" w:themeTint="A6"/>
        </w:rPr>
        <w:t>Instituto Quintanarroense de Innovación y Tecnología</w:t>
      </w:r>
    </w:p>
    <w:p w14:paraId="1129467E" w14:textId="36546D08" w:rsidR="002E2925" w:rsidRPr="002E2925" w:rsidRDefault="002E2925" w:rsidP="002E2925">
      <w:pPr>
        <w:ind w:right="618"/>
        <w:rPr>
          <w:color w:val="595959" w:themeColor="text1" w:themeTint="A6"/>
        </w:rPr>
      </w:pPr>
      <w:r>
        <w:rPr>
          <w:color w:val="595959" w:themeColor="text1" w:themeTint="A6"/>
        </w:rPr>
        <w:t xml:space="preserve">66 </w:t>
      </w:r>
      <w:r w:rsidRPr="002E2925">
        <w:rPr>
          <w:color w:val="595959" w:themeColor="text1" w:themeTint="A6"/>
        </w:rPr>
        <w:t>Procuraduría de Protección al Ambiente</w:t>
      </w:r>
    </w:p>
    <w:p w14:paraId="77820186" w14:textId="551BFE91" w:rsidR="002E2925" w:rsidRPr="002E2925" w:rsidRDefault="002E2925" w:rsidP="002E2925">
      <w:pPr>
        <w:ind w:right="618"/>
        <w:rPr>
          <w:color w:val="595959" w:themeColor="text1" w:themeTint="A6"/>
        </w:rPr>
      </w:pPr>
      <w:r>
        <w:rPr>
          <w:color w:val="595959" w:themeColor="text1" w:themeTint="A6"/>
        </w:rPr>
        <w:t xml:space="preserve">67 </w:t>
      </w:r>
      <w:r w:rsidRPr="002E2925">
        <w:rPr>
          <w:color w:val="595959" w:themeColor="text1" w:themeTint="A6"/>
        </w:rPr>
        <w:t>Procuraduría Fiscal del Estado</w:t>
      </w:r>
    </w:p>
    <w:p w14:paraId="518162E5" w14:textId="18AA25CF" w:rsidR="002E2925" w:rsidRPr="002E2925" w:rsidRDefault="002E2925" w:rsidP="002E2925">
      <w:pPr>
        <w:ind w:right="618"/>
        <w:rPr>
          <w:color w:val="595959" w:themeColor="text1" w:themeTint="A6"/>
        </w:rPr>
      </w:pPr>
      <w:r>
        <w:rPr>
          <w:color w:val="595959" w:themeColor="text1" w:themeTint="A6"/>
        </w:rPr>
        <w:t xml:space="preserve">68 </w:t>
      </w:r>
      <w:r w:rsidRPr="002E2925">
        <w:rPr>
          <w:color w:val="595959" w:themeColor="text1" w:themeTint="A6"/>
        </w:rPr>
        <w:t>Servicio Estatal de Empleo y Capacitación para el Trabajo (SEECAT)</w:t>
      </w:r>
    </w:p>
    <w:p w14:paraId="6BBBD6B6" w14:textId="0E23B94E" w:rsidR="002E2925" w:rsidRPr="002E2925" w:rsidRDefault="002E2925" w:rsidP="002E2925">
      <w:pPr>
        <w:ind w:right="618"/>
        <w:rPr>
          <w:color w:val="595959" w:themeColor="text1" w:themeTint="A6"/>
        </w:rPr>
      </w:pPr>
      <w:r>
        <w:rPr>
          <w:color w:val="595959" w:themeColor="text1" w:themeTint="A6"/>
        </w:rPr>
        <w:t xml:space="preserve">69 </w:t>
      </w:r>
      <w:r w:rsidRPr="002E2925">
        <w:rPr>
          <w:color w:val="595959" w:themeColor="text1" w:themeTint="A6"/>
        </w:rPr>
        <w:t>Jurisdicción Sanitaria 1</w:t>
      </w:r>
    </w:p>
    <w:p w14:paraId="2028F70F" w14:textId="153DF400" w:rsidR="002E2925" w:rsidRPr="002E2925" w:rsidRDefault="002E2925" w:rsidP="002E2925">
      <w:pPr>
        <w:ind w:right="618"/>
        <w:rPr>
          <w:color w:val="595959" w:themeColor="text1" w:themeTint="A6"/>
        </w:rPr>
      </w:pPr>
      <w:r>
        <w:rPr>
          <w:color w:val="595959" w:themeColor="text1" w:themeTint="A6"/>
        </w:rPr>
        <w:lastRenderedPageBreak/>
        <w:t xml:space="preserve">70 </w:t>
      </w:r>
      <w:r w:rsidRPr="002E2925">
        <w:rPr>
          <w:color w:val="595959" w:themeColor="text1" w:themeTint="A6"/>
        </w:rPr>
        <w:t>Jurisdicción Sanitaria 2</w:t>
      </w:r>
    </w:p>
    <w:p w14:paraId="72BE0459" w14:textId="7731997F" w:rsidR="002E2925" w:rsidRPr="002E2925" w:rsidRDefault="002E2925" w:rsidP="002E2925">
      <w:pPr>
        <w:ind w:right="618"/>
        <w:rPr>
          <w:color w:val="595959" w:themeColor="text1" w:themeTint="A6"/>
        </w:rPr>
      </w:pPr>
      <w:r>
        <w:rPr>
          <w:color w:val="595959" w:themeColor="text1" w:themeTint="A6"/>
        </w:rPr>
        <w:t xml:space="preserve">71 </w:t>
      </w:r>
      <w:r w:rsidRPr="002E2925">
        <w:rPr>
          <w:color w:val="595959" w:themeColor="text1" w:themeTint="A6"/>
        </w:rPr>
        <w:t>Jurisdicción Sanitaria 3</w:t>
      </w:r>
    </w:p>
    <w:p w14:paraId="7EB9C117" w14:textId="7C37DC40" w:rsidR="002E2925" w:rsidRPr="002E2925" w:rsidRDefault="002E2925" w:rsidP="002E2925">
      <w:pPr>
        <w:ind w:right="618"/>
        <w:rPr>
          <w:color w:val="595959" w:themeColor="text1" w:themeTint="A6"/>
        </w:rPr>
      </w:pPr>
      <w:r>
        <w:rPr>
          <w:color w:val="595959" w:themeColor="text1" w:themeTint="A6"/>
        </w:rPr>
        <w:t xml:space="preserve">72 </w:t>
      </w:r>
      <w:r w:rsidRPr="002E2925">
        <w:rPr>
          <w:color w:val="595959" w:themeColor="text1" w:themeTint="A6"/>
        </w:rPr>
        <w:t>Instituto de Biodiversidad y Áreas Naturales Protegidas del Estado de Q. Roo</w:t>
      </w:r>
    </w:p>
    <w:p w14:paraId="37318BD0" w14:textId="3575115B" w:rsidR="002E2925" w:rsidRPr="002E2925" w:rsidRDefault="002E2925" w:rsidP="002E2925">
      <w:pPr>
        <w:ind w:right="618"/>
        <w:rPr>
          <w:color w:val="595959" w:themeColor="text1" w:themeTint="A6"/>
        </w:rPr>
      </w:pPr>
      <w:r>
        <w:rPr>
          <w:color w:val="595959" w:themeColor="text1" w:themeTint="A6"/>
        </w:rPr>
        <w:t xml:space="preserve">73 </w:t>
      </w:r>
      <w:r w:rsidRPr="002E2925">
        <w:rPr>
          <w:color w:val="595959" w:themeColor="text1" w:themeTint="A6"/>
        </w:rPr>
        <w:t>Instituto Geográfico y Catastral del Estado de Quintana Roo</w:t>
      </w:r>
    </w:p>
    <w:p w14:paraId="02CD792B" w14:textId="20339D98" w:rsidR="002E2925" w:rsidRPr="002E2925" w:rsidRDefault="002E2925" w:rsidP="002E2925">
      <w:pPr>
        <w:ind w:right="618"/>
        <w:rPr>
          <w:color w:val="595959" w:themeColor="text1" w:themeTint="A6"/>
        </w:rPr>
      </w:pPr>
      <w:r>
        <w:rPr>
          <w:color w:val="595959" w:themeColor="text1" w:themeTint="A6"/>
        </w:rPr>
        <w:t xml:space="preserve">74 </w:t>
      </w:r>
      <w:r w:rsidRPr="002E2925">
        <w:rPr>
          <w:color w:val="595959" w:themeColor="text1" w:themeTint="A6"/>
        </w:rPr>
        <w:t>Centro de Evaluación del Desempeño del Estado de Quintana Roo</w:t>
      </w:r>
    </w:p>
    <w:p w14:paraId="7ABEAE2E" w14:textId="77777777" w:rsidR="007E5218" w:rsidRDefault="007E5218" w:rsidP="002E2925">
      <w:pPr>
        <w:ind w:right="618"/>
        <w:rPr>
          <w:color w:val="595959" w:themeColor="text1" w:themeTint="A6"/>
        </w:rPr>
      </w:pPr>
      <w:r>
        <w:rPr>
          <w:color w:val="595959" w:themeColor="text1" w:themeTint="A6"/>
        </w:rPr>
        <w:t xml:space="preserve">75 </w:t>
      </w:r>
      <w:r w:rsidR="002E2925" w:rsidRPr="002E2925">
        <w:rPr>
          <w:color w:val="595959" w:themeColor="text1" w:themeTint="A6"/>
        </w:rPr>
        <w:t>Servicio de Administración Tributaria del Estado de Quintana Roo</w:t>
      </w:r>
    </w:p>
    <w:p w14:paraId="79CF6232" w14:textId="002D0BDB" w:rsidR="002E2925" w:rsidRPr="000E0A5A" w:rsidRDefault="002E2925" w:rsidP="002E2925">
      <w:pPr>
        <w:ind w:right="618"/>
        <w:rPr>
          <w:b/>
          <w:color w:val="595959" w:themeColor="text1" w:themeTint="A6"/>
        </w:rPr>
      </w:pPr>
      <w:r w:rsidRPr="000E0A5A">
        <w:rPr>
          <w:b/>
          <w:color w:val="595959" w:themeColor="text1" w:themeTint="A6"/>
        </w:rPr>
        <w:t>PODERES</w:t>
      </w:r>
    </w:p>
    <w:p w14:paraId="23F71ED0" w14:textId="57700C52" w:rsidR="002E2925" w:rsidRPr="002E2925" w:rsidRDefault="007E5218" w:rsidP="002E2925">
      <w:pPr>
        <w:ind w:right="618"/>
        <w:rPr>
          <w:color w:val="595959" w:themeColor="text1" w:themeTint="A6"/>
        </w:rPr>
      </w:pPr>
      <w:r>
        <w:rPr>
          <w:color w:val="595959" w:themeColor="text1" w:themeTint="A6"/>
        </w:rPr>
        <w:t xml:space="preserve">76 </w:t>
      </w:r>
      <w:r w:rsidR="002E2925" w:rsidRPr="002E2925">
        <w:rPr>
          <w:color w:val="595959" w:themeColor="text1" w:themeTint="A6"/>
        </w:rPr>
        <w:t>Poder Legislativo</w:t>
      </w:r>
    </w:p>
    <w:p w14:paraId="5A65D4C6" w14:textId="01B2DC26" w:rsidR="002E2925" w:rsidRPr="002E2925" w:rsidRDefault="007E5218" w:rsidP="002E2925">
      <w:pPr>
        <w:ind w:right="618"/>
        <w:rPr>
          <w:color w:val="595959" w:themeColor="text1" w:themeTint="A6"/>
        </w:rPr>
      </w:pPr>
      <w:r>
        <w:rPr>
          <w:color w:val="595959" w:themeColor="text1" w:themeTint="A6"/>
        </w:rPr>
        <w:t xml:space="preserve">77 </w:t>
      </w:r>
      <w:r w:rsidR="002E2925" w:rsidRPr="002E2925">
        <w:rPr>
          <w:color w:val="595959" w:themeColor="text1" w:themeTint="A6"/>
        </w:rPr>
        <w:t>Poder Judicial</w:t>
      </w:r>
    </w:p>
    <w:p w14:paraId="0FA08726" w14:textId="77777777" w:rsidR="002E2925" w:rsidRPr="000E0A5A" w:rsidRDefault="002E2925" w:rsidP="002E2925">
      <w:pPr>
        <w:ind w:right="618"/>
        <w:rPr>
          <w:b/>
          <w:color w:val="595959" w:themeColor="text1" w:themeTint="A6"/>
        </w:rPr>
      </w:pPr>
      <w:r w:rsidRPr="000E0A5A">
        <w:rPr>
          <w:b/>
          <w:color w:val="595959" w:themeColor="text1" w:themeTint="A6"/>
        </w:rPr>
        <w:t>Órganos Autónomos</w:t>
      </w:r>
    </w:p>
    <w:p w14:paraId="1C6D80C4" w14:textId="3068A24C" w:rsidR="002E2925" w:rsidRPr="002E2925" w:rsidRDefault="007E5218" w:rsidP="002E2925">
      <w:pPr>
        <w:ind w:right="618"/>
        <w:rPr>
          <w:color w:val="595959" w:themeColor="text1" w:themeTint="A6"/>
        </w:rPr>
      </w:pPr>
      <w:r>
        <w:rPr>
          <w:color w:val="595959" w:themeColor="text1" w:themeTint="A6"/>
        </w:rPr>
        <w:t xml:space="preserve">78 </w:t>
      </w:r>
      <w:r w:rsidR="002E2925" w:rsidRPr="002E2925">
        <w:rPr>
          <w:color w:val="595959" w:themeColor="text1" w:themeTint="A6"/>
        </w:rPr>
        <w:t>Comisión de los Derechos Humanos del Estado de Quintana Roo</w:t>
      </w:r>
    </w:p>
    <w:p w14:paraId="2FF1AF61" w14:textId="2820B1F7" w:rsidR="002E2925" w:rsidRPr="002E2925" w:rsidRDefault="007E5218" w:rsidP="002E2925">
      <w:pPr>
        <w:ind w:right="618"/>
        <w:rPr>
          <w:color w:val="595959" w:themeColor="text1" w:themeTint="A6"/>
        </w:rPr>
      </w:pPr>
      <w:r>
        <w:rPr>
          <w:color w:val="595959" w:themeColor="text1" w:themeTint="A6"/>
        </w:rPr>
        <w:t xml:space="preserve">79 </w:t>
      </w:r>
      <w:r w:rsidR="002E2925" w:rsidRPr="002E2925">
        <w:rPr>
          <w:color w:val="595959" w:themeColor="text1" w:themeTint="A6"/>
        </w:rPr>
        <w:t>Instituto Electoral de Quintana Roo</w:t>
      </w:r>
    </w:p>
    <w:p w14:paraId="65E1DD59" w14:textId="135AF7C3" w:rsidR="002E2925" w:rsidRPr="002E2925" w:rsidRDefault="007E5218" w:rsidP="002E2925">
      <w:pPr>
        <w:ind w:right="618"/>
        <w:rPr>
          <w:color w:val="595959" w:themeColor="text1" w:themeTint="A6"/>
        </w:rPr>
      </w:pPr>
      <w:r>
        <w:rPr>
          <w:color w:val="595959" w:themeColor="text1" w:themeTint="A6"/>
        </w:rPr>
        <w:t xml:space="preserve">80 </w:t>
      </w:r>
      <w:r w:rsidR="002E2925" w:rsidRPr="002E2925">
        <w:rPr>
          <w:color w:val="595959" w:themeColor="text1" w:themeTint="A6"/>
        </w:rPr>
        <w:t>Tribunal Electoral del Quintana Roo</w:t>
      </w:r>
    </w:p>
    <w:p w14:paraId="24F5999E" w14:textId="2039C287" w:rsidR="002E2925" w:rsidRPr="002E2925" w:rsidRDefault="007E5218" w:rsidP="002E2925">
      <w:pPr>
        <w:ind w:right="618"/>
        <w:rPr>
          <w:color w:val="595959" w:themeColor="text1" w:themeTint="A6"/>
        </w:rPr>
      </w:pPr>
      <w:r>
        <w:rPr>
          <w:color w:val="595959" w:themeColor="text1" w:themeTint="A6"/>
        </w:rPr>
        <w:t xml:space="preserve">81 </w:t>
      </w:r>
      <w:r w:rsidR="002E2925" w:rsidRPr="002E2925">
        <w:rPr>
          <w:color w:val="595959" w:themeColor="text1" w:themeTint="A6"/>
        </w:rPr>
        <w:t>Fiscalía General del Estado</w:t>
      </w:r>
    </w:p>
    <w:p w14:paraId="7D1306A8" w14:textId="08B6B6BA" w:rsidR="002E2925" w:rsidRPr="002E2925" w:rsidRDefault="007E5218" w:rsidP="002E2925">
      <w:pPr>
        <w:ind w:right="618"/>
        <w:rPr>
          <w:color w:val="595959" w:themeColor="text1" w:themeTint="A6"/>
        </w:rPr>
      </w:pPr>
      <w:r>
        <w:rPr>
          <w:color w:val="595959" w:themeColor="text1" w:themeTint="A6"/>
        </w:rPr>
        <w:t xml:space="preserve">82 </w:t>
      </w:r>
      <w:r w:rsidR="002E2925" w:rsidRPr="002E2925">
        <w:rPr>
          <w:color w:val="595959" w:themeColor="text1" w:themeTint="A6"/>
        </w:rPr>
        <w:t>Instituto de Acceso a la Información y Protección de Datos Personales de Quintana Roo</w:t>
      </w:r>
    </w:p>
    <w:p w14:paraId="5DF34714" w14:textId="04C44749" w:rsidR="002E2925" w:rsidRPr="002E2925" w:rsidRDefault="007E5218" w:rsidP="002E2925">
      <w:pPr>
        <w:ind w:right="618"/>
        <w:rPr>
          <w:color w:val="595959" w:themeColor="text1" w:themeTint="A6"/>
        </w:rPr>
      </w:pPr>
      <w:r>
        <w:rPr>
          <w:color w:val="595959" w:themeColor="text1" w:themeTint="A6"/>
        </w:rPr>
        <w:t xml:space="preserve">83 </w:t>
      </w:r>
      <w:r w:rsidR="002E2925" w:rsidRPr="002E2925">
        <w:rPr>
          <w:color w:val="595959" w:themeColor="text1" w:themeTint="A6"/>
        </w:rPr>
        <w:t>Tribunal de Justicia Administrativa del Estado de Quintana Roo</w:t>
      </w:r>
    </w:p>
    <w:p w14:paraId="220EF623" w14:textId="77777777" w:rsidR="002E2925" w:rsidRPr="000E0A5A" w:rsidRDefault="002E2925" w:rsidP="002E2925">
      <w:pPr>
        <w:ind w:right="618"/>
        <w:rPr>
          <w:b/>
          <w:color w:val="595959" w:themeColor="text1" w:themeTint="A6"/>
        </w:rPr>
      </w:pPr>
      <w:r w:rsidRPr="000E0A5A">
        <w:rPr>
          <w:b/>
          <w:color w:val="595959" w:themeColor="text1" w:themeTint="A6"/>
        </w:rPr>
        <w:t>Órgano de Fiscalización Superior del Estado</w:t>
      </w:r>
    </w:p>
    <w:p w14:paraId="33057103" w14:textId="2A5755AE" w:rsidR="002E2925" w:rsidRPr="002E2925" w:rsidRDefault="000E0A5A" w:rsidP="002E2925">
      <w:pPr>
        <w:ind w:right="618"/>
        <w:rPr>
          <w:color w:val="595959" w:themeColor="text1" w:themeTint="A6"/>
        </w:rPr>
      </w:pPr>
      <w:r>
        <w:rPr>
          <w:color w:val="595959" w:themeColor="text1" w:themeTint="A6"/>
        </w:rPr>
        <w:t xml:space="preserve">84 </w:t>
      </w:r>
      <w:r w:rsidR="002E2925" w:rsidRPr="002E2925">
        <w:rPr>
          <w:color w:val="595959" w:themeColor="text1" w:themeTint="A6"/>
        </w:rPr>
        <w:t>Auditoría Superior del Estado de Quintana Roo</w:t>
      </w:r>
    </w:p>
    <w:p w14:paraId="473CDC75" w14:textId="77777777" w:rsidR="002E2925" w:rsidRPr="000E0A5A" w:rsidRDefault="002E2925" w:rsidP="002E2925">
      <w:pPr>
        <w:ind w:right="618"/>
        <w:rPr>
          <w:b/>
          <w:color w:val="595959" w:themeColor="text1" w:themeTint="A6"/>
        </w:rPr>
      </w:pPr>
      <w:r w:rsidRPr="000E0A5A">
        <w:rPr>
          <w:b/>
          <w:color w:val="595959" w:themeColor="text1" w:themeTint="A6"/>
        </w:rPr>
        <w:t>Municipios</w:t>
      </w:r>
    </w:p>
    <w:p w14:paraId="04E24D73" w14:textId="61AB264A" w:rsidR="002E2925" w:rsidRPr="002E2925" w:rsidRDefault="000E0A5A" w:rsidP="002E2925">
      <w:pPr>
        <w:ind w:right="618"/>
        <w:rPr>
          <w:color w:val="595959" w:themeColor="text1" w:themeTint="A6"/>
        </w:rPr>
      </w:pPr>
      <w:r>
        <w:rPr>
          <w:color w:val="595959" w:themeColor="text1" w:themeTint="A6"/>
        </w:rPr>
        <w:t xml:space="preserve">85 </w:t>
      </w:r>
      <w:r w:rsidR="002E2925" w:rsidRPr="002E2925">
        <w:rPr>
          <w:color w:val="595959" w:themeColor="text1" w:themeTint="A6"/>
        </w:rPr>
        <w:t>Othón P. Blanco</w:t>
      </w:r>
    </w:p>
    <w:p w14:paraId="78C1D930" w14:textId="69F156F0" w:rsidR="002E2925" w:rsidRPr="002E2925" w:rsidRDefault="000E0A5A" w:rsidP="002E2925">
      <w:pPr>
        <w:ind w:right="618"/>
        <w:rPr>
          <w:color w:val="595959" w:themeColor="text1" w:themeTint="A6"/>
        </w:rPr>
      </w:pPr>
      <w:r>
        <w:rPr>
          <w:color w:val="595959" w:themeColor="text1" w:themeTint="A6"/>
        </w:rPr>
        <w:lastRenderedPageBreak/>
        <w:t xml:space="preserve">86 </w:t>
      </w:r>
      <w:r w:rsidR="002E2925" w:rsidRPr="002E2925">
        <w:rPr>
          <w:color w:val="595959" w:themeColor="text1" w:themeTint="A6"/>
        </w:rPr>
        <w:t>Bacalar</w:t>
      </w:r>
    </w:p>
    <w:p w14:paraId="3FB61148" w14:textId="44C697CB" w:rsidR="002E2925" w:rsidRPr="002E2925" w:rsidRDefault="000E0A5A" w:rsidP="002E2925">
      <w:pPr>
        <w:ind w:right="618"/>
        <w:rPr>
          <w:color w:val="595959" w:themeColor="text1" w:themeTint="A6"/>
        </w:rPr>
      </w:pPr>
      <w:r>
        <w:rPr>
          <w:color w:val="595959" w:themeColor="text1" w:themeTint="A6"/>
        </w:rPr>
        <w:t xml:space="preserve">87 </w:t>
      </w:r>
      <w:r w:rsidR="002E2925" w:rsidRPr="002E2925">
        <w:rPr>
          <w:color w:val="595959" w:themeColor="text1" w:themeTint="A6"/>
        </w:rPr>
        <w:t>Felipe Carrillo Puerto</w:t>
      </w:r>
    </w:p>
    <w:p w14:paraId="46C1C0F6" w14:textId="2E3018C4" w:rsidR="002E2925" w:rsidRPr="002E2925" w:rsidRDefault="000E0A5A" w:rsidP="002E2925">
      <w:pPr>
        <w:ind w:right="618"/>
        <w:rPr>
          <w:color w:val="595959" w:themeColor="text1" w:themeTint="A6"/>
        </w:rPr>
      </w:pPr>
      <w:r>
        <w:rPr>
          <w:color w:val="595959" w:themeColor="text1" w:themeTint="A6"/>
        </w:rPr>
        <w:t xml:space="preserve">88 </w:t>
      </w:r>
      <w:r w:rsidR="002E2925" w:rsidRPr="002E2925">
        <w:rPr>
          <w:color w:val="595959" w:themeColor="text1" w:themeTint="A6"/>
        </w:rPr>
        <w:t>José María Morelos</w:t>
      </w:r>
    </w:p>
    <w:p w14:paraId="25B7ADDF" w14:textId="77777777" w:rsidR="000E0A5A" w:rsidRDefault="002E2925" w:rsidP="002E2925">
      <w:pPr>
        <w:ind w:right="618"/>
        <w:rPr>
          <w:color w:val="595959" w:themeColor="text1" w:themeTint="A6"/>
        </w:rPr>
      </w:pPr>
      <w:r w:rsidRPr="002E2925">
        <w:rPr>
          <w:color w:val="595959" w:themeColor="text1" w:themeTint="A6"/>
        </w:rPr>
        <w:t>8</w:t>
      </w:r>
      <w:r w:rsidR="000E0A5A">
        <w:rPr>
          <w:color w:val="595959" w:themeColor="text1" w:themeTint="A6"/>
        </w:rPr>
        <w:t xml:space="preserve">9 </w:t>
      </w:r>
      <w:r w:rsidRPr="002E2925">
        <w:rPr>
          <w:color w:val="595959" w:themeColor="text1" w:themeTint="A6"/>
        </w:rPr>
        <w:t>Tulum</w:t>
      </w:r>
    </w:p>
    <w:p w14:paraId="35B2637D" w14:textId="12960820" w:rsidR="002E2925" w:rsidRPr="002E2925" w:rsidRDefault="000E0A5A" w:rsidP="002E2925">
      <w:pPr>
        <w:ind w:right="618"/>
        <w:rPr>
          <w:color w:val="595959" w:themeColor="text1" w:themeTint="A6"/>
        </w:rPr>
      </w:pPr>
      <w:r>
        <w:rPr>
          <w:color w:val="595959" w:themeColor="text1" w:themeTint="A6"/>
        </w:rPr>
        <w:t xml:space="preserve">90 </w:t>
      </w:r>
      <w:r w:rsidR="002E2925" w:rsidRPr="002E2925">
        <w:rPr>
          <w:color w:val="595959" w:themeColor="text1" w:themeTint="A6"/>
        </w:rPr>
        <w:t>Solidaridad</w:t>
      </w:r>
    </w:p>
    <w:p w14:paraId="179F7D31" w14:textId="0A72762E" w:rsidR="002E2925" w:rsidRPr="002E2925" w:rsidRDefault="000E0A5A" w:rsidP="002E2925">
      <w:pPr>
        <w:ind w:right="618"/>
        <w:rPr>
          <w:color w:val="595959" w:themeColor="text1" w:themeTint="A6"/>
        </w:rPr>
      </w:pPr>
      <w:r>
        <w:rPr>
          <w:color w:val="595959" w:themeColor="text1" w:themeTint="A6"/>
        </w:rPr>
        <w:t xml:space="preserve">91 </w:t>
      </w:r>
      <w:r w:rsidR="002E2925" w:rsidRPr="002E2925">
        <w:rPr>
          <w:color w:val="595959" w:themeColor="text1" w:themeTint="A6"/>
        </w:rPr>
        <w:t>Cozumel</w:t>
      </w:r>
    </w:p>
    <w:p w14:paraId="5C927EEA" w14:textId="19151D3B" w:rsidR="002E2925" w:rsidRPr="002E2925" w:rsidRDefault="000E0A5A" w:rsidP="002E2925">
      <w:pPr>
        <w:ind w:right="618"/>
        <w:rPr>
          <w:color w:val="595959" w:themeColor="text1" w:themeTint="A6"/>
        </w:rPr>
      </w:pPr>
      <w:r>
        <w:rPr>
          <w:color w:val="595959" w:themeColor="text1" w:themeTint="A6"/>
        </w:rPr>
        <w:t xml:space="preserve">92 </w:t>
      </w:r>
      <w:r w:rsidR="002E2925" w:rsidRPr="002E2925">
        <w:rPr>
          <w:color w:val="595959" w:themeColor="text1" w:themeTint="A6"/>
        </w:rPr>
        <w:t>Benito Juárez</w:t>
      </w:r>
    </w:p>
    <w:p w14:paraId="7B1BC719" w14:textId="13E270A0" w:rsidR="002E2925" w:rsidRPr="002E2925" w:rsidRDefault="000E0A5A" w:rsidP="002E2925">
      <w:pPr>
        <w:ind w:right="618"/>
        <w:rPr>
          <w:color w:val="595959" w:themeColor="text1" w:themeTint="A6"/>
        </w:rPr>
      </w:pPr>
      <w:r>
        <w:rPr>
          <w:color w:val="595959" w:themeColor="text1" w:themeTint="A6"/>
        </w:rPr>
        <w:t xml:space="preserve">93 </w:t>
      </w:r>
      <w:r w:rsidR="002E2925" w:rsidRPr="002E2925">
        <w:rPr>
          <w:color w:val="595959" w:themeColor="text1" w:themeTint="A6"/>
        </w:rPr>
        <w:t>Isla Mujeres</w:t>
      </w:r>
    </w:p>
    <w:p w14:paraId="73B20017" w14:textId="41EC76A3" w:rsidR="002E2925" w:rsidRPr="002E2925" w:rsidRDefault="000E0A5A" w:rsidP="002E2925">
      <w:pPr>
        <w:ind w:right="618"/>
        <w:rPr>
          <w:color w:val="595959" w:themeColor="text1" w:themeTint="A6"/>
        </w:rPr>
      </w:pPr>
      <w:r>
        <w:rPr>
          <w:color w:val="595959" w:themeColor="text1" w:themeTint="A6"/>
        </w:rPr>
        <w:t xml:space="preserve">94 </w:t>
      </w:r>
      <w:r w:rsidR="002E2925" w:rsidRPr="002E2925">
        <w:rPr>
          <w:color w:val="595959" w:themeColor="text1" w:themeTint="A6"/>
        </w:rPr>
        <w:t>Lázaro Cárdenas</w:t>
      </w:r>
    </w:p>
    <w:p w14:paraId="0EBA75DC" w14:textId="5DE4F309" w:rsidR="002E2925" w:rsidRPr="002E2925" w:rsidRDefault="000E0A5A" w:rsidP="002E2925">
      <w:pPr>
        <w:ind w:right="618"/>
        <w:rPr>
          <w:color w:val="595959" w:themeColor="text1" w:themeTint="A6"/>
        </w:rPr>
      </w:pPr>
      <w:r>
        <w:rPr>
          <w:color w:val="595959" w:themeColor="text1" w:themeTint="A6"/>
        </w:rPr>
        <w:t xml:space="preserve">95 </w:t>
      </w:r>
      <w:r w:rsidR="002E2925" w:rsidRPr="002E2925">
        <w:rPr>
          <w:color w:val="595959" w:themeColor="text1" w:themeTint="A6"/>
        </w:rPr>
        <w:t>Puerto Morelos</w:t>
      </w:r>
    </w:p>
    <w:p w14:paraId="449A2536" w14:textId="334C868C" w:rsidR="002E2925" w:rsidRPr="000E0A5A" w:rsidRDefault="000E0A5A" w:rsidP="002E2925">
      <w:pPr>
        <w:ind w:right="618"/>
        <w:rPr>
          <w:b/>
          <w:color w:val="595959" w:themeColor="text1" w:themeTint="A6"/>
        </w:rPr>
      </w:pPr>
      <w:r w:rsidRPr="000E0A5A">
        <w:rPr>
          <w:b/>
          <w:color w:val="595959" w:themeColor="text1" w:themeTint="A6"/>
        </w:rPr>
        <w:t xml:space="preserve"> </w:t>
      </w:r>
      <w:r w:rsidR="002E2925" w:rsidRPr="000E0A5A">
        <w:rPr>
          <w:b/>
          <w:color w:val="595959" w:themeColor="text1" w:themeTint="A6"/>
        </w:rPr>
        <w:t>Partidos Políticos</w:t>
      </w:r>
    </w:p>
    <w:p w14:paraId="68926334" w14:textId="3B93C2B5" w:rsidR="002E2925" w:rsidRPr="002E2925" w:rsidRDefault="000E0A5A" w:rsidP="002E2925">
      <w:pPr>
        <w:ind w:right="618"/>
        <w:rPr>
          <w:color w:val="595959" w:themeColor="text1" w:themeTint="A6"/>
        </w:rPr>
      </w:pPr>
      <w:r>
        <w:rPr>
          <w:color w:val="595959" w:themeColor="text1" w:themeTint="A6"/>
        </w:rPr>
        <w:t xml:space="preserve">96 </w:t>
      </w:r>
      <w:r w:rsidR="002E2925" w:rsidRPr="002E2925">
        <w:rPr>
          <w:color w:val="595959" w:themeColor="text1" w:themeTint="A6"/>
        </w:rPr>
        <w:t>Partido Revolucionario Institucional</w:t>
      </w:r>
    </w:p>
    <w:p w14:paraId="52F4B2E2" w14:textId="04B0EAD0" w:rsidR="002E2925" w:rsidRPr="002E2925" w:rsidRDefault="000E0A5A" w:rsidP="002E2925">
      <w:pPr>
        <w:ind w:right="618"/>
        <w:rPr>
          <w:color w:val="595959" w:themeColor="text1" w:themeTint="A6"/>
        </w:rPr>
      </w:pPr>
      <w:r>
        <w:rPr>
          <w:color w:val="595959" w:themeColor="text1" w:themeTint="A6"/>
        </w:rPr>
        <w:t xml:space="preserve">97 </w:t>
      </w:r>
      <w:r w:rsidR="002E2925" w:rsidRPr="002E2925">
        <w:rPr>
          <w:color w:val="595959" w:themeColor="text1" w:themeTint="A6"/>
        </w:rPr>
        <w:t>Partido de la Revolución Democrática</w:t>
      </w:r>
    </w:p>
    <w:p w14:paraId="107F5EA6" w14:textId="61824E9E" w:rsidR="002E2925" w:rsidRPr="002E2925" w:rsidRDefault="000E0A5A" w:rsidP="002E2925">
      <w:pPr>
        <w:ind w:right="618"/>
        <w:rPr>
          <w:color w:val="595959" w:themeColor="text1" w:themeTint="A6"/>
        </w:rPr>
      </w:pPr>
      <w:r>
        <w:rPr>
          <w:color w:val="595959" w:themeColor="text1" w:themeTint="A6"/>
        </w:rPr>
        <w:t xml:space="preserve">98 </w:t>
      </w:r>
      <w:r w:rsidR="002E2925" w:rsidRPr="002E2925">
        <w:rPr>
          <w:color w:val="595959" w:themeColor="text1" w:themeTint="A6"/>
        </w:rPr>
        <w:t>Partido Acción Nacional</w:t>
      </w:r>
    </w:p>
    <w:p w14:paraId="015EB1EB" w14:textId="5C243279" w:rsidR="002E2925" w:rsidRPr="002E2925" w:rsidRDefault="000E0A5A" w:rsidP="002E2925">
      <w:pPr>
        <w:ind w:right="618"/>
        <w:rPr>
          <w:color w:val="595959" w:themeColor="text1" w:themeTint="A6"/>
        </w:rPr>
      </w:pPr>
      <w:r>
        <w:rPr>
          <w:color w:val="595959" w:themeColor="text1" w:themeTint="A6"/>
        </w:rPr>
        <w:t xml:space="preserve">99 </w:t>
      </w:r>
      <w:r w:rsidR="002E2925" w:rsidRPr="002E2925">
        <w:rPr>
          <w:color w:val="595959" w:themeColor="text1" w:themeTint="A6"/>
        </w:rPr>
        <w:t>Partido MORENA</w:t>
      </w:r>
    </w:p>
    <w:p w14:paraId="28DC2CE9" w14:textId="6ED5AB57" w:rsidR="002E2925" w:rsidRPr="002E2925" w:rsidRDefault="000E0A5A" w:rsidP="002E2925">
      <w:pPr>
        <w:ind w:right="618"/>
        <w:rPr>
          <w:color w:val="595959" w:themeColor="text1" w:themeTint="A6"/>
        </w:rPr>
      </w:pPr>
      <w:r>
        <w:rPr>
          <w:color w:val="595959" w:themeColor="text1" w:themeTint="A6"/>
        </w:rPr>
        <w:t xml:space="preserve">100 </w:t>
      </w:r>
      <w:r w:rsidR="002E2925" w:rsidRPr="002E2925">
        <w:rPr>
          <w:color w:val="595959" w:themeColor="text1" w:themeTint="A6"/>
        </w:rPr>
        <w:t>Partido Encuentro Social</w:t>
      </w:r>
    </w:p>
    <w:p w14:paraId="21B3A464" w14:textId="26141755" w:rsidR="002E2925" w:rsidRPr="002E2925" w:rsidRDefault="000E0A5A" w:rsidP="002E2925">
      <w:pPr>
        <w:ind w:right="618"/>
        <w:rPr>
          <w:color w:val="595959" w:themeColor="text1" w:themeTint="A6"/>
        </w:rPr>
      </w:pPr>
      <w:r>
        <w:rPr>
          <w:color w:val="595959" w:themeColor="text1" w:themeTint="A6"/>
        </w:rPr>
        <w:t xml:space="preserve">101 </w:t>
      </w:r>
      <w:r w:rsidR="002E2925" w:rsidRPr="002E2925">
        <w:rPr>
          <w:color w:val="595959" w:themeColor="text1" w:themeTint="A6"/>
        </w:rPr>
        <w:t>Partido Movimiento Ciudadano</w:t>
      </w:r>
    </w:p>
    <w:p w14:paraId="03B642B9" w14:textId="23819121" w:rsidR="002E2925" w:rsidRPr="002E2925" w:rsidRDefault="000E0A5A" w:rsidP="002E2925">
      <w:pPr>
        <w:ind w:right="618"/>
        <w:rPr>
          <w:color w:val="595959" w:themeColor="text1" w:themeTint="A6"/>
        </w:rPr>
      </w:pPr>
      <w:r>
        <w:rPr>
          <w:color w:val="595959" w:themeColor="text1" w:themeTint="A6"/>
        </w:rPr>
        <w:t xml:space="preserve">102 </w:t>
      </w:r>
      <w:r w:rsidR="002E2925" w:rsidRPr="002E2925">
        <w:rPr>
          <w:color w:val="595959" w:themeColor="text1" w:themeTint="A6"/>
        </w:rPr>
        <w:t>Partido Verde Ecologista de México</w:t>
      </w:r>
    </w:p>
    <w:p w14:paraId="022A5963" w14:textId="4AA484AC" w:rsidR="002E2925" w:rsidRPr="002E2925" w:rsidRDefault="000E0A5A" w:rsidP="002E2925">
      <w:pPr>
        <w:ind w:right="618"/>
        <w:rPr>
          <w:color w:val="595959" w:themeColor="text1" w:themeTint="A6"/>
        </w:rPr>
      </w:pPr>
      <w:r>
        <w:rPr>
          <w:color w:val="595959" w:themeColor="text1" w:themeTint="A6"/>
        </w:rPr>
        <w:t xml:space="preserve">103 </w:t>
      </w:r>
      <w:r w:rsidR="002E2925" w:rsidRPr="002E2925">
        <w:rPr>
          <w:color w:val="595959" w:themeColor="text1" w:themeTint="A6"/>
        </w:rPr>
        <w:t>Partido del Trabajo</w:t>
      </w:r>
    </w:p>
    <w:p w14:paraId="2DB3E034" w14:textId="41F0F545" w:rsidR="002E2925" w:rsidRPr="002E2925" w:rsidRDefault="000E0A5A" w:rsidP="002E2925">
      <w:pPr>
        <w:ind w:right="618"/>
        <w:rPr>
          <w:color w:val="595959" w:themeColor="text1" w:themeTint="A6"/>
        </w:rPr>
      </w:pPr>
      <w:r>
        <w:rPr>
          <w:color w:val="595959" w:themeColor="text1" w:themeTint="A6"/>
        </w:rPr>
        <w:t xml:space="preserve">104 </w:t>
      </w:r>
      <w:r w:rsidR="002E2925" w:rsidRPr="002E2925">
        <w:rPr>
          <w:color w:val="595959" w:themeColor="text1" w:themeTint="A6"/>
        </w:rPr>
        <w:t>Partido Movimiento Auténtico Social (MAS)</w:t>
      </w:r>
    </w:p>
    <w:p w14:paraId="68ACF3AF" w14:textId="5B2C132D" w:rsidR="002E2925" w:rsidRPr="002E2925" w:rsidRDefault="000E0A5A" w:rsidP="002E2925">
      <w:pPr>
        <w:ind w:right="618"/>
        <w:rPr>
          <w:color w:val="595959" w:themeColor="text1" w:themeTint="A6"/>
        </w:rPr>
      </w:pPr>
      <w:r>
        <w:rPr>
          <w:color w:val="595959" w:themeColor="text1" w:themeTint="A6"/>
        </w:rPr>
        <w:lastRenderedPageBreak/>
        <w:t xml:space="preserve">105 </w:t>
      </w:r>
      <w:r w:rsidR="002E2925" w:rsidRPr="002E2925">
        <w:rPr>
          <w:color w:val="595959" w:themeColor="text1" w:themeTint="A6"/>
        </w:rPr>
        <w:t>Partido Confianza por Quintana Roo</w:t>
      </w:r>
    </w:p>
    <w:p w14:paraId="791A6EC2" w14:textId="77777777" w:rsidR="002E2925" w:rsidRPr="002E2925" w:rsidRDefault="002E2925" w:rsidP="002E2925">
      <w:pPr>
        <w:ind w:right="618"/>
        <w:rPr>
          <w:color w:val="595959" w:themeColor="text1" w:themeTint="A6"/>
        </w:rPr>
      </w:pPr>
    </w:p>
    <w:p w14:paraId="5CB64391" w14:textId="77777777" w:rsidR="0035377A" w:rsidRPr="0035377A" w:rsidRDefault="0035377A" w:rsidP="0035377A">
      <w:pPr>
        <w:rPr>
          <w:lang w:val="es-MX" w:eastAsia="en-US"/>
        </w:rPr>
      </w:pPr>
    </w:p>
    <w:p w14:paraId="4E5A467A"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7FBF96A3" w14:textId="77777777" w:rsidR="00695E2D" w:rsidRDefault="00695E2D" w:rsidP="00695E2D">
      <w:pPr>
        <w:pStyle w:val="Ttulo"/>
      </w:pPr>
    </w:p>
    <w:p w14:paraId="7402ED10" w14:textId="77777777" w:rsidR="00695E2D" w:rsidRDefault="00695E2D" w:rsidP="00695E2D">
      <w:pPr>
        <w:pStyle w:val="Ttulo"/>
      </w:pPr>
    </w:p>
    <w:p w14:paraId="2F4D76C6" w14:textId="77777777" w:rsidR="00695E2D" w:rsidRDefault="00695E2D" w:rsidP="00695E2D">
      <w:pPr>
        <w:pStyle w:val="Ttulo"/>
      </w:pPr>
    </w:p>
    <w:p w14:paraId="49D25C6D" w14:textId="77777777" w:rsidR="00695E2D" w:rsidRDefault="00695E2D" w:rsidP="00695E2D">
      <w:pPr>
        <w:pStyle w:val="Ttulo"/>
      </w:pPr>
    </w:p>
    <w:p w14:paraId="26309AEA" w14:textId="148546B2" w:rsidR="00695E2D" w:rsidRDefault="0069403A" w:rsidP="00695E2D">
      <w:pPr>
        <w:pStyle w:val="Ttulo"/>
        <w:rPr>
          <w:color w:val="4BACC6"/>
        </w:rPr>
      </w:pPr>
      <w:r w:rsidRPr="0069403A">
        <w:rPr>
          <w:color w:val="4BACC6"/>
        </w:rPr>
        <w:t>CONTROL, SEGUIMIENTO, EVALUACIÓN Y ACTUALIZACIÓN</w:t>
      </w:r>
    </w:p>
    <w:p w14:paraId="78CA3E09" w14:textId="77777777" w:rsidR="00C2741A" w:rsidRPr="0069403A" w:rsidRDefault="00C2741A" w:rsidP="0069403A">
      <w:pPr>
        <w:pStyle w:val="Ttulo"/>
        <w:rPr>
          <w:color w:val="4BACC6"/>
        </w:rPr>
      </w:pPr>
    </w:p>
    <w:p w14:paraId="01BAE8FE" w14:textId="77777777" w:rsidR="00C2741A" w:rsidRDefault="00C2741A" w:rsidP="0035377A">
      <w:pPr>
        <w:pStyle w:val="Ttulo1"/>
      </w:pPr>
    </w:p>
    <w:p w14:paraId="1BF55F58" w14:textId="77777777" w:rsidR="00E0460C" w:rsidRDefault="00E0460C" w:rsidP="00E0460C">
      <w:pPr>
        <w:rPr>
          <w:lang w:val="es-MX" w:eastAsia="en-US"/>
        </w:rPr>
      </w:pPr>
    </w:p>
    <w:p w14:paraId="2F5761A7" w14:textId="77777777" w:rsidR="00E0460C" w:rsidRPr="00E0460C" w:rsidRDefault="00E0460C" w:rsidP="00E0460C">
      <w:pPr>
        <w:rPr>
          <w:lang w:val="es-MX" w:eastAsia="en-US"/>
        </w:rPr>
      </w:pPr>
    </w:p>
    <w:p w14:paraId="7A890634" w14:textId="77777777" w:rsidR="00C2741A" w:rsidRDefault="00C2741A" w:rsidP="0035377A">
      <w:pPr>
        <w:pStyle w:val="Ttulo1"/>
      </w:pPr>
    </w:p>
    <w:p w14:paraId="75BFDFFE" w14:textId="77777777" w:rsidR="00C2741A" w:rsidRDefault="00C2741A" w:rsidP="0035377A">
      <w:pPr>
        <w:pStyle w:val="Ttulo1"/>
      </w:pPr>
    </w:p>
    <w:p w14:paraId="59636293" w14:textId="77777777" w:rsidR="00695E2D" w:rsidRDefault="00695E2D">
      <w:pPr>
        <w:spacing w:after="0" w:line="240" w:lineRule="auto"/>
        <w:jc w:val="left"/>
        <w:rPr>
          <w:rFonts w:eastAsia="Times New Roman" w:cs="Times New Roman"/>
          <w:b/>
          <w:bCs/>
          <w:caps/>
          <w:sz w:val="32"/>
          <w:szCs w:val="28"/>
          <w:lang w:val="es-MX" w:eastAsia="en-US"/>
        </w:rPr>
      </w:pPr>
      <w:bookmarkStart w:id="15" w:name="_Toc477971061"/>
      <w:r>
        <w:br w:type="page"/>
      </w:r>
    </w:p>
    <w:p w14:paraId="784E8E5C" w14:textId="4832E91B" w:rsidR="005F7240" w:rsidRPr="00F765C3" w:rsidRDefault="0035377A" w:rsidP="0035377A">
      <w:pPr>
        <w:pStyle w:val="Ttulo1"/>
      </w:pPr>
      <w:r>
        <w:lastRenderedPageBreak/>
        <w:t xml:space="preserve">XII. </w:t>
      </w:r>
      <w:r w:rsidR="005F7240" w:rsidRPr="00F765C3">
        <w:t xml:space="preserve">CONTROL, SEGUIMIENTO, EVALUACIÓN Y </w:t>
      </w:r>
      <w:r w:rsidR="00416E1E" w:rsidRPr="00F765C3">
        <w:t>A</w:t>
      </w:r>
      <w:r w:rsidR="005F7240" w:rsidRPr="00F765C3">
        <w:t>CTUALIZACIÓN</w:t>
      </w:r>
      <w:bookmarkEnd w:id="15"/>
    </w:p>
    <w:p w14:paraId="2CEDFFAE" w14:textId="77777777" w:rsidR="000E0A5A" w:rsidRPr="000E0A5A" w:rsidRDefault="000E0A5A" w:rsidP="000E0A5A">
      <w:pPr>
        <w:rPr>
          <w:rFonts w:eastAsia="Times New Roman" w:cs="Futura"/>
          <w:color w:val="595959"/>
        </w:rPr>
      </w:pPr>
      <w:r w:rsidRPr="000E0A5A">
        <w:rPr>
          <w:rFonts w:eastAsia="Times New Roman" w:cs="Futura"/>
          <w:color w:val="595959"/>
        </w:rPr>
        <w:t xml:space="preserve">Para llevar el control, seguimiento, evaluación y actualización se realizó la selección de dos indicadores: </w:t>
      </w:r>
    </w:p>
    <w:p w14:paraId="417673E1" w14:textId="77777777" w:rsidR="000E0A5A" w:rsidRPr="000E0A5A" w:rsidRDefault="000E0A5A" w:rsidP="000E0A5A">
      <w:pPr>
        <w:rPr>
          <w:rFonts w:eastAsia="Times New Roman" w:cs="Futura"/>
          <w:color w:val="595959"/>
        </w:rPr>
      </w:pPr>
      <w:r w:rsidRPr="000E0A5A">
        <w:rPr>
          <w:rFonts w:eastAsia="Times New Roman" w:cs="Futura"/>
          <w:color w:val="595959"/>
        </w:rPr>
        <w:t>1)</w:t>
      </w:r>
      <w:r w:rsidRPr="000E0A5A">
        <w:rPr>
          <w:rFonts w:eastAsia="Times New Roman" w:cs="Futura"/>
          <w:color w:val="595959"/>
        </w:rPr>
        <w:tab/>
        <w:t xml:space="preserve">Índice del Derecho de Acceso a la Información en Quintana Roo el cual Mide la calidad de las leyes de transparencia según las mejores prácticas nacionales en la materia y los estándares constitucionales en: Disposiciones normativas, Diseño Institucional y Proceso de Acceso y Obligaciones de Transparencia. </w:t>
      </w:r>
    </w:p>
    <w:p w14:paraId="078CB932" w14:textId="7E766741" w:rsidR="000E0A5A" w:rsidRDefault="000E0A5A" w:rsidP="00E0643D">
      <w:pPr>
        <w:rPr>
          <w:rFonts w:eastAsia="Times New Roman" w:cs="Futura"/>
          <w:color w:val="595959"/>
        </w:rPr>
      </w:pPr>
      <w:r w:rsidRPr="000E0A5A">
        <w:rPr>
          <w:rFonts w:eastAsia="Times New Roman" w:cs="Futura"/>
          <w:color w:val="595959"/>
        </w:rPr>
        <w:t>2)</w:t>
      </w:r>
      <w:r w:rsidRPr="000E0A5A">
        <w:rPr>
          <w:rFonts w:eastAsia="Times New Roman" w:cs="Futura"/>
          <w:color w:val="595959"/>
        </w:rPr>
        <w:tab/>
        <w:t>Índice de Métrica de Gobierno Abierto el cual mide la transparencia y la participación, observadas tanto en la perspectiva gubernamental como ciudadana.</w:t>
      </w:r>
    </w:p>
    <w:p w14:paraId="1F642299" w14:textId="77777777" w:rsidR="00E0643D" w:rsidRPr="00E0643D" w:rsidRDefault="00E0643D" w:rsidP="00E0643D">
      <w:pPr>
        <w:rPr>
          <w:rFonts w:eastAsia="Times New Roman" w:cs="Futura"/>
          <w:color w:val="595959"/>
        </w:rPr>
      </w:pPr>
    </w:p>
    <w:p w14:paraId="588F2739" w14:textId="77777777" w:rsidR="005F7240" w:rsidRPr="000E0A5A" w:rsidRDefault="005F7240" w:rsidP="00A4327D">
      <w:pPr>
        <w:spacing w:before="120" w:after="120" w:line="360" w:lineRule="auto"/>
        <w:rPr>
          <w:b/>
          <w:color w:val="4BACC6" w:themeColor="accent5"/>
          <w:sz w:val="28"/>
          <w:szCs w:val="28"/>
        </w:rPr>
      </w:pPr>
      <w:r w:rsidRPr="000E0A5A">
        <w:rPr>
          <w:b/>
          <w:color w:val="4BACC6" w:themeColor="accent5"/>
          <w:sz w:val="28"/>
          <w:szCs w:val="28"/>
        </w:rPr>
        <w:t>Indicadores y Metas del Programa</w:t>
      </w:r>
    </w:p>
    <w:p w14:paraId="4345B067" w14:textId="51672EAC" w:rsidR="0035377A" w:rsidRPr="00E0643D" w:rsidRDefault="000E0A5A" w:rsidP="00E0643D">
      <w:pPr>
        <w:spacing w:line="360" w:lineRule="auto"/>
        <w:rPr>
          <w:rFonts w:ascii="Futura Std Condensed Light" w:eastAsia="Calibri" w:hAnsi="Futura Std Condensed Light" w:cs="Calibri"/>
          <w:color w:val="595959" w:themeColor="text1" w:themeTint="A6"/>
          <w:sz w:val="20"/>
          <w:szCs w:val="20"/>
        </w:rPr>
      </w:pPr>
      <w:r w:rsidRPr="000E0A5A">
        <w:rPr>
          <w:rFonts w:eastAsia="Times New Roman" w:cs="Futura"/>
          <w:color w:val="595959" w:themeColor="text1" w:themeTint="A6"/>
        </w:rPr>
        <w:t xml:space="preserve">A continuación se definen los indicadores definidos para el  objetivo y estrategia del Programa Institucional y las metas proyectadas a alcanzar en el periodo 2016-2022. </w:t>
      </w:r>
    </w:p>
    <w:p w14:paraId="0CB50D49" w14:textId="77777777" w:rsidR="00E0643D" w:rsidRDefault="00E0643D" w:rsidP="0035377A">
      <w:pPr>
        <w:jc w:val="center"/>
        <w:rPr>
          <w:b/>
          <w:color w:val="4BACC6" w:themeColor="accent5"/>
        </w:rPr>
      </w:pPr>
    </w:p>
    <w:p w14:paraId="18CB701B" w14:textId="77777777" w:rsidR="00E0643D" w:rsidRDefault="00E0643D" w:rsidP="0035377A">
      <w:pPr>
        <w:jc w:val="center"/>
        <w:rPr>
          <w:b/>
          <w:color w:val="4BACC6" w:themeColor="accent5"/>
        </w:rPr>
      </w:pPr>
    </w:p>
    <w:p w14:paraId="4F987354" w14:textId="77777777" w:rsidR="00E0643D" w:rsidRDefault="00E0643D" w:rsidP="0035377A">
      <w:pPr>
        <w:jc w:val="center"/>
        <w:rPr>
          <w:b/>
          <w:color w:val="4BACC6" w:themeColor="accent5"/>
        </w:rPr>
      </w:pPr>
    </w:p>
    <w:p w14:paraId="268D4E36" w14:textId="77777777" w:rsidR="00E0643D" w:rsidRDefault="00E0643D" w:rsidP="0035377A">
      <w:pPr>
        <w:jc w:val="center"/>
        <w:rPr>
          <w:b/>
          <w:color w:val="4BACC6" w:themeColor="accent5"/>
        </w:rPr>
      </w:pPr>
    </w:p>
    <w:p w14:paraId="15FE284A" w14:textId="77777777" w:rsidR="00E0643D" w:rsidRDefault="00E0643D" w:rsidP="0035377A">
      <w:pPr>
        <w:jc w:val="center"/>
        <w:rPr>
          <w:b/>
          <w:color w:val="4BACC6" w:themeColor="accent5"/>
        </w:rPr>
      </w:pPr>
    </w:p>
    <w:p w14:paraId="525C5AF9" w14:textId="77777777" w:rsidR="00E0643D" w:rsidRDefault="00E0643D" w:rsidP="0035377A">
      <w:pPr>
        <w:jc w:val="center"/>
        <w:rPr>
          <w:b/>
          <w:color w:val="4BACC6" w:themeColor="accent5"/>
        </w:rPr>
      </w:pPr>
    </w:p>
    <w:p w14:paraId="3C1AF639" w14:textId="77777777" w:rsidR="00E0643D" w:rsidRDefault="00E0643D" w:rsidP="0035377A">
      <w:pPr>
        <w:jc w:val="center"/>
        <w:rPr>
          <w:b/>
          <w:color w:val="4BACC6" w:themeColor="accent5"/>
        </w:rPr>
      </w:pPr>
    </w:p>
    <w:p w14:paraId="7164B488" w14:textId="77777777" w:rsidR="00E0643D" w:rsidRDefault="00E0643D" w:rsidP="0035377A">
      <w:pPr>
        <w:jc w:val="center"/>
        <w:rPr>
          <w:b/>
          <w:color w:val="4BACC6" w:themeColor="accent5"/>
        </w:rPr>
      </w:pPr>
    </w:p>
    <w:p w14:paraId="3C366683" w14:textId="3014A42A" w:rsidR="0035377A" w:rsidRPr="00F765C3" w:rsidRDefault="006132B4" w:rsidP="0035377A">
      <w:pPr>
        <w:jc w:val="center"/>
        <w:rPr>
          <w:b/>
          <w:color w:val="4BACC6" w:themeColor="accent5"/>
        </w:rPr>
      </w:pPr>
      <w:r>
        <w:rPr>
          <w:b/>
          <w:color w:val="4BACC6" w:themeColor="accent5"/>
        </w:rPr>
        <w:t>Cuadro 5</w:t>
      </w:r>
      <w:r w:rsidR="0035377A" w:rsidRPr="00F765C3">
        <w:rPr>
          <w:b/>
          <w:color w:val="4BACC6" w:themeColor="accent5"/>
        </w:rPr>
        <w:t>. Indicadores y Metas del Programa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020"/>
        <w:gridCol w:w="1462"/>
        <w:gridCol w:w="1021"/>
        <w:gridCol w:w="1170"/>
        <w:gridCol w:w="732"/>
        <w:gridCol w:w="1023"/>
        <w:gridCol w:w="877"/>
        <w:gridCol w:w="730"/>
        <w:gridCol w:w="600"/>
        <w:gridCol w:w="600"/>
        <w:gridCol w:w="600"/>
      </w:tblGrid>
      <w:tr w:rsidR="00BD62B1" w:rsidRPr="0069403A" w14:paraId="33C50A01" w14:textId="77777777" w:rsidTr="007F1D07">
        <w:trPr>
          <w:trHeight w:val="283"/>
          <w:jc w:val="center"/>
        </w:trPr>
        <w:tc>
          <w:tcPr>
            <w:tcW w:w="518" w:type="pct"/>
            <w:shd w:val="clear" w:color="auto" w:fill="A6A6A6" w:themeFill="background1" w:themeFillShade="A6"/>
            <w:tcMar>
              <w:top w:w="72" w:type="dxa"/>
              <w:left w:w="144" w:type="dxa"/>
              <w:bottom w:w="72" w:type="dxa"/>
              <w:right w:w="144" w:type="dxa"/>
            </w:tcMar>
            <w:vAlign w:val="center"/>
            <w:hideMark/>
          </w:tcPr>
          <w:p w14:paraId="4F9AF061"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lastRenderedPageBreak/>
              <w:t>Objetivo/ Estrategia</w:t>
            </w:r>
          </w:p>
        </w:tc>
        <w:tc>
          <w:tcPr>
            <w:tcW w:w="743" w:type="pct"/>
            <w:shd w:val="clear" w:color="auto" w:fill="A6A6A6" w:themeFill="background1" w:themeFillShade="A6"/>
            <w:tcMar>
              <w:top w:w="72" w:type="dxa"/>
              <w:left w:w="144" w:type="dxa"/>
              <w:bottom w:w="72" w:type="dxa"/>
              <w:right w:w="144" w:type="dxa"/>
            </w:tcMar>
            <w:vAlign w:val="center"/>
            <w:hideMark/>
          </w:tcPr>
          <w:p w14:paraId="06048764"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t>Indicador</w:t>
            </w:r>
          </w:p>
        </w:tc>
        <w:tc>
          <w:tcPr>
            <w:tcW w:w="519" w:type="pct"/>
            <w:shd w:val="clear" w:color="auto" w:fill="A6A6A6" w:themeFill="background1" w:themeFillShade="A6"/>
            <w:tcMar>
              <w:top w:w="72" w:type="dxa"/>
              <w:left w:w="144" w:type="dxa"/>
              <w:bottom w:w="72" w:type="dxa"/>
              <w:right w:w="144" w:type="dxa"/>
            </w:tcMar>
            <w:vAlign w:val="center"/>
            <w:hideMark/>
          </w:tcPr>
          <w:p w14:paraId="76CACC1C"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t>Fuente</w:t>
            </w:r>
          </w:p>
        </w:tc>
        <w:tc>
          <w:tcPr>
            <w:tcW w:w="595" w:type="pct"/>
            <w:shd w:val="clear" w:color="auto" w:fill="A6A6A6" w:themeFill="background1" w:themeFillShade="A6"/>
            <w:tcMar>
              <w:top w:w="72" w:type="dxa"/>
              <w:left w:w="144" w:type="dxa"/>
              <w:bottom w:w="72" w:type="dxa"/>
              <w:right w:w="144" w:type="dxa"/>
            </w:tcMar>
            <w:vAlign w:val="center"/>
            <w:hideMark/>
          </w:tcPr>
          <w:p w14:paraId="5D0544A2"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t>Unidad de Medida</w:t>
            </w:r>
          </w:p>
        </w:tc>
        <w:tc>
          <w:tcPr>
            <w:tcW w:w="372" w:type="pct"/>
            <w:shd w:val="clear" w:color="auto" w:fill="A6A6A6" w:themeFill="background1" w:themeFillShade="A6"/>
            <w:tcMar>
              <w:top w:w="72" w:type="dxa"/>
              <w:left w:w="144" w:type="dxa"/>
              <w:bottom w:w="72" w:type="dxa"/>
              <w:right w:w="144" w:type="dxa"/>
            </w:tcMar>
            <w:vAlign w:val="center"/>
            <w:hideMark/>
          </w:tcPr>
          <w:p w14:paraId="2E26DB6F"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t>Línea Base</w:t>
            </w:r>
          </w:p>
        </w:tc>
        <w:tc>
          <w:tcPr>
            <w:tcW w:w="520" w:type="pct"/>
            <w:shd w:val="clear" w:color="auto" w:fill="A6A6A6" w:themeFill="background1" w:themeFillShade="A6"/>
            <w:tcMar>
              <w:top w:w="72" w:type="dxa"/>
              <w:left w:w="144" w:type="dxa"/>
              <w:bottom w:w="72" w:type="dxa"/>
              <w:right w:w="144" w:type="dxa"/>
            </w:tcMar>
            <w:vAlign w:val="center"/>
            <w:hideMark/>
          </w:tcPr>
          <w:p w14:paraId="23BD1056"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t>2017</w:t>
            </w:r>
          </w:p>
        </w:tc>
        <w:tc>
          <w:tcPr>
            <w:tcW w:w="446" w:type="pct"/>
            <w:shd w:val="clear" w:color="auto" w:fill="A6A6A6" w:themeFill="background1" w:themeFillShade="A6"/>
            <w:tcMar>
              <w:top w:w="72" w:type="dxa"/>
              <w:left w:w="144" w:type="dxa"/>
              <w:bottom w:w="72" w:type="dxa"/>
              <w:right w:w="144" w:type="dxa"/>
            </w:tcMar>
            <w:vAlign w:val="center"/>
            <w:hideMark/>
          </w:tcPr>
          <w:p w14:paraId="27287302"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t>2018</w:t>
            </w:r>
          </w:p>
        </w:tc>
        <w:tc>
          <w:tcPr>
            <w:tcW w:w="371" w:type="pct"/>
            <w:shd w:val="clear" w:color="auto" w:fill="A6A6A6" w:themeFill="background1" w:themeFillShade="A6"/>
            <w:tcMar>
              <w:top w:w="72" w:type="dxa"/>
              <w:left w:w="144" w:type="dxa"/>
              <w:bottom w:w="72" w:type="dxa"/>
              <w:right w:w="144" w:type="dxa"/>
            </w:tcMar>
            <w:vAlign w:val="center"/>
            <w:hideMark/>
          </w:tcPr>
          <w:p w14:paraId="55D0DD4E"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t>2019</w:t>
            </w:r>
          </w:p>
        </w:tc>
        <w:tc>
          <w:tcPr>
            <w:tcW w:w="305" w:type="pct"/>
            <w:shd w:val="clear" w:color="auto" w:fill="A6A6A6" w:themeFill="background1" w:themeFillShade="A6"/>
            <w:tcMar>
              <w:top w:w="72" w:type="dxa"/>
              <w:left w:w="144" w:type="dxa"/>
              <w:bottom w:w="72" w:type="dxa"/>
              <w:right w:w="144" w:type="dxa"/>
            </w:tcMar>
            <w:vAlign w:val="center"/>
            <w:hideMark/>
          </w:tcPr>
          <w:p w14:paraId="48C6E169"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t>2020</w:t>
            </w:r>
          </w:p>
        </w:tc>
        <w:tc>
          <w:tcPr>
            <w:tcW w:w="305" w:type="pct"/>
            <w:shd w:val="clear" w:color="auto" w:fill="A6A6A6" w:themeFill="background1" w:themeFillShade="A6"/>
            <w:tcMar>
              <w:top w:w="72" w:type="dxa"/>
              <w:left w:w="144" w:type="dxa"/>
              <w:bottom w:w="72" w:type="dxa"/>
              <w:right w:w="144" w:type="dxa"/>
            </w:tcMar>
            <w:vAlign w:val="center"/>
            <w:hideMark/>
          </w:tcPr>
          <w:p w14:paraId="10C25E73"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t>2021</w:t>
            </w:r>
          </w:p>
        </w:tc>
        <w:tc>
          <w:tcPr>
            <w:tcW w:w="305" w:type="pct"/>
            <w:shd w:val="clear" w:color="auto" w:fill="A6A6A6" w:themeFill="background1" w:themeFillShade="A6"/>
            <w:tcMar>
              <w:top w:w="72" w:type="dxa"/>
              <w:left w:w="144" w:type="dxa"/>
              <w:bottom w:w="72" w:type="dxa"/>
              <w:right w:w="144" w:type="dxa"/>
            </w:tcMar>
            <w:vAlign w:val="center"/>
            <w:hideMark/>
          </w:tcPr>
          <w:p w14:paraId="0BAE2B6F" w14:textId="77777777" w:rsidR="0035377A" w:rsidRPr="0069403A" w:rsidRDefault="0035377A" w:rsidP="00C2741A">
            <w:pPr>
              <w:spacing w:after="0" w:line="240" w:lineRule="auto"/>
              <w:jc w:val="center"/>
              <w:rPr>
                <w:rFonts w:ascii="Futura Std Condensed Light" w:eastAsia="Calibri" w:hAnsi="Futura Std Condensed Light" w:cs="Calibri"/>
                <w:color w:val="595959"/>
                <w:sz w:val="20"/>
                <w:szCs w:val="22"/>
              </w:rPr>
            </w:pPr>
            <w:r w:rsidRPr="0069403A">
              <w:rPr>
                <w:rFonts w:ascii="Futura Std Condensed Light" w:eastAsia="Calibri" w:hAnsi="Futura Std Condensed Light" w:cs="Calibri"/>
                <w:color w:val="595959"/>
                <w:sz w:val="20"/>
                <w:szCs w:val="22"/>
              </w:rPr>
              <w:t>2022</w:t>
            </w:r>
          </w:p>
        </w:tc>
      </w:tr>
      <w:tr w:rsidR="00BD62B1" w:rsidRPr="0069403A" w14:paraId="6F0067C1" w14:textId="77777777" w:rsidTr="007F1D07">
        <w:trPr>
          <w:trHeight w:val="283"/>
          <w:jc w:val="center"/>
        </w:trPr>
        <w:tc>
          <w:tcPr>
            <w:tcW w:w="518" w:type="pct"/>
            <w:shd w:val="clear" w:color="auto" w:fill="FFFFFF" w:themeFill="background1"/>
            <w:tcMar>
              <w:top w:w="72" w:type="dxa"/>
              <w:left w:w="144" w:type="dxa"/>
              <w:bottom w:w="72" w:type="dxa"/>
              <w:right w:w="144" w:type="dxa"/>
            </w:tcMar>
            <w:vAlign w:val="center"/>
            <w:hideMark/>
          </w:tcPr>
          <w:p w14:paraId="291DA98C" w14:textId="2E3AC8C4" w:rsidR="0035377A" w:rsidRPr="00C74118" w:rsidRDefault="00C74118" w:rsidP="00C2741A">
            <w:pPr>
              <w:spacing w:after="0" w:line="240" w:lineRule="auto"/>
              <w:jc w:val="center"/>
              <w:rPr>
                <w:rFonts w:ascii="Futura Std Condensed Light" w:eastAsia="Calibri" w:hAnsi="Futura Std Condensed Light" w:cs="Calibri"/>
                <w:color w:val="595959"/>
                <w:sz w:val="14"/>
                <w:szCs w:val="14"/>
              </w:rPr>
            </w:pPr>
            <w:r w:rsidRPr="00C74118">
              <w:rPr>
                <w:rFonts w:ascii="Futura Std Condensed Light" w:eastAsia="Calibri" w:hAnsi="Futura Std Condensed Light" w:cs="Calibri"/>
                <w:color w:val="595959"/>
                <w:sz w:val="14"/>
                <w:szCs w:val="14"/>
              </w:rPr>
              <w:t>Objetivo</w:t>
            </w:r>
          </w:p>
        </w:tc>
        <w:tc>
          <w:tcPr>
            <w:tcW w:w="743" w:type="pct"/>
            <w:shd w:val="clear" w:color="auto" w:fill="FFFFFF" w:themeFill="background1"/>
            <w:tcMar>
              <w:top w:w="72" w:type="dxa"/>
              <w:left w:w="144" w:type="dxa"/>
              <w:bottom w:w="72" w:type="dxa"/>
              <w:right w:w="144" w:type="dxa"/>
            </w:tcMar>
            <w:vAlign w:val="center"/>
            <w:hideMark/>
          </w:tcPr>
          <w:p w14:paraId="71FE29E3" w14:textId="6C2BE8E1" w:rsidR="0035377A" w:rsidRPr="00C74118" w:rsidRDefault="00C74118" w:rsidP="00C2741A">
            <w:pPr>
              <w:spacing w:after="0" w:line="240" w:lineRule="auto"/>
              <w:jc w:val="center"/>
              <w:rPr>
                <w:rFonts w:ascii="Futura Std Condensed Light" w:eastAsia="Calibri" w:hAnsi="Futura Std Condensed Light" w:cs="Calibri"/>
                <w:color w:val="595959"/>
                <w:sz w:val="14"/>
                <w:szCs w:val="14"/>
              </w:rPr>
            </w:pPr>
            <w:r w:rsidRPr="00C74118">
              <w:rPr>
                <w:rFonts w:ascii="Futura Std Condensed Light" w:eastAsia="Calibri" w:hAnsi="Futura Std Condensed Light" w:cs="Calibri"/>
                <w:color w:val="595959"/>
                <w:sz w:val="14"/>
                <w:szCs w:val="14"/>
              </w:rPr>
              <w:t>Censo Nacional de Transparencia, Acceso a la Información Pública y Protección de Datos Personales Estatal 2019</w:t>
            </w:r>
          </w:p>
        </w:tc>
        <w:tc>
          <w:tcPr>
            <w:tcW w:w="519" w:type="pct"/>
            <w:shd w:val="clear" w:color="auto" w:fill="FFFFFF" w:themeFill="background1"/>
            <w:tcMar>
              <w:top w:w="72" w:type="dxa"/>
              <w:left w:w="144" w:type="dxa"/>
              <w:bottom w:w="72" w:type="dxa"/>
              <w:right w:w="144" w:type="dxa"/>
            </w:tcMar>
            <w:vAlign w:val="center"/>
            <w:hideMark/>
          </w:tcPr>
          <w:p w14:paraId="3E99D4FD" w14:textId="636A2EA3" w:rsidR="0035377A" w:rsidRPr="00C74118" w:rsidRDefault="008E4226" w:rsidP="00C2741A">
            <w:pPr>
              <w:spacing w:after="0" w:line="240" w:lineRule="auto"/>
              <w:jc w:val="center"/>
              <w:rPr>
                <w:rFonts w:ascii="Futura Std Condensed Light" w:eastAsia="Calibri" w:hAnsi="Futura Std Condensed Light" w:cs="Calibri"/>
                <w:color w:val="595959"/>
                <w:sz w:val="14"/>
                <w:szCs w:val="14"/>
              </w:rPr>
            </w:pPr>
            <w:hyperlink r:id="rId16" w:history="1">
              <w:r w:rsidR="00C74118" w:rsidRPr="00C74118">
                <w:rPr>
                  <w:color w:val="808080" w:themeColor="background1" w:themeShade="80"/>
                  <w:sz w:val="14"/>
                  <w:szCs w:val="14"/>
                  <w:u w:val="single"/>
                </w:rPr>
                <w:t>https://www.inegi.org.mx/programas/cntaippdpe/2019/</w:t>
              </w:r>
            </w:hyperlink>
          </w:p>
        </w:tc>
        <w:tc>
          <w:tcPr>
            <w:tcW w:w="595" w:type="pct"/>
            <w:shd w:val="clear" w:color="auto" w:fill="FFFFFF" w:themeFill="background1"/>
            <w:tcMar>
              <w:top w:w="72" w:type="dxa"/>
              <w:left w:w="144" w:type="dxa"/>
              <w:bottom w:w="72" w:type="dxa"/>
              <w:right w:w="144" w:type="dxa"/>
            </w:tcMar>
            <w:vAlign w:val="center"/>
            <w:hideMark/>
          </w:tcPr>
          <w:p w14:paraId="2E8CBA90" w14:textId="4659E42A" w:rsidR="0035377A" w:rsidRPr="0069403A" w:rsidRDefault="008A7A51"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índice</w:t>
            </w:r>
          </w:p>
        </w:tc>
        <w:tc>
          <w:tcPr>
            <w:tcW w:w="372" w:type="pct"/>
            <w:shd w:val="clear" w:color="auto" w:fill="FFFFFF" w:themeFill="background1"/>
            <w:tcMar>
              <w:top w:w="72" w:type="dxa"/>
              <w:left w:w="144" w:type="dxa"/>
              <w:bottom w:w="72" w:type="dxa"/>
              <w:right w:w="144" w:type="dxa"/>
            </w:tcMar>
            <w:vAlign w:val="center"/>
            <w:hideMark/>
          </w:tcPr>
          <w:p w14:paraId="67DDF92E" w14:textId="53E80E4F" w:rsidR="0035377A" w:rsidRPr="0069403A" w:rsidRDefault="004524DC"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13</w:t>
            </w:r>
          </w:p>
        </w:tc>
        <w:tc>
          <w:tcPr>
            <w:tcW w:w="520" w:type="pct"/>
            <w:shd w:val="clear" w:color="auto" w:fill="FFFFFF" w:themeFill="background1"/>
            <w:tcMar>
              <w:top w:w="72" w:type="dxa"/>
              <w:left w:w="144" w:type="dxa"/>
              <w:bottom w:w="72" w:type="dxa"/>
              <w:right w:w="144" w:type="dxa"/>
            </w:tcMar>
            <w:vAlign w:val="center"/>
            <w:hideMark/>
          </w:tcPr>
          <w:p w14:paraId="49AD55DE" w14:textId="0879D261" w:rsidR="0035377A" w:rsidRPr="0069403A" w:rsidRDefault="004524DC"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12</w:t>
            </w:r>
          </w:p>
        </w:tc>
        <w:tc>
          <w:tcPr>
            <w:tcW w:w="446" w:type="pct"/>
            <w:shd w:val="clear" w:color="auto" w:fill="FFFFFF" w:themeFill="background1"/>
            <w:tcMar>
              <w:top w:w="72" w:type="dxa"/>
              <w:left w:w="144" w:type="dxa"/>
              <w:bottom w:w="72" w:type="dxa"/>
              <w:right w:w="144" w:type="dxa"/>
            </w:tcMar>
            <w:vAlign w:val="center"/>
            <w:hideMark/>
          </w:tcPr>
          <w:p w14:paraId="19C3FEAA" w14:textId="4488995F" w:rsidR="0035377A" w:rsidRPr="0069403A" w:rsidRDefault="004524DC"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11</w:t>
            </w:r>
          </w:p>
        </w:tc>
        <w:tc>
          <w:tcPr>
            <w:tcW w:w="371" w:type="pct"/>
            <w:shd w:val="clear" w:color="auto" w:fill="FFFFFF" w:themeFill="background1"/>
            <w:tcMar>
              <w:top w:w="72" w:type="dxa"/>
              <w:left w:w="144" w:type="dxa"/>
              <w:bottom w:w="72" w:type="dxa"/>
              <w:right w:w="144" w:type="dxa"/>
            </w:tcMar>
            <w:vAlign w:val="center"/>
            <w:hideMark/>
          </w:tcPr>
          <w:p w14:paraId="0F0D9182" w14:textId="4770ABF3" w:rsidR="0035377A" w:rsidRPr="0069403A" w:rsidRDefault="004524DC"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10</w:t>
            </w:r>
          </w:p>
        </w:tc>
        <w:tc>
          <w:tcPr>
            <w:tcW w:w="305" w:type="pct"/>
            <w:shd w:val="clear" w:color="auto" w:fill="FFFFFF" w:themeFill="background1"/>
            <w:tcMar>
              <w:top w:w="72" w:type="dxa"/>
              <w:left w:w="144" w:type="dxa"/>
              <w:bottom w:w="72" w:type="dxa"/>
              <w:right w:w="144" w:type="dxa"/>
            </w:tcMar>
            <w:vAlign w:val="center"/>
            <w:hideMark/>
          </w:tcPr>
          <w:p w14:paraId="1693E239" w14:textId="48816C55" w:rsidR="0035377A" w:rsidRPr="0069403A" w:rsidRDefault="004524DC"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9</w:t>
            </w:r>
          </w:p>
        </w:tc>
        <w:tc>
          <w:tcPr>
            <w:tcW w:w="305" w:type="pct"/>
            <w:shd w:val="clear" w:color="auto" w:fill="FFFFFF" w:themeFill="background1"/>
            <w:tcMar>
              <w:top w:w="72" w:type="dxa"/>
              <w:left w:w="144" w:type="dxa"/>
              <w:bottom w:w="72" w:type="dxa"/>
              <w:right w:w="144" w:type="dxa"/>
            </w:tcMar>
            <w:vAlign w:val="center"/>
            <w:hideMark/>
          </w:tcPr>
          <w:p w14:paraId="425A6ED0" w14:textId="2825D7AA" w:rsidR="0035377A" w:rsidRPr="0069403A" w:rsidRDefault="004524DC"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8</w:t>
            </w:r>
          </w:p>
        </w:tc>
        <w:tc>
          <w:tcPr>
            <w:tcW w:w="305" w:type="pct"/>
            <w:shd w:val="clear" w:color="auto" w:fill="FFFFFF" w:themeFill="background1"/>
            <w:tcMar>
              <w:top w:w="72" w:type="dxa"/>
              <w:left w:w="144" w:type="dxa"/>
              <w:bottom w:w="72" w:type="dxa"/>
              <w:right w:w="144" w:type="dxa"/>
            </w:tcMar>
            <w:vAlign w:val="center"/>
            <w:hideMark/>
          </w:tcPr>
          <w:p w14:paraId="2259EDB1" w14:textId="4ECF65FB" w:rsidR="0035377A" w:rsidRPr="0069403A" w:rsidRDefault="004524DC"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7</w:t>
            </w:r>
          </w:p>
        </w:tc>
      </w:tr>
      <w:tr w:rsidR="00BD62B1" w:rsidRPr="0069403A" w14:paraId="543DDD32" w14:textId="77777777" w:rsidTr="007F1D07">
        <w:trPr>
          <w:trHeight w:val="283"/>
          <w:jc w:val="center"/>
        </w:trPr>
        <w:tc>
          <w:tcPr>
            <w:tcW w:w="518" w:type="pct"/>
            <w:shd w:val="clear" w:color="auto" w:fill="FFFFFF" w:themeFill="background1"/>
            <w:tcMar>
              <w:top w:w="72" w:type="dxa"/>
              <w:left w:w="144" w:type="dxa"/>
              <w:bottom w:w="72" w:type="dxa"/>
              <w:right w:w="144" w:type="dxa"/>
            </w:tcMar>
            <w:vAlign w:val="center"/>
          </w:tcPr>
          <w:p w14:paraId="7D9949C0" w14:textId="4EAC688E" w:rsidR="0035377A" w:rsidRPr="007F1D07" w:rsidRDefault="00060026" w:rsidP="00060026">
            <w:pPr>
              <w:spacing w:after="0" w:line="240" w:lineRule="auto"/>
              <w:rPr>
                <w:rFonts w:ascii="Futura Std Condensed Light" w:eastAsia="Calibri" w:hAnsi="Futura Std Condensed Light" w:cs="Calibri"/>
                <w:color w:val="595959"/>
                <w:sz w:val="14"/>
                <w:szCs w:val="14"/>
              </w:rPr>
            </w:pPr>
            <w:r w:rsidRPr="007F1D07">
              <w:rPr>
                <w:rFonts w:ascii="Futura Std Condensed Light" w:eastAsia="Calibri" w:hAnsi="Futura Std Condensed Light" w:cs="Calibri"/>
                <w:color w:val="595959"/>
                <w:sz w:val="14"/>
                <w:szCs w:val="14"/>
              </w:rPr>
              <w:t>Estrategia</w:t>
            </w:r>
          </w:p>
        </w:tc>
        <w:tc>
          <w:tcPr>
            <w:tcW w:w="743" w:type="pct"/>
            <w:shd w:val="clear" w:color="auto" w:fill="FFFFFF" w:themeFill="background1"/>
            <w:tcMar>
              <w:top w:w="72" w:type="dxa"/>
              <w:left w:w="144" w:type="dxa"/>
              <w:bottom w:w="72" w:type="dxa"/>
              <w:right w:w="144" w:type="dxa"/>
            </w:tcMar>
            <w:vAlign w:val="center"/>
          </w:tcPr>
          <w:p w14:paraId="7CAF4781" w14:textId="34EA6B59" w:rsidR="0035377A" w:rsidRPr="007F1D07" w:rsidRDefault="00060026" w:rsidP="00C2741A">
            <w:pPr>
              <w:spacing w:after="0" w:line="240" w:lineRule="auto"/>
              <w:jc w:val="center"/>
              <w:rPr>
                <w:rFonts w:ascii="Futura Std Condensed Light" w:eastAsia="Calibri" w:hAnsi="Futura Std Condensed Light" w:cs="Calibri"/>
                <w:color w:val="595959"/>
                <w:sz w:val="14"/>
                <w:szCs w:val="14"/>
              </w:rPr>
            </w:pPr>
            <w:r w:rsidRPr="007F1D07">
              <w:rPr>
                <w:rFonts w:ascii="Futura Std Condensed Light" w:eastAsia="Calibri" w:hAnsi="Futura Std Condensed Light" w:cs="Calibri"/>
                <w:color w:val="595959"/>
                <w:sz w:val="14"/>
                <w:szCs w:val="14"/>
              </w:rPr>
              <w:t>Índice de métrica de gobierno abierto en quintana roo</w:t>
            </w:r>
          </w:p>
        </w:tc>
        <w:tc>
          <w:tcPr>
            <w:tcW w:w="519" w:type="pct"/>
            <w:shd w:val="clear" w:color="auto" w:fill="FFFFFF" w:themeFill="background1"/>
            <w:tcMar>
              <w:top w:w="72" w:type="dxa"/>
              <w:left w:w="144" w:type="dxa"/>
              <w:bottom w:w="72" w:type="dxa"/>
              <w:right w:w="144" w:type="dxa"/>
            </w:tcMar>
            <w:vAlign w:val="center"/>
          </w:tcPr>
          <w:p w14:paraId="6B570A56" w14:textId="44EA71BF" w:rsidR="0035377A" w:rsidRPr="007F1D07" w:rsidRDefault="00060026" w:rsidP="00C2741A">
            <w:pPr>
              <w:spacing w:after="0" w:line="240" w:lineRule="auto"/>
              <w:jc w:val="center"/>
              <w:rPr>
                <w:rFonts w:ascii="Futura Std Condensed Light" w:eastAsia="Calibri" w:hAnsi="Futura Std Condensed Light" w:cs="Calibri"/>
                <w:color w:val="595959"/>
                <w:sz w:val="14"/>
                <w:szCs w:val="14"/>
              </w:rPr>
            </w:pPr>
            <w:r w:rsidRPr="007F1D07">
              <w:rPr>
                <w:rFonts w:ascii="Futura Std Condensed Light" w:eastAsia="Calibri" w:hAnsi="Futura Std Condensed Light" w:cs="Calibri"/>
                <w:color w:val="595959"/>
                <w:sz w:val="14"/>
                <w:szCs w:val="14"/>
              </w:rPr>
              <w:t>https://micrositios.inai.org.mx/gobiernoabierto/</w:t>
            </w:r>
          </w:p>
        </w:tc>
        <w:tc>
          <w:tcPr>
            <w:tcW w:w="595" w:type="pct"/>
            <w:shd w:val="clear" w:color="auto" w:fill="FFFFFF" w:themeFill="background1"/>
            <w:tcMar>
              <w:top w:w="72" w:type="dxa"/>
              <w:left w:w="144" w:type="dxa"/>
              <w:bottom w:w="72" w:type="dxa"/>
              <w:right w:w="144" w:type="dxa"/>
            </w:tcMar>
            <w:vAlign w:val="center"/>
          </w:tcPr>
          <w:p w14:paraId="0534636E" w14:textId="3960EB8C" w:rsidR="0035377A" w:rsidRPr="0069403A" w:rsidRDefault="007F1D07"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índice</w:t>
            </w:r>
          </w:p>
        </w:tc>
        <w:tc>
          <w:tcPr>
            <w:tcW w:w="372" w:type="pct"/>
            <w:shd w:val="clear" w:color="auto" w:fill="FFFFFF" w:themeFill="background1"/>
            <w:tcMar>
              <w:top w:w="72" w:type="dxa"/>
              <w:left w:w="144" w:type="dxa"/>
              <w:bottom w:w="72" w:type="dxa"/>
              <w:right w:w="144" w:type="dxa"/>
            </w:tcMar>
            <w:vAlign w:val="center"/>
          </w:tcPr>
          <w:p w14:paraId="45D732E0" w14:textId="68418D77" w:rsidR="0035377A" w:rsidRPr="0069403A" w:rsidRDefault="00CA01ED"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1.0</w:t>
            </w:r>
          </w:p>
        </w:tc>
        <w:tc>
          <w:tcPr>
            <w:tcW w:w="520" w:type="pct"/>
            <w:shd w:val="clear" w:color="auto" w:fill="FFFFFF" w:themeFill="background1"/>
            <w:tcMar>
              <w:top w:w="72" w:type="dxa"/>
              <w:left w:w="144" w:type="dxa"/>
              <w:bottom w:w="72" w:type="dxa"/>
              <w:right w:w="144" w:type="dxa"/>
            </w:tcMar>
            <w:vAlign w:val="center"/>
          </w:tcPr>
          <w:p w14:paraId="6BC792E4" w14:textId="42C1FB7A" w:rsidR="0035377A" w:rsidRPr="0069403A" w:rsidRDefault="00060026"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1.5</w:t>
            </w:r>
          </w:p>
        </w:tc>
        <w:tc>
          <w:tcPr>
            <w:tcW w:w="446" w:type="pct"/>
            <w:shd w:val="clear" w:color="auto" w:fill="FFFFFF" w:themeFill="background1"/>
            <w:tcMar>
              <w:top w:w="72" w:type="dxa"/>
              <w:left w:w="144" w:type="dxa"/>
              <w:bottom w:w="72" w:type="dxa"/>
              <w:right w:w="144" w:type="dxa"/>
            </w:tcMar>
            <w:vAlign w:val="center"/>
          </w:tcPr>
          <w:p w14:paraId="625B14A9" w14:textId="26D952BC" w:rsidR="0035377A" w:rsidRPr="0069403A" w:rsidRDefault="00060026"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3.5</w:t>
            </w:r>
          </w:p>
        </w:tc>
        <w:tc>
          <w:tcPr>
            <w:tcW w:w="371" w:type="pct"/>
            <w:shd w:val="clear" w:color="auto" w:fill="FFFFFF" w:themeFill="background1"/>
            <w:tcMar>
              <w:top w:w="72" w:type="dxa"/>
              <w:left w:w="144" w:type="dxa"/>
              <w:bottom w:w="72" w:type="dxa"/>
              <w:right w:w="144" w:type="dxa"/>
            </w:tcMar>
            <w:vAlign w:val="center"/>
          </w:tcPr>
          <w:p w14:paraId="5B347D85" w14:textId="7A47C0D9" w:rsidR="0035377A" w:rsidRPr="0069403A" w:rsidRDefault="00060026"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5.5</w:t>
            </w:r>
          </w:p>
        </w:tc>
        <w:tc>
          <w:tcPr>
            <w:tcW w:w="305" w:type="pct"/>
            <w:shd w:val="clear" w:color="auto" w:fill="FFFFFF" w:themeFill="background1"/>
            <w:tcMar>
              <w:top w:w="72" w:type="dxa"/>
              <w:left w:w="144" w:type="dxa"/>
              <w:bottom w:w="72" w:type="dxa"/>
              <w:right w:w="144" w:type="dxa"/>
            </w:tcMar>
            <w:vAlign w:val="center"/>
          </w:tcPr>
          <w:p w14:paraId="07C04743" w14:textId="2DBE3AC5" w:rsidR="0035377A" w:rsidRPr="0069403A" w:rsidRDefault="00060026"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6.5</w:t>
            </w:r>
          </w:p>
        </w:tc>
        <w:tc>
          <w:tcPr>
            <w:tcW w:w="305" w:type="pct"/>
            <w:shd w:val="clear" w:color="auto" w:fill="FFFFFF" w:themeFill="background1"/>
            <w:tcMar>
              <w:top w:w="72" w:type="dxa"/>
              <w:left w:w="144" w:type="dxa"/>
              <w:bottom w:w="72" w:type="dxa"/>
              <w:right w:w="144" w:type="dxa"/>
            </w:tcMar>
            <w:vAlign w:val="center"/>
          </w:tcPr>
          <w:p w14:paraId="767A970D" w14:textId="4BF484ED" w:rsidR="0035377A" w:rsidRPr="0069403A" w:rsidRDefault="00E0643D"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8.5</w:t>
            </w:r>
          </w:p>
        </w:tc>
        <w:tc>
          <w:tcPr>
            <w:tcW w:w="305" w:type="pct"/>
            <w:shd w:val="clear" w:color="auto" w:fill="FFFFFF" w:themeFill="background1"/>
            <w:tcMar>
              <w:top w:w="72" w:type="dxa"/>
              <w:left w:w="144" w:type="dxa"/>
              <w:bottom w:w="72" w:type="dxa"/>
              <w:right w:w="144" w:type="dxa"/>
            </w:tcMar>
            <w:vAlign w:val="center"/>
          </w:tcPr>
          <w:p w14:paraId="5801B306" w14:textId="7E9C68A3" w:rsidR="0035377A" w:rsidRPr="0069403A" w:rsidRDefault="00E0643D" w:rsidP="00C2741A">
            <w:pPr>
              <w:spacing w:after="0" w:line="240" w:lineRule="auto"/>
              <w:jc w:val="center"/>
              <w:rPr>
                <w:rFonts w:ascii="Futura Std Condensed Light" w:eastAsia="Calibri" w:hAnsi="Futura Std Condensed Light" w:cs="Calibri"/>
                <w:color w:val="595959"/>
                <w:sz w:val="20"/>
                <w:szCs w:val="22"/>
              </w:rPr>
            </w:pPr>
            <w:r>
              <w:rPr>
                <w:rFonts w:ascii="Futura Std Condensed Light" w:eastAsia="Calibri" w:hAnsi="Futura Std Condensed Light" w:cs="Calibri"/>
                <w:color w:val="595959"/>
                <w:sz w:val="20"/>
                <w:szCs w:val="22"/>
              </w:rPr>
              <w:t>9.5</w:t>
            </w:r>
          </w:p>
        </w:tc>
      </w:tr>
    </w:tbl>
    <w:p w14:paraId="59EDD1EB" w14:textId="628FF036" w:rsidR="00060026" w:rsidRPr="00060026" w:rsidRDefault="007F1D07" w:rsidP="00060026">
      <w:pPr>
        <w:rPr>
          <w:rFonts w:eastAsia="Times New Roman" w:cs="Futura"/>
          <w:color w:val="595959"/>
          <w:sz w:val="16"/>
        </w:rPr>
      </w:pPr>
      <w:r w:rsidRPr="00BD62B1">
        <w:rPr>
          <w:rFonts w:eastAsia="Times New Roman" w:cs="Futura"/>
          <w:color w:val="595959"/>
          <w:sz w:val="16"/>
        </w:rPr>
        <w:t>Fuente:</w:t>
      </w:r>
      <w:r w:rsidRPr="00060026">
        <w:rPr>
          <w:rFonts w:ascii="Futura Std Condensed Light" w:eastAsia="Calibri" w:hAnsi="Futura Std Condensed Light" w:cs="Calibri"/>
          <w:color w:val="595959" w:themeColor="text1" w:themeTint="A6"/>
          <w:sz w:val="20"/>
          <w:szCs w:val="20"/>
        </w:rPr>
        <w:t xml:space="preserve"> </w:t>
      </w:r>
      <w:r w:rsidR="00CA07DA" w:rsidRPr="00CA07DA">
        <w:rPr>
          <w:rFonts w:ascii="Futura Std Condensed Light" w:eastAsia="Calibri" w:hAnsi="Futura Std Condensed Light" w:cs="Calibri"/>
          <w:color w:val="595959" w:themeColor="text1" w:themeTint="A6"/>
          <w:sz w:val="20"/>
          <w:szCs w:val="20"/>
        </w:rPr>
        <w:t>Instituto Nacional de Transparencia, Acceso a la Información y Protección de Datos Personales</w:t>
      </w:r>
      <w:r w:rsidR="008A7A51">
        <w:rPr>
          <w:rFonts w:ascii="Futura Std Condensed Light" w:eastAsia="Calibri" w:hAnsi="Futura Std Condensed Light" w:cs="Calibri"/>
          <w:color w:val="595959" w:themeColor="text1" w:themeTint="A6"/>
          <w:sz w:val="20"/>
          <w:szCs w:val="20"/>
        </w:rPr>
        <w:t>, INEGI</w:t>
      </w:r>
    </w:p>
    <w:p w14:paraId="645BB635" w14:textId="55FE8705" w:rsidR="0035377A" w:rsidRDefault="0035377A" w:rsidP="0035377A">
      <w:pPr>
        <w:rPr>
          <w:rFonts w:eastAsia="Times New Roman" w:cs="Futura"/>
          <w:color w:val="595959"/>
          <w:sz w:val="16"/>
        </w:rPr>
      </w:pPr>
    </w:p>
    <w:p w14:paraId="302B086D" w14:textId="77777777" w:rsidR="00BD62B1" w:rsidRPr="00BD62B1" w:rsidRDefault="00BD62B1" w:rsidP="0035377A">
      <w:pPr>
        <w:rPr>
          <w:rFonts w:eastAsia="Times New Roman" w:cs="Futura"/>
          <w:color w:val="595959"/>
          <w:sz w:val="16"/>
        </w:rPr>
      </w:pPr>
    </w:p>
    <w:p w14:paraId="2D69F070" w14:textId="77777777" w:rsidR="0035377A" w:rsidRPr="00F765C3" w:rsidRDefault="0035377A" w:rsidP="0035377A">
      <w:pPr>
        <w:rPr>
          <w:rFonts w:eastAsia="Times New Roman" w:cs="Futura"/>
          <w:color w:val="595959"/>
        </w:rPr>
      </w:pPr>
      <w:r w:rsidRPr="00F765C3">
        <w:rPr>
          <w:rFonts w:eastAsia="Times New Roman" w:cs="Futura"/>
          <w:color w:val="595959"/>
        </w:rPr>
        <w:t>Se deberá privilegiar la elección de indicadores cuya medición sea independiente de las dependencias y entidades responsables de la ejecución de los programas, ya sean indicadores nacionales o internacionales.</w:t>
      </w:r>
    </w:p>
    <w:p w14:paraId="4ABC4B52" w14:textId="77777777" w:rsidR="006132B4" w:rsidRDefault="006132B4" w:rsidP="006132B4">
      <w:pPr>
        <w:rPr>
          <w:rFonts w:eastAsia="Times New Roman" w:cs="Futura"/>
          <w:color w:val="595959"/>
        </w:rPr>
      </w:pPr>
      <w:r w:rsidRPr="006132B4">
        <w:rPr>
          <w:rFonts w:eastAsia="Times New Roman" w:cs="Futura"/>
          <w:color w:val="595959"/>
        </w:rPr>
        <w:t>Cada indicador deberá establecer una línea base y metas 2017-2022, asegurando que dicha meta propuesta sea cuantificable y directamente relacionada con el indicador. Las metas de los indicadores del objetivo y estrategia de cada tema, deberán ser anuales, es decir, poder obtener un resultado monitoreable cada año.</w:t>
      </w:r>
    </w:p>
    <w:p w14:paraId="01D76216" w14:textId="4E6D5F9A" w:rsidR="006132B4" w:rsidRPr="006132B4" w:rsidRDefault="006132B4" w:rsidP="006132B4">
      <w:pPr>
        <w:rPr>
          <w:rFonts w:eastAsia="Times New Roman" w:cs="Futura"/>
          <w:color w:val="595959"/>
        </w:rPr>
      </w:pPr>
      <w:r w:rsidRPr="006132B4">
        <w:rPr>
          <w:rFonts w:eastAsia="Times New Roman" w:cs="Futura"/>
          <w:color w:val="595959"/>
        </w:rPr>
        <w:t>Los Programas Institucionales deberán incluir indicadores de gestión de sus acciones.</w:t>
      </w:r>
    </w:p>
    <w:p w14:paraId="5E73C43A" w14:textId="789D3C16" w:rsidR="006132B4" w:rsidRPr="006132B4" w:rsidRDefault="006132B4" w:rsidP="006132B4">
      <w:pPr>
        <w:rPr>
          <w:rFonts w:eastAsia="Times New Roman" w:cs="Futura"/>
          <w:color w:val="595959"/>
        </w:rPr>
      </w:pPr>
      <w:r w:rsidRPr="006132B4">
        <w:rPr>
          <w:rFonts w:eastAsia="Times New Roman" w:cs="Futura"/>
          <w:color w:val="595959"/>
        </w:rPr>
        <w:t>Para las líneas de acción del Programa, se definirán indicadores de gestión que concretarán los entregables (bienes/servicios) que se deberán producir al realizar la acción propuesta, mediante la ficha siguiente.</w:t>
      </w:r>
    </w:p>
    <w:p w14:paraId="23F5E00B" w14:textId="77777777" w:rsidR="004411C2" w:rsidRDefault="004411C2" w:rsidP="004411C2">
      <w:pPr>
        <w:jc w:val="center"/>
        <w:rPr>
          <w:rFonts w:eastAsia="Arial" w:cs="Times New Roman"/>
          <w:b/>
          <w:color w:val="4BACC6" w:themeColor="accent5"/>
        </w:rPr>
      </w:pPr>
    </w:p>
    <w:p w14:paraId="6EE856C9" w14:textId="77777777" w:rsidR="004411C2" w:rsidRDefault="004411C2" w:rsidP="004411C2">
      <w:pPr>
        <w:jc w:val="center"/>
        <w:rPr>
          <w:rFonts w:eastAsia="Arial" w:cs="Times New Roman"/>
          <w:b/>
          <w:color w:val="4BACC6" w:themeColor="accent5"/>
        </w:rPr>
      </w:pPr>
      <w:r w:rsidRPr="004411C2">
        <w:rPr>
          <w:rFonts w:eastAsia="Arial" w:cs="Times New Roman"/>
          <w:b/>
          <w:color w:val="4BACC6" w:themeColor="accent5"/>
        </w:rPr>
        <w:t>Entregable y meta de la línea de acción 15 “Atender de manera oportuna, todos los requerimientos de información efectuados por la ciudadanía”.</w:t>
      </w:r>
    </w:p>
    <w:p w14:paraId="29E95107" w14:textId="77777777" w:rsidR="004411C2" w:rsidRPr="004411C2" w:rsidRDefault="004411C2" w:rsidP="004411C2">
      <w:pPr>
        <w:rPr>
          <w:rFonts w:eastAsia="Times New Roman" w:cs="Futura"/>
          <w:color w:val="595959" w:themeColor="text1" w:themeTint="A6"/>
        </w:rPr>
      </w:pPr>
      <w:r w:rsidRPr="004411C2">
        <w:rPr>
          <w:rFonts w:eastAsia="Times New Roman" w:cs="Futura"/>
          <w:color w:val="595959" w:themeColor="text1" w:themeTint="A6"/>
        </w:rPr>
        <w:t xml:space="preserve">A continuación se presenta el entregable y meta de la línea de acción seleccionada del programa13 “Gobierno Transparente y de Puertas Abiertas”, el cual es el Índice Nacional de los órganos Garantes del Derecho de Acceso a la Información el cual tiene como objetivo fortalecer los </w:t>
      </w:r>
      <w:r w:rsidRPr="004411C2">
        <w:rPr>
          <w:rFonts w:eastAsia="Times New Roman" w:cs="Futura"/>
          <w:color w:val="595959" w:themeColor="text1" w:themeTint="A6"/>
        </w:rPr>
        <w:lastRenderedPageBreak/>
        <w:t>mecanismos de rendición de cuentas, promoción del derecho de acceso a la información y resolución de controversias de los órganos garantes del Derecho de Acceso a la Información.</w:t>
      </w:r>
    </w:p>
    <w:p w14:paraId="76D63C73" w14:textId="77777777" w:rsidR="004411C2" w:rsidRPr="004411C2" w:rsidRDefault="004411C2" w:rsidP="004411C2">
      <w:pPr>
        <w:rPr>
          <w:rFonts w:eastAsia="Times New Roman" w:cs="Futura"/>
          <w:color w:val="595959" w:themeColor="text1" w:themeTint="A6"/>
        </w:rPr>
      </w:pPr>
      <w:r w:rsidRPr="004411C2">
        <w:rPr>
          <w:rFonts w:eastAsia="Times New Roman" w:cs="Futura"/>
          <w:color w:val="595959" w:themeColor="text1" w:themeTint="A6"/>
        </w:rPr>
        <w:t>Así mismo se presentan las metas proyectadas para este indicador comprendidas en el periodo 2016-2022.</w:t>
      </w:r>
    </w:p>
    <w:p w14:paraId="2AA0C7C9" w14:textId="77777777" w:rsidR="004411C2" w:rsidRPr="004411C2" w:rsidRDefault="004411C2" w:rsidP="004411C2">
      <w:pPr>
        <w:jc w:val="left"/>
        <w:rPr>
          <w:rFonts w:eastAsia="Arial" w:cs="Times New Roman"/>
          <w:b/>
          <w:color w:val="4BACC6" w:themeColor="accent5"/>
        </w:rPr>
      </w:pPr>
    </w:p>
    <w:p w14:paraId="5E4AF042" w14:textId="62564DDC" w:rsidR="006132B4" w:rsidRPr="00F765C3" w:rsidRDefault="006132B4" w:rsidP="006132B4">
      <w:pPr>
        <w:jc w:val="center"/>
        <w:rPr>
          <w:rFonts w:eastAsia="Arial" w:cs="Times New Roman"/>
          <w:b/>
          <w:color w:val="4BACC6" w:themeColor="accent5"/>
        </w:rPr>
      </w:pPr>
    </w:p>
    <w:tbl>
      <w:tblPr>
        <w:tblW w:w="4856" w:type="pct"/>
        <w:jc w:val="center"/>
        <w:tblCellMar>
          <w:left w:w="0" w:type="dxa"/>
          <w:right w:w="0" w:type="dxa"/>
        </w:tblCellMar>
        <w:tblLook w:val="0420" w:firstRow="1" w:lastRow="0" w:firstColumn="0" w:lastColumn="0" w:noHBand="0" w:noVBand="1"/>
      </w:tblPr>
      <w:tblGrid>
        <w:gridCol w:w="1469"/>
        <w:gridCol w:w="644"/>
        <w:gridCol w:w="697"/>
        <w:gridCol w:w="560"/>
        <w:gridCol w:w="1589"/>
        <w:gridCol w:w="1502"/>
        <w:gridCol w:w="703"/>
        <w:gridCol w:w="982"/>
        <w:gridCol w:w="1406"/>
      </w:tblGrid>
      <w:tr w:rsidR="006132B4" w:rsidRPr="0069403A" w14:paraId="155B2701" w14:textId="77777777" w:rsidTr="006F51BC">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hideMark/>
          </w:tcPr>
          <w:p w14:paraId="213A326B"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hideMark/>
          </w:tcPr>
          <w:p w14:paraId="50ACEF0A" w14:textId="2E894859" w:rsidR="006132B4" w:rsidRPr="0069403A" w:rsidRDefault="006132B4" w:rsidP="00BE77E6">
            <w:pPr>
              <w:spacing w:after="0" w:line="240" w:lineRule="auto"/>
              <w:rPr>
                <w:rFonts w:ascii="Futura Std Condensed Light" w:eastAsia="Calibri" w:hAnsi="Futura Std Condensed Light" w:cs="Calibri"/>
                <w:color w:val="595959"/>
                <w:sz w:val="20"/>
                <w:szCs w:val="20"/>
              </w:rPr>
            </w:pPr>
            <w:r w:rsidRPr="0069403A">
              <w:rPr>
                <w:rFonts w:ascii="Futura Std Condensed Light" w:eastAsia="Calibri" w:hAnsi="Futura Std Condensed Light" w:cs="Calibri"/>
                <w:i/>
                <w:color w:val="595959"/>
                <w:sz w:val="20"/>
                <w:szCs w:val="20"/>
              </w:rPr>
              <w:t>No. y Nombre</w:t>
            </w:r>
            <w:r w:rsidR="00BE77E6">
              <w:rPr>
                <w:rFonts w:ascii="Futura Std Condensed Light" w:eastAsia="Calibri" w:hAnsi="Futura Std Condensed Light" w:cs="Calibri"/>
                <w:i/>
                <w:color w:val="595959"/>
                <w:sz w:val="20"/>
                <w:szCs w:val="20"/>
              </w:rPr>
              <w:t>: 17</w:t>
            </w:r>
            <w:r w:rsidR="004411C2">
              <w:rPr>
                <w:rFonts w:ascii="Futura Std Condensed Light" w:eastAsia="Calibri" w:hAnsi="Futura Std Condensed Light" w:cs="Calibri"/>
                <w:i/>
                <w:color w:val="595959"/>
                <w:sz w:val="20"/>
                <w:szCs w:val="20"/>
              </w:rPr>
              <w:t xml:space="preserve"> </w:t>
            </w:r>
            <w:r w:rsidR="00BE77E6" w:rsidRPr="00BE77E6">
              <w:rPr>
                <w:rFonts w:ascii="Futura Std Condensed Light" w:eastAsia="Calibri" w:hAnsi="Futura Std Condensed Light" w:cs="Calibri"/>
                <w:i/>
                <w:color w:val="595959"/>
                <w:sz w:val="20"/>
                <w:szCs w:val="20"/>
              </w:rPr>
              <w:t>Atender las quejas y denuncias ciudadanas presentadas con relación al funcionamiento del gobierno.</w:t>
            </w:r>
          </w:p>
        </w:tc>
      </w:tr>
      <w:tr w:rsidR="006132B4" w:rsidRPr="0069403A" w14:paraId="6581E8DA" w14:textId="77777777" w:rsidTr="00822F66">
        <w:trPr>
          <w:trHeight w:val="487"/>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4F41911"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3729ADD" w14:textId="5AAFEABE" w:rsidR="006132B4" w:rsidRPr="0069403A" w:rsidRDefault="004411C2" w:rsidP="006F51BC">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Personas Atendidas</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EABC329" w14:textId="77777777" w:rsidR="006132B4" w:rsidRPr="0069403A" w:rsidRDefault="006132B4" w:rsidP="006F51BC">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E6AE28B" w14:textId="45A20F6E" w:rsidR="006132B4" w:rsidRPr="0069403A" w:rsidRDefault="004411C2" w:rsidP="006F51BC">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Personas</w:t>
            </w:r>
          </w:p>
        </w:tc>
      </w:tr>
      <w:tr w:rsidR="006132B4" w:rsidRPr="0069403A" w14:paraId="62C1B72B" w14:textId="77777777" w:rsidTr="006F51BC">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3CEE4DD"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32EBAD0" w14:textId="04D26F9B" w:rsidR="006132B4" w:rsidRPr="0069403A" w:rsidRDefault="004411C2" w:rsidP="006F51BC">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Mide el número de personas atendidas en el instituto (IDAIPQROO) referente a la Ley General de Transparencia, la protección de Datos personales en posesión de sujetos obligados y el sistema institucional de archivos</w:t>
            </w:r>
          </w:p>
        </w:tc>
      </w:tr>
      <w:tr w:rsidR="006132B4" w:rsidRPr="0069403A" w14:paraId="6A5C5F71" w14:textId="77777777" w:rsidTr="00BC3B73">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C9CE555"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112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6A16B941" w14:textId="6F57E499" w:rsidR="006132B4" w:rsidRPr="0069403A" w:rsidRDefault="004411C2" w:rsidP="006F51BC">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Informe IDAIPQROO</w:t>
            </w:r>
          </w:p>
        </w:tc>
        <w:tc>
          <w:tcPr>
            <w:tcW w:w="2404"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4CDE87B" w14:textId="77777777" w:rsidR="006132B4" w:rsidRPr="0069403A" w:rsidRDefault="006132B4" w:rsidP="006F51BC">
            <w:pPr>
              <w:spacing w:after="0" w:line="240" w:lineRule="auto"/>
              <w:rPr>
                <w:rFonts w:ascii="Futura Std Condensed Light" w:eastAsia="Calibri" w:hAnsi="Futura Std Condensed Light" w:cs="Calibri"/>
                <w:color w:val="595959"/>
                <w:sz w:val="20"/>
                <w:szCs w:val="20"/>
              </w:rPr>
            </w:pPr>
          </w:p>
        </w:tc>
      </w:tr>
      <w:tr w:rsidR="006132B4" w:rsidRPr="0069403A" w14:paraId="52A1D936" w14:textId="77777777" w:rsidTr="00BC3B73">
        <w:trPr>
          <w:trHeight w:val="283"/>
          <w:jc w:val="center"/>
        </w:trPr>
        <w:tc>
          <w:tcPr>
            <w:tcW w:w="1471"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4C66B0F"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base:</w:t>
            </w:r>
          </w:p>
        </w:tc>
        <w:tc>
          <w:tcPr>
            <w:tcW w:w="112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7B0605B2" w14:textId="19E9C383" w:rsidR="006132B4" w:rsidRPr="0069403A" w:rsidRDefault="004411C2" w:rsidP="006F51BC">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17,622</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1158968" w14:textId="77777777" w:rsidR="006132B4" w:rsidRPr="0069403A" w:rsidRDefault="006132B4" w:rsidP="006F51BC">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2452B7B" w14:textId="37FE2ADE" w:rsidR="006132B4" w:rsidRPr="0069403A" w:rsidRDefault="004411C2" w:rsidP="006F51BC">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2016</w:t>
            </w:r>
          </w:p>
        </w:tc>
      </w:tr>
      <w:tr w:rsidR="006132B4" w:rsidRPr="0069403A" w14:paraId="535241F8" w14:textId="77777777" w:rsidTr="006F51BC">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616CA0E"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6132B4" w:rsidRPr="0069403A" w14:paraId="54E8624D" w14:textId="77777777" w:rsidTr="00BC3B73">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5B99A7E"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C688D9F"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2018</w:t>
            </w:r>
          </w:p>
        </w:tc>
        <w:tc>
          <w:tcPr>
            <w:tcW w:w="831"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20DC8EE"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5E226D6"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FF88116"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B7CFC51" w14:textId="77777777" w:rsidR="006132B4" w:rsidRPr="0069403A" w:rsidRDefault="006132B4" w:rsidP="006F51BC">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2022</w:t>
            </w:r>
          </w:p>
        </w:tc>
      </w:tr>
      <w:tr w:rsidR="006132B4" w:rsidRPr="0069403A" w14:paraId="2B75538B" w14:textId="77777777" w:rsidTr="00BC3B73">
        <w:trPr>
          <w:trHeight w:val="283"/>
          <w:jc w:val="center"/>
        </w:trPr>
        <w:tc>
          <w:tcPr>
            <w:tcW w:w="769"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2100A9F" w14:textId="2CBF5BEB" w:rsidR="006132B4" w:rsidRPr="0069403A" w:rsidRDefault="004411C2" w:rsidP="006F51BC">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17,622</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C74701E" w14:textId="443614F9" w:rsidR="006132B4" w:rsidRPr="0069403A" w:rsidRDefault="004411C2" w:rsidP="006F51BC">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18,600</w:t>
            </w:r>
          </w:p>
        </w:tc>
        <w:tc>
          <w:tcPr>
            <w:tcW w:w="831"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9FE2090" w14:textId="69CF5CB0" w:rsidR="006132B4" w:rsidRPr="0069403A" w:rsidRDefault="004411C2" w:rsidP="006F51BC">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19,200</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5342348" w14:textId="5323A9AC" w:rsidR="006132B4" w:rsidRPr="0069403A" w:rsidRDefault="004411C2" w:rsidP="006F51BC">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19,600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C3A5B5F" w14:textId="1A310E3E" w:rsidR="006132B4" w:rsidRPr="0069403A" w:rsidRDefault="004411C2" w:rsidP="006F51BC">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20,000</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5D019A9" w14:textId="71E83B07" w:rsidR="006132B4" w:rsidRPr="0069403A" w:rsidRDefault="004411C2" w:rsidP="006F51BC">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20,600</w:t>
            </w:r>
          </w:p>
        </w:tc>
      </w:tr>
    </w:tbl>
    <w:p w14:paraId="4F12CB98" w14:textId="77777777" w:rsidR="006132B4" w:rsidRPr="00F765C3" w:rsidRDefault="006132B4" w:rsidP="006132B4">
      <w:pPr>
        <w:rPr>
          <w:rFonts w:eastAsia="Times New Roman" w:cs="Futura"/>
          <w:color w:val="595959"/>
          <w:sz w:val="16"/>
        </w:rPr>
      </w:pPr>
      <w:r w:rsidRPr="00F765C3">
        <w:rPr>
          <w:rFonts w:eastAsia="Times New Roman" w:cs="Futura"/>
          <w:color w:val="595959"/>
          <w:sz w:val="16"/>
        </w:rPr>
        <w:t>Fuente:</w:t>
      </w:r>
    </w:p>
    <w:p w14:paraId="40787E14" w14:textId="77777777" w:rsidR="006132B4" w:rsidRDefault="006132B4">
      <w:pPr>
        <w:spacing w:after="0" w:line="240" w:lineRule="auto"/>
        <w:jc w:val="left"/>
        <w:rPr>
          <w:rFonts w:eastAsia="Times New Roman" w:cs="Futura"/>
          <w:color w:val="595959"/>
        </w:rPr>
      </w:pPr>
    </w:p>
    <w:p w14:paraId="11227A23" w14:textId="77777777" w:rsidR="0069403A" w:rsidRDefault="0069403A" w:rsidP="0069403A">
      <w:pPr>
        <w:pStyle w:val="Ttulo1"/>
      </w:pPr>
    </w:p>
    <w:p w14:paraId="72B43AD2" w14:textId="1DFDE5B3" w:rsidR="006132B4" w:rsidRDefault="006132B4">
      <w:pPr>
        <w:spacing w:after="0" w:line="240" w:lineRule="auto"/>
        <w:jc w:val="left"/>
        <w:rPr>
          <w:rFonts w:eastAsia="Times New Roman" w:cs="Times New Roman"/>
          <w:b/>
          <w:color w:val="0D0D0D" w:themeColor="text1" w:themeTint="F2"/>
          <w:sz w:val="44"/>
          <w:szCs w:val="20"/>
        </w:rPr>
      </w:pPr>
      <w:r>
        <w:br w:type="page"/>
      </w:r>
    </w:p>
    <w:p w14:paraId="3061BAF3" w14:textId="77777777" w:rsidR="0069403A" w:rsidRDefault="0069403A" w:rsidP="0069403A">
      <w:pPr>
        <w:pStyle w:val="Ttulo"/>
      </w:pPr>
    </w:p>
    <w:p w14:paraId="07418DA4" w14:textId="77777777" w:rsidR="0069403A" w:rsidRDefault="0069403A" w:rsidP="0069403A">
      <w:pPr>
        <w:pStyle w:val="Ttulo"/>
      </w:pPr>
    </w:p>
    <w:p w14:paraId="78E39016" w14:textId="77777777" w:rsidR="0069403A" w:rsidRDefault="0069403A" w:rsidP="0069403A">
      <w:pPr>
        <w:pStyle w:val="Ttulo"/>
      </w:pPr>
    </w:p>
    <w:p w14:paraId="4D1B8F15" w14:textId="77777777" w:rsidR="0069403A" w:rsidRDefault="0069403A" w:rsidP="0069403A">
      <w:pPr>
        <w:pStyle w:val="Ttulo"/>
      </w:pPr>
    </w:p>
    <w:p w14:paraId="354CF278" w14:textId="094503B0" w:rsidR="0069403A" w:rsidRDefault="0069403A" w:rsidP="0069403A">
      <w:pPr>
        <w:pStyle w:val="Ttulo"/>
        <w:rPr>
          <w:color w:val="4BACC6"/>
        </w:rPr>
      </w:pPr>
      <w:r w:rsidRPr="0069403A">
        <w:rPr>
          <w:color w:val="4BACC6"/>
        </w:rPr>
        <w:t>MECANISMOS DE FINANCIAMIENTO</w:t>
      </w:r>
      <w:r w:rsidRPr="00695E2D">
        <w:rPr>
          <w:color w:val="4BACC6"/>
        </w:rPr>
        <w:t xml:space="preserve"> </w:t>
      </w:r>
    </w:p>
    <w:p w14:paraId="7FCD3ED9" w14:textId="3A63823E" w:rsidR="0069403A" w:rsidRDefault="0069403A" w:rsidP="0069403A">
      <w:pPr>
        <w:pStyle w:val="Ttulo"/>
        <w:rPr>
          <w:color w:val="4BACC6"/>
        </w:rPr>
      </w:pPr>
    </w:p>
    <w:p w14:paraId="7D388E2B" w14:textId="77777777" w:rsidR="0069403A" w:rsidRDefault="0069403A">
      <w:pPr>
        <w:spacing w:after="0" w:line="240" w:lineRule="auto"/>
        <w:jc w:val="left"/>
        <w:rPr>
          <w:rFonts w:eastAsia="Times New Roman" w:cs="Times New Roman"/>
          <w:b/>
          <w:bCs/>
          <w:caps/>
          <w:color w:val="4BACC6"/>
          <w:sz w:val="32"/>
          <w:szCs w:val="28"/>
          <w:lang w:val="es-MX" w:eastAsia="en-US"/>
        </w:rPr>
      </w:pPr>
      <w:r>
        <w:rPr>
          <w:color w:val="4BACC6"/>
        </w:rPr>
        <w:br w:type="page"/>
      </w:r>
    </w:p>
    <w:p w14:paraId="7703B7F1" w14:textId="77777777" w:rsidR="00E0460C" w:rsidRDefault="00E0460C" w:rsidP="0069403A">
      <w:pPr>
        <w:pStyle w:val="Ttulo1"/>
      </w:pPr>
    </w:p>
    <w:p w14:paraId="7FF0F826" w14:textId="77777777" w:rsidR="00E0460C" w:rsidRDefault="00E0460C" w:rsidP="00C2741A">
      <w:pPr>
        <w:pStyle w:val="Ttulo1"/>
      </w:pPr>
    </w:p>
    <w:p w14:paraId="5A6CCA9B" w14:textId="77777777" w:rsidR="00E0460C" w:rsidRDefault="00E0460C" w:rsidP="00C2741A">
      <w:pPr>
        <w:pStyle w:val="Ttulo1"/>
      </w:pPr>
    </w:p>
    <w:p w14:paraId="1AA57F71" w14:textId="77777777" w:rsidR="00E0460C" w:rsidRDefault="00E0460C" w:rsidP="00C2741A">
      <w:pPr>
        <w:pStyle w:val="Ttulo1"/>
      </w:pPr>
    </w:p>
    <w:p w14:paraId="5A16D170" w14:textId="77777777" w:rsidR="00E0460C" w:rsidRDefault="00E0460C" w:rsidP="00C2741A">
      <w:pPr>
        <w:pStyle w:val="Ttulo1"/>
      </w:pPr>
    </w:p>
    <w:p w14:paraId="386DA927" w14:textId="77777777" w:rsidR="00E0460C" w:rsidRDefault="00E0460C" w:rsidP="00C2741A">
      <w:pPr>
        <w:pStyle w:val="Ttulo1"/>
      </w:pPr>
    </w:p>
    <w:p w14:paraId="7DC5E33D" w14:textId="7DB315D5" w:rsidR="00C2741A" w:rsidRDefault="00C2741A" w:rsidP="00C2741A">
      <w:pPr>
        <w:pStyle w:val="Ttulo1"/>
      </w:pPr>
      <w:bookmarkStart w:id="16" w:name="_Toc477971062"/>
      <w:r>
        <w:t xml:space="preserve">XIII. </w:t>
      </w:r>
      <w:r w:rsidRPr="00F765C3">
        <w:t xml:space="preserve">MECANISMOS DE FINANCIAMIENTO </w:t>
      </w:r>
      <w:bookmarkEnd w:id="16"/>
    </w:p>
    <w:p w14:paraId="2BABA627" w14:textId="77777777" w:rsidR="00C2741A" w:rsidRPr="00F765C3" w:rsidRDefault="00C2741A" w:rsidP="00C2741A">
      <w:pPr>
        <w:rPr>
          <w:rFonts w:eastAsia="Times New Roman" w:cs="Futura"/>
          <w:color w:val="595959"/>
        </w:rPr>
      </w:pPr>
    </w:p>
    <w:p w14:paraId="10E3A96D" w14:textId="77777777" w:rsidR="004411C2" w:rsidRPr="004411C2" w:rsidRDefault="004411C2" w:rsidP="004411C2">
      <w:pPr>
        <w:keepNext/>
        <w:keepLines/>
        <w:outlineLvl w:val="0"/>
        <w:rPr>
          <w:rFonts w:eastAsia="Times New Roman" w:cs="Times New Roman"/>
          <w:bCs/>
          <w:color w:val="595959" w:themeColor="text1" w:themeTint="A6"/>
          <w:lang w:val="es-MX" w:eastAsia="en-US"/>
        </w:rPr>
      </w:pPr>
      <w:r w:rsidRPr="004411C2">
        <w:rPr>
          <w:rFonts w:eastAsia="Times New Roman" w:cs="Times New Roman"/>
          <w:bCs/>
          <w:color w:val="595959" w:themeColor="text1" w:themeTint="A6"/>
          <w:lang w:val="es-MX" w:eastAsia="en-US"/>
        </w:rPr>
        <w:t xml:space="preserve">El origen de los recursos para realizar el Programa Institucional de Promoción , Fomento y Garantía del Derecho de Acceso a la Información Pública y la Protección de Datos Personales en el Estado de Quintana Roo se obtiene de las asignaciones presupuestarias  asignadas a  los capítulos 1000 Servicios Personales, 2000 Materiales y Suministros,3000 Servicios Generales y 5000 Bienes Muebles, Inmuebles e Intangibles según el   programa operativo anual de este Órgano Garante,  a través de la fuente de financiamiento denominada recursos estatales, que son los recursos por subsidios, asignaciones presupuestarias y fondos derivados de la ley de Ingresos del Estado y Presupuesto de Egresos Estatal. </w:t>
      </w:r>
    </w:p>
    <w:p w14:paraId="08E76310" w14:textId="77777777" w:rsidR="004411C2" w:rsidRPr="004411C2" w:rsidRDefault="004411C2" w:rsidP="004411C2">
      <w:pPr>
        <w:rPr>
          <w:color w:val="595959" w:themeColor="text1" w:themeTint="A6"/>
          <w:lang w:val="es-MX" w:eastAsia="en-US"/>
        </w:rPr>
      </w:pPr>
    </w:p>
    <w:p w14:paraId="0F85BC43" w14:textId="6E9B8E9A" w:rsidR="00E0460C" w:rsidRDefault="00C2741A" w:rsidP="00C2741A">
      <w:pPr>
        <w:pStyle w:val="Ttulo1"/>
      </w:pPr>
      <w:r w:rsidRPr="00F765C3">
        <w:br w:type="page"/>
      </w:r>
    </w:p>
    <w:p w14:paraId="1894162E" w14:textId="77777777" w:rsidR="00E0460C" w:rsidRDefault="00E0460C" w:rsidP="00C2741A">
      <w:pPr>
        <w:pStyle w:val="Ttulo1"/>
      </w:pPr>
    </w:p>
    <w:p w14:paraId="1446A206" w14:textId="119B5F7B" w:rsidR="00C2741A" w:rsidRPr="00F765C3" w:rsidRDefault="00C2741A" w:rsidP="00C2741A">
      <w:pPr>
        <w:pStyle w:val="Ttulo1"/>
      </w:pPr>
      <w:bookmarkStart w:id="17" w:name="_Toc477971063"/>
      <w:r>
        <w:t xml:space="preserve">XIV. </w:t>
      </w:r>
      <w:r w:rsidRPr="00F765C3">
        <w:t>LOS DEMÁS ASPECTOS QUE SEAN NECESARIOS PARA EL LOGRO DEL OBJETIVO DEL PROGRAMA</w:t>
      </w:r>
      <w:bookmarkEnd w:id="17"/>
    </w:p>
    <w:p w14:paraId="37EE6CF2" w14:textId="77777777" w:rsidR="00175EF3" w:rsidRPr="00175EF3" w:rsidRDefault="00175EF3" w:rsidP="00715ACF">
      <w:pPr>
        <w:rPr>
          <w:b/>
          <w:color w:val="31849B" w:themeColor="accent5" w:themeShade="BF"/>
          <w:lang w:val="es-MX" w:eastAsia="en-US"/>
        </w:rPr>
      </w:pPr>
    </w:p>
    <w:p w14:paraId="50D64AEB" w14:textId="77777777" w:rsidR="00175EF3" w:rsidRPr="00175EF3" w:rsidRDefault="00175EF3" w:rsidP="00715ACF">
      <w:pPr>
        <w:rPr>
          <w:b/>
          <w:color w:val="000000" w:themeColor="text1"/>
          <w:sz w:val="28"/>
          <w:szCs w:val="28"/>
        </w:rPr>
      </w:pPr>
      <w:r w:rsidRPr="00175EF3">
        <w:rPr>
          <w:b/>
          <w:color w:val="000000" w:themeColor="text1"/>
          <w:sz w:val="28"/>
          <w:szCs w:val="28"/>
        </w:rPr>
        <w:t>ACCIONES REALIZADAS POR EL IDAIPQROO, PARA EL CUMPLIMIENTO DE LAS NUEVAS DISPOSICIONES EMANADAS DE LA LEY ESTATAL DE TRANSPARENCIA</w:t>
      </w:r>
    </w:p>
    <w:p w14:paraId="4804EC64" w14:textId="77777777" w:rsidR="00175EF3" w:rsidRPr="00175EF3" w:rsidRDefault="00175EF3" w:rsidP="00715ACF">
      <w:pPr>
        <w:rPr>
          <w:rFonts w:eastAsia="Times New Roman" w:cs="Times New Roman"/>
          <w:b/>
          <w:noProof/>
          <w:color w:val="595959" w:themeColor="text1" w:themeTint="A6"/>
          <w:lang w:eastAsia="es-MX"/>
        </w:rPr>
      </w:pPr>
      <w:r w:rsidRPr="00175EF3">
        <w:rPr>
          <w:b/>
          <w:color w:val="595959" w:themeColor="text1" w:themeTint="A6"/>
        </w:rPr>
        <w:t>Instalación del Comité de Transparencia del IDAIPQROO</w:t>
      </w:r>
    </w:p>
    <w:p w14:paraId="7FED9C0E" w14:textId="77777777" w:rsidR="00175EF3" w:rsidRPr="00175EF3" w:rsidRDefault="00175EF3" w:rsidP="00715ACF">
      <w:pPr>
        <w:rPr>
          <w:color w:val="595959" w:themeColor="text1" w:themeTint="A6"/>
        </w:rPr>
      </w:pPr>
      <w:r w:rsidRPr="00175EF3">
        <w:rPr>
          <w:bCs/>
          <w:color w:val="595959" w:themeColor="text1" w:themeTint="A6"/>
        </w:rPr>
        <w:t>Entre las obligaciones establecidas a los Sujetos Obligados en la Ley de Transparencia del Estado, se impuso el c</w:t>
      </w:r>
      <w:r w:rsidRPr="00175EF3">
        <w:rPr>
          <w:color w:val="595959" w:themeColor="text1" w:themeTint="A6"/>
        </w:rPr>
        <w:t>onstituir e instalar sus respectivos Comités de Transparencia, siendo estos los órganos colegiados responsables de coordinar y realizar las acciones necesarias para hacer efectivo los derechos de Acceso a la Información, Protección de Datos Personales y Archivos; en términos de lo dispuesto tiene como referencia el artículo 62 de la citada Ley.</w:t>
      </w:r>
    </w:p>
    <w:p w14:paraId="5988BC38" w14:textId="77777777" w:rsidR="00175EF3" w:rsidRPr="00175EF3" w:rsidRDefault="00175EF3" w:rsidP="00715ACF">
      <w:pPr>
        <w:rPr>
          <w:color w:val="595959" w:themeColor="text1" w:themeTint="A6"/>
          <w:lang w:val="es-ES"/>
        </w:rPr>
      </w:pPr>
      <w:r w:rsidRPr="00175EF3">
        <w:rPr>
          <w:color w:val="595959" w:themeColor="text1" w:themeTint="A6"/>
        </w:rPr>
        <w:t xml:space="preserve">En el marco de lo anterior, </w:t>
      </w:r>
      <w:r w:rsidRPr="00175EF3">
        <w:rPr>
          <w:color w:val="595959" w:themeColor="text1" w:themeTint="A6"/>
          <w:lang w:val="es-ES"/>
        </w:rPr>
        <w:t xml:space="preserve">el Instituto de Acceso a la Información y Protección de Datos Personales de Quintana Roo </w:t>
      </w:r>
      <w:r w:rsidRPr="00175EF3">
        <w:rPr>
          <w:color w:val="595959" w:themeColor="text1" w:themeTint="A6"/>
        </w:rPr>
        <w:t>integro</w:t>
      </w:r>
      <w:r w:rsidRPr="00175EF3">
        <w:rPr>
          <w:color w:val="595959" w:themeColor="text1" w:themeTint="A6"/>
          <w:lang w:val="es-ES"/>
        </w:rPr>
        <w:t xml:space="preserve"> e instalo de igual forma su  Comité de Transparencia </w:t>
      </w:r>
      <w:r w:rsidRPr="00175EF3">
        <w:rPr>
          <w:color w:val="595959" w:themeColor="text1" w:themeTint="A6"/>
        </w:rPr>
        <w:t xml:space="preserve">el </w:t>
      </w:r>
      <w:r w:rsidRPr="00175EF3">
        <w:rPr>
          <w:color w:val="595959" w:themeColor="text1" w:themeTint="A6"/>
          <w:lang w:val="es-ES"/>
        </w:rPr>
        <w:t>2 de junio del 2016.</w:t>
      </w:r>
    </w:p>
    <w:p w14:paraId="6DA9A95A" w14:textId="77777777" w:rsidR="00175EF3" w:rsidRPr="00175EF3" w:rsidRDefault="00175EF3" w:rsidP="00715ACF">
      <w:pPr>
        <w:rPr>
          <w:b/>
          <w:color w:val="595959" w:themeColor="text1" w:themeTint="A6"/>
        </w:rPr>
      </w:pPr>
      <w:r w:rsidRPr="00175EF3">
        <w:rPr>
          <w:b/>
          <w:color w:val="595959" w:themeColor="text1" w:themeTint="A6"/>
        </w:rPr>
        <w:t>Sistema Nacional de Transparencia</w:t>
      </w:r>
    </w:p>
    <w:p w14:paraId="20D2C8F3" w14:textId="77777777" w:rsidR="00175EF3" w:rsidRPr="00175EF3" w:rsidRDefault="00175EF3" w:rsidP="00715ACF">
      <w:pPr>
        <w:rPr>
          <w:color w:val="595959" w:themeColor="text1" w:themeTint="A6"/>
        </w:rPr>
      </w:pPr>
      <w:r w:rsidRPr="00175EF3">
        <w:rPr>
          <w:color w:val="595959" w:themeColor="text1" w:themeTint="A6"/>
        </w:rPr>
        <w:t>La LGTAIP establece entre sus disposiciones, la integración, organización y funcionamiento del Sistema Nacional de Transparencia, Acceso a la Información Pública y Protección de Datos Personales (SNT), como una instancia de coordinación y deliberación que agrupa a los diferentes órganos garantes de las Entidades Federativas, a la Auditoría Superior de la Federación, al Archivo General de la Nación y al Instituto Nacional de Estadística y Geografía; con el objetivo de conducir las acciones derivadas de la política pública en materia de Transparencia, Acceso a la Información Pública y Protección de Datos Personales de manera integral, ordenada y articulada, desde una visión nacional que garantice el efectivo ejercicio y respeto de estos derechos.</w:t>
      </w:r>
    </w:p>
    <w:p w14:paraId="5173D171" w14:textId="77777777" w:rsidR="00175EF3" w:rsidRPr="00175EF3" w:rsidRDefault="00175EF3" w:rsidP="00715ACF">
      <w:pPr>
        <w:rPr>
          <w:color w:val="595959" w:themeColor="text1" w:themeTint="A6"/>
        </w:rPr>
      </w:pPr>
      <w:r w:rsidRPr="00175EF3">
        <w:rPr>
          <w:color w:val="595959" w:themeColor="text1" w:themeTint="A6"/>
        </w:rPr>
        <w:t>Durante el año 2016, el Sistema Nacional de Transparencia (SNT) dio continuidad a los trabajos en favor de la plena inserción de los nuevos mandatos de la Ley General de Transparencia.</w:t>
      </w:r>
    </w:p>
    <w:p w14:paraId="6336BA9C" w14:textId="77777777" w:rsidR="00175EF3" w:rsidRPr="00175EF3" w:rsidRDefault="00175EF3" w:rsidP="00715ACF">
      <w:pPr>
        <w:rPr>
          <w:color w:val="595959" w:themeColor="text1" w:themeTint="A6"/>
        </w:rPr>
      </w:pPr>
      <w:r w:rsidRPr="00175EF3">
        <w:rPr>
          <w:color w:val="595959" w:themeColor="text1" w:themeTint="A6"/>
        </w:rPr>
        <w:lastRenderedPageBreak/>
        <w:t>En ese sentido, l IDAIPQROO mantiene una constante actividad dentro de las instancias a través de las cuales opera el Sistema y a las que ellos pertenecen:</w:t>
      </w:r>
    </w:p>
    <w:p w14:paraId="45A1D55A" w14:textId="77777777" w:rsidR="00175EF3" w:rsidRPr="00175EF3" w:rsidRDefault="00175EF3" w:rsidP="00715ACF">
      <w:pPr>
        <w:numPr>
          <w:ilvl w:val="0"/>
          <w:numId w:val="34"/>
        </w:numPr>
        <w:spacing w:after="160"/>
        <w:ind w:hanging="294"/>
        <w:rPr>
          <w:color w:val="595959" w:themeColor="text1" w:themeTint="A6"/>
        </w:rPr>
      </w:pPr>
      <w:r w:rsidRPr="00175EF3">
        <w:rPr>
          <w:color w:val="595959" w:themeColor="text1" w:themeTint="A6"/>
        </w:rPr>
        <w:t>El Consejo Nacional.</w:t>
      </w:r>
    </w:p>
    <w:p w14:paraId="6C82C000" w14:textId="77777777" w:rsidR="00175EF3" w:rsidRPr="00175EF3" w:rsidRDefault="00175EF3" w:rsidP="00715ACF">
      <w:pPr>
        <w:numPr>
          <w:ilvl w:val="0"/>
          <w:numId w:val="34"/>
        </w:numPr>
        <w:spacing w:after="160"/>
        <w:ind w:hanging="294"/>
        <w:rPr>
          <w:color w:val="595959" w:themeColor="text1" w:themeTint="A6"/>
        </w:rPr>
      </w:pPr>
      <w:r w:rsidRPr="00175EF3">
        <w:rPr>
          <w:color w:val="595959" w:themeColor="text1" w:themeTint="A6"/>
        </w:rPr>
        <w:t>La Región Sureste.</w:t>
      </w:r>
    </w:p>
    <w:p w14:paraId="6F0CA5D3" w14:textId="77777777" w:rsidR="00175EF3" w:rsidRPr="00175EF3" w:rsidRDefault="00175EF3" w:rsidP="00715ACF">
      <w:pPr>
        <w:numPr>
          <w:ilvl w:val="0"/>
          <w:numId w:val="34"/>
        </w:numPr>
        <w:spacing w:after="160"/>
        <w:ind w:hanging="294"/>
        <w:rPr>
          <w:color w:val="595959" w:themeColor="text1" w:themeTint="A6"/>
        </w:rPr>
      </w:pPr>
      <w:r w:rsidRPr="00175EF3">
        <w:rPr>
          <w:color w:val="595959" w:themeColor="text1" w:themeTint="A6"/>
        </w:rPr>
        <w:t>Comisiones Ordinarias:</w:t>
      </w:r>
    </w:p>
    <w:p w14:paraId="53428A29" w14:textId="77777777" w:rsidR="00175EF3" w:rsidRPr="00175EF3" w:rsidRDefault="00175EF3" w:rsidP="00715ACF">
      <w:pPr>
        <w:numPr>
          <w:ilvl w:val="0"/>
          <w:numId w:val="34"/>
        </w:numPr>
        <w:spacing w:after="160"/>
        <w:ind w:hanging="294"/>
        <w:rPr>
          <w:color w:val="595959" w:themeColor="text1" w:themeTint="A6"/>
        </w:rPr>
      </w:pPr>
      <w:r w:rsidRPr="00175EF3">
        <w:rPr>
          <w:color w:val="595959" w:themeColor="text1" w:themeTint="A6"/>
        </w:rPr>
        <w:t>Tecnologías de la Información y Plataforma Nacional de Transparencia.</w:t>
      </w:r>
    </w:p>
    <w:p w14:paraId="3ABB2023" w14:textId="77777777" w:rsidR="00175EF3" w:rsidRPr="00175EF3" w:rsidRDefault="00175EF3" w:rsidP="00715ACF">
      <w:pPr>
        <w:numPr>
          <w:ilvl w:val="0"/>
          <w:numId w:val="34"/>
        </w:numPr>
        <w:spacing w:after="160"/>
        <w:ind w:hanging="294"/>
        <w:rPr>
          <w:color w:val="595959" w:themeColor="text1" w:themeTint="A6"/>
        </w:rPr>
      </w:pPr>
      <w:r w:rsidRPr="00175EF3">
        <w:rPr>
          <w:color w:val="595959" w:themeColor="text1" w:themeTint="A6"/>
        </w:rPr>
        <w:t>Protección de Datos Personales.</w:t>
      </w:r>
    </w:p>
    <w:p w14:paraId="37CC9F01" w14:textId="77777777" w:rsidR="00175EF3" w:rsidRPr="00175EF3" w:rsidRDefault="00175EF3" w:rsidP="00715ACF">
      <w:pPr>
        <w:numPr>
          <w:ilvl w:val="0"/>
          <w:numId w:val="34"/>
        </w:numPr>
        <w:spacing w:after="160"/>
        <w:ind w:hanging="294"/>
        <w:rPr>
          <w:color w:val="595959" w:themeColor="text1" w:themeTint="A6"/>
        </w:rPr>
      </w:pPr>
      <w:r w:rsidRPr="00175EF3">
        <w:rPr>
          <w:color w:val="595959" w:themeColor="text1" w:themeTint="A6"/>
        </w:rPr>
        <w:t>Capacitación, Educación y Cultura.</w:t>
      </w:r>
    </w:p>
    <w:p w14:paraId="3FFCBD5C" w14:textId="77777777" w:rsidR="00175EF3" w:rsidRPr="00175EF3" w:rsidRDefault="00175EF3" w:rsidP="00715ACF">
      <w:pPr>
        <w:rPr>
          <w:b/>
          <w:color w:val="595959" w:themeColor="text1" w:themeTint="A6"/>
        </w:rPr>
      </w:pPr>
      <w:r w:rsidRPr="00175EF3">
        <w:rPr>
          <w:b/>
          <w:color w:val="595959" w:themeColor="text1" w:themeTint="A6"/>
        </w:rPr>
        <w:t>Consejo Nacional</w:t>
      </w:r>
    </w:p>
    <w:p w14:paraId="5DF93DA6" w14:textId="77777777" w:rsidR="00175EF3" w:rsidRPr="00175EF3" w:rsidRDefault="00175EF3" w:rsidP="00715ACF">
      <w:pPr>
        <w:rPr>
          <w:color w:val="595959" w:themeColor="text1" w:themeTint="A6"/>
        </w:rPr>
      </w:pPr>
      <w:r w:rsidRPr="00175EF3">
        <w:rPr>
          <w:color w:val="595959" w:themeColor="text1" w:themeTint="A6"/>
        </w:rPr>
        <w:t>El Consejo Nacional del Sistema Nacional de Transparencia, Acceso a la Información Pública y Protección de Datos Personales es la máxima autoridad del Sistema y se compone por los titulares de las instituciones integrantes del mismo y es presidido por el Presidente del INAI.</w:t>
      </w:r>
    </w:p>
    <w:p w14:paraId="3DBEF13B" w14:textId="77777777" w:rsidR="00175EF3" w:rsidRPr="00175EF3" w:rsidRDefault="00175EF3" w:rsidP="00715ACF">
      <w:pPr>
        <w:rPr>
          <w:color w:val="595959" w:themeColor="text1" w:themeTint="A6"/>
        </w:rPr>
      </w:pPr>
      <w:r w:rsidRPr="00175EF3">
        <w:rPr>
          <w:color w:val="595959" w:themeColor="text1" w:themeTint="A6"/>
        </w:rPr>
        <w:t>Es la instancia de coordinación del Sistema Nacional, que tiene por objeto la organización efectiva y eficaz de los esfuerzos de coordinación, cooperación, colaboración, promoción y difusión en materia de Transparencia, Acceso a la Información, Rendición de Cuentas y Protección de Datos Personales. La coordinación entre sus integrantes es el eje rector del Sistema Nacional. Los integrantes del Consejo Nacional, a través de acuerdos dados en el seno de éste, establecen los mecanismos que permiten la formulación y ejecución de políticas, programas y acciones para el cumplimiento de sus funciones y de los objetivos del Sistema Nacional previstos en la LGTAIP.</w:t>
      </w:r>
    </w:p>
    <w:p w14:paraId="61393BCC" w14:textId="77777777" w:rsidR="00175EF3" w:rsidRPr="00175EF3" w:rsidRDefault="00175EF3" w:rsidP="00715ACF">
      <w:pPr>
        <w:rPr>
          <w:color w:val="595959" w:themeColor="text1" w:themeTint="A6"/>
        </w:rPr>
      </w:pPr>
      <w:r w:rsidRPr="00175EF3">
        <w:rPr>
          <w:color w:val="595959" w:themeColor="text1" w:themeTint="A6"/>
        </w:rPr>
        <w:t>El Instituto de Acceso a la Información y Protección de Datos Personales de Quintana Roo, forma parte de este Consejo desde su instalación en 2015.</w:t>
      </w:r>
    </w:p>
    <w:p w14:paraId="6BB7F95E" w14:textId="77777777" w:rsidR="00175EF3" w:rsidRPr="00175EF3" w:rsidRDefault="00175EF3" w:rsidP="00715ACF">
      <w:pPr>
        <w:rPr>
          <w:b/>
          <w:color w:val="595959" w:themeColor="text1" w:themeTint="A6"/>
        </w:rPr>
      </w:pPr>
      <w:r w:rsidRPr="00175EF3">
        <w:rPr>
          <w:b/>
          <w:color w:val="595959" w:themeColor="text1" w:themeTint="A6"/>
        </w:rPr>
        <w:t>Comisiones Ordinarias</w:t>
      </w:r>
    </w:p>
    <w:p w14:paraId="0BE67972" w14:textId="77777777" w:rsidR="00175EF3" w:rsidRPr="00175EF3" w:rsidRDefault="00175EF3" w:rsidP="00715ACF">
      <w:pPr>
        <w:rPr>
          <w:color w:val="595959" w:themeColor="text1" w:themeTint="A6"/>
        </w:rPr>
      </w:pPr>
      <w:r w:rsidRPr="00175EF3">
        <w:rPr>
          <w:color w:val="595959" w:themeColor="text1" w:themeTint="A6"/>
        </w:rPr>
        <w:t xml:space="preserve">El Artículo 23 de los Lineamientos para la organización, coordinación y funcionamiento de las instancias de los Integrantes del Sistema Nacional de Transparencia Acceso a la Información Pública y Protección de Datos Personales,  establece la conformación de Comisiones ordinarias de trabajo, </w:t>
      </w:r>
      <w:r w:rsidRPr="00175EF3">
        <w:rPr>
          <w:color w:val="595959" w:themeColor="text1" w:themeTint="A6"/>
        </w:rPr>
        <w:lastRenderedPageBreak/>
        <w:t>como la base organizacional del Sistema Nacional de Transparencia (SNT), para el cumplimiento de sus atribuciones.</w:t>
      </w:r>
    </w:p>
    <w:p w14:paraId="23CDCC47" w14:textId="77777777" w:rsidR="00175EF3" w:rsidRPr="00175EF3" w:rsidRDefault="00175EF3" w:rsidP="00715ACF">
      <w:pPr>
        <w:rPr>
          <w:bCs/>
          <w:color w:val="595959" w:themeColor="text1" w:themeTint="A6"/>
        </w:rPr>
      </w:pPr>
      <w:r w:rsidRPr="00175EF3">
        <w:rPr>
          <w:color w:val="595959" w:themeColor="text1" w:themeTint="A6"/>
        </w:rPr>
        <w:t xml:space="preserve">El Artículo 27 de los mismos Lineamientos, enlista las Comisiones ordinarias del Sistema Nacional, entre las cuales se encuentran las </w:t>
      </w:r>
      <w:r w:rsidRPr="00175EF3">
        <w:rPr>
          <w:bCs/>
          <w:color w:val="595959" w:themeColor="text1" w:themeTint="A6"/>
        </w:rPr>
        <w:t>Comisiones de Tecnologías de la Información y Plataforma Nacional de Transparencia; Protección de Datos Personales y Capacitación, Educación y Cultura.</w:t>
      </w:r>
    </w:p>
    <w:p w14:paraId="29228CAC" w14:textId="77777777" w:rsidR="00175EF3" w:rsidRPr="00175EF3" w:rsidRDefault="00175EF3" w:rsidP="00715ACF">
      <w:pPr>
        <w:rPr>
          <w:bCs/>
          <w:color w:val="595959" w:themeColor="text1" w:themeTint="A6"/>
        </w:rPr>
      </w:pPr>
      <w:r w:rsidRPr="00175EF3">
        <w:rPr>
          <w:color w:val="595959" w:themeColor="text1" w:themeTint="A6"/>
        </w:rPr>
        <w:br/>
      </w:r>
      <w:r w:rsidRPr="00175EF3">
        <w:rPr>
          <w:b/>
          <w:color w:val="595959" w:themeColor="text1" w:themeTint="A6"/>
        </w:rPr>
        <w:t>Comisión de Tecnologías de la Información y Plataforma Nacional de Transparencia</w:t>
      </w:r>
    </w:p>
    <w:p w14:paraId="2D7B63E6" w14:textId="77777777" w:rsidR="00175EF3" w:rsidRPr="00175EF3" w:rsidRDefault="00175EF3" w:rsidP="00715ACF">
      <w:pPr>
        <w:rPr>
          <w:color w:val="595959" w:themeColor="text1" w:themeTint="A6"/>
        </w:rPr>
      </w:pPr>
      <w:r w:rsidRPr="00175EF3">
        <w:rPr>
          <w:color w:val="595959" w:themeColor="text1" w:themeTint="A6"/>
        </w:rPr>
        <w:t>El 6 de mayo de 2016 significó una fecha importante para la Transparencia y el Acceso a la Información Pública en nuestro País. Ese día se puso en operación la Plataforma Nacional de Transparencia, una solución informática instituida  por la LGTAIP para  facilitar  el   ejercicio de este   derecho   humano  y  publicitar la   información  de    las  Obligaciones   de  Transparencia.</w:t>
      </w:r>
    </w:p>
    <w:p w14:paraId="71B437FB" w14:textId="77777777" w:rsidR="00175EF3" w:rsidRPr="00175EF3" w:rsidRDefault="00175EF3" w:rsidP="00715ACF">
      <w:pPr>
        <w:rPr>
          <w:color w:val="595959" w:themeColor="text1" w:themeTint="A6"/>
        </w:rPr>
      </w:pPr>
      <w:r w:rsidRPr="00175EF3">
        <w:rPr>
          <w:color w:val="595959" w:themeColor="text1" w:themeTint="A6"/>
        </w:rPr>
        <w:t>La PNT y su implementación han sido el eje principal de la Comisión de Tecnologías de la Información y Plataforma Nacional de Transparencia (</w:t>
      </w:r>
      <w:r w:rsidRPr="00175EF3">
        <w:rPr>
          <w:bCs/>
          <w:color w:val="595959" w:themeColor="text1" w:themeTint="A6"/>
        </w:rPr>
        <w:t>CTIPNT)</w:t>
      </w:r>
      <w:r w:rsidRPr="00175EF3">
        <w:rPr>
          <w:color w:val="595959" w:themeColor="text1" w:themeTint="A6"/>
        </w:rPr>
        <w:t xml:space="preserve"> del Sistema. Ésta permite a las personas consultar información de los 6 mil 500 Sujetos Obligados, de manera homologada, en formatos accesibles y explotables.</w:t>
      </w:r>
    </w:p>
    <w:p w14:paraId="29D498B0" w14:textId="77777777" w:rsidR="00175EF3" w:rsidRPr="00175EF3" w:rsidRDefault="00175EF3" w:rsidP="00715ACF">
      <w:pPr>
        <w:rPr>
          <w:color w:val="595959" w:themeColor="text1" w:themeTint="A6"/>
        </w:rPr>
      </w:pPr>
      <w:r w:rsidRPr="00175EF3">
        <w:rPr>
          <w:color w:val="595959" w:themeColor="text1" w:themeTint="A6"/>
        </w:rPr>
        <w:t>Concretamente, el artículo 50 de la Ley señala que la Plataforma deberá contener, al menos, cuatro sistemas: 1) Sistema de Solicitudes de Acceso a la Información; 2) Sistema</w:t>
      </w:r>
      <w:r w:rsidRPr="00175EF3">
        <w:rPr>
          <w:rFonts w:ascii="Century Gothic" w:hAnsi="Century Gothic"/>
          <w:color w:val="595959" w:themeColor="text1" w:themeTint="A6"/>
          <w:sz w:val="22"/>
          <w:szCs w:val="22"/>
        </w:rPr>
        <w:t xml:space="preserve"> </w:t>
      </w:r>
      <w:r w:rsidRPr="00175EF3">
        <w:rPr>
          <w:color w:val="595959" w:themeColor="text1" w:themeTint="A6"/>
        </w:rPr>
        <w:t>de Gestión de Medios de Impugnación; 3) Sistema de Portales de Obligaciones de Transparencia; y 4) Sistema de Comunicación entre Organismos Garantes y Sujetos Obligados.</w:t>
      </w:r>
    </w:p>
    <w:p w14:paraId="5BF25F31" w14:textId="77777777" w:rsidR="00175EF3" w:rsidRPr="00175EF3" w:rsidRDefault="00175EF3" w:rsidP="00715ACF">
      <w:pPr>
        <w:rPr>
          <w:color w:val="595959" w:themeColor="text1" w:themeTint="A6"/>
        </w:rPr>
      </w:pPr>
      <w:r w:rsidRPr="00175EF3">
        <w:rPr>
          <w:color w:val="595959" w:themeColor="text1" w:themeTint="A6"/>
        </w:rPr>
        <w:t>Este sitio informático es único en el mundo y en un futuro, servirá de modelo para los países que pretendan poner al alcance de sus entidades la información generada por los gobiernos. Así, ésta Plataforma es el mejor ejemplo de la aplicación de las TIC’s al servicio de los derechos de las personas.</w:t>
      </w:r>
    </w:p>
    <w:p w14:paraId="7C3AD109" w14:textId="77777777" w:rsidR="00175EF3" w:rsidRPr="00175EF3" w:rsidRDefault="00175EF3" w:rsidP="00715ACF">
      <w:pPr>
        <w:rPr>
          <w:color w:val="595959" w:themeColor="text1" w:themeTint="A6"/>
        </w:rPr>
      </w:pPr>
      <w:r w:rsidRPr="00175EF3">
        <w:rPr>
          <w:color w:val="595959" w:themeColor="text1" w:themeTint="A6"/>
        </w:rPr>
        <w:t>El Comisionado Presidente del IDAIPQROO, fue quien encabezó durante 2016 la Coordinación de esta Comisión Ordinaria del SNT. Por votación de sus integrantes, fue reelecto durante el Proceso Electoral 2016 del SNT para continuar como Coordinador de esa instancia durante el periodo 2016-2017</w:t>
      </w:r>
    </w:p>
    <w:p w14:paraId="7772383B" w14:textId="77777777" w:rsidR="00175EF3" w:rsidRPr="00175EF3" w:rsidRDefault="00175EF3" w:rsidP="00715ACF">
      <w:pPr>
        <w:rPr>
          <w:b/>
          <w:color w:val="595959" w:themeColor="text1" w:themeTint="A6"/>
        </w:rPr>
      </w:pPr>
      <w:r w:rsidRPr="00175EF3">
        <w:rPr>
          <w:b/>
          <w:color w:val="595959" w:themeColor="text1" w:themeTint="A6"/>
        </w:rPr>
        <w:t>Comisión de Protección de Datos Personales</w:t>
      </w:r>
    </w:p>
    <w:p w14:paraId="73E43A46" w14:textId="77777777" w:rsidR="00175EF3" w:rsidRPr="00175EF3" w:rsidRDefault="00175EF3" w:rsidP="00715ACF">
      <w:pPr>
        <w:rPr>
          <w:color w:val="595959" w:themeColor="text1" w:themeTint="A6"/>
        </w:rPr>
      </w:pPr>
      <w:r w:rsidRPr="00175EF3">
        <w:rPr>
          <w:color w:val="595959" w:themeColor="text1" w:themeTint="A6"/>
        </w:rPr>
        <w:lastRenderedPageBreak/>
        <w:t>La Comisión de Protección de Datos Personales fue creada mediante Acuerdo del Consejo Nacional del Sistema Nacional de Transparencia por el que se emiten los Lineamientos de las Instancias, publicados el 8 de octubre de 2015 en el Diario Oficial de la Federación, así como por el Acuerdo de Integración de Comisiones del SNT, de 18 de octubre de 2015, quedado conformada por miembros de los órganos colegiados de distintos Órganos Garantes del País, entre los que se encuentra este Órgano Garante.</w:t>
      </w:r>
    </w:p>
    <w:p w14:paraId="159C7F9A" w14:textId="77777777" w:rsidR="00175EF3" w:rsidRPr="00175EF3" w:rsidRDefault="00175EF3" w:rsidP="00715ACF">
      <w:pPr>
        <w:rPr>
          <w:color w:val="595959" w:themeColor="text1" w:themeTint="A6"/>
        </w:rPr>
      </w:pPr>
      <w:r w:rsidRPr="00175EF3">
        <w:rPr>
          <w:color w:val="595959" w:themeColor="text1" w:themeTint="A6"/>
        </w:rPr>
        <w:t>Una de las principales acciones de esta Comisión durante 2016, fue el seguimiento a la actividad legislativa en cuanto a la Ley General de Protección de Datos Personales en Posesión de Sujetos Obligados (LGPDPPSO), hasta hecha la aprobación por la LXIII Legislatura del  H. Congreso de la Unión, el día 13 de diciembre de 2016.</w:t>
      </w:r>
    </w:p>
    <w:p w14:paraId="04B05C57" w14:textId="7CD32700" w:rsidR="00715ACF" w:rsidRPr="00175EF3" w:rsidRDefault="00175EF3" w:rsidP="00715ACF">
      <w:pPr>
        <w:rPr>
          <w:color w:val="595959" w:themeColor="text1" w:themeTint="A6"/>
        </w:rPr>
      </w:pPr>
      <w:r w:rsidRPr="00175EF3">
        <w:rPr>
          <w:color w:val="595959" w:themeColor="text1" w:themeTint="A6"/>
        </w:rPr>
        <w:t>La Ley establece las bases, principios y procedimientos para garantizar el derecho que tiene toda persona a la protección de sus Datos Personales en Posesión de Sujetos Obligados, que son cualquier autoridad en el ámbito federal, estatal y municipal, entidad, órgano y organismo de los Poderes</w:t>
      </w:r>
      <w:r w:rsidRPr="00175EF3">
        <w:rPr>
          <w:rFonts w:ascii="Century Gothic" w:hAnsi="Century Gothic"/>
          <w:color w:val="595959" w:themeColor="text1" w:themeTint="A6"/>
        </w:rPr>
        <w:t xml:space="preserve"> </w:t>
      </w:r>
      <w:r w:rsidRPr="00175EF3">
        <w:rPr>
          <w:color w:val="595959" w:themeColor="text1" w:themeTint="A6"/>
        </w:rPr>
        <w:t>Ejecutivo, Legislativo y Judicial, órganos autónomos, partidos políticos, fideicomisos y fondos públicos.</w:t>
      </w:r>
    </w:p>
    <w:p w14:paraId="31080732" w14:textId="77777777" w:rsidR="00175EF3" w:rsidRPr="00175EF3" w:rsidRDefault="00175EF3" w:rsidP="00715ACF">
      <w:pPr>
        <w:rPr>
          <w:b/>
          <w:color w:val="595959" w:themeColor="text1" w:themeTint="A6"/>
        </w:rPr>
      </w:pPr>
      <w:r w:rsidRPr="00175EF3">
        <w:rPr>
          <w:b/>
          <w:color w:val="595959" w:themeColor="text1" w:themeTint="A6"/>
        </w:rPr>
        <w:t>Comisión de Capacitación, Educación y Cultura</w:t>
      </w:r>
    </w:p>
    <w:p w14:paraId="1C08CF60" w14:textId="77777777" w:rsidR="00175EF3" w:rsidRPr="00175EF3" w:rsidRDefault="00175EF3" w:rsidP="00715ACF">
      <w:pPr>
        <w:rPr>
          <w:color w:val="595959" w:themeColor="text1" w:themeTint="A6"/>
        </w:rPr>
      </w:pPr>
      <w:r w:rsidRPr="00175EF3">
        <w:rPr>
          <w:color w:val="595959" w:themeColor="text1" w:themeTint="A6"/>
        </w:rPr>
        <w:t xml:space="preserve">Establecer programas institucionales de capacitación y actualización de los servidores públicos en el tema de Transparencia, Datos Personales, Rendición de Cuentas, Fiscalización, Archivo y Gestión Documental, entre otros temas afines a la materia, son algunos de los objetivos de la Comisión de Capacitación y Cultura del SNT, a la cual pertenece el IDAPQROO.   </w:t>
      </w:r>
    </w:p>
    <w:p w14:paraId="190850EC" w14:textId="77777777" w:rsidR="00175EF3" w:rsidRPr="00175EF3" w:rsidRDefault="00175EF3" w:rsidP="00715ACF">
      <w:pPr>
        <w:rPr>
          <w:color w:val="595959" w:themeColor="text1" w:themeTint="A6"/>
        </w:rPr>
      </w:pPr>
      <w:r w:rsidRPr="00175EF3">
        <w:rPr>
          <w:color w:val="595959" w:themeColor="text1" w:themeTint="A6"/>
        </w:rPr>
        <w:t>En el año 2016, un tema transcendental de esta Comisión, fue la construcción de la Red Nacional por una Cultura de Transparencia (RENATA) y las llamadas “Redes Locales” en cada Entidad federativa como parte de un proceso de andamiaje, generador de política pública.</w:t>
      </w:r>
    </w:p>
    <w:p w14:paraId="6F15264D" w14:textId="77777777" w:rsidR="00175EF3" w:rsidRPr="00175EF3" w:rsidRDefault="00175EF3" w:rsidP="00715ACF">
      <w:pPr>
        <w:rPr>
          <w:b/>
          <w:color w:val="595959" w:themeColor="text1" w:themeTint="A6"/>
          <w:lang w:val="es-MX"/>
        </w:rPr>
      </w:pPr>
      <w:r w:rsidRPr="00175EF3">
        <w:rPr>
          <w:b/>
          <w:color w:val="595959" w:themeColor="text1" w:themeTint="A6"/>
          <w:lang w:val="es-MX"/>
        </w:rPr>
        <w:t>Red Nacional Por una Cultura de Transparencia</w:t>
      </w:r>
    </w:p>
    <w:p w14:paraId="196B5D7F" w14:textId="77777777" w:rsidR="00175EF3" w:rsidRPr="00175EF3" w:rsidRDefault="00175EF3" w:rsidP="00715ACF">
      <w:pPr>
        <w:rPr>
          <w:bCs/>
          <w:color w:val="595959" w:themeColor="text1" w:themeTint="A6"/>
        </w:rPr>
      </w:pPr>
      <w:r w:rsidRPr="00175EF3">
        <w:rPr>
          <w:color w:val="595959" w:themeColor="text1" w:themeTint="A6"/>
        </w:rPr>
        <w:t>Dicha RED está integrada por los enlaces de capacitación (EC), designados por los Órganos Garantes de las 32 Entidades Federativas del País, los cuales a través de</w:t>
      </w:r>
      <w:r w:rsidRPr="00175EF3">
        <w:rPr>
          <w:bCs/>
          <w:color w:val="595959" w:themeColor="text1" w:themeTint="A6"/>
        </w:rPr>
        <w:t xml:space="preserve"> reuniones estructuradas de trabajo en las que, por medio de diseños metodológicos para el análisis y la reflexión, realizan diagnósticos, establecen prioridades, universos de atención, propuestas y compromisos para implementar acciones de capacitación homogéneas en los Estados.</w:t>
      </w:r>
    </w:p>
    <w:p w14:paraId="46EE9EFD" w14:textId="77777777" w:rsidR="00175EF3" w:rsidRPr="00175EF3" w:rsidRDefault="00175EF3" w:rsidP="00715ACF">
      <w:pPr>
        <w:rPr>
          <w:color w:val="595959" w:themeColor="text1" w:themeTint="A6"/>
          <w:lang w:val="es-ES"/>
        </w:rPr>
      </w:pPr>
      <w:r w:rsidRPr="00175EF3">
        <w:rPr>
          <w:color w:val="595959" w:themeColor="text1" w:themeTint="A6"/>
        </w:rPr>
        <w:lastRenderedPageBreak/>
        <w:t xml:space="preserve">En este sentido, el Enlace de Capacitación del IDAIPQROO, da seguimiento a los </w:t>
      </w:r>
      <w:r w:rsidRPr="00175EF3">
        <w:rPr>
          <w:color w:val="595959" w:themeColor="text1" w:themeTint="A6"/>
          <w:lang w:val="es-ES"/>
        </w:rPr>
        <w:t xml:space="preserve">temas especializados de la Ley General de Transparencia y Acceso a la Información Pública y a los Talleres de Planeación y Seguimiento Regionales en el marco de la RENATA. </w:t>
      </w:r>
    </w:p>
    <w:p w14:paraId="7DBEA15D" w14:textId="77777777" w:rsidR="00C2741A" w:rsidRPr="00994721" w:rsidRDefault="00C2741A" w:rsidP="00C2741A">
      <w:pPr>
        <w:rPr>
          <w:rFonts w:ascii="Futura" w:eastAsia="Calibri" w:hAnsi="Futura" w:cs="Futura"/>
          <w:color w:val="000000" w:themeColor="text1"/>
          <w:sz w:val="32"/>
          <w:szCs w:val="32"/>
        </w:rPr>
      </w:pPr>
    </w:p>
    <w:p w14:paraId="15416FD6" w14:textId="77777777" w:rsidR="00C2741A" w:rsidRPr="00994721" w:rsidRDefault="00C2741A" w:rsidP="00C2741A">
      <w:pPr>
        <w:rPr>
          <w:rFonts w:ascii="Futura" w:eastAsia="Calibri" w:hAnsi="Futura" w:cs="Futura"/>
          <w:color w:val="000000" w:themeColor="text1"/>
          <w:sz w:val="32"/>
          <w:szCs w:val="32"/>
        </w:rPr>
      </w:pPr>
    </w:p>
    <w:p w14:paraId="0A6C32BF" w14:textId="77777777" w:rsidR="00C2741A" w:rsidRPr="00994721" w:rsidRDefault="00C2741A" w:rsidP="00C2741A">
      <w:pPr>
        <w:rPr>
          <w:rFonts w:ascii="Futura" w:hAnsi="Futura" w:cs="Futura" w:hint="eastAsia"/>
          <w:color w:val="000000" w:themeColor="text1"/>
          <w:sz w:val="32"/>
          <w:szCs w:val="32"/>
        </w:rPr>
      </w:pPr>
    </w:p>
    <w:p w14:paraId="73E3803B" w14:textId="77777777" w:rsidR="00C2741A" w:rsidRPr="00994721" w:rsidRDefault="00C2741A" w:rsidP="00C2741A">
      <w:pPr>
        <w:rPr>
          <w:rFonts w:ascii="Futura" w:hAnsi="Futura" w:cs="Futura" w:hint="eastAsia"/>
          <w:color w:val="000000" w:themeColor="text1"/>
          <w:sz w:val="32"/>
          <w:szCs w:val="32"/>
        </w:rPr>
      </w:pPr>
    </w:p>
    <w:p w14:paraId="79BB5622" w14:textId="77777777" w:rsidR="00C2741A" w:rsidRDefault="00C2741A" w:rsidP="00C2741A">
      <w:pPr>
        <w:rPr>
          <w:rFonts w:ascii="Futura" w:hAnsi="Futura" w:cs="Futura" w:hint="eastAsia"/>
          <w:color w:val="000000" w:themeColor="text1"/>
          <w:sz w:val="32"/>
          <w:szCs w:val="32"/>
        </w:rPr>
      </w:pPr>
    </w:p>
    <w:p w14:paraId="3DE2056B" w14:textId="77777777" w:rsidR="00175EF3" w:rsidRDefault="00175EF3" w:rsidP="00C2741A">
      <w:pPr>
        <w:rPr>
          <w:rFonts w:ascii="Futura" w:hAnsi="Futura" w:cs="Futura" w:hint="eastAsia"/>
          <w:color w:val="000000" w:themeColor="text1"/>
          <w:sz w:val="32"/>
          <w:szCs w:val="32"/>
        </w:rPr>
      </w:pPr>
    </w:p>
    <w:p w14:paraId="22F6C1F3" w14:textId="77777777" w:rsidR="00175EF3" w:rsidRDefault="00175EF3" w:rsidP="00C2741A">
      <w:pPr>
        <w:rPr>
          <w:rFonts w:ascii="Futura" w:hAnsi="Futura" w:cs="Futura" w:hint="eastAsia"/>
          <w:color w:val="000000" w:themeColor="text1"/>
          <w:sz w:val="32"/>
          <w:szCs w:val="32"/>
        </w:rPr>
      </w:pPr>
    </w:p>
    <w:p w14:paraId="6F7B4637" w14:textId="77777777" w:rsidR="00175EF3" w:rsidRDefault="00175EF3" w:rsidP="00C2741A">
      <w:pPr>
        <w:rPr>
          <w:rFonts w:ascii="Futura" w:hAnsi="Futura" w:cs="Futura" w:hint="eastAsia"/>
          <w:color w:val="000000" w:themeColor="text1"/>
          <w:sz w:val="32"/>
          <w:szCs w:val="32"/>
        </w:rPr>
      </w:pPr>
    </w:p>
    <w:p w14:paraId="67419BFF" w14:textId="77777777" w:rsidR="00175EF3" w:rsidRDefault="00175EF3" w:rsidP="00C2741A">
      <w:pPr>
        <w:rPr>
          <w:rFonts w:ascii="Futura" w:hAnsi="Futura" w:cs="Futura" w:hint="eastAsia"/>
          <w:color w:val="000000" w:themeColor="text1"/>
          <w:sz w:val="32"/>
          <w:szCs w:val="32"/>
        </w:rPr>
      </w:pPr>
    </w:p>
    <w:p w14:paraId="5B0A74C1" w14:textId="77777777" w:rsidR="00175EF3" w:rsidRDefault="00175EF3" w:rsidP="00C2741A">
      <w:pPr>
        <w:rPr>
          <w:rFonts w:ascii="Futura" w:hAnsi="Futura" w:cs="Futura" w:hint="eastAsia"/>
          <w:color w:val="000000" w:themeColor="text1"/>
          <w:sz w:val="32"/>
          <w:szCs w:val="32"/>
        </w:rPr>
      </w:pPr>
    </w:p>
    <w:p w14:paraId="3B2DF844" w14:textId="77777777" w:rsidR="00175EF3" w:rsidRDefault="00175EF3" w:rsidP="00C2741A">
      <w:pPr>
        <w:rPr>
          <w:rFonts w:ascii="Futura" w:hAnsi="Futura" w:cs="Futura" w:hint="eastAsia"/>
          <w:color w:val="000000" w:themeColor="text1"/>
          <w:sz w:val="32"/>
          <w:szCs w:val="32"/>
        </w:rPr>
      </w:pPr>
    </w:p>
    <w:p w14:paraId="6D9A0E9C" w14:textId="77777777" w:rsidR="00175EF3" w:rsidRPr="00994721" w:rsidRDefault="00175EF3" w:rsidP="00C2741A">
      <w:pPr>
        <w:rPr>
          <w:rFonts w:ascii="Futura" w:hAnsi="Futura" w:cs="Futura" w:hint="eastAsia"/>
          <w:color w:val="000000" w:themeColor="text1"/>
          <w:sz w:val="32"/>
          <w:szCs w:val="32"/>
        </w:rPr>
      </w:pPr>
    </w:p>
    <w:p w14:paraId="22E45C8D" w14:textId="77777777" w:rsidR="00C2741A" w:rsidRPr="00994721" w:rsidRDefault="00C2741A" w:rsidP="00C2741A">
      <w:pPr>
        <w:rPr>
          <w:rFonts w:ascii="Futura" w:hAnsi="Futura" w:cs="Futura" w:hint="eastAsia"/>
          <w:color w:val="000000" w:themeColor="text1"/>
          <w:sz w:val="32"/>
          <w:szCs w:val="32"/>
        </w:rPr>
      </w:pPr>
    </w:p>
    <w:p w14:paraId="2DBF4CFD" w14:textId="77777777" w:rsidR="00C2741A" w:rsidRPr="00124C60" w:rsidRDefault="00C2741A" w:rsidP="00124C60">
      <w:pPr>
        <w:pStyle w:val="Ttulo"/>
        <w:rPr>
          <w:color w:val="4BACC6"/>
        </w:rPr>
      </w:pPr>
      <w:r w:rsidRPr="00124C60">
        <w:rPr>
          <w:color w:val="4BACC6"/>
        </w:rPr>
        <w:t>ANEXOS</w:t>
      </w:r>
    </w:p>
    <w:p w14:paraId="1EF94F7E" w14:textId="77777777" w:rsidR="00C2741A" w:rsidRDefault="00C2741A" w:rsidP="00C2741A">
      <w:pPr>
        <w:rPr>
          <w:rFonts w:ascii="Futura" w:hAnsi="Futura" w:cs="Futura" w:hint="eastAsia"/>
          <w:color w:val="595959" w:themeColor="text1" w:themeTint="A6"/>
        </w:rPr>
      </w:pPr>
    </w:p>
    <w:p w14:paraId="5D6B567C" w14:textId="77777777" w:rsidR="00C2741A" w:rsidRDefault="00C2741A" w:rsidP="00C2741A">
      <w:pPr>
        <w:rPr>
          <w:rFonts w:ascii="Futura" w:hAnsi="Futura" w:cs="Futura" w:hint="eastAsia"/>
          <w:color w:val="595959" w:themeColor="text1" w:themeTint="A6"/>
        </w:rPr>
      </w:pPr>
    </w:p>
    <w:p w14:paraId="79E1B859" w14:textId="77777777" w:rsidR="00C2741A" w:rsidRDefault="00C2741A" w:rsidP="00C2741A">
      <w:pPr>
        <w:rPr>
          <w:rFonts w:ascii="Futura" w:hAnsi="Futura" w:cs="Futura" w:hint="eastAsia"/>
          <w:color w:val="595959" w:themeColor="text1" w:themeTint="A6"/>
        </w:rPr>
      </w:pPr>
    </w:p>
    <w:p w14:paraId="636A1E59" w14:textId="77777777" w:rsidR="00C2741A" w:rsidRDefault="00C2741A" w:rsidP="00C2741A">
      <w:pPr>
        <w:rPr>
          <w:rFonts w:ascii="Futura" w:hAnsi="Futura" w:cs="Futura" w:hint="eastAsia"/>
          <w:color w:val="595959" w:themeColor="text1" w:themeTint="A6"/>
        </w:rPr>
      </w:pPr>
    </w:p>
    <w:p w14:paraId="2868EA5F" w14:textId="77777777" w:rsidR="00C2741A" w:rsidRDefault="00C2741A" w:rsidP="00C2741A">
      <w:pPr>
        <w:rPr>
          <w:rFonts w:ascii="Futura" w:hAnsi="Futura" w:cs="Futura" w:hint="eastAsia"/>
          <w:color w:val="595959" w:themeColor="text1" w:themeTint="A6"/>
        </w:rPr>
      </w:pPr>
    </w:p>
    <w:p w14:paraId="6F12052A" w14:textId="52B2DE2E" w:rsidR="00DD10FA" w:rsidRDefault="00DD10FA">
      <w:pPr>
        <w:spacing w:after="0" w:line="240" w:lineRule="auto"/>
        <w:jc w:val="left"/>
        <w:rPr>
          <w:rFonts w:ascii="Futura" w:hAnsi="Futura" w:cs="Futura" w:hint="eastAsia"/>
          <w:color w:val="595959" w:themeColor="text1" w:themeTint="A6"/>
        </w:rPr>
      </w:pPr>
    </w:p>
    <w:p w14:paraId="324A0F1E" w14:textId="27FF86FC" w:rsidR="00C2741A" w:rsidRPr="00416E1E" w:rsidRDefault="00C2741A" w:rsidP="000557ED">
      <w:pPr>
        <w:pStyle w:val="Ttulo1"/>
      </w:pPr>
      <w:bookmarkStart w:id="18" w:name="_Toc477971064"/>
      <w:r w:rsidRPr="00416E1E">
        <w:t>Anexo 1. Fichas de Indicadores de</w:t>
      </w:r>
      <w:bookmarkEnd w:id="18"/>
      <w:r w:rsidR="00BC3B73">
        <w:t xml:space="preserve"> IMPACTO/RESULTADOS</w:t>
      </w:r>
    </w:p>
    <w:p w14:paraId="5E32CFC8" w14:textId="319919C2" w:rsidR="00C2741A" w:rsidRPr="005F7240" w:rsidRDefault="00C2741A" w:rsidP="00C2741A">
      <w:r w:rsidRPr="005F7240">
        <w:t xml:space="preserve">A continuación se presentan las fichas técnicas de cada indicador del </w:t>
      </w:r>
      <w:r w:rsidR="00BC3B73">
        <w:t>Objetivo único definido en la sección de Contexto</w:t>
      </w:r>
      <w:r w:rsidRPr="005F7240">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873"/>
        <w:gridCol w:w="7962"/>
      </w:tblGrid>
      <w:tr w:rsidR="00C2741A" w:rsidRPr="0069403A" w14:paraId="5736C93D" w14:textId="77777777" w:rsidTr="006F51BC">
        <w:trPr>
          <w:trHeight w:val="283"/>
        </w:trPr>
        <w:tc>
          <w:tcPr>
            <w:tcW w:w="952" w:type="pct"/>
            <w:shd w:val="clear" w:color="auto" w:fill="BFBFBF" w:themeFill="background1" w:themeFillShade="BF"/>
            <w:tcMar>
              <w:top w:w="72" w:type="dxa"/>
              <w:left w:w="144" w:type="dxa"/>
              <w:bottom w:w="72" w:type="dxa"/>
              <w:right w:w="144" w:type="dxa"/>
            </w:tcMar>
            <w:hideMark/>
          </w:tcPr>
          <w:p w14:paraId="5E5A1C59" w14:textId="77777777" w:rsidR="00C2741A" w:rsidRPr="0069403A" w:rsidRDefault="00C2741A" w:rsidP="006F51BC">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Elemento</w:t>
            </w:r>
          </w:p>
        </w:tc>
        <w:tc>
          <w:tcPr>
            <w:tcW w:w="4048" w:type="pct"/>
            <w:shd w:val="clear" w:color="auto" w:fill="BFBFBF" w:themeFill="background1" w:themeFillShade="BF"/>
            <w:tcMar>
              <w:top w:w="72" w:type="dxa"/>
              <w:left w:w="144" w:type="dxa"/>
              <w:bottom w:w="72" w:type="dxa"/>
              <w:right w:w="144" w:type="dxa"/>
            </w:tcMar>
            <w:hideMark/>
          </w:tcPr>
          <w:p w14:paraId="41FE635D" w14:textId="77777777" w:rsidR="00C2741A" w:rsidRPr="0069403A" w:rsidRDefault="00C2741A" w:rsidP="006F51BC">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C2741A" w:rsidRPr="0069403A" w14:paraId="0FE4060C" w14:textId="77777777" w:rsidTr="006F51BC">
        <w:trPr>
          <w:trHeight w:val="283"/>
        </w:trPr>
        <w:tc>
          <w:tcPr>
            <w:tcW w:w="952" w:type="pct"/>
            <w:shd w:val="clear" w:color="auto" w:fill="FFFFFF" w:themeFill="background1"/>
            <w:tcMar>
              <w:top w:w="72" w:type="dxa"/>
              <w:left w:w="144" w:type="dxa"/>
              <w:bottom w:w="72" w:type="dxa"/>
              <w:right w:w="144" w:type="dxa"/>
            </w:tcMar>
            <w:hideMark/>
          </w:tcPr>
          <w:p w14:paraId="6BD31CEC" w14:textId="77777777" w:rsidR="00C2741A" w:rsidRPr="0069403A" w:rsidRDefault="00C2741A" w:rsidP="006F51BC">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Indicador:</w:t>
            </w:r>
          </w:p>
        </w:tc>
        <w:tc>
          <w:tcPr>
            <w:tcW w:w="4048" w:type="pct"/>
            <w:shd w:val="clear" w:color="auto" w:fill="FFFFFF" w:themeFill="background1"/>
            <w:tcMar>
              <w:top w:w="72" w:type="dxa"/>
              <w:left w:w="144" w:type="dxa"/>
              <w:bottom w:w="72" w:type="dxa"/>
              <w:right w:w="144" w:type="dxa"/>
            </w:tcMar>
            <w:hideMark/>
          </w:tcPr>
          <w:p w14:paraId="1D097BED" w14:textId="0CACA10A" w:rsidR="00C2741A" w:rsidRPr="008C4BFF" w:rsidRDefault="00CA07DA" w:rsidP="006F51BC">
            <w:pPr>
              <w:spacing w:after="0" w:line="240" w:lineRule="auto"/>
              <w:rPr>
                <w:rFonts w:ascii="Futura Std Condensed Light" w:eastAsia="Calibri" w:hAnsi="Futura Std Condensed Light" w:cs="Calibri"/>
                <w:color w:val="808080" w:themeColor="background1" w:themeShade="80"/>
                <w:sz w:val="20"/>
                <w:szCs w:val="22"/>
              </w:rPr>
            </w:pPr>
            <w:r w:rsidRPr="008C4BFF">
              <w:rPr>
                <w:rFonts w:ascii="Futura Std Condensed Light" w:eastAsia="Calibri" w:hAnsi="Futura Std Condensed Light" w:cs="Calibri"/>
                <w:color w:val="808080" w:themeColor="background1" w:themeShade="80"/>
                <w:sz w:val="20"/>
                <w:szCs w:val="22"/>
              </w:rPr>
              <w:t xml:space="preserve">Índice Nacional de los Órganos Garantes del Derecho de Acceso a la Información </w:t>
            </w:r>
          </w:p>
        </w:tc>
      </w:tr>
      <w:tr w:rsidR="00C2741A" w:rsidRPr="0069403A" w14:paraId="40D63D79" w14:textId="77777777" w:rsidTr="006F51BC">
        <w:trPr>
          <w:trHeight w:val="283"/>
        </w:trPr>
        <w:tc>
          <w:tcPr>
            <w:tcW w:w="952" w:type="pct"/>
            <w:shd w:val="clear" w:color="auto" w:fill="FFFFFF" w:themeFill="background1"/>
            <w:tcMar>
              <w:top w:w="72" w:type="dxa"/>
              <w:left w:w="144" w:type="dxa"/>
              <w:bottom w:w="72" w:type="dxa"/>
              <w:right w:w="144" w:type="dxa"/>
            </w:tcMar>
            <w:hideMark/>
          </w:tcPr>
          <w:p w14:paraId="0EEA08B1" w14:textId="77777777" w:rsidR="00C2741A" w:rsidRPr="0069403A" w:rsidRDefault="00C2741A" w:rsidP="006F51BC">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4048" w:type="pct"/>
            <w:shd w:val="clear" w:color="auto" w:fill="FFFFFF" w:themeFill="background1"/>
            <w:tcMar>
              <w:top w:w="72" w:type="dxa"/>
              <w:left w:w="144" w:type="dxa"/>
              <w:bottom w:w="72" w:type="dxa"/>
              <w:right w:w="144" w:type="dxa"/>
            </w:tcMar>
            <w:hideMark/>
          </w:tcPr>
          <w:p w14:paraId="435C23CD" w14:textId="1174D16B" w:rsidR="00C2741A" w:rsidRPr="008C4BFF" w:rsidRDefault="00CA07DA" w:rsidP="006F51BC">
            <w:pPr>
              <w:spacing w:after="0" w:line="240" w:lineRule="auto"/>
              <w:rPr>
                <w:rFonts w:ascii="Futura Std Condensed Light" w:eastAsia="Calibri" w:hAnsi="Futura Std Condensed Light" w:cs="Calibri"/>
                <w:color w:val="808080" w:themeColor="background1" w:themeShade="80"/>
                <w:sz w:val="20"/>
                <w:szCs w:val="22"/>
              </w:rPr>
            </w:pPr>
            <w:r w:rsidRPr="008C4BFF">
              <w:rPr>
                <w:rFonts w:ascii="Futura Std Condensed Light" w:eastAsia="Calibri" w:hAnsi="Futura Std Condensed Light" w:cs="Calibri"/>
                <w:color w:val="808080" w:themeColor="background1" w:themeShade="80"/>
                <w:sz w:val="20"/>
                <w:szCs w:val="22"/>
              </w:rPr>
              <w:t xml:space="preserve">Fortalecer los mecanismos de rendición de cuentas, promoción del Derecho de Acceso a la </w:t>
            </w:r>
            <w:r w:rsidR="00E13F4E" w:rsidRPr="008C4BFF">
              <w:rPr>
                <w:rFonts w:ascii="Futura Std Condensed Light" w:eastAsia="Calibri" w:hAnsi="Futura Std Condensed Light" w:cs="Calibri"/>
                <w:color w:val="808080" w:themeColor="background1" w:themeShade="80"/>
                <w:sz w:val="20"/>
                <w:szCs w:val="22"/>
              </w:rPr>
              <w:t>Información</w:t>
            </w:r>
            <w:r w:rsidR="008E26FC" w:rsidRPr="008C4BFF">
              <w:rPr>
                <w:rFonts w:ascii="Futura Std Condensed Light" w:eastAsia="Calibri" w:hAnsi="Futura Std Condensed Light" w:cs="Calibri"/>
                <w:color w:val="808080" w:themeColor="background1" w:themeShade="80"/>
                <w:sz w:val="20"/>
                <w:szCs w:val="22"/>
              </w:rPr>
              <w:t xml:space="preserve"> y </w:t>
            </w:r>
            <w:r w:rsidR="00E13F4E" w:rsidRPr="008C4BFF">
              <w:rPr>
                <w:rFonts w:ascii="Futura Std Condensed Light" w:eastAsia="Calibri" w:hAnsi="Futura Std Condensed Light" w:cs="Calibri"/>
                <w:color w:val="808080" w:themeColor="background1" w:themeShade="80"/>
                <w:sz w:val="20"/>
                <w:szCs w:val="22"/>
              </w:rPr>
              <w:t>Resolución</w:t>
            </w:r>
            <w:r w:rsidR="008E26FC" w:rsidRPr="008C4BFF">
              <w:rPr>
                <w:rFonts w:ascii="Futura Std Condensed Light" w:eastAsia="Calibri" w:hAnsi="Futura Std Condensed Light" w:cs="Calibri"/>
                <w:color w:val="808080" w:themeColor="background1" w:themeShade="80"/>
                <w:sz w:val="20"/>
                <w:szCs w:val="22"/>
              </w:rPr>
              <w:t xml:space="preserve"> de controversias de los órganos garantes del derecho de acceso</w:t>
            </w:r>
          </w:p>
        </w:tc>
      </w:tr>
      <w:tr w:rsidR="00C2741A" w:rsidRPr="0069403A" w14:paraId="2779AA34" w14:textId="77777777" w:rsidTr="006F51BC">
        <w:trPr>
          <w:trHeight w:val="283"/>
        </w:trPr>
        <w:tc>
          <w:tcPr>
            <w:tcW w:w="952" w:type="pct"/>
            <w:shd w:val="clear" w:color="auto" w:fill="FFFFFF" w:themeFill="background1"/>
            <w:tcMar>
              <w:top w:w="72" w:type="dxa"/>
              <w:left w:w="144" w:type="dxa"/>
              <w:bottom w:w="72" w:type="dxa"/>
              <w:right w:w="144" w:type="dxa"/>
            </w:tcMar>
            <w:hideMark/>
          </w:tcPr>
          <w:p w14:paraId="7601282A" w14:textId="77777777" w:rsidR="00C2741A" w:rsidRPr="0069403A" w:rsidRDefault="00C2741A" w:rsidP="006F51BC">
            <w:pPr>
              <w:spacing w:after="0" w:line="240" w:lineRule="auto"/>
              <w:jc w:val="left"/>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4048" w:type="pct"/>
            <w:shd w:val="clear" w:color="auto" w:fill="FFFFFF" w:themeFill="background1"/>
            <w:tcMar>
              <w:top w:w="72" w:type="dxa"/>
              <w:left w:w="144" w:type="dxa"/>
              <w:bottom w:w="72" w:type="dxa"/>
              <w:right w:w="144" w:type="dxa"/>
            </w:tcMar>
            <w:hideMark/>
          </w:tcPr>
          <w:p w14:paraId="52E37405" w14:textId="1FDC6DAD" w:rsidR="00C2741A" w:rsidRPr="008C4BFF" w:rsidRDefault="00E13F4E" w:rsidP="00E13F4E">
            <w:pPr>
              <w:pStyle w:val="Prrafodelista"/>
              <w:numPr>
                <w:ilvl w:val="0"/>
                <w:numId w:val="35"/>
              </w:numPr>
              <w:spacing w:after="0" w:line="240" w:lineRule="auto"/>
              <w:rPr>
                <w:rFonts w:ascii="Futura Std Condensed Light" w:eastAsia="Calibri" w:hAnsi="Futura Std Condensed Light" w:cs="Calibri"/>
                <w:color w:val="808080" w:themeColor="background1" w:themeShade="80"/>
                <w:sz w:val="20"/>
                <w:szCs w:val="22"/>
              </w:rPr>
            </w:pPr>
            <w:r w:rsidRPr="008C4BFF">
              <w:rPr>
                <w:rFonts w:ascii="Futura Std Condensed Light" w:eastAsia="Calibri" w:hAnsi="Futura Std Condensed Light" w:cs="Calibri"/>
                <w:color w:val="808080" w:themeColor="background1" w:themeShade="80"/>
                <w:sz w:val="20"/>
                <w:szCs w:val="22"/>
              </w:rPr>
              <w:t>Transparencia y Rendición de cuentas</w:t>
            </w:r>
          </w:p>
          <w:p w14:paraId="256ED1F7" w14:textId="28E71A35" w:rsidR="00E13F4E" w:rsidRPr="008C4BFF" w:rsidRDefault="00E13F4E" w:rsidP="00E13F4E">
            <w:pPr>
              <w:pStyle w:val="Prrafodelista"/>
              <w:numPr>
                <w:ilvl w:val="0"/>
                <w:numId w:val="35"/>
              </w:numPr>
              <w:spacing w:after="0" w:line="240" w:lineRule="auto"/>
              <w:rPr>
                <w:rFonts w:ascii="Futura Std Condensed Light" w:eastAsia="Calibri" w:hAnsi="Futura Std Condensed Light" w:cs="Calibri"/>
                <w:color w:val="808080" w:themeColor="background1" w:themeShade="80"/>
                <w:sz w:val="20"/>
                <w:szCs w:val="22"/>
              </w:rPr>
            </w:pPr>
            <w:r w:rsidRPr="008C4BFF">
              <w:rPr>
                <w:rFonts w:ascii="Futura Std Condensed Light" w:eastAsia="Calibri" w:hAnsi="Futura Std Condensed Light" w:cs="Calibri"/>
                <w:color w:val="808080" w:themeColor="background1" w:themeShade="80"/>
                <w:sz w:val="20"/>
                <w:szCs w:val="22"/>
              </w:rPr>
              <w:t xml:space="preserve">Promoción del Derecho de Acceso a la información </w:t>
            </w:r>
          </w:p>
        </w:tc>
      </w:tr>
      <w:tr w:rsidR="00C2741A" w:rsidRPr="0069403A" w14:paraId="7F5EE8DB" w14:textId="77777777" w:rsidTr="006F51BC">
        <w:trPr>
          <w:trHeight w:val="283"/>
        </w:trPr>
        <w:tc>
          <w:tcPr>
            <w:tcW w:w="952" w:type="pct"/>
            <w:shd w:val="clear" w:color="auto" w:fill="FFFFFF" w:themeFill="background1"/>
            <w:tcMar>
              <w:top w:w="72" w:type="dxa"/>
              <w:left w:w="144" w:type="dxa"/>
              <w:bottom w:w="72" w:type="dxa"/>
              <w:right w:w="144" w:type="dxa"/>
            </w:tcMar>
            <w:hideMark/>
          </w:tcPr>
          <w:p w14:paraId="01834C95" w14:textId="7AE6CBD0" w:rsidR="00C2741A" w:rsidRPr="0069403A" w:rsidRDefault="00C2741A" w:rsidP="006F51BC">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4048" w:type="pct"/>
            <w:shd w:val="clear" w:color="auto" w:fill="FFFFFF" w:themeFill="background1"/>
            <w:tcMar>
              <w:top w:w="72" w:type="dxa"/>
              <w:left w:w="144" w:type="dxa"/>
              <w:bottom w:w="72" w:type="dxa"/>
              <w:right w:w="144" w:type="dxa"/>
            </w:tcMar>
            <w:hideMark/>
          </w:tcPr>
          <w:p w14:paraId="251DB2BE" w14:textId="49B37C92" w:rsidR="00C2741A" w:rsidRPr="008C4BFF" w:rsidRDefault="00E13F4E" w:rsidP="006F51BC">
            <w:pPr>
              <w:spacing w:after="0" w:line="240" w:lineRule="auto"/>
              <w:rPr>
                <w:rFonts w:ascii="Futura Std Condensed Light" w:eastAsia="Calibri" w:hAnsi="Futura Std Condensed Light" w:cs="Calibri"/>
                <w:color w:val="808080" w:themeColor="background1" w:themeShade="80"/>
                <w:sz w:val="20"/>
                <w:szCs w:val="22"/>
              </w:rPr>
            </w:pPr>
            <w:r w:rsidRPr="008C4BFF">
              <w:rPr>
                <w:rFonts w:ascii="Futura Std Condensed Light" w:eastAsia="Calibri" w:hAnsi="Futura Std Condensed Light" w:cs="Calibri"/>
                <w:color w:val="808080" w:themeColor="background1" w:themeShade="80"/>
                <w:sz w:val="20"/>
                <w:szCs w:val="22"/>
              </w:rPr>
              <w:t>Anual</w:t>
            </w:r>
          </w:p>
        </w:tc>
      </w:tr>
      <w:tr w:rsidR="00C2741A" w:rsidRPr="0069403A" w14:paraId="7D5B3C22" w14:textId="77777777" w:rsidTr="006F51BC">
        <w:trPr>
          <w:trHeight w:val="283"/>
        </w:trPr>
        <w:tc>
          <w:tcPr>
            <w:tcW w:w="952" w:type="pct"/>
            <w:shd w:val="clear" w:color="auto" w:fill="FFFFFF" w:themeFill="background1"/>
            <w:tcMar>
              <w:top w:w="72" w:type="dxa"/>
              <w:left w:w="144" w:type="dxa"/>
              <w:bottom w:w="72" w:type="dxa"/>
              <w:right w:w="144" w:type="dxa"/>
            </w:tcMar>
            <w:hideMark/>
          </w:tcPr>
          <w:p w14:paraId="771809FC" w14:textId="77777777" w:rsidR="00C2741A" w:rsidRPr="0069403A" w:rsidRDefault="00C2741A" w:rsidP="006F51BC">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4048" w:type="pct"/>
            <w:shd w:val="clear" w:color="auto" w:fill="FFFFFF" w:themeFill="background1"/>
            <w:tcMar>
              <w:top w:w="72" w:type="dxa"/>
              <w:left w:w="144" w:type="dxa"/>
              <w:bottom w:w="72" w:type="dxa"/>
              <w:right w:w="144" w:type="dxa"/>
            </w:tcMar>
            <w:hideMark/>
          </w:tcPr>
          <w:p w14:paraId="70440AB2" w14:textId="127A1296" w:rsidR="00C2741A" w:rsidRPr="008C4BFF" w:rsidRDefault="008E4226" w:rsidP="006F51BC">
            <w:pPr>
              <w:spacing w:after="0" w:line="240" w:lineRule="auto"/>
              <w:rPr>
                <w:rFonts w:ascii="Futura Std Condensed Light" w:eastAsia="Calibri" w:hAnsi="Futura Std Condensed Light" w:cs="Calibri"/>
                <w:color w:val="808080" w:themeColor="background1" w:themeShade="80"/>
                <w:sz w:val="20"/>
                <w:szCs w:val="22"/>
              </w:rPr>
            </w:pPr>
            <w:hyperlink r:id="rId17" w:anchor="!/principal?evaluacion=2018" w:history="1">
              <w:r w:rsidR="00E13F4E" w:rsidRPr="008C4BFF">
                <w:rPr>
                  <w:color w:val="808080" w:themeColor="background1" w:themeShade="80"/>
                  <w:u w:val="single"/>
                </w:rPr>
                <w:t>https://enogdai.org/#!/principal?evaluacion=2018</w:t>
              </w:r>
            </w:hyperlink>
          </w:p>
        </w:tc>
      </w:tr>
      <w:tr w:rsidR="00C2741A" w:rsidRPr="0069403A" w14:paraId="3D502D02" w14:textId="77777777" w:rsidTr="006F51BC">
        <w:trPr>
          <w:trHeight w:val="283"/>
        </w:trPr>
        <w:tc>
          <w:tcPr>
            <w:tcW w:w="952" w:type="pct"/>
            <w:shd w:val="clear" w:color="auto" w:fill="FFFFFF" w:themeFill="background1"/>
            <w:tcMar>
              <w:top w:w="72" w:type="dxa"/>
              <w:left w:w="144" w:type="dxa"/>
              <w:bottom w:w="72" w:type="dxa"/>
              <w:right w:w="144" w:type="dxa"/>
            </w:tcMar>
            <w:hideMark/>
          </w:tcPr>
          <w:p w14:paraId="301ECCBA" w14:textId="77777777" w:rsidR="00C2741A" w:rsidRPr="0069403A" w:rsidRDefault="00C2741A" w:rsidP="006F51BC">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4048" w:type="pct"/>
            <w:shd w:val="clear" w:color="auto" w:fill="FFFFFF" w:themeFill="background1"/>
            <w:tcMar>
              <w:top w:w="72" w:type="dxa"/>
              <w:left w:w="144" w:type="dxa"/>
              <w:bottom w:w="72" w:type="dxa"/>
              <w:right w:w="144" w:type="dxa"/>
            </w:tcMar>
            <w:hideMark/>
          </w:tcPr>
          <w:p w14:paraId="28A0D676" w14:textId="3FCC2B20" w:rsidR="00C2741A" w:rsidRPr="008C4BFF" w:rsidRDefault="00E13F4E" w:rsidP="006F51BC">
            <w:pPr>
              <w:spacing w:after="0" w:line="240" w:lineRule="auto"/>
              <w:rPr>
                <w:rFonts w:ascii="Futura Std Condensed Light" w:eastAsia="Calibri" w:hAnsi="Futura Std Condensed Light" w:cs="Calibri"/>
                <w:color w:val="808080" w:themeColor="background1" w:themeShade="80"/>
                <w:sz w:val="20"/>
                <w:szCs w:val="22"/>
              </w:rPr>
            </w:pPr>
            <w:r w:rsidRPr="008C4BFF">
              <w:rPr>
                <w:rFonts w:ascii="Futura Std Condensed Light" w:eastAsia="Calibri" w:hAnsi="Futura Std Condensed Light" w:cs="Calibri"/>
                <w:color w:val="808080" w:themeColor="background1" w:themeShade="80"/>
                <w:sz w:val="20"/>
                <w:szCs w:val="22"/>
              </w:rPr>
              <w:t>Eficacia</w:t>
            </w:r>
          </w:p>
        </w:tc>
      </w:tr>
      <w:tr w:rsidR="00C2741A" w:rsidRPr="0069403A" w14:paraId="17EB8F97" w14:textId="77777777" w:rsidTr="006F51BC">
        <w:trPr>
          <w:trHeight w:val="283"/>
        </w:trPr>
        <w:tc>
          <w:tcPr>
            <w:tcW w:w="952" w:type="pct"/>
            <w:shd w:val="clear" w:color="auto" w:fill="FFFFFF" w:themeFill="background1"/>
            <w:tcMar>
              <w:top w:w="72" w:type="dxa"/>
              <w:left w:w="144" w:type="dxa"/>
              <w:bottom w:w="72" w:type="dxa"/>
              <w:right w:w="144" w:type="dxa"/>
            </w:tcMar>
            <w:hideMark/>
          </w:tcPr>
          <w:p w14:paraId="47DB6BC9" w14:textId="77777777" w:rsidR="00C2741A" w:rsidRPr="0069403A" w:rsidRDefault="00C2741A" w:rsidP="006F51BC">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4048" w:type="pct"/>
            <w:shd w:val="clear" w:color="auto" w:fill="FFFFFF" w:themeFill="background1"/>
            <w:tcMar>
              <w:top w:w="72" w:type="dxa"/>
              <w:left w:w="144" w:type="dxa"/>
              <w:bottom w:w="72" w:type="dxa"/>
              <w:right w:w="144" w:type="dxa"/>
            </w:tcMar>
            <w:hideMark/>
          </w:tcPr>
          <w:p w14:paraId="47C2D17D" w14:textId="77777777" w:rsidR="00C2741A" w:rsidRPr="0069403A" w:rsidRDefault="00C2741A" w:rsidP="006F51BC">
            <w:pPr>
              <w:spacing w:after="0" w:line="240" w:lineRule="auto"/>
              <w:rPr>
                <w:rFonts w:ascii="Futura Std Condensed Light" w:eastAsia="Calibri" w:hAnsi="Futura Std Condensed Light" w:cs="Calibri"/>
                <w:sz w:val="20"/>
                <w:szCs w:val="22"/>
              </w:rPr>
            </w:pPr>
          </w:p>
        </w:tc>
      </w:tr>
    </w:tbl>
    <w:p w14:paraId="179CB1AA" w14:textId="1E7C3A52" w:rsidR="00C2741A" w:rsidRPr="00E13F4E" w:rsidRDefault="00E13F4E" w:rsidP="00C2741A">
      <w:pPr>
        <w:rPr>
          <w:rFonts w:eastAsia="Calibri" w:cs="Arial"/>
          <w:bCs/>
          <w:sz w:val="18"/>
          <w:szCs w:val="20"/>
        </w:rPr>
      </w:pPr>
      <w:r>
        <w:rPr>
          <w:rFonts w:eastAsia="Calibri" w:cs="Arial"/>
          <w:bCs/>
          <w:sz w:val="18"/>
          <w:szCs w:val="20"/>
        </w:rPr>
        <w:t xml:space="preserve"> </w:t>
      </w:r>
      <w:r w:rsidR="00C2741A" w:rsidRPr="0035377A">
        <w:rPr>
          <w:rFonts w:eastAsia="Calibri" w:cs="Arial"/>
          <w:bCs/>
          <w:sz w:val="18"/>
          <w:szCs w:val="20"/>
        </w:rPr>
        <w:t xml:space="preserve">Fuente: </w:t>
      </w:r>
      <w:r>
        <w:rPr>
          <w:rFonts w:eastAsia="Calibri" w:cs="Arial"/>
          <w:bCs/>
          <w:sz w:val="18"/>
          <w:szCs w:val="20"/>
        </w:rPr>
        <w:t>Articulo 19 e ENOGDAI</w:t>
      </w:r>
    </w:p>
    <w:p w14:paraId="71588AF1" w14:textId="3812E0DD" w:rsidR="00C2741A" w:rsidRDefault="00C2741A" w:rsidP="00C2741A"/>
    <w:p w14:paraId="47494671" w14:textId="77777777" w:rsidR="000557ED" w:rsidRDefault="000557ED" w:rsidP="00C2741A"/>
    <w:p w14:paraId="612033D1" w14:textId="77777777" w:rsidR="000557ED" w:rsidRDefault="000557ED" w:rsidP="00C2741A"/>
    <w:p w14:paraId="433A5074" w14:textId="77777777" w:rsidR="008C4BFF" w:rsidRDefault="008C4BFF" w:rsidP="00C2741A"/>
    <w:p w14:paraId="2F2D4A55" w14:textId="77777777" w:rsidR="008C4BFF" w:rsidRPr="005F7240" w:rsidRDefault="008C4BFF" w:rsidP="00C2741A"/>
    <w:p w14:paraId="6CD724A0" w14:textId="77777777" w:rsidR="00C2741A" w:rsidRDefault="00C2741A" w:rsidP="000557ED">
      <w:pPr>
        <w:pStyle w:val="Ttulo1"/>
      </w:pPr>
      <w:bookmarkStart w:id="19" w:name="_Toc477971065"/>
      <w:r w:rsidRPr="00416E1E">
        <w:lastRenderedPageBreak/>
        <w:t>Anexo 2. Fichas de Indicadores del Programa</w:t>
      </w:r>
      <w:bookmarkEnd w:id="19"/>
    </w:p>
    <w:p w14:paraId="508A9AD5" w14:textId="77777777" w:rsidR="00C2741A" w:rsidRPr="00C2741A" w:rsidRDefault="00C2741A" w:rsidP="00C2741A">
      <w:pPr>
        <w:rPr>
          <w:lang w:val="es-MX" w:eastAsia="en-US"/>
        </w:rPr>
      </w:pPr>
    </w:p>
    <w:p w14:paraId="14A50FAE" w14:textId="77777777" w:rsidR="00C2741A" w:rsidRPr="005F7240" w:rsidRDefault="00C2741A" w:rsidP="00C2741A">
      <w:r w:rsidRPr="005F7240">
        <w:t xml:space="preserve">A continuación se presentan las fichas técnicas de los indicadores propuestos para dar seguimiento a los objetivos y estrategias establecidos en el presente programa.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097"/>
        <w:gridCol w:w="7738"/>
      </w:tblGrid>
      <w:tr w:rsidR="00C2741A" w:rsidRPr="0069403A" w14:paraId="197830C9" w14:textId="77777777" w:rsidTr="008C4BFF">
        <w:trPr>
          <w:trHeight w:val="283"/>
        </w:trPr>
        <w:tc>
          <w:tcPr>
            <w:tcW w:w="1066" w:type="pct"/>
            <w:shd w:val="clear" w:color="auto" w:fill="BFBFBF" w:themeFill="background1" w:themeFillShade="BF"/>
            <w:tcMar>
              <w:top w:w="72" w:type="dxa"/>
              <w:left w:w="144" w:type="dxa"/>
              <w:bottom w:w="72" w:type="dxa"/>
              <w:right w:w="144" w:type="dxa"/>
            </w:tcMar>
            <w:hideMark/>
          </w:tcPr>
          <w:p w14:paraId="1B573BF0" w14:textId="77777777" w:rsidR="00C2741A" w:rsidRPr="0069403A" w:rsidRDefault="00C2741A" w:rsidP="006F51BC">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Elemento</w:t>
            </w:r>
          </w:p>
        </w:tc>
        <w:tc>
          <w:tcPr>
            <w:tcW w:w="3934" w:type="pct"/>
            <w:shd w:val="clear" w:color="auto" w:fill="BFBFBF" w:themeFill="background1" w:themeFillShade="BF"/>
            <w:tcMar>
              <w:top w:w="72" w:type="dxa"/>
              <w:left w:w="144" w:type="dxa"/>
              <w:bottom w:w="72" w:type="dxa"/>
              <w:right w:w="144" w:type="dxa"/>
            </w:tcMar>
            <w:hideMark/>
          </w:tcPr>
          <w:p w14:paraId="7CA322BA" w14:textId="77777777" w:rsidR="00C2741A" w:rsidRPr="0069403A" w:rsidRDefault="00C2741A" w:rsidP="006F51BC">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C2741A" w:rsidRPr="0069403A" w14:paraId="0B5BDE08" w14:textId="77777777" w:rsidTr="008C4BFF">
        <w:trPr>
          <w:trHeight w:val="283"/>
        </w:trPr>
        <w:tc>
          <w:tcPr>
            <w:tcW w:w="1066" w:type="pct"/>
            <w:shd w:val="clear" w:color="auto" w:fill="FFFFFF" w:themeFill="background1"/>
            <w:tcMar>
              <w:top w:w="72" w:type="dxa"/>
              <w:left w:w="144" w:type="dxa"/>
              <w:bottom w:w="72" w:type="dxa"/>
              <w:right w:w="144" w:type="dxa"/>
            </w:tcMar>
            <w:hideMark/>
          </w:tcPr>
          <w:p w14:paraId="32F44232" w14:textId="77777777" w:rsidR="00C2741A" w:rsidRPr="0069403A" w:rsidRDefault="00C2741A" w:rsidP="006F51BC">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Indicador:</w:t>
            </w:r>
          </w:p>
        </w:tc>
        <w:tc>
          <w:tcPr>
            <w:tcW w:w="3934" w:type="pct"/>
            <w:shd w:val="clear" w:color="auto" w:fill="FFFFFF" w:themeFill="background1"/>
            <w:tcMar>
              <w:top w:w="72" w:type="dxa"/>
              <w:left w:w="144" w:type="dxa"/>
              <w:bottom w:w="72" w:type="dxa"/>
              <w:right w:w="144" w:type="dxa"/>
            </w:tcMar>
            <w:hideMark/>
          </w:tcPr>
          <w:p w14:paraId="5F9C5453" w14:textId="5ABCEBCC" w:rsidR="00C2741A" w:rsidRPr="008C4BFF" w:rsidRDefault="00075428" w:rsidP="006F51BC">
            <w:pPr>
              <w:spacing w:after="0" w:line="240" w:lineRule="auto"/>
              <w:rPr>
                <w:rFonts w:ascii="Futura Std Condensed Light" w:eastAsia="Calibri" w:hAnsi="Futura Std Condensed Light" w:cs="Calibri"/>
                <w:color w:val="808080" w:themeColor="background1" w:themeShade="80"/>
                <w:sz w:val="20"/>
                <w:szCs w:val="22"/>
              </w:rPr>
            </w:pPr>
            <w:r w:rsidRPr="008C4BFF">
              <w:rPr>
                <w:rFonts w:ascii="Futura Std Condensed Light" w:eastAsia="Calibri" w:hAnsi="Futura Std Condensed Light" w:cs="Calibri"/>
                <w:color w:val="808080" w:themeColor="background1" w:themeShade="80"/>
                <w:sz w:val="20"/>
                <w:szCs w:val="22"/>
              </w:rPr>
              <w:t>Censo Nacional de Transparencia, Acceso a la Información Pública y Protección de Datos Personales Estatal 2019</w:t>
            </w:r>
          </w:p>
        </w:tc>
      </w:tr>
      <w:tr w:rsidR="00C2741A" w:rsidRPr="0069403A" w14:paraId="3A0BBCF4" w14:textId="77777777" w:rsidTr="008C4BFF">
        <w:trPr>
          <w:trHeight w:val="283"/>
        </w:trPr>
        <w:tc>
          <w:tcPr>
            <w:tcW w:w="1066" w:type="pct"/>
            <w:shd w:val="clear" w:color="auto" w:fill="FFFFFF" w:themeFill="background1"/>
            <w:tcMar>
              <w:top w:w="72" w:type="dxa"/>
              <w:left w:w="144" w:type="dxa"/>
              <w:bottom w:w="72" w:type="dxa"/>
              <w:right w:w="144" w:type="dxa"/>
            </w:tcMar>
          </w:tcPr>
          <w:p w14:paraId="5E617F45" w14:textId="77777777" w:rsidR="00C2741A" w:rsidRPr="0069403A" w:rsidRDefault="00C2741A" w:rsidP="006F51BC">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Objetivo/Estrategia:</w:t>
            </w:r>
          </w:p>
        </w:tc>
        <w:tc>
          <w:tcPr>
            <w:tcW w:w="3934" w:type="pct"/>
            <w:shd w:val="clear" w:color="auto" w:fill="FFFFFF" w:themeFill="background1"/>
            <w:tcMar>
              <w:top w:w="72" w:type="dxa"/>
              <w:left w:w="144" w:type="dxa"/>
              <w:bottom w:w="72" w:type="dxa"/>
              <w:right w:w="144" w:type="dxa"/>
            </w:tcMar>
          </w:tcPr>
          <w:p w14:paraId="5D5C53E7" w14:textId="6D81E67B" w:rsidR="00C2741A" w:rsidRPr="008C4BFF" w:rsidRDefault="00075428" w:rsidP="006F51BC">
            <w:pPr>
              <w:spacing w:after="0" w:line="240" w:lineRule="auto"/>
              <w:rPr>
                <w:rFonts w:ascii="Futura Std Condensed Light" w:eastAsia="Calibri" w:hAnsi="Futura Std Condensed Light" w:cs="Calibri"/>
                <w:color w:val="808080" w:themeColor="background1" w:themeShade="80"/>
                <w:sz w:val="20"/>
                <w:szCs w:val="22"/>
              </w:rPr>
            </w:pPr>
            <w:r w:rsidRPr="008C4BFF">
              <w:rPr>
                <w:rFonts w:ascii="Futura Std Condensed Light" w:eastAsia="Calibri" w:hAnsi="Futura Std Condensed Light" w:cs="Calibri"/>
                <w:color w:val="808080" w:themeColor="background1" w:themeShade="80"/>
                <w:sz w:val="20"/>
                <w:szCs w:val="22"/>
              </w:rPr>
              <w:t>Consolidar el cumplimiento de los derechos de acceso a la información pública y la protección de sus datos personales en posesión de los sujetos obligados en el estado de Quintana Roo</w:t>
            </w:r>
            <w:r w:rsidR="008C4BFF" w:rsidRPr="008C4BFF">
              <w:rPr>
                <w:rFonts w:ascii="Futura Std Condensed Light" w:eastAsia="Calibri" w:hAnsi="Futura Std Condensed Light" w:cs="Calibri"/>
                <w:color w:val="808080" w:themeColor="background1" w:themeShade="80"/>
                <w:sz w:val="20"/>
                <w:szCs w:val="22"/>
              </w:rPr>
              <w:t>.</w:t>
            </w:r>
          </w:p>
        </w:tc>
      </w:tr>
      <w:tr w:rsidR="00C2741A" w:rsidRPr="0069403A" w14:paraId="2F77271B" w14:textId="77777777" w:rsidTr="008C4BFF">
        <w:trPr>
          <w:trHeight w:val="283"/>
        </w:trPr>
        <w:tc>
          <w:tcPr>
            <w:tcW w:w="1066" w:type="pct"/>
            <w:shd w:val="clear" w:color="auto" w:fill="FFFFFF" w:themeFill="background1"/>
            <w:tcMar>
              <w:top w:w="72" w:type="dxa"/>
              <w:left w:w="144" w:type="dxa"/>
              <w:bottom w:w="72" w:type="dxa"/>
              <w:right w:w="144" w:type="dxa"/>
            </w:tcMar>
            <w:hideMark/>
          </w:tcPr>
          <w:p w14:paraId="6F5CB607" w14:textId="77777777" w:rsidR="00C2741A" w:rsidRPr="0069403A" w:rsidRDefault="00C2741A" w:rsidP="006F51BC">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3934" w:type="pct"/>
            <w:shd w:val="clear" w:color="auto" w:fill="FFFFFF" w:themeFill="background1"/>
            <w:tcMar>
              <w:top w:w="72" w:type="dxa"/>
              <w:left w:w="144" w:type="dxa"/>
              <w:bottom w:w="72" w:type="dxa"/>
              <w:right w:w="144" w:type="dxa"/>
            </w:tcMar>
            <w:hideMark/>
          </w:tcPr>
          <w:p w14:paraId="52C01F21" w14:textId="3535D6E5" w:rsidR="00C2741A" w:rsidRPr="008C4BFF" w:rsidRDefault="008C4BFF" w:rsidP="006F51BC">
            <w:pPr>
              <w:spacing w:after="0" w:line="240" w:lineRule="auto"/>
              <w:rPr>
                <w:rFonts w:ascii="Futura Std Condensed Light" w:eastAsia="Calibri" w:hAnsi="Futura Std Condensed Light" w:cs="Calibri"/>
                <w:color w:val="808080" w:themeColor="background1" w:themeShade="80"/>
                <w:sz w:val="20"/>
                <w:szCs w:val="22"/>
              </w:rPr>
            </w:pPr>
            <w:r w:rsidRPr="008C4BFF">
              <w:rPr>
                <w:rFonts w:ascii="Futura Std Condensed Light" w:eastAsia="Calibri" w:hAnsi="Futura Std Condensed Light" w:cs="Calibri"/>
                <w:color w:val="808080" w:themeColor="background1" w:themeShade="80"/>
                <w:sz w:val="20"/>
                <w:szCs w:val="22"/>
              </w:rPr>
              <w:t>Mide las acciones realizadas por el Órgano Garante en materia de Acceso a la Información y la protección de datos personales en posesión de sujetos obligados.</w:t>
            </w:r>
          </w:p>
        </w:tc>
      </w:tr>
      <w:tr w:rsidR="00C2741A" w:rsidRPr="0069403A" w14:paraId="1C67A771" w14:textId="77777777" w:rsidTr="008C4BFF">
        <w:trPr>
          <w:trHeight w:val="283"/>
        </w:trPr>
        <w:tc>
          <w:tcPr>
            <w:tcW w:w="1066" w:type="pct"/>
            <w:shd w:val="clear" w:color="auto" w:fill="FFFFFF" w:themeFill="background1"/>
            <w:tcMar>
              <w:top w:w="72" w:type="dxa"/>
              <w:left w:w="144" w:type="dxa"/>
              <w:bottom w:w="72" w:type="dxa"/>
              <w:right w:w="144" w:type="dxa"/>
            </w:tcMar>
            <w:hideMark/>
          </w:tcPr>
          <w:p w14:paraId="092402CA" w14:textId="77777777" w:rsidR="00C2741A" w:rsidRPr="0069403A" w:rsidRDefault="00C2741A" w:rsidP="006F51BC">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3934" w:type="pct"/>
            <w:shd w:val="clear" w:color="auto" w:fill="FFFFFF" w:themeFill="background1"/>
            <w:tcMar>
              <w:top w:w="72" w:type="dxa"/>
              <w:left w:w="144" w:type="dxa"/>
              <w:bottom w:w="72" w:type="dxa"/>
              <w:right w:w="144" w:type="dxa"/>
            </w:tcMar>
            <w:hideMark/>
          </w:tcPr>
          <w:p w14:paraId="458BB9E7" w14:textId="544EB852" w:rsidR="00C2741A" w:rsidRPr="008C4BFF" w:rsidRDefault="008C4BFF" w:rsidP="006F51BC">
            <w:pPr>
              <w:spacing w:after="0" w:line="240" w:lineRule="auto"/>
              <w:rPr>
                <w:rFonts w:ascii="Futura Std Condensed Light" w:eastAsia="Calibri" w:hAnsi="Futura Std Condensed Light" w:cs="Calibri"/>
                <w:color w:val="808080" w:themeColor="background1" w:themeShade="80"/>
                <w:sz w:val="20"/>
                <w:szCs w:val="22"/>
              </w:rPr>
            </w:pPr>
            <w:r w:rsidRPr="008C4BFF">
              <w:rPr>
                <w:rFonts w:ascii="Futura Std Condensed Light" w:hAnsi="Futura Std Condensed Light" w:cs="Open Sans"/>
                <w:color w:val="808080" w:themeColor="background1" w:themeShade="80"/>
                <w:sz w:val="20"/>
                <w:szCs w:val="20"/>
                <w:shd w:val="clear" w:color="auto" w:fill="F5F5F5"/>
              </w:rPr>
              <w:t>Fortalezas del diseño normativo, diseño institucional y procedimiento de acceso a la información pública y obligaciones de transparencia / Deficiencias de los marcos normativos en materia de transparencia en México</w:t>
            </w:r>
          </w:p>
        </w:tc>
      </w:tr>
      <w:tr w:rsidR="008C4BFF" w:rsidRPr="0069403A" w14:paraId="74E6ECFD" w14:textId="77777777" w:rsidTr="008C4BFF">
        <w:trPr>
          <w:trHeight w:val="283"/>
        </w:trPr>
        <w:tc>
          <w:tcPr>
            <w:tcW w:w="1066" w:type="pct"/>
            <w:shd w:val="clear" w:color="auto" w:fill="FFFFFF" w:themeFill="background1"/>
            <w:tcMar>
              <w:top w:w="72" w:type="dxa"/>
              <w:left w:w="144" w:type="dxa"/>
              <w:bottom w:w="72" w:type="dxa"/>
              <w:right w:w="144" w:type="dxa"/>
            </w:tcMar>
            <w:hideMark/>
          </w:tcPr>
          <w:p w14:paraId="4F8F4954" w14:textId="77777777" w:rsidR="008C4BFF" w:rsidRPr="0069403A" w:rsidRDefault="008C4BFF" w:rsidP="008C4BFF">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3934" w:type="pct"/>
            <w:shd w:val="clear" w:color="auto" w:fill="FFFFFF" w:themeFill="background1"/>
            <w:tcMar>
              <w:top w:w="72" w:type="dxa"/>
              <w:left w:w="144" w:type="dxa"/>
              <w:bottom w:w="72" w:type="dxa"/>
              <w:right w:w="144" w:type="dxa"/>
            </w:tcMar>
            <w:hideMark/>
          </w:tcPr>
          <w:p w14:paraId="46FD0CF5" w14:textId="49C4A454" w:rsidR="008C4BFF" w:rsidRPr="0069403A" w:rsidRDefault="008C4BFF" w:rsidP="008C4BFF">
            <w:pPr>
              <w:spacing w:after="0" w:line="240" w:lineRule="auto"/>
              <w:rPr>
                <w:rFonts w:ascii="Futura Std Condensed Light" w:eastAsia="Calibri" w:hAnsi="Futura Std Condensed Light" w:cs="Calibri"/>
                <w:sz w:val="20"/>
                <w:szCs w:val="22"/>
              </w:rPr>
            </w:pPr>
            <w:r w:rsidRPr="00945023">
              <w:rPr>
                <w:rFonts w:ascii="Futura Std Condensed Light" w:eastAsia="Calibri" w:hAnsi="Futura Std Condensed Light" w:cs="Calibri"/>
                <w:color w:val="595959" w:themeColor="text1" w:themeTint="A6"/>
                <w:sz w:val="20"/>
                <w:szCs w:val="20"/>
              </w:rPr>
              <w:t>Anual</w:t>
            </w:r>
          </w:p>
        </w:tc>
      </w:tr>
      <w:tr w:rsidR="008C4BFF" w:rsidRPr="0069403A" w14:paraId="64593C39" w14:textId="77777777" w:rsidTr="008C4BFF">
        <w:trPr>
          <w:trHeight w:val="283"/>
        </w:trPr>
        <w:tc>
          <w:tcPr>
            <w:tcW w:w="1066" w:type="pct"/>
            <w:shd w:val="clear" w:color="auto" w:fill="FFFFFF" w:themeFill="background1"/>
            <w:tcMar>
              <w:top w:w="72" w:type="dxa"/>
              <w:left w:w="144" w:type="dxa"/>
              <w:bottom w:w="72" w:type="dxa"/>
              <w:right w:w="144" w:type="dxa"/>
            </w:tcMar>
            <w:hideMark/>
          </w:tcPr>
          <w:p w14:paraId="5A1EABE1" w14:textId="77777777" w:rsidR="008C4BFF" w:rsidRPr="0069403A" w:rsidRDefault="008C4BFF" w:rsidP="008C4BFF">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3934" w:type="pct"/>
            <w:shd w:val="clear" w:color="auto" w:fill="FFFFFF" w:themeFill="background1"/>
            <w:tcMar>
              <w:top w:w="72" w:type="dxa"/>
              <w:left w:w="144" w:type="dxa"/>
              <w:bottom w:w="72" w:type="dxa"/>
              <w:right w:w="144" w:type="dxa"/>
            </w:tcMar>
            <w:hideMark/>
          </w:tcPr>
          <w:p w14:paraId="65B4CE3F" w14:textId="0C474A39" w:rsidR="008C4BFF" w:rsidRPr="0069403A" w:rsidRDefault="008E4226" w:rsidP="008C4BFF">
            <w:pPr>
              <w:spacing w:after="0" w:line="240" w:lineRule="auto"/>
              <w:rPr>
                <w:rFonts w:ascii="Futura Std Condensed Light" w:eastAsia="Calibri" w:hAnsi="Futura Std Condensed Light" w:cs="Calibri"/>
                <w:sz w:val="20"/>
                <w:szCs w:val="22"/>
              </w:rPr>
            </w:pPr>
            <w:hyperlink r:id="rId18" w:history="1">
              <w:r w:rsidR="008C4BFF" w:rsidRPr="008C4BFF">
                <w:rPr>
                  <w:color w:val="808080" w:themeColor="background1" w:themeShade="80"/>
                  <w:u w:val="single"/>
                </w:rPr>
                <w:t>https://www.inegi.org.mx/programas/cntaippdpe/2019/</w:t>
              </w:r>
            </w:hyperlink>
          </w:p>
        </w:tc>
      </w:tr>
      <w:tr w:rsidR="008C4BFF" w:rsidRPr="0069403A" w14:paraId="593129A6" w14:textId="77777777" w:rsidTr="008C4BFF">
        <w:trPr>
          <w:trHeight w:val="283"/>
        </w:trPr>
        <w:tc>
          <w:tcPr>
            <w:tcW w:w="1066" w:type="pct"/>
            <w:shd w:val="clear" w:color="auto" w:fill="FFFFFF" w:themeFill="background1"/>
            <w:tcMar>
              <w:top w:w="72" w:type="dxa"/>
              <w:left w:w="144" w:type="dxa"/>
              <w:bottom w:w="72" w:type="dxa"/>
              <w:right w:w="144" w:type="dxa"/>
            </w:tcMar>
            <w:hideMark/>
          </w:tcPr>
          <w:p w14:paraId="4E6841C7" w14:textId="77777777" w:rsidR="008C4BFF" w:rsidRPr="0069403A" w:rsidRDefault="008C4BFF" w:rsidP="008C4BFF">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3934" w:type="pct"/>
            <w:shd w:val="clear" w:color="auto" w:fill="FFFFFF" w:themeFill="background1"/>
            <w:tcMar>
              <w:top w:w="72" w:type="dxa"/>
              <w:left w:w="144" w:type="dxa"/>
              <w:bottom w:w="72" w:type="dxa"/>
              <w:right w:w="144" w:type="dxa"/>
            </w:tcMar>
            <w:hideMark/>
          </w:tcPr>
          <w:p w14:paraId="10B05ECA" w14:textId="162A0AC6" w:rsidR="008C4BFF" w:rsidRPr="0069403A" w:rsidRDefault="008C4BFF" w:rsidP="008C4BFF">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Eficacia</w:t>
            </w:r>
          </w:p>
        </w:tc>
      </w:tr>
      <w:tr w:rsidR="008C4BFF" w:rsidRPr="0069403A" w14:paraId="0E7FD319" w14:textId="77777777" w:rsidTr="008C4BFF">
        <w:trPr>
          <w:trHeight w:val="283"/>
        </w:trPr>
        <w:tc>
          <w:tcPr>
            <w:tcW w:w="1066" w:type="pct"/>
            <w:shd w:val="clear" w:color="auto" w:fill="FFFFFF" w:themeFill="background1"/>
            <w:tcMar>
              <w:top w:w="72" w:type="dxa"/>
              <w:left w:w="144" w:type="dxa"/>
              <w:bottom w:w="72" w:type="dxa"/>
              <w:right w:w="144" w:type="dxa"/>
            </w:tcMar>
            <w:hideMark/>
          </w:tcPr>
          <w:p w14:paraId="4E179CF8" w14:textId="77777777" w:rsidR="008C4BFF" w:rsidRPr="0069403A" w:rsidRDefault="008C4BFF" w:rsidP="008C4BFF">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3934" w:type="pct"/>
            <w:shd w:val="clear" w:color="auto" w:fill="FFFFFF" w:themeFill="background1"/>
            <w:tcMar>
              <w:top w:w="72" w:type="dxa"/>
              <w:left w:w="144" w:type="dxa"/>
              <w:bottom w:w="72" w:type="dxa"/>
              <w:right w:w="144" w:type="dxa"/>
            </w:tcMar>
            <w:hideMark/>
          </w:tcPr>
          <w:p w14:paraId="7AEDC3DC" w14:textId="77777777" w:rsidR="008C4BFF" w:rsidRPr="0069403A" w:rsidRDefault="008C4BFF" w:rsidP="008C4BFF">
            <w:pPr>
              <w:spacing w:after="0" w:line="240" w:lineRule="auto"/>
              <w:rPr>
                <w:rFonts w:ascii="Futura Std Condensed Light" w:eastAsia="Calibri" w:hAnsi="Futura Std Condensed Light" w:cs="Calibri"/>
                <w:sz w:val="20"/>
                <w:szCs w:val="22"/>
              </w:rPr>
            </w:pPr>
          </w:p>
        </w:tc>
      </w:tr>
    </w:tbl>
    <w:p w14:paraId="5EA9E1F8" w14:textId="122F33CD" w:rsidR="00C2741A" w:rsidRDefault="00E11391" w:rsidP="00C2741A">
      <w:pPr>
        <w:rPr>
          <w:rFonts w:eastAsia="Calibri" w:cs="Arial"/>
          <w:bCs/>
          <w:sz w:val="18"/>
          <w:szCs w:val="20"/>
        </w:rPr>
      </w:pPr>
      <w:r>
        <w:rPr>
          <w:rFonts w:eastAsia="Calibri" w:cs="Arial"/>
          <w:bCs/>
          <w:sz w:val="18"/>
          <w:szCs w:val="20"/>
        </w:rPr>
        <w:t>Fuente:</w:t>
      </w:r>
      <w:r w:rsidRPr="00E11391">
        <w:t xml:space="preserve"> </w:t>
      </w:r>
      <w:r w:rsidRPr="00E11391">
        <w:rPr>
          <w:sz w:val="18"/>
          <w:szCs w:val="18"/>
        </w:rPr>
        <w:t>Instituto Nacional de Estadística y Geografía</w:t>
      </w:r>
    </w:p>
    <w:p w14:paraId="330263C4" w14:textId="77777777" w:rsidR="000557ED" w:rsidRDefault="000557ED" w:rsidP="00C2741A">
      <w:pPr>
        <w:rPr>
          <w:rFonts w:eastAsia="Calibri" w:cs="Arial"/>
          <w:bCs/>
          <w:sz w:val="18"/>
          <w:szCs w:val="20"/>
        </w:rPr>
      </w:pPr>
    </w:p>
    <w:p w14:paraId="48E2D739" w14:textId="77777777" w:rsidR="000557ED" w:rsidRDefault="000557ED" w:rsidP="00C2741A">
      <w:pPr>
        <w:rPr>
          <w:rFonts w:eastAsia="Calibri" w:cs="Arial"/>
          <w:bCs/>
          <w:sz w:val="18"/>
          <w:szCs w:val="20"/>
        </w:rPr>
      </w:pPr>
    </w:p>
    <w:tbl>
      <w:tblPr>
        <w:tblpPr w:leftFromText="141" w:rightFromText="141" w:vertAnchor="text" w:horzAnchor="margin" w:tblpY="-2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73"/>
        <w:gridCol w:w="7962"/>
      </w:tblGrid>
      <w:tr w:rsidR="00FC3000" w:rsidRPr="008C4BFF" w14:paraId="4B7CFE7E" w14:textId="77777777" w:rsidTr="00FC3000">
        <w:trPr>
          <w:trHeight w:val="283"/>
        </w:trPr>
        <w:tc>
          <w:tcPr>
            <w:tcW w:w="952" w:type="pct"/>
            <w:shd w:val="clear" w:color="auto" w:fill="BFBFBF" w:themeFill="background1" w:themeFillShade="BF"/>
            <w:tcMar>
              <w:top w:w="72" w:type="dxa"/>
              <w:left w:w="144" w:type="dxa"/>
              <w:bottom w:w="72" w:type="dxa"/>
              <w:right w:w="144" w:type="dxa"/>
            </w:tcMar>
            <w:hideMark/>
          </w:tcPr>
          <w:p w14:paraId="5ACA8955" w14:textId="77777777" w:rsidR="00FC3000" w:rsidRPr="008C4BFF" w:rsidRDefault="00FC3000" w:rsidP="00FC3000">
            <w:pPr>
              <w:spacing w:after="0" w:line="240" w:lineRule="auto"/>
              <w:rPr>
                <w:rFonts w:ascii="Futura Std Condensed Light" w:eastAsia="Calibri" w:hAnsi="Futura Std Condensed Light" w:cs="Calibri"/>
                <w:b/>
                <w:color w:val="595959" w:themeColor="text1" w:themeTint="A6"/>
                <w:sz w:val="20"/>
                <w:szCs w:val="20"/>
              </w:rPr>
            </w:pPr>
            <w:r w:rsidRPr="008C4BFF">
              <w:rPr>
                <w:rFonts w:ascii="Futura Std Condensed Light" w:eastAsia="Calibri" w:hAnsi="Futura Std Condensed Light" w:cs="Calibri"/>
                <w:b/>
                <w:color w:val="595959" w:themeColor="text1" w:themeTint="A6"/>
                <w:sz w:val="20"/>
                <w:szCs w:val="20"/>
              </w:rPr>
              <w:lastRenderedPageBreak/>
              <w:t>Elemento</w:t>
            </w:r>
          </w:p>
        </w:tc>
        <w:tc>
          <w:tcPr>
            <w:tcW w:w="4048" w:type="pct"/>
            <w:shd w:val="clear" w:color="auto" w:fill="BFBFBF" w:themeFill="background1" w:themeFillShade="BF"/>
            <w:tcMar>
              <w:top w:w="72" w:type="dxa"/>
              <w:left w:w="144" w:type="dxa"/>
              <w:bottom w:w="72" w:type="dxa"/>
              <w:right w:w="144" w:type="dxa"/>
            </w:tcMar>
            <w:hideMark/>
          </w:tcPr>
          <w:p w14:paraId="27037A71" w14:textId="77777777" w:rsidR="00FC3000" w:rsidRPr="008C4BFF" w:rsidRDefault="00FC3000" w:rsidP="00FC3000">
            <w:pPr>
              <w:spacing w:after="0" w:line="240" w:lineRule="auto"/>
              <w:rPr>
                <w:rFonts w:ascii="Futura Std Condensed Light" w:eastAsia="Calibri" w:hAnsi="Futura Std Condensed Light" w:cs="Calibri"/>
                <w:b/>
                <w:color w:val="595959" w:themeColor="text1" w:themeTint="A6"/>
                <w:sz w:val="20"/>
                <w:szCs w:val="20"/>
              </w:rPr>
            </w:pPr>
            <w:r w:rsidRPr="008C4BFF">
              <w:rPr>
                <w:rFonts w:ascii="Futura Std Condensed Light" w:eastAsia="Calibri" w:hAnsi="Futura Std Condensed Light" w:cs="Calibri"/>
                <w:b/>
                <w:color w:val="595959" w:themeColor="text1" w:themeTint="A6"/>
                <w:sz w:val="20"/>
                <w:szCs w:val="20"/>
              </w:rPr>
              <w:t>Características</w:t>
            </w:r>
          </w:p>
        </w:tc>
      </w:tr>
      <w:tr w:rsidR="00FC3000" w:rsidRPr="008C4BFF" w14:paraId="04922535" w14:textId="77777777" w:rsidTr="00FC3000">
        <w:trPr>
          <w:trHeight w:val="283"/>
        </w:trPr>
        <w:tc>
          <w:tcPr>
            <w:tcW w:w="952" w:type="pct"/>
            <w:shd w:val="clear" w:color="auto" w:fill="FFFFFF" w:themeFill="background1"/>
            <w:tcMar>
              <w:top w:w="72" w:type="dxa"/>
              <w:left w:w="144" w:type="dxa"/>
              <w:bottom w:w="72" w:type="dxa"/>
              <w:right w:w="144" w:type="dxa"/>
            </w:tcMar>
            <w:hideMark/>
          </w:tcPr>
          <w:p w14:paraId="153BFF84"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Indicador:</w:t>
            </w:r>
          </w:p>
        </w:tc>
        <w:tc>
          <w:tcPr>
            <w:tcW w:w="4048" w:type="pct"/>
            <w:shd w:val="clear" w:color="auto" w:fill="FFFFFF" w:themeFill="background1"/>
            <w:tcMar>
              <w:top w:w="72" w:type="dxa"/>
              <w:left w:w="144" w:type="dxa"/>
              <w:bottom w:w="72" w:type="dxa"/>
              <w:right w:w="144" w:type="dxa"/>
            </w:tcMar>
            <w:hideMark/>
          </w:tcPr>
          <w:p w14:paraId="39C63954"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Índice de Métrica de Gobierno Abierto en Quintana Roo</w:t>
            </w:r>
          </w:p>
        </w:tc>
      </w:tr>
      <w:tr w:rsidR="00FC3000" w:rsidRPr="008C4BFF" w14:paraId="7C4D9C1F" w14:textId="77777777" w:rsidTr="00FC3000">
        <w:trPr>
          <w:trHeight w:val="1134"/>
        </w:trPr>
        <w:tc>
          <w:tcPr>
            <w:tcW w:w="952" w:type="pct"/>
            <w:shd w:val="clear" w:color="auto" w:fill="FFFFFF" w:themeFill="background1"/>
            <w:tcMar>
              <w:top w:w="72" w:type="dxa"/>
              <w:left w:w="144" w:type="dxa"/>
              <w:bottom w:w="72" w:type="dxa"/>
              <w:right w:w="144" w:type="dxa"/>
            </w:tcMar>
          </w:tcPr>
          <w:p w14:paraId="75AA25FC"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Estrategia</w:t>
            </w:r>
          </w:p>
        </w:tc>
        <w:tc>
          <w:tcPr>
            <w:tcW w:w="4048" w:type="pct"/>
            <w:shd w:val="clear" w:color="auto" w:fill="FFFFFF" w:themeFill="background1"/>
            <w:tcMar>
              <w:top w:w="72" w:type="dxa"/>
              <w:left w:w="144" w:type="dxa"/>
              <w:bottom w:w="72" w:type="dxa"/>
              <w:right w:w="144" w:type="dxa"/>
            </w:tcMar>
          </w:tcPr>
          <w:p w14:paraId="1B803C8B" w14:textId="77777777" w:rsidR="00FC3000" w:rsidRPr="008C4BFF" w:rsidRDefault="00FC3000" w:rsidP="00FC3000">
            <w:pPr>
              <w:spacing w:line="360" w:lineRule="auto"/>
              <w:rPr>
                <w:rFonts w:ascii="Futura Std Condensed Light" w:eastAsia="Times New Roman" w:hAnsi="Futura Std Condensed Light" w:cs="Futura"/>
                <w:color w:val="595959" w:themeColor="text1" w:themeTint="A6"/>
                <w:sz w:val="20"/>
                <w:szCs w:val="20"/>
              </w:rPr>
            </w:pPr>
            <w:r w:rsidRPr="008C4BFF">
              <w:rPr>
                <w:rFonts w:ascii="Futura Std Condensed Light" w:eastAsia="Times New Roman" w:hAnsi="Futura Std Condensed Light" w:cs="Futura"/>
                <w:color w:val="595959"/>
                <w:sz w:val="20"/>
                <w:szCs w:val="20"/>
              </w:rPr>
              <w:t xml:space="preserve">Promover en la sociedad quintanarroense el pleno ejercicio de estos derechos; la transparencia y la apertura de  la información </w:t>
            </w:r>
            <w:r w:rsidRPr="008C4BFF">
              <w:rPr>
                <w:rFonts w:ascii="Futura Std Condensed Light" w:eastAsia="Times New Roman" w:hAnsi="Futura Std Condensed Light" w:cs="Futura"/>
                <w:color w:val="595959" w:themeColor="text1" w:themeTint="A6"/>
                <w:sz w:val="20"/>
                <w:szCs w:val="20"/>
              </w:rPr>
              <w:t>en posesión de cualquier sujeto obligado, en apego a los principios de certeza, legalidad, independencia, imparcialidad, eficacia, objetividad, profesionalismo, transparencia y máxima publicidad.</w:t>
            </w:r>
          </w:p>
          <w:p w14:paraId="219F6E0D"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p>
        </w:tc>
      </w:tr>
      <w:tr w:rsidR="00FC3000" w:rsidRPr="008C4BFF" w14:paraId="0478B045" w14:textId="77777777" w:rsidTr="00FC3000">
        <w:trPr>
          <w:trHeight w:val="283"/>
        </w:trPr>
        <w:tc>
          <w:tcPr>
            <w:tcW w:w="952" w:type="pct"/>
            <w:shd w:val="clear" w:color="auto" w:fill="FFFFFF" w:themeFill="background1"/>
            <w:tcMar>
              <w:top w:w="72" w:type="dxa"/>
              <w:left w:w="144" w:type="dxa"/>
              <w:bottom w:w="72" w:type="dxa"/>
              <w:right w:w="144" w:type="dxa"/>
            </w:tcMar>
            <w:hideMark/>
          </w:tcPr>
          <w:p w14:paraId="486B4254"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Descripción:</w:t>
            </w:r>
          </w:p>
        </w:tc>
        <w:tc>
          <w:tcPr>
            <w:tcW w:w="4048" w:type="pct"/>
            <w:shd w:val="clear" w:color="auto" w:fill="FFFFFF" w:themeFill="background1"/>
            <w:tcMar>
              <w:top w:w="72" w:type="dxa"/>
              <w:left w:w="144" w:type="dxa"/>
              <w:bottom w:w="72" w:type="dxa"/>
              <w:right w:w="144" w:type="dxa"/>
            </w:tcMar>
            <w:hideMark/>
          </w:tcPr>
          <w:p w14:paraId="55DC6E1A" w14:textId="77777777" w:rsidR="00FC3000" w:rsidRPr="008C4BFF" w:rsidRDefault="00FC3000" w:rsidP="00FC3000">
            <w:pPr>
              <w:rPr>
                <w:rFonts w:ascii="Futura Std Condensed Light" w:eastAsia="Calibri" w:hAnsi="Futura Std Condensed Light" w:cs="Calibri"/>
                <w:color w:val="595959" w:themeColor="text1" w:themeTint="A6"/>
                <w:sz w:val="20"/>
                <w:szCs w:val="20"/>
              </w:rPr>
            </w:pPr>
            <w:r w:rsidRPr="008C4BFF">
              <w:rPr>
                <w:rFonts w:ascii="Futura Std Condensed Light" w:hAnsi="Futura Std Condensed Light" w:cs="Calibri"/>
                <w:color w:val="595959" w:themeColor="text1" w:themeTint="A6"/>
                <w:sz w:val="20"/>
                <w:szCs w:val="20"/>
                <w:shd w:val="clear" w:color="auto" w:fill="FFFFFF"/>
              </w:rPr>
              <w:t>La Métrica de Gobierno Abierto es un instrumento que busca medir qué tanto puede conocer el ciudadano lo que realizan sus gobiernos y qué tanto puede incidir en sus decisiones. En este sentido, la Métrica puede concebirse como una radiografía sobre Gobierno Abierto a escala nacional, y sirve de línea base para las políticas en la materia, que han sido implementadas por el INAI y por los demás integrantes del Sistema Nacional de Transparencia (SNT), en el ámbito de sus respectivas competencias.</w:t>
            </w:r>
          </w:p>
        </w:tc>
      </w:tr>
      <w:tr w:rsidR="00FC3000" w:rsidRPr="008C4BFF" w14:paraId="41585093" w14:textId="77777777" w:rsidTr="00FC3000">
        <w:trPr>
          <w:trHeight w:val="283"/>
        </w:trPr>
        <w:tc>
          <w:tcPr>
            <w:tcW w:w="952" w:type="pct"/>
            <w:shd w:val="clear" w:color="auto" w:fill="FFFFFF" w:themeFill="background1"/>
            <w:tcMar>
              <w:top w:w="72" w:type="dxa"/>
              <w:left w:w="144" w:type="dxa"/>
              <w:bottom w:w="72" w:type="dxa"/>
              <w:right w:w="144" w:type="dxa"/>
            </w:tcMar>
            <w:hideMark/>
          </w:tcPr>
          <w:p w14:paraId="250EEBDC"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Método de cálculo:</w:t>
            </w:r>
          </w:p>
        </w:tc>
        <w:tc>
          <w:tcPr>
            <w:tcW w:w="4048" w:type="pct"/>
            <w:shd w:val="clear" w:color="auto" w:fill="FFFFFF" w:themeFill="background1"/>
            <w:tcMar>
              <w:top w:w="72" w:type="dxa"/>
              <w:left w:w="144" w:type="dxa"/>
              <w:bottom w:w="72" w:type="dxa"/>
              <w:right w:w="144" w:type="dxa"/>
            </w:tcMar>
            <w:hideMark/>
          </w:tcPr>
          <w:p w14:paraId="487B1184" w14:textId="77777777" w:rsidR="00FC3000" w:rsidRPr="008C4BFF" w:rsidRDefault="00FC3000" w:rsidP="00FC3000">
            <w:pPr>
              <w:rPr>
                <w:rFonts w:ascii="Futura Std Condensed Light" w:hAnsi="Futura Std Condensed Light"/>
                <w:color w:val="595959" w:themeColor="text1" w:themeTint="A6"/>
                <w:sz w:val="20"/>
                <w:szCs w:val="20"/>
              </w:rPr>
            </w:pPr>
            <w:r w:rsidRPr="008C4BFF">
              <w:rPr>
                <w:rFonts w:ascii="Futura Std Condensed Light" w:hAnsi="Futura Std Condensed Light"/>
                <w:color w:val="595959" w:themeColor="text1" w:themeTint="A6"/>
                <w:sz w:val="20"/>
                <w:szCs w:val="20"/>
              </w:rPr>
              <w:t xml:space="preserve">Este índice mide la transparencia y la participación, observadas tanto desde la perspectiva gubernamental como ciudadana. </w:t>
            </w:r>
          </w:p>
          <w:p w14:paraId="345BD071"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p>
        </w:tc>
      </w:tr>
      <w:tr w:rsidR="00FC3000" w:rsidRPr="008C4BFF" w14:paraId="282E51B3" w14:textId="77777777" w:rsidTr="00FC3000">
        <w:trPr>
          <w:trHeight w:val="283"/>
        </w:trPr>
        <w:tc>
          <w:tcPr>
            <w:tcW w:w="952" w:type="pct"/>
            <w:shd w:val="clear" w:color="auto" w:fill="FFFFFF" w:themeFill="background1"/>
            <w:tcMar>
              <w:top w:w="72" w:type="dxa"/>
              <w:left w:w="144" w:type="dxa"/>
              <w:bottom w:w="72" w:type="dxa"/>
              <w:right w:w="144" w:type="dxa"/>
            </w:tcMar>
            <w:hideMark/>
          </w:tcPr>
          <w:p w14:paraId="7417E2DA"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Periodicidad:</w:t>
            </w:r>
          </w:p>
        </w:tc>
        <w:tc>
          <w:tcPr>
            <w:tcW w:w="4048" w:type="pct"/>
            <w:shd w:val="clear" w:color="auto" w:fill="FFFFFF" w:themeFill="background1"/>
            <w:tcMar>
              <w:top w:w="72" w:type="dxa"/>
              <w:left w:w="144" w:type="dxa"/>
              <w:bottom w:w="72" w:type="dxa"/>
              <w:right w:w="144" w:type="dxa"/>
            </w:tcMar>
            <w:hideMark/>
          </w:tcPr>
          <w:p w14:paraId="5366C206"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Anual</w:t>
            </w:r>
          </w:p>
        </w:tc>
      </w:tr>
      <w:tr w:rsidR="00FC3000" w:rsidRPr="008C4BFF" w14:paraId="5CBA45C5" w14:textId="77777777" w:rsidTr="00FC3000">
        <w:trPr>
          <w:trHeight w:val="283"/>
        </w:trPr>
        <w:tc>
          <w:tcPr>
            <w:tcW w:w="952" w:type="pct"/>
            <w:shd w:val="clear" w:color="auto" w:fill="FFFFFF" w:themeFill="background1"/>
            <w:tcMar>
              <w:top w:w="72" w:type="dxa"/>
              <w:left w:w="144" w:type="dxa"/>
              <w:bottom w:w="72" w:type="dxa"/>
              <w:right w:w="144" w:type="dxa"/>
            </w:tcMar>
            <w:hideMark/>
          </w:tcPr>
          <w:p w14:paraId="1400FAA0"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Fuente:</w:t>
            </w:r>
          </w:p>
        </w:tc>
        <w:tc>
          <w:tcPr>
            <w:tcW w:w="4048" w:type="pct"/>
            <w:shd w:val="clear" w:color="auto" w:fill="FFFFFF" w:themeFill="background1"/>
            <w:tcMar>
              <w:top w:w="72" w:type="dxa"/>
              <w:left w:w="144" w:type="dxa"/>
              <w:bottom w:w="72" w:type="dxa"/>
              <w:right w:w="144" w:type="dxa"/>
            </w:tcMar>
            <w:hideMark/>
          </w:tcPr>
          <w:p w14:paraId="049B8141" w14:textId="77777777" w:rsidR="00FC3000" w:rsidRPr="008C4BFF" w:rsidRDefault="00FC3000" w:rsidP="00FC3000">
            <w:pPr>
              <w:rPr>
                <w:rFonts w:ascii="Futura Std Condensed Light" w:eastAsia="Calibri" w:hAnsi="Futura Std Condensed Light" w:cs="Calibri"/>
                <w:color w:val="595959" w:themeColor="text1" w:themeTint="A6"/>
                <w:sz w:val="20"/>
                <w:szCs w:val="20"/>
              </w:rPr>
            </w:pPr>
            <w:r w:rsidRPr="002755EB">
              <w:rPr>
                <w:rFonts w:ascii="Futura Std Condensed Light" w:eastAsia="Calibri" w:hAnsi="Futura Std Condensed Light" w:cs="Calibri"/>
                <w:color w:val="595959" w:themeColor="text1" w:themeTint="A6"/>
                <w:sz w:val="20"/>
                <w:szCs w:val="20"/>
              </w:rPr>
              <w:t>https://micrositios.inai.org.mx/gobiernoabierto</w:t>
            </w:r>
          </w:p>
        </w:tc>
      </w:tr>
      <w:tr w:rsidR="00FC3000" w:rsidRPr="008C4BFF" w14:paraId="35B0F3B1" w14:textId="77777777" w:rsidTr="00FC3000">
        <w:trPr>
          <w:trHeight w:val="283"/>
        </w:trPr>
        <w:tc>
          <w:tcPr>
            <w:tcW w:w="952" w:type="pct"/>
            <w:shd w:val="clear" w:color="auto" w:fill="FFFFFF" w:themeFill="background1"/>
            <w:tcMar>
              <w:top w:w="72" w:type="dxa"/>
              <w:left w:w="144" w:type="dxa"/>
              <w:bottom w:w="72" w:type="dxa"/>
              <w:right w:w="144" w:type="dxa"/>
            </w:tcMar>
            <w:hideMark/>
          </w:tcPr>
          <w:p w14:paraId="71138861"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Dimensión:</w:t>
            </w:r>
          </w:p>
        </w:tc>
        <w:tc>
          <w:tcPr>
            <w:tcW w:w="4048" w:type="pct"/>
            <w:shd w:val="clear" w:color="auto" w:fill="FFFFFF" w:themeFill="background1"/>
            <w:tcMar>
              <w:top w:w="72" w:type="dxa"/>
              <w:left w:w="144" w:type="dxa"/>
              <w:bottom w:w="72" w:type="dxa"/>
              <w:right w:w="144" w:type="dxa"/>
            </w:tcMar>
            <w:hideMark/>
          </w:tcPr>
          <w:p w14:paraId="1563EE12"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Eficacia</w:t>
            </w:r>
          </w:p>
        </w:tc>
      </w:tr>
      <w:tr w:rsidR="00FC3000" w:rsidRPr="008C4BFF" w14:paraId="2803A7C1" w14:textId="77777777" w:rsidTr="00FC3000">
        <w:trPr>
          <w:trHeight w:val="283"/>
        </w:trPr>
        <w:tc>
          <w:tcPr>
            <w:tcW w:w="952" w:type="pct"/>
            <w:shd w:val="clear" w:color="auto" w:fill="FFFFFF" w:themeFill="background1"/>
            <w:tcMar>
              <w:top w:w="72" w:type="dxa"/>
              <w:left w:w="144" w:type="dxa"/>
              <w:bottom w:w="72" w:type="dxa"/>
              <w:right w:w="144" w:type="dxa"/>
            </w:tcMar>
            <w:hideMark/>
          </w:tcPr>
          <w:p w14:paraId="6081AE42"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Referencias adicionales:</w:t>
            </w:r>
          </w:p>
        </w:tc>
        <w:tc>
          <w:tcPr>
            <w:tcW w:w="4048" w:type="pct"/>
            <w:shd w:val="clear" w:color="auto" w:fill="FFFFFF" w:themeFill="background1"/>
            <w:tcMar>
              <w:top w:w="72" w:type="dxa"/>
              <w:left w:w="144" w:type="dxa"/>
              <w:bottom w:w="72" w:type="dxa"/>
              <w:right w:w="144" w:type="dxa"/>
            </w:tcMar>
            <w:hideMark/>
          </w:tcPr>
          <w:p w14:paraId="6A06F576" w14:textId="77777777" w:rsidR="00FC3000" w:rsidRPr="008C4BFF" w:rsidRDefault="00FC3000" w:rsidP="00FC3000">
            <w:pPr>
              <w:spacing w:after="0" w:line="240" w:lineRule="auto"/>
              <w:rPr>
                <w:rFonts w:ascii="Futura Std Condensed Light" w:eastAsia="Calibri" w:hAnsi="Futura Std Condensed Light" w:cs="Calibri"/>
                <w:color w:val="595959" w:themeColor="text1" w:themeTint="A6"/>
                <w:sz w:val="20"/>
                <w:szCs w:val="20"/>
              </w:rPr>
            </w:pPr>
            <w:r w:rsidRPr="008C4BFF">
              <w:rPr>
                <w:rFonts w:ascii="Futura Std Condensed Light" w:eastAsia="Calibri" w:hAnsi="Futura Std Condensed Light" w:cs="Calibri"/>
                <w:color w:val="595959" w:themeColor="text1" w:themeTint="A6"/>
                <w:sz w:val="20"/>
                <w:szCs w:val="20"/>
              </w:rPr>
              <w:t>Los valores de este índice van de una escala de 0-10 puntos, siendo el 10 la máxima calificación a alcanzar.</w:t>
            </w:r>
          </w:p>
        </w:tc>
      </w:tr>
    </w:tbl>
    <w:p w14:paraId="364EDE61" w14:textId="30C4D704" w:rsidR="00C2741A" w:rsidRPr="00013197" w:rsidRDefault="00E11391" w:rsidP="00C2741A">
      <w:pPr>
        <w:rPr>
          <w:rFonts w:eastAsia="Calibri" w:cs="Arial"/>
          <w:bCs/>
          <w:sz w:val="16"/>
          <w:szCs w:val="16"/>
        </w:rPr>
      </w:pPr>
      <w:r w:rsidRPr="00013197">
        <w:rPr>
          <w:rFonts w:eastAsia="Calibri" w:cs="Arial"/>
          <w:bCs/>
          <w:sz w:val="16"/>
          <w:szCs w:val="16"/>
        </w:rPr>
        <w:t>Fuente: Instituto Nacional de Transparencia, Acceso a la Información y Protección de Datos Personales</w:t>
      </w:r>
    </w:p>
    <w:p w14:paraId="0AB60FAD" w14:textId="77777777" w:rsidR="00C2741A" w:rsidRDefault="00C2741A" w:rsidP="00C2741A">
      <w:pPr>
        <w:rPr>
          <w:rFonts w:eastAsia="Calibri" w:cs="Arial"/>
          <w:bCs/>
          <w:sz w:val="18"/>
          <w:szCs w:val="20"/>
        </w:rPr>
      </w:pPr>
    </w:p>
    <w:p w14:paraId="2F523F17" w14:textId="77777777" w:rsidR="00F32817" w:rsidRDefault="00F32817" w:rsidP="00C2741A">
      <w:pPr>
        <w:rPr>
          <w:rFonts w:eastAsia="Calibri" w:cs="Arial"/>
          <w:bCs/>
          <w:sz w:val="18"/>
          <w:szCs w:val="20"/>
        </w:rPr>
      </w:pPr>
    </w:p>
    <w:p w14:paraId="2BC7B7F7" w14:textId="0B23DB11" w:rsidR="00D22FFD" w:rsidRPr="00614058" w:rsidRDefault="00614058" w:rsidP="00D22FFD">
      <w:pPr>
        <w:pStyle w:val="Ttulo1"/>
      </w:pPr>
      <w:r w:rsidRPr="00416E1E">
        <w:t xml:space="preserve">Anexo </w:t>
      </w:r>
      <w:r>
        <w:t>3</w:t>
      </w:r>
      <w:r w:rsidRPr="00416E1E">
        <w:t xml:space="preserve">. </w:t>
      </w:r>
      <w:r w:rsidR="00FB2656">
        <w:t>matriz de indicadores para resultados</w:t>
      </w:r>
    </w:p>
    <w:tbl>
      <w:tblPr>
        <w:tblW w:w="5000" w:type="pct"/>
        <w:tblCellMar>
          <w:left w:w="70" w:type="dxa"/>
          <w:right w:w="70" w:type="dxa"/>
        </w:tblCellMar>
        <w:tblLook w:val="04A0" w:firstRow="1" w:lastRow="0" w:firstColumn="1" w:lastColumn="0" w:noHBand="0" w:noVBand="1"/>
      </w:tblPr>
      <w:tblGrid>
        <w:gridCol w:w="1292"/>
        <w:gridCol w:w="862"/>
        <w:gridCol w:w="215"/>
        <w:gridCol w:w="355"/>
        <w:gridCol w:w="312"/>
        <w:gridCol w:w="1850"/>
        <w:gridCol w:w="302"/>
        <w:gridCol w:w="959"/>
        <w:gridCol w:w="1016"/>
        <w:gridCol w:w="192"/>
        <w:gridCol w:w="191"/>
        <w:gridCol w:w="1020"/>
        <w:gridCol w:w="1121"/>
      </w:tblGrid>
      <w:tr w:rsidR="00614058" w:rsidRPr="00614058" w14:paraId="4F457A7A" w14:textId="77777777" w:rsidTr="00614058">
        <w:trPr>
          <w:trHeight w:val="285"/>
        </w:trPr>
        <w:tc>
          <w:tcPr>
            <w:tcW w:w="5000" w:type="pct"/>
            <w:gridSpan w:val="13"/>
            <w:tcBorders>
              <w:top w:val="single" w:sz="4" w:space="0" w:color="000000"/>
              <w:left w:val="single" w:sz="4" w:space="0" w:color="000000"/>
              <w:bottom w:val="single" w:sz="4" w:space="0" w:color="000000"/>
              <w:right w:val="single" w:sz="4" w:space="0" w:color="000000"/>
            </w:tcBorders>
            <w:shd w:val="clear" w:color="189CC1" w:fill="189CC1"/>
            <w:hideMark/>
          </w:tcPr>
          <w:p w14:paraId="33AEAD92" w14:textId="77777777" w:rsidR="00614058" w:rsidRPr="00614058" w:rsidRDefault="00614058" w:rsidP="00614058">
            <w:pPr>
              <w:spacing w:after="0" w:line="240" w:lineRule="auto"/>
              <w:jc w:val="center"/>
              <w:rPr>
                <w:rFonts w:ascii="Arial" w:eastAsia="Times New Roman" w:hAnsi="Arial" w:cs="Arial"/>
                <w:b/>
                <w:bCs/>
                <w:color w:val="FFFFFF"/>
                <w:sz w:val="14"/>
                <w:szCs w:val="14"/>
                <w:lang w:val="es-MX" w:eastAsia="es-MX"/>
              </w:rPr>
            </w:pPr>
            <w:r w:rsidRPr="00614058">
              <w:rPr>
                <w:rFonts w:ascii="Arial" w:eastAsia="Times New Roman" w:hAnsi="Arial" w:cs="Arial"/>
                <w:b/>
                <w:bCs/>
                <w:color w:val="FFFFFF"/>
                <w:sz w:val="14"/>
                <w:szCs w:val="14"/>
                <w:lang w:val="es-MX" w:eastAsia="es-MX"/>
              </w:rPr>
              <w:t>Programa Presupuestario</w:t>
            </w:r>
          </w:p>
        </w:tc>
      </w:tr>
      <w:tr w:rsidR="00614058" w:rsidRPr="00614058" w14:paraId="1DE27F06" w14:textId="77777777" w:rsidTr="00614058">
        <w:trPr>
          <w:trHeight w:val="300"/>
        </w:trPr>
        <w:tc>
          <w:tcPr>
            <w:tcW w:w="688" w:type="pct"/>
            <w:tcBorders>
              <w:top w:val="nil"/>
              <w:left w:val="single" w:sz="4" w:space="0" w:color="000000"/>
              <w:bottom w:val="single" w:sz="4" w:space="0" w:color="000000"/>
              <w:right w:val="single" w:sz="4" w:space="0" w:color="000000"/>
            </w:tcBorders>
            <w:shd w:val="clear" w:color="A0D8DB" w:fill="A0D8DB"/>
            <w:hideMark/>
          </w:tcPr>
          <w:p w14:paraId="37787C41" w14:textId="77777777" w:rsidR="00614058" w:rsidRPr="00614058" w:rsidRDefault="00614058" w:rsidP="00614058">
            <w:pPr>
              <w:spacing w:after="0" w:line="240" w:lineRule="auto"/>
              <w:jc w:val="left"/>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Programa Presupuestario:</w:t>
            </w:r>
          </w:p>
        </w:tc>
        <w:tc>
          <w:tcPr>
            <w:tcW w:w="1790" w:type="pct"/>
            <w:gridSpan w:val="5"/>
            <w:tcBorders>
              <w:top w:val="single" w:sz="4" w:space="0" w:color="000000"/>
              <w:left w:val="nil"/>
              <w:bottom w:val="single" w:sz="4" w:space="0" w:color="000000"/>
              <w:right w:val="single" w:sz="4" w:space="0" w:color="000000"/>
            </w:tcBorders>
            <w:shd w:val="clear" w:color="FFFFFF" w:fill="FFFFFF"/>
            <w:hideMark/>
          </w:tcPr>
          <w:p w14:paraId="24438C9A"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E031 - Acceso a la Información y Protección de Datos Personales en Posesión de Sujetos Obligados</w:t>
            </w:r>
          </w:p>
        </w:tc>
        <w:tc>
          <w:tcPr>
            <w:tcW w:w="693" w:type="pct"/>
            <w:gridSpan w:val="2"/>
            <w:tcBorders>
              <w:top w:val="single" w:sz="4" w:space="0" w:color="000000"/>
              <w:left w:val="nil"/>
              <w:bottom w:val="single" w:sz="4" w:space="0" w:color="000000"/>
              <w:right w:val="single" w:sz="4" w:space="0" w:color="000000"/>
            </w:tcBorders>
            <w:shd w:val="clear" w:color="A0D8DB" w:fill="A0D8DB"/>
            <w:hideMark/>
          </w:tcPr>
          <w:p w14:paraId="4E75B242" w14:textId="77777777" w:rsidR="00614058" w:rsidRPr="00614058" w:rsidRDefault="00614058" w:rsidP="00614058">
            <w:pPr>
              <w:spacing w:after="0" w:line="240" w:lineRule="auto"/>
              <w:jc w:val="left"/>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Unidad Responsable:</w:t>
            </w:r>
          </w:p>
        </w:tc>
        <w:tc>
          <w:tcPr>
            <w:tcW w:w="1829" w:type="pct"/>
            <w:gridSpan w:val="5"/>
            <w:tcBorders>
              <w:top w:val="single" w:sz="4" w:space="0" w:color="000000"/>
              <w:left w:val="nil"/>
              <w:bottom w:val="single" w:sz="4" w:space="0" w:color="000000"/>
              <w:right w:val="single" w:sz="4" w:space="0" w:color="000000"/>
            </w:tcBorders>
            <w:shd w:val="clear" w:color="FFFFFF" w:fill="FFFFFF"/>
            <w:hideMark/>
          </w:tcPr>
          <w:p w14:paraId="14445E4D"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4104-3308 - Despacho de la Coordinación de Vinculación</w:t>
            </w:r>
          </w:p>
        </w:tc>
      </w:tr>
      <w:tr w:rsidR="00614058" w:rsidRPr="00614058" w14:paraId="54970D9F" w14:textId="77777777" w:rsidTr="00614058">
        <w:trPr>
          <w:trHeight w:val="143"/>
        </w:trPr>
        <w:tc>
          <w:tcPr>
            <w:tcW w:w="688" w:type="pct"/>
            <w:tcBorders>
              <w:top w:val="nil"/>
              <w:left w:val="nil"/>
              <w:bottom w:val="nil"/>
              <w:right w:val="nil"/>
            </w:tcBorders>
            <w:shd w:val="clear" w:color="FFFFFF" w:fill="FFFFFF"/>
            <w:hideMark/>
          </w:tcPr>
          <w:p w14:paraId="152FD4DC"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466" w:type="pct"/>
            <w:tcBorders>
              <w:top w:val="nil"/>
              <w:left w:val="nil"/>
              <w:bottom w:val="nil"/>
              <w:right w:val="nil"/>
            </w:tcBorders>
            <w:shd w:val="clear" w:color="FFFFFF" w:fill="FFFFFF"/>
            <w:hideMark/>
          </w:tcPr>
          <w:p w14:paraId="6705C0EE"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5" w:type="pct"/>
            <w:tcBorders>
              <w:top w:val="nil"/>
              <w:left w:val="nil"/>
              <w:bottom w:val="nil"/>
              <w:right w:val="nil"/>
            </w:tcBorders>
            <w:shd w:val="clear" w:color="FFFFFF" w:fill="FFFFFF"/>
            <w:hideMark/>
          </w:tcPr>
          <w:p w14:paraId="62C74F76"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40" w:type="pct"/>
            <w:tcBorders>
              <w:top w:val="nil"/>
              <w:left w:val="nil"/>
              <w:bottom w:val="nil"/>
              <w:right w:val="nil"/>
            </w:tcBorders>
            <w:shd w:val="clear" w:color="FFFFFF" w:fill="FFFFFF"/>
            <w:hideMark/>
          </w:tcPr>
          <w:p w14:paraId="13405C61"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22" w:type="pct"/>
            <w:tcBorders>
              <w:top w:val="nil"/>
              <w:left w:val="nil"/>
              <w:bottom w:val="nil"/>
              <w:right w:val="nil"/>
            </w:tcBorders>
            <w:shd w:val="clear" w:color="FFFFFF" w:fill="FFFFFF"/>
            <w:hideMark/>
          </w:tcPr>
          <w:p w14:paraId="2724A80B"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975" w:type="pct"/>
            <w:tcBorders>
              <w:top w:val="nil"/>
              <w:left w:val="nil"/>
              <w:bottom w:val="nil"/>
              <w:right w:val="nil"/>
            </w:tcBorders>
            <w:shd w:val="clear" w:color="FFFFFF" w:fill="FFFFFF"/>
            <w:hideMark/>
          </w:tcPr>
          <w:p w14:paraId="444F6751"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77" w:type="pct"/>
            <w:tcBorders>
              <w:top w:val="nil"/>
              <w:left w:val="nil"/>
              <w:bottom w:val="nil"/>
              <w:right w:val="nil"/>
            </w:tcBorders>
            <w:shd w:val="clear" w:color="FFFFFF" w:fill="FFFFFF"/>
            <w:hideMark/>
          </w:tcPr>
          <w:p w14:paraId="353B668B"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16" w:type="pct"/>
            <w:tcBorders>
              <w:top w:val="nil"/>
              <w:left w:val="nil"/>
              <w:bottom w:val="nil"/>
              <w:right w:val="nil"/>
            </w:tcBorders>
            <w:shd w:val="clear" w:color="FFFFFF" w:fill="FFFFFF"/>
            <w:hideMark/>
          </w:tcPr>
          <w:p w14:paraId="42D9AD5A"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5" w:type="pct"/>
            <w:tcBorders>
              <w:top w:val="nil"/>
              <w:left w:val="nil"/>
              <w:bottom w:val="nil"/>
              <w:right w:val="nil"/>
            </w:tcBorders>
            <w:shd w:val="clear" w:color="FFFFFF" w:fill="FFFFFF"/>
            <w:hideMark/>
          </w:tcPr>
          <w:p w14:paraId="33DC1AC8"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0" w:type="pct"/>
            <w:tcBorders>
              <w:top w:val="nil"/>
              <w:left w:val="nil"/>
              <w:bottom w:val="nil"/>
              <w:right w:val="nil"/>
            </w:tcBorders>
            <w:shd w:val="clear" w:color="FFFFFF" w:fill="FFFFFF"/>
            <w:hideMark/>
          </w:tcPr>
          <w:p w14:paraId="1DFC3044"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8" w:type="pct"/>
            <w:tcBorders>
              <w:top w:val="nil"/>
              <w:left w:val="nil"/>
              <w:bottom w:val="nil"/>
              <w:right w:val="nil"/>
            </w:tcBorders>
            <w:shd w:val="clear" w:color="FFFFFF" w:fill="FFFFFF"/>
            <w:hideMark/>
          </w:tcPr>
          <w:p w14:paraId="6ED470B9"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7" w:type="pct"/>
            <w:tcBorders>
              <w:top w:val="nil"/>
              <w:left w:val="nil"/>
              <w:bottom w:val="nil"/>
              <w:right w:val="nil"/>
            </w:tcBorders>
            <w:shd w:val="clear" w:color="FFFFFF" w:fill="FFFFFF"/>
            <w:hideMark/>
          </w:tcPr>
          <w:p w14:paraId="66F5691C"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600" w:type="pct"/>
            <w:tcBorders>
              <w:top w:val="nil"/>
              <w:left w:val="nil"/>
              <w:bottom w:val="nil"/>
              <w:right w:val="nil"/>
            </w:tcBorders>
            <w:shd w:val="clear" w:color="FFFFFF" w:fill="FFFFFF"/>
            <w:hideMark/>
          </w:tcPr>
          <w:p w14:paraId="6FCE3368"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r>
      <w:tr w:rsidR="00614058" w:rsidRPr="00614058" w14:paraId="0E874EE4" w14:textId="77777777" w:rsidTr="00614058">
        <w:trPr>
          <w:trHeight w:val="282"/>
        </w:trPr>
        <w:tc>
          <w:tcPr>
            <w:tcW w:w="5000" w:type="pct"/>
            <w:gridSpan w:val="13"/>
            <w:tcBorders>
              <w:top w:val="single" w:sz="4" w:space="0" w:color="000000"/>
              <w:left w:val="single" w:sz="4" w:space="0" w:color="000000"/>
              <w:bottom w:val="single" w:sz="4" w:space="0" w:color="000000"/>
              <w:right w:val="single" w:sz="4" w:space="0" w:color="000000"/>
            </w:tcBorders>
            <w:shd w:val="clear" w:color="189CC1" w:fill="189CC1"/>
            <w:hideMark/>
          </w:tcPr>
          <w:p w14:paraId="41F27BE1" w14:textId="77777777" w:rsidR="00614058" w:rsidRPr="00614058" w:rsidRDefault="00614058" w:rsidP="00614058">
            <w:pPr>
              <w:spacing w:after="0" w:line="240" w:lineRule="auto"/>
              <w:jc w:val="center"/>
              <w:rPr>
                <w:rFonts w:ascii="Arial" w:eastAsia="Times New Roman" w:hAnsi="Arial" w:cs="Arial"/>
                <w:b/>
                <w:bCs/>
                <w:color w:val="FFFFFF"/>
                <w:sz w:val="14"/>
                <w:szCs w:val="14"/>
                <w:lang w:val="es-MX" w:eastAsia="es-MX"/>
              </w:rPr>
            </w:pPr>
            <w:r w:rsidRPr="00614058">
              <w:rPr>
                <w:rFonts w:ascii="Arial" w:eastAsia="Times New Roman" w:hAnsi="Arial" w:cs="Arial"/>
                <w:b/>
                <w:bCs/>
                <w:color w:val="FFFFFF"/>
                <w:sz w:val="14"/>
                <w:szCs w:val="14"/>
                <w:lang w:val="es-MX" w:eastAsia="es-MX"/>
              </w:rPr>
              <w:t>Alineación al Plan Estatal de Desarrollo (P.E.D.)</w:t>
            </w:r>
          </w:p>
        </w:tc>
      </w:tr>
      <w:tr w:rsidR="00614058" w:rsidRPr="00614058" w14:paraId="20E63906" w14:textId="77777777" w:rsidTr="00614058">
        <w:trPr>
          <w:trHeight w:val="285"/>
        </w:trPr>
        <w:tc>
          <w:tcPr>
            <w:tcW w:w="1239" w:type="pct"/>
            <w:gridSpan w:val="3"/>
            <w:tcBorders>
              <w:top w:val="single" w:sz="4" w:space="0" w:color="000000"/>
              <w:left w:val="single" w:sz="4" w:space="0" w:color="000000"/>
              <w:bottom w:val="single" w:sz="4" w:space="0" w:color="000000"/>
              <w:right w:val="single" w:sz="4" w:space="0" w:color="000000"/>
            </w:tcBorders>
            <w:shd w:val="clear" w:color="A0D8DB" w:fill="A0D8DB"/>
            <w:hideMark/>
          </w:tcPr>
          <w:p w14:paraId="77EA46BC"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Eje</w:t>
            </w:r>
          </w:p>
        </w:tc>
        <w:tc>
          <w:tcPr>
            <w:tcW w:w="1238" w:type="pct"/>
            <w:gridSpan w:val="3"/>
            <w:tcBorders>
              <w:top w:val="single" w:sz="4" w:space="0" w:color="000000"/>
              <w:left w:val="nil"/>
              <w:bottom w:val="single" w:sz="4" w:space="0" w:color="000000"/>
              <w:right w:val="single" w:sz="4" w:space="0" w:color="000000"/>
            </w:tcBorders>
            <w:shd w:val="clear" w:color="A0D8DB" w:fill="A0D8DB"/>
            <w:hideMark/>
          </w:tcPr>
          <w:p w14:paraId="71A88631"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Programa del P.E.D.</w:t>
            </w:r>
          </w:p>
        </w:tc>
        <w:tc>
          <w:tcPr>
            <w:tcW w:w="1238" w:type="pct"/>
            <w:gridSpan w:val="3"/>
            <w:tcBorders>
              <w:top w:val="single" w:sz="4" w:space="0" w:color="000000"/>
              <w:left w:val="nil"/>
              <w:bottom w:val="single" w:sz="4" w:space="0" w:color="000000"/>
              <w:right w:val="single" w:sz="4" w:space="0" w:color="000000"/>
            </w:tcBorders>
            <w:shd w:val="clear" w:color="A0D8DB" w:fill="A0D8DB"/>
            <w:hideMark/>
          </w:tcPr>
          <w:p w14:paraId="6930F538"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Objetivo</w:t>
            </w:r>
          </w:p>
        </w:tc>
        <w:tc>
          <w:tcPr>
            <w:tcW w:w="1285" w:type="pct"/>
            <w:gridSpan w:val="4"/>
            <w:tcBorders>
              <w:top w:val="single" w:sz="4" w:space="0" w:color="000000"/>
              <w:left w:val="nil"/>
              <w:bottom w:val="single" w:sz="4" w:space="0" w:color="000000"/>
              <w:right w:val="single" w:sz="4" w:space="0" w:color="000000"/>
            </w:tcBorders>
            <w:shd w:val="clear" w:color="A0D8DB" w:fill="A0D8DB"/>
            <w:hideMark/>
          </w:tcPr>
          <w:p w14:paraId="163C4315"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Estrategia</w:t>
            </w:r>
          </w:p>
        </w:tc>
      </w:tr>
      <w:tr w:rsidR="00614058" w:rsidRPr="00614058" w14:paraId="12AD6BDF" w14:textId="77777777" w:rsidTr="00614058">
        <w:trPr>
          <w:trHeight w:val="282"/>
        </w:trPr>
        <w:tc>
          <w:tcPr>
            <w:tcW w:w="1239" w:type="pct"/>
            <w:gridSpan w:val="3"/>
            <w:tcBorders>
              <w:top w:val="single" w:sz="4" w:space="0" w:color="000000"/>
              <w:left w:val="single" w:sz="4" w:space="0" w:color="000000"/>
              <w:bottom w:val="single" w:sz="4" w:space="0" w:color="000000"/>
              <w:right w:val="single" w:sz="4" w:space="0" w:color="000000"/>
            </w:tcBorders>
            <w:shd w:val="clear" w:color="FFFFFF" w:fill="FFFFFF"/>
            <w:hideMark/>
          </w:tcPr>
          <w:p w14:paraId="3B265E1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3 - Gobierno Moderno, Confiable y Cercano a la Gente</w:t>
            </w:r>
          </w:p>
        </w:tc>
        <w:tc>
          <w:tcPr>
            <w:tcW w:w="1238" w:type="pct"/>
            <w:gridSpan w:val="3"/>
            <w:tcBorders>
              <w:top w:val="single" w:sz="4" w:space="0" w:color="000000"/>
              <w:left w:val="nil"/>
              <w:bottom w:val="single" w:sz="4" w:space="0" w:color="000000"/>
              <w:right w:val="single" w:sz="4" w:space="0" w:color="000000"/>
            </w:tcBorders>
            <w:shd w:val="clear" w:color="FFFFFF" w:fill="FFFFFF"/>
            <w:hideMark/>
          </w:tcPr>
          <w:p w14:paraId="49F47A10"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Gestión y Control Gubernamental.</w:t>
            </w:r>
          </w:p>
        </w:tc>
        <w:tc>
          <w:tcPr>
            <w:tcW w:w="1238" w:type="pct"/>
            <w:gridSpan w:val="3"/>
            <w:tcBorders>
              <w:top w:val="single" w:sz="4" w:space="0" w:color="000000"/>
              <w:left w:val="nil"/>
              <w:bottom w:val="single" w:sz="4" w:space="0" w:color="000000"/>
              <w:right w:val="single" w:sz="4" w:space="0" w:color="000000"/>
            </w:tcBorders>
            <w:shd w:val="clear" w:color="FFFFFF" w:fill="FFFFFF"/>
            <w:hideMark/>
          </w:tcPr>
          <w:p w14:paraId="42FB8C42"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3-17 - Impulsar una administración pública ordenada, controlada y transparente en la obtención de resultados y </w:t>
            </w:r>
            <w:r w:rsidRPr="00614058">
              <w:rPr>
                <w:rFonts w:ascii="Arial" w:eastAsia="Times New Roman" w:hAnsi="Arial" w:cs="Arial"/>
                <w:color w:val="000000"/>
                <w:sz w:val="14"/>
                <w:szCs w:val="14"/>
                <w:lang w:val="es-MX" w:eastAsia="es-MX"/>
              </w:rPr>
              <w:lastRenderedPageBreak/>
              <w:t>materialización de sus metas, que garantice la efectiva rendición de cuentas y el combate frontal a la corrupción.</w:t>
            </w:r>
          </w:p>
        </w:tc>
        <w:tc>
          <w:tcPr>
            <w:tcW w:w="1285" w:type="pct"/>
            <w:gridSpan w:val="4"/>
            <w:tcBorders>
              <w:top w:val="single" w:sz="4" w:space="0" w:color="000000"/>
              <w:left w:val="nil"/>
              <w:bottom w:val="single" w:sz="4" w:space="0" w:color="000000"/>
              <w:right w:val="single" w:sz="4" w:space="0" w:color="000000"/>
            </w:tcBorders>
            <w:shd w:val="clear" w:color="FFFFFF" w:fill="FFFFFF"/>
            <w:hideMark/>
          </w:tcPr>
          <w:p w14:paraId="47408EA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lastRenderedPageBreak/>
              <w:t xml:space="preserve">3-17-01 - Desarrollar un programa integral de orden y control sustentando en medios de verificación, que permita obtener la </w:t>
            </w:r>
            <w:r w:rsidRPr="00614058">
              <w:rPr>
                <w:rFonts w:ascii="Arial" w:eastAsia="Times New Roman" w:hAnsi="Arial" w:cs="Arial"/>
                <w:color w:val="000000"/>
                <w:sz w:val="14"/>
                <w:szCs w:val="14"/>
                <w:lang w:val="es-MX" w:eastAsia="es-MX"/>
              </w:rPr>
              <w:lastRenderedPageBreak/>
              <w:t>comprobación de avances mesurables y la rendición de cuentas en el cumplimiento de objetivos y metas establecidas en el Plan Estatal de Desarrollo.</w:t>
            </w:r>
          </w:p>
        </w:tc>
      </w:tr>
      <w:tr w:rsidR="00614058" w:rsidRPr="00614058" w14:paraId="0E7C1501" w14:textId="77777777" w:rsidTr="00614058">
        <w:trPr>
          <w:trHeight w:val="143"/>
        </w:trPr>
        <w:tc>
          <w:tcPr>
            <w:tcW w:w="688" w:type="pct"/>
            <w:tcBorders>
              <w:top w:val="nil"/>
              <w:left w:val="nil"/>
              <w:bottom w:val="nil"/>
              <w:right w:val="nil"/>
            </w:tcBorders>
            <w:shd w:val="clear" w:color="FFFFFF" w:fill="FFFFFF"/>
            <w:hideMark/>
          </w:tcPr>
          <w:p w14:paraId="220FFD44"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lastRenderedPageBreak/>
              <w:t> </w:t>
            </w:r>
          </w:p>
        </w:tc>
        <w:tc>
          <w:tcPr>
            <w:tcW w:w="466" w:type="pct"/>
            <w:tcBorders>
              <w:top w:val="nil"/>
              <w:left w:val="nil"/>
              <w:bottom w:val="nil"/>
              <w:right w:val="nil"/>
            </w:tcBorders>
            <w:shd w:val="clear" w:color="FFFFFF" w:fill="FFFFFF"/>
            <w:hideMark/>
          </w:tcPr>
          <w:p w14:paraId="5A73D678"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5" w:type="pct"/>
            <w:tcBorders>
              <w:top w:val="nil"/>
              <w:left w:val="nil"/>
              <w:bottom w:val="nil"/>
              <w:right w:val="nil"/>
            </w:tcBorders>
            <w:shd w:val="clear" w:color="FFFFFF" w:fill="FFFFFF"/>
            <w:hideMark/>
          </w:tcPr>
          <w:p w14:paraId="28F79F59"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40" w:type="pct"/>
            <w:tcBorders>
              <w:top w:val="nil"/>
              <w:left w:val="nil"/>
              <w:bottom w:val="nil"/>
              <w:right w:val="nil"/>
            </w:tcBorders>
            <w:shd w:val="clear" w:color="FFFFFF" w:fill="FFFFFF"/>
            <w:hideMark/>
          </w:tcPr>
          <w:p w14:paraId="3EA8E66F"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22" w:type="pct"/>
            <w:tcBorders>
              <w:top w:val="nil"/>
              <w:left w:val="nil"/>
              <w:bottom w:val="nil"/>
              <w:right w:val="nil"/>
            </w:tcBorders>
            <w:shd w:val="clear" w:color="FFFFFF" w:fill="FFFFFF"/>
            <w:hideMark/>
          </w:tcPr>
          <w:p w14:paraId="709D06A4"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975" w:type="pct"/>
            <w:tcBorders>
              <w:top w:val="nil"/>
              <w:left w:val="nil"/>
              <w:bottom w:val="nil"/>
              <w:right w:val="nil"/>
            </w:tcBorders>
            <w:shd w:val="clear" w:color="FFFFFF" w:fill="FFFFFF"/>
            <w:hideMark/>
          </w:tcPr>
          <w:p w14:paraId="5314A502"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77" w:type="pct"/>
            <w:tcBorders>
              <w:top w:val="nil"/>
              <w:left w:val="nil"/>
              <w:bottom w:val="nil"/>
              <w:right w:val="nil"/>
            </w:tcBorders>
            <w:shd w:val="clear" w:color="FFFFFF" w:fill="FFFFFF"/>
            <w:hideMark/>
          </w:tcPr>
          <w:p w14:paraId="5A0B1910"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16" w:type="pct"/>
            <w:tcBorders>
              <w:top w:val="nil"/>
              <w:left w:val="nil"/>
              <w:bottom w:val="nil"/>
              <w:right w:val="nil"/>
            </w:tcBorders>
            <w:shd w:val="clear" w:color="FFFFFF" w:fill="FFFFFF"/>
            <w:hideMark/>
          </w:tcPr>
          <w:p w14:paraId="76CD64C2"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5" w:type="pct"/>
            <w:tcBorders>
              <w:top w:val="nil"/>
              <w:left w:val="nil"/>
              <w:bottom w:val="nil"/>
              <w:right w:val="nil"/>
            </w:tcBorders>
            <w:shd w:val="clear" w:color="FFFFFF" w:fill="FFFFFF"/>
            <w:hideMark/>
          </w:tcPr>
          <w:p w14:paraId="409F6089"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0" w:type="pct"/>
            <w:tcBorders>
              <w:top w:val="nil"/>
              <w:left w:val="nil"/>
              <w:bottom w:val="nil"/>
              <w:right w:val="nil"/>
            </w:tcBorders>
            <w:shd w:val="clear" w:color="FFFFFF" w:fill="FFFFFF"/>
            <w:hideMark/>
          </w:tcPr>
          <w:p w14:paraId="3D473D90"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8" w:type="pct"/>
            <w:tcBorders>
              <w:top w:val="nil"/>
              <w:left w:val="nil"/>
              <w:bottom w:val="nil"/>
              <w:right w:val="nil"/>
            </w:tcBorders>
            <w:shd w:val="clear" w:color="FFFFFF" w:fill="FFFFFF"/>
            <w:hideMark/>
          </w:tcPr>
          <w:p w14:paraId="71119653"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7" w:type="pct"/>
            <w:tcBorders>
              <w:top w:val="nil"/>
              <w:left w:val="nil"/>
              <w:bottom w:val="nil"/>
              <w:right w:val="nil"/>
            </w:tcBorders>
            <w:shd w:val="clear" w:color="FFFFFF" w:fill="FFFFFF"/>
            <w:hideMark/>
          </w:tcPr>
          <w:p w14:paraId="4AC0E643"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600" w:type="pct"/>
            <w:tcBorders>
              <w:top w:val="nil"/>
              <w:left w:val="nil"/>
              <w:bottom w:val="nil"/>
              <w:right w:val="nil"/>
            </w:tcBorders>
            <w:shd w:val="clear" w:color="FFFFFF" w:fill="FFFFFF"/>
            <w:hideMark/>
          </w:tcPr>
          <w:p w14:paraId="654E78C5"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r>
      <w:tr w:rsidR="00614058" w:rsidRPr="00614058" w14:paraId="000EF859" w14:textId="77777777" w:rsidTr="00614058">
        <w:trPr>
          <w:trHeight w:val="282"/>
        </w:trPr>
        <w:tc>
          <w:tcPr>
            <w:tcW w:w="5000" w:type="pct"/>
            <w:gridSpan w:val="13"/>
            <w:tcBorders>
              <w:top w:val="single" w:sz="4" w:space="0" w:color="000000"/>
              <w:left w:val="single" w:sz="4" w:space="0" w:color="000000"/>
              <w:bottom w:val="single" w:sz="4" w:space="0" w:color="000000"/>
              <w:right w:val="single" w:sz="4" w:space="0" w:color="000000"/>
            </w:tcBorders>
            <w:shd w:val="clear" w:color="189CC1" w:fill="189CC1"/>
            <w:hideMark/>
          </w:tcPr>
          <w:p w14:paraId="493E8F5E" w14:textId="77777777" w:rsidR="00614058" w:rsidRPr="00614058" w:rsidRDefault="00614058" w:rsidP="00614058">
            <w:pPr>
              <w:spacing w:after="0" w:line="240" w:lineRule="auto"/>
              <w:jc w:val="center"/>
              <w:rPr>
                <w:rFonts w:ascii="Arial" w:eastAsia="Times New Roman" w:hAnsi="Arial" w:cs="Arial"/>
                <w:b/>
                <w:bCs/>
                <w:color w:val="FFFFFF"/>
                <w:sz w:val="14"/>
                <w:szCs w:val="14"/>
                <w:lang w:val="es-MX" w:eastAsia="es-MX"/>
              </w:rPr>
            </w:pPr>
            <w:r w:rsidRPr="00614058">
              <w:rPr>
                <w:rFonts w:ascii="Arial" w:eastAsia="Times New Roman" w:hAnsi="Arial" w:cs="Arial"/>
                <w:b/>
                <w:bCs/>
                <w:color w:val="FFFFFF"/>
                <w:sz w:val="14"/>
                <w:szCs w:val="14"/>
                <w:lang w:val="es-MX" w:eastAsia="es-MX"/>
              </w:rPr>
              <w:t>Alineación al Programa de Desarrollo (P.D.)</w:t>
            </w:r>
          </w:p>
        </w:tc>
      </w:tr>
      <w:tr w:rsidR="00614058" w:rsidRPr="00614058" w14:paraId="1BC71DC5" w14:textId="77777777" w:rsidTr="00614058">
        <w:trPr>
          <w:trHeight w:val="285"/>
        </w:trPr>
        <w:tc>
          <w:tcPr>
            <w:tcW w:w="1154" w:type="pct"/>
            <w:gridSpan w:val="2"/>
            <w:tcBorders>
              <w:top w:val="single" w:sz="4" w:space="0" w:color="000000"/>
              <w:left w:val="single" w:sz="4" w:space="0" w:color="000000"/>
              <w:bottom w:val="single" w:sz="4" w:space="0" w:color="000000"/>
              <w:right w:val="single" w:sz="4" w:space="0" w:color="000000"/>
            </w:tcBorders>
            <w:shd w:val="clear" w:color="A0D8DB" w:fill="A0D8DB"/>
            <w:hideMark/>
          </w:tcPr>
          <w:p w14:paraId="595A10B9"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Programa de Desarrollo</w:t>
            </w:r>
          </w:p>
        </w:tc>
        <w:tc>
          <w:tcPr>
            <w:tcW w:w="348" w:type="pct"/>
            <w:gridSpan w:val="3"/>
            <w:tcBorders>
              <w:top w:val="single" w:sz="4" w:space="0" w:color="000000"/>
              <w:left w:val="nil"/>
              <w:bottom w:val="single" w:sz="4" w:space="0" w:color="000000"/>
              <w:right w:val="single" w:sz="4" w:space="0" w:color="000000"/>
            </w:tcBorders>
            <w:shd w:val="clear" w:color="A0D8DB" w:fill="A0D8DB"/>
            <w:hideMark/>
          </w:tcPr>
          <w:p w14:paraId="6F40715B"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Tipo de P.D.</w:t>
            </w:r>
          </w:p>
        </w:tc>
        <w:tc>
          <w:tcPr>
            <w:tcW w:w="1153" w:type="pct"/>
            <w:gridSpan w:val="2"/>
            <w:tcBorders>
              <w:top w:val="single" w:sz="4" w:space="0" w:color="000000"/>
              <w:left w:val="nil"/>
              <w:bottom w:val="single" w:sz="4" w:space="0" w:color="000000"/>
              <w:right w:val="single" w:sz="4" w:space="0" w:color="000000"/>
            </w:tcBorders>
            <w:shd w:val="clear" w:color="A0D8DB" w:fill="A0D8DB"/>
            <w:hideMark/>
          </w:tcPr>
          <w:p w14:paraId="1649A9F8"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Tema</w:t>
            </w:r>
          </w:p>
        </w:tc>
        <w:tc>
          <w:tcPr>
            <w:tcW w:w="1199" w:type="pct"/>
            <w:gridSpan w:val="4"/>
            <w:tcBorders>
              <w:top w:val="single" w:sz="4" w:space="0" w:color="000000"/>
              <w:left w:val="nil"/>
              <w:bottom w:val="single" w:sz="4" w:space="0" w:color="000000"/>
              <w:right w:val="single" w:sz="4" w:space="0" w:color="000000"/>
            </w:tcBorders>
            <w:shd w:val="clear" w:color="A0D8DB" w:fill="A0D8DB"/>
            <w:hideMark/>
          </w:tcPr>
          <w:p w14:paraId="230A56F4"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Objetivo</w:t>
            </w:r>
          </w:p>
        </w:tc>
        <w:tc>
          <w:tcPr>
            <w:tcW w:w="1147" w:type="pct"/>
            <w:gridSpan w:val="2"/>
            <w:tcBorders>
              <w:top w:val="single" w:sz="4" w:space="0" w:color="000000"/>
              <w:left w:val="nil"/>
              <w:bottom w:val="single" w:sz="4" w:space="0" w:color="000000"/>
              <w:right w:val="single" w:sz="4" w:space="0" w:color="000000"/>
            </w:tcBorders>
            <w:shd w:val="clear" w:color="A0D8DB" w:fill="A0D8DB"/>
            <w:hideMark/>
          </w:tcPr>
          <w:p w14:paraId="5EB68988"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Estrategia</w:t>
            </w:r>
          </w:p>
        </w:tc>
      </w:tr>
      <w:tr w:rsidR="00614058" w:rsidRPr="00614058" w14:paraId="551FFB41" w14:textId="77777777" w:rsidTr="00614058">
        <w:trPr>
          <w:trHeight w:val="282"/>
        </w:trPr>
        <w:tc>
          <w:tcPr>
            <w:tcW w:w="1154" w:type="pct"/>
            <w:gridSpan w:val="2"/>
            <w:tcBorders>
              <w:top w:val="single" w:sz="4" w:space="0" w:color="000000"/>
              <w:left w:val="single" w:sz="4" w:space="0" w:color="000000"/>
              <w:bottom w:val="single" w:sz="4" w:space="0" w:color="000000"/>
              <w:right w:val="single" w:sz="4" w:space="0" w:color="000000"/>
            </w:tcBorders>
            <w:shd w:val="clear" w:color="FFFFFF" w:fill="FFFFFF"/>
            <w:hideMark/>
          </w:tcPr>
          <w:p w14:paraId="40CDCF9B"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24 - Programa Institucional de Promoción, Fomento y Garantía del Derecho de Acceso a la Información Pública y la Protección de Datos Personales en el Estado de Quintana Roo</w:t>
            </w:r>
          </w:p>
        </w:tc>
        <w:tc>
          <w:tcPr>
            <w:tcW w:w="348" w:type="pct"/>
            <w:gridSpan w:val="3"/>
            <w:tcBorders>
              <w:top w:val="single" w:sz="4" w:space="0" w:color="000000"/>
              <w:left w:val="nil"/>
              <w:bottom w:val="single" w:sz="4" w:space="0" w:color="000000"/>
              <w:right w:val="single" w:sz="4" w:space="0" w:color="000000"/>
            </w:tcBorders>
            <w:shd w:val="clear" w:color="FFFFFF" w:fill="FFFFFF"/>
            <w:hideMark/>
          </w:tcPr>
          <w:p w14:paraId="32A23A43"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Institucional</w:t>
            </w:r>
          </w:p>
        </w:tc>
        <w:tc>
          <w:tcPr>
            <w:tcW w:w="1153" w:type="pct"/>
            <w:gridSpan w:val="2"/>
            <w:tcBorders>
              <w:top w:val="single" w:sz="4" w:space="0" w:color="000000"/>
              <w:left w:val="nil"/>
              <w:bottom w:val="single" w:sz="4" w:space="0" w:color="000000"/>
              <w:right w:val="single" w:sz="4" w:space="0" w:color="000000"/>
            </w:tcBorders>
            <w:shd w:val="clear" w:color="FFFFFF" w:fill="FFFFFF"/>
            <w:hideMark/>
          </w:tcPr>
          <w:p w14:paraId="14A1E4B9"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Acceso a la información pública y la protección de sus datos personales en posesión de los sujetos obligados</w:t>
            </w:r>
          </w:p>
        </w:tc>
        <w:tc>
          <w:tcPr>
            <w:tcW w:w="1199" w:type="pct"/>
            <w:gridSpan w:val="4"/>
            <w:tcBorders>
              <w:top w:val="single" w:sz="4" w:space="0" w:color="000000"/>
              <w:left w:val="nil"/>
              <w:bottom w:val="single" w:sz="4" w:space="0" w:color="000000"/>
              <w:right w:val="single" w:sz="4" w:space="0" w:color="000000"/>
            </w:tcBorders>
            <w:shd w:val="clear" w:color="FFFFFF" w:fill="FFFFFF"/>
            <w:hideMark/>
          </w:tcPr>
          <w:p w14:paraId="21D0528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24-01 - Consolidar el cumplimiento de los derechos de acceso a la información pública y la protección de sus datos personales en posesión de los sujetos obligados en el estado de Quintana Roo.</w:t>
            </w:r>
          </w:p>
        </w:tc>
        <w:tc>
          <w:tcPr>
            <w:tcW w:w="1147" w:type="pct"/>
            <w:gridSpan w:val="2"/>
            <w:tcBorders>
              <w:top w:val="single" w:sz="4" w:space="0" w:color="000000"/>
              <w:left w:val="nil"/>
              <w:bottom w:val="single" w:sz="4" w:space="0" w:color="000000"/>
              <w:right w:val="single" w:sz="4" w:space="0" w:color="000000"/>
            </w:tcBorders>
            <w:shd w:val="clear" w:color="FFFFFF" w:fill="FFFFFF"/>
            <w:hideMark/>
          </w:tcPr>
          <w:p w14:paraId="4FFA6C7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24-01-01 - Promover en la sociedad quintanarroense el pleno ejercicio de estos derechos; la transparencia y la apertura de la información en posesión de cualquier sujeto obligado, en apego a los principios de certeza, legalidad, independencia, imparcialidad, eficacia, objetividad, profesionalismo y máxima publicidad.</w:t>
            </w:r>
          </w:p>
        </w:tc>
      </w:tr>
      <w:tr w:rsidR="00614058" w:rsidRPr="00614058" w14:paraId="73CC190F" w14:textId="77777777" w:rsidTr="00614058">
        <w:trPr>
          <w:trHeight w:val="143"/>
        </w:trPr>
        <w:tc>
          <w:tcPr>
            <w:tcW w:w="688" w:type="pct"/>
            <w:tcBorders>
              <w:top w:val="nil"/>
              <w:left w:val="nil"/>
              <w:bottom w:val="nil"/>
              <w:right w:val="nil"/>
            </w:tcBorders>
            <w:shd w:val="clear" w:color="FFFFFF" w:fill="FFFFFF"/>
            <w:hideMark/>
          </w:tcPr>
          <w:p w14:paraId="46F6C747"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466" w:type="pct"/>
            <w:tcBorders>
              <w:top w:val="nil"/>
              <w:left w:val="nil"/>
              <w:bottom w:val="nil"/>
              <w:right w:val="nil"/>
            </w:tcBorders>
            <w:shd w:val="clear" w:color="FFFFFF" w:fill="FFFFFF"/>
            <w:hideMark/>
          </w:tcPr>
          <w:p w14:paraId="0447C065"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5" w:type="pct"/>
            <w:tcBorders>
              <w:top w:val="nil"/>
              <w:left w:val="nil"/>
              <w:bottom w:val="nil"/>
              <w:right w:val="nil"/>
            </w:tcBorders>
            <w:shd w:val="clear" w:color="FFFFFF" w:fill="FFFFFF"/>
            <w:hideMark/>
          </w:tcPr>
          <w:p w14:paraId="4FAC8EC0"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40" w:type="pct"/>
            <w:tcBorders>
              <w:top w:val="nil"/>
              <w:left w:val="nil"/>
              <w:bottom w:val="nil"/>
              <w:right w:val="nil"/>
            </w:tcBorders>
            <w:shd w:val="clear" w:color="FFFFFF" w:fill="FFFFFF"/>
            <w:hideMark/>
          </w:tcPr>
          <w:p w14:paraId="29ED2E19"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22" w:type="pct"/>
            <w:tcBorders>
              <w:top w:val="nil"/>
              <w:left w:val="nil"/>
              <w:bottom w:val="nil"/>
              <w:right w:val="nil"/>
            </w:tcBorders>
            <w:shd w:val="clear" w:color="FFFFFF" w:fill="FFFFFF"/>
            <w:hideMark/>
          </w:tcPr>
          <w:p w14:paraId="0B0E4077"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975" w:type="pct"/>
            <w:tcBorders>
              <w:top w:val="nil"/>
              <w:left w:val="nil"/>
              <w:bottom w:val="nil"/>
              <w:right w:val="nil"/>
            </w:tcBorders>
            <w:shd w:val="clear" w:color="FFFFFF" w:fill="FFFFFF"/>
            <w:hideMark/>
          </w:tcPr>
          <w:p w14:paraId="3CCBBE5E"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77" w:type="pct"/>
            <w:tcBorders>
              <w:top w:val="nil"/>
              <w:left w:val="nil"/>
              <w:bottom w:val="nil"/>
              <w:right w:val="nil"/>
            </w:tcBorders>
            <w:shd w:val="clear" w:color="FFFFFF" w:fill="FFFFFF"/>
            <w:hideMark/>
          </w:tcPr>
          <w:p w14:paraId="6F52EB45"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16" w:type="pct"/>
            <w:tcBorders>
              <w:top w:val="nil"/>
              <w:left w:val="nil"/>
              <w:bottom w:val="nil"/>
              <w:right w:val="nil"/>
            </w:tcBorders>
            <w:shd w:val="clear" w:color="FFFFFF" w:fill="FFFFFF"/>
            <w:hideMark/>
          </w:tcPr>
          <w:p w14:paraId="5B18AF13"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5" w:type="pct"/>
            <w:tcBorders>
              <w:top w:val="nil"/>
              <w:left w:val="nil"/>
              <w:bottom w:val="nil"/>
              <w:right w:val="nil"/>
            </w:tcBorders>
            <w:shd w:val="clear" w:color="FFFFFF" w:fill="FFFFFF"/>
            <w:hideMark/>
          </w:tcPr>
          <w:p w14:paraId="5D01533A"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0" w:type="pct"/>
            <w:tcBorders>
              <w:top w:val="nil"/>
              <w:left w:val="nil"/>
              <w:bottom w:val="nil"/>
              <w:right w:val="nil"/>
            </w:tcBorders>
            <w:shd w:val="clear" w:color="FFFFFF" w:fill="FFFFFF"/>
            <w:hideMark/>
          </w:tcPr>
          <w:p w14:paraId="16E2C46B"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8" w:type="pct"/>
            <w:tcBorders>
              <w:top w:val="nil"/>
              <w:left w:val="nil"/>
              <w:bottom w:val="nil"/>
              <w:right w:val="nil"/>
            </w:tcBorders>
            <w:shd w:val="clear" w:color="FFFFFF" w:fill="FFFFFF"/>
            <w:hideMark/>
          </w:tcPr>
          <w:p w14:paraId="14960960"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7" w:type="pct"/>
            <w:tcBorders>
              <w:top w:val="nil"/>
              <w:left w:val="nil"/>
              <w:bottom w:val="nil"/>
              <w:right w:val="nil"/>
            </w:tcBorders>
            <w:shd w:val="clear" w:color="FFFFFF" w:fill="FFFFFF"/>
            <w:hideMark/>
          </w:tcPr>
          <w:p w14:paraId="5AF26CCF"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600" w:type="pct"/>
            <w:tcBorders>
              <w:top w:val="nil"/>
              <w:left w:val="nil"/>
              <w:bottom w:val="nil"/>
              <w:right w:val="nil"/>
            </w:tcBorders>
            <w:shd w:val="clear" w:color="FFFFFF" w:fill="FFFFFF"/>
            <w:hideMark/>
          </w:tcPr>
          <w:p w14:paraId="21451F3D"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r>
      <w:tr w:rsidR="00614058" w:rsidRPr="00614058" w14:paraId="73961E39" w14:textId="77777777" w:rsidTr="00614058">
        <w:trPr>
          <w:trHeight w:val="282"/>
        </w:trPr>
        <w:tc>
          <w:tcPr>
            <w:tcW w:w="5000" w:type="pct"/>
            <w:gridSpan w:val="13"/>
            <w:tcBorders>
              <w:top w:val="single" w:sz="4" w:space="0" w:color="000000"/>
              <w:left w:val="single" w:sz="4" w:space="0" w:color="000000"/>
              <w:bottom w:val="single" w:sz="4" w:space="0" w:color="000000"/>
              <w:right w:val="single" w:sz="4" w:space="0" w:color="000000"/>
            </w:tcBorders>
            <w:shd w:val="clear" w:color="189CC1" w:fill="189CC1"/>
            <w:hideMark/>
          </w:tcPr>
          <w:p w14:paraId="77EA5399" w14:textId="77777777" w:rsidR="00614058" w:rsidRPr="00614058" w:rsidRDefault="00614058" w:rsidP="00614058">
            <w:pPr>
              <w:spacing w:after="0" w:line="240" w:lineRule="auto"/>
              <w:jc w:val="center"/>
              <w:rPr>
                <w:rFonts w:ascii="Arial" w:eastAsia="Times New Roman" w:hAnsi="Arial" w:cs="Arial"/>
                <w:b/>
                <w:bCs/>
                <w:color w:val="FFFFFF"/>
                <w:sz w:val="14"/>
                <w:szCs w:val="14"/>
                <w:lang w:val="es-MX" w:eastAsia="es-MX"/>
              </w:rPr>
            </w:pPr>
            <w:r w:rsidRPr="00614058">
              <w:rPr>
                <w:rFonts w:ascii="Arial" w:eastAsia="Times New Roman" w:hAnsi="Arial" w:cs="Arial"/>
                <w:b/>
                <w:bCs/>
                <w:color w:val="FFFFFF"/>
                <w:sz w:val="14"/>
                <w:szCs w:val="14"/>
                <w:lang w:val="es-MX" w:eastAsia="es-MX"/>
              </w:rPr>
              <w:t>Alineación Funcional</w:t>
            </w:r>
          </w:p>
        </w:tc>
      </w:tr>
      <w:tr w:rsidR="00614058" w:rsidRPr="00614058" w14:paraId="6C70E4F1" w14:textId="77777777" w:rsidTr="00614058">
        <w:trPr>
          <w:trHeight w:val="300"/>
        </w:trPr>
        <w:tc>
          <w:tcPr>
            <w:tcW w:w="688" w:type="pct"/>
            <w:tcBorders>
              <w:top w:val="nil"/>
              <w:left w:val="single" w:sz="4" w:space="0" w:color="000000"/>
              <w:bottom w:val="single" w:sz="4" w:space="0" w:color="000000"/>
              <w:right w:val="single" w:sz="4" w:space="0" w:color="000000"/>
            </w:tcBorders>
            <w:shd w:val="clear" w:color="A0D8DB" w:fill="A0D8DB"/>
            <w:hideMark/>
          </w:tcPr>
          <w:p w14:paraId="61126478" w14:textId="77777777" w:rsidR="00614058" w:rsidRPr="00614058" w:rsidRDefault="00614058" w:rsidP="00614058">
            <w:pPr>
              <w:spacing w:after="0" w:line="240" w:lineRule="auto"/>
              <w:jc w:val="left"/>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Finalidad:</w:t>
            </w:r>
          </w:p>
        </w:tc>
        <w:tc>
          <w:tcPr>
            <w:tcW w:w="1790" w:type="pct"/>
            <w:gridSpan w:val="5"/>
            <w:tcBorders>
              <w:top w:val="single" w:sz="4" w:space="0" w:color="000000"/>
              <w:left w:val="nil"/>
              <w:bottom w:val="single" w:sz="4" w:space="0" w:color="000000"/>
              <w:right w:val="single" w:sz="4" w:space="0" w:color="000000"/>
            </w:tcBorders>
            <w:shd w:val="clear" w:color="FFFFFF" w:fill="FFFFFF"/>
            <w:hideMark/>
          </w:tcPr>
          <w:p w14:paraId="19A541DD"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1 - Gobierno</w:t>
            </w:r>
          </w:p>
        </w:tc>
        <w:tc>
          <w:tcPr>
            <w:tcW w:w="693" w:type="pct"/>
            <w:gridSpan w:val="2"/>
            <w:tcBorders>
              <w:top w:val="single" w:sz="4" w:space="0" w:color="000000"/>
              <w:left w:val="nil"/>
              <w:bottom w:val="single" w:sz="4" w:space="0" w:color="000000"/>
              <w:right w:val="single" w:sz="4" w:space="0" w:color="000000"/>
            </w:tcBorders>
            <w:shd w:val="clear" w:color="A0D8DB" w:fill="A0D8DB"/>
            <w:hideMark/>
          </w:tcPr>
          <w:p w14:paraId="73DC6ED5" w14:textId="77777777" w:rsidR="00614058" w:rsidRPr="00614058" w:rsidRDefault="00614058" w:rsidP="00614058">
            <w:pPr>
              <w:spacing w:after="0" w:line="240" w:lineRule="auto"/>
              <w:jc w:val="left"/>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Función:</w:t>
            </w:r>
          </w:p>
        </w:tc>
        <w:tc>
          <w:tcPr>
            <w:tcW w:w="1829" w:type="pct"/>
            <w:gridSpan w:val="5"/>
            <w:tcBorders>
              <w:top w:val="single" w:sz="4" w:space="0" w:color="000000"/>
              <w:left w:val="nil"/>
              <w:bottom w:val="single" w:sz="4" w:space="0" w:color="000000"/>
              <w:right w:val="single" w:sz="4" w:space="0" w:color="000000"/>
            </w:tcBorders>
            <w:shd w:val="clear" w:color="FFFFFF" w:fill="FFFFFF"/>
            <w:hideMark/>
          </w:tcPr>
          <w:p w14:paraId="6A94E06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18 - Otros Servicios Generales</w:t>
            </w:r>
          </w:p>
        </w:tc>
      </w:tr>
    </w:tbl>
    <w:p w14:paraId="014B2F46" w14:textId="1DAA7A81" w:rsidR="00F32817" w:rsidRDefault="00F32817" w:rsidP="00C2741A">
      <w:pPr>
        <w:rPr>
          <w:rFonts w:eastAsia="Calibri" w:cs="Arial"/>
          <w:bCs/>
          <w:sz w:val="18"/>
          <w:szCs w:val="20"/>
        </w:rPr>
      </w:pPr>
    </w:p>
    <w:p w14:paraId="07709D3F" w14:textId="163C0488" w:rsidR="00653334" w:rsidRDefault="00802396" w:rsidP="00C2741A">
      <w:pPr>
        <w:rPr>
          <w:rFonts w:eastAsia="Calibri" w:cs="Arial"/>
          <w:bCs/>
          <w:sz w:val="18"/>
          <w:szCs w:val="20"/>
        </w:rPr>
      </w:pPr>
      <w:r w:rsidRPr="00653334">
        <w:rPr>
          <w:rFonts w:ascii="Calibri" w:eastAsia="Calibri" w:hAnsi="Calibri" w:cs="Times New Roman"/>
          <w:noProof/>
          <w:sz w:val="16"/>
          <w:szCs w:val="16"/>
          <w:lang w:val="es-MX" w:eastAsia="es-MX"/>
        </w:rPr>
        <mc:AlternateContent>
          <mc:Choice Requires="wps">
            <w:drawing>
              <wp:anchor distT="45720" distB="45720" distL="114300" distR="114300" simplePos="0" relativeHeight="251659264" behindDoc="0" locked="0" layoutInCell="1" allowOverlap="1" wp14:anchorId="3FCF2101" wp14:editId="1786897C">
                <wp:simplePos x="0" y="0"/>
                <wp:positionH relativeFrom="margin">
                  <wp:align>left</wp:align>
                </wp:positionH>
                <wp:positionV relativeFrom="paragraph">
                  <wp:posOffset>181610</wp:posOffset>
                </wp:positionV>
                <wp:extent cx="5913120" cy="902208"/>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902208"/>
                        </a:xfrm>
                        <a:prstGeom prst="rect">
                          <a:avLst/>
                        </a:prstGeom>
                        <a:solidFill>
                          <a:srgbClr val="FFFFFF"/>
                        </a:solidFill>
                        <a:ln w="9525">
                          <a:noFill/>
                          <a:miter lim="800000"/>
                          <a:headEnd/>
                          <a:tailEnd/>
                        </a:ln>
                      </wps:spPr>
                      <wps:txbx>
                        <w:txbxContent>
                          <w:p w14:paraId="4ED0BB9C" w14:textId="77777777" w:rsidR="00A759AA" w:rsidRPr="00802396" w:rsidRDefault="00A759AA" w:rsidP="00653334">
                            <w:pPr>
                              <w:spacing w:after="160" w:line="259" w:lineRule="auto"/>
                              <w:rPr>
                                <w:rFonts w:ascii="Calibri" w:eastAsia="Calibri" w:hAnsi="Calibri" w:cs="Times New Roman"/>
                                <w:sz w:val="14"/>
                                <w:szCs w:val="14"/>
                                <w:lang w:val="es-MX" w:eastAsia="en-US"/>
                              </w:rPr>
                            </w:pPr>
                            <w:r w:rsidRPr="00802396">
                              <w:rPr>
                                <w:rFonts w:ascii="Calibri" w:eastAsia="Calibri" w:hAnsi="Calibri" w:cs="Times New Roman"/>
                                <w:sz w:val="14"/>
                                <w:szCs w:val="14"/>
                                <w:lang w:val="es-MX" w:eastAsia="en-US"/>
                              </w:rPr>
                              <w:t>¨El anexo aquí presentado es perfectible, y se encuentra susceptible de modificaciones programáticas toda vez así se le indique por observaciones de auditorías,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6A826B33" w14:textId="1196D903" w:rsidR="00A759AA" w:rsidRDefault="00A759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CF2101" id="_x0000_t202" coordsize="21600,21600" o:spt="202" path="m,l,21600r21600,l21600,xe">
                <v:stroke joinstyle="miter"/>
                <v:path gradientshapeok="t" o:connecttype="rect"/>
              </v:shapetype>
              <v:shape id="Cuadro de texto 2" o:spid="_x0000_s1026" type="#_x0000_t202" style="position:absolute;left:0;text-align:left;margin-left:0;margin-top:14.3pt;width:465.6pt;height:71.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" stroked="f">
                <v:textbox>
                  <w:txbxContent>
                    <w:p w14:paraId="4ED0BB9C" w14:textId="77777777" w:rsidR="00A759AA" w:rsidRPr="00802396" w:rsidRDefault="00A759AA" w:rsidP="00653334">
                      <w:pPr>
                        <w:spacing w:after="160" w:line="259" w:lineRule="auto"/>
                        <w:rPr>
                          <w:rFonts w:ascii="Calibri" w:eastAsia="Calibri" w:hAnsi="Calibri" w:cs="Times New Roman"/>
                          <w:sz w:val="14"/>
                          <w:szCs w:val="14"/>
                          <w:lang w:val="es-MX" w:eastAsia="en-US"/>
                        </w:rPr>
                      </w:pPr>
                      <w:r w:rsidRPr="00802396">
                        <w:rPr>
                          <w:rFonts w:ascii="Calibri" w:eastAsia="Calibri" w:hAnsi="Calibri" w:cs="Times New Roman"/>
                          <w:sz w:val="14"/>
                          <w:szCs w:val="14"/>
                          <w:lang w:val="es-MX" w:eastAsia="en-US"/>
                        </w:rPr>
                        <w:t>¨El anexo aquí presentado es perfectible, y se encuentra susceptible de modificaciones programáticas toda vez así se le indique por observaciones de auditorías,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6A826B33" w14:textId="1196D903" w:rsidR="00A759AA" w:rsidRDefault="00A759AA"/>
                  </w:txbxContent>
                </v:textbox>
                <w10:wrap anchorx="margin"/>
              </v:shape>
            </w:pict>
          </mc:Fallback>
        </mc:AlternateContent>
      </w:r>
    </w:p>
    <w:p w14:paraId="57E0D0D4" w14:textId="47E3C7AC" w:rsidR="00653334" w:rsidRDefault="00653334" w:rsidP="00C2741A">
      <w:pPr>
        <w:rPr>
          <w:rFonts w:eastAsia="Calibri" w:cs="Arial"/>
          <w:bCs/>
          <w:sz w:val="18"/>
          <w:szCs w:val="20"/>
        </w:rPr>
      </w:pPr>
    </w:p>
    <w:p w14:paraId="63E9B497" w14:textId="1078573B" w:rsidR="00614058" w:rsidRDefault="00614058" w:rsidP="00D22FFD">
      <w:pPr>
        <w:spacing w:after="160" w:line="259" w:lineRule="auto"/>
        <w:rPr>
          <w:rFonts w:ascii="Calibri" w:eastAsia="Calibri" w:hAnsi="Calibri" w:cs="Times New Roman"/>
          <w:sz w:val="16"/>
          <w:szCs w:val="16"/>
          <w:lang w:val="es-MX" w:eastAsia="en-US"/>
        </w:rPr>
      </w:pPr>
    </w:p>
    <w:p w14:paraId="7E832B9A" w14:textId="4A60C087" w:rsidR="00653334" w:rsidRDefault="00653334" w:rsidP="00D22FFD">
      <w:pPr>
        <w:spacing w:after="160" w:line="259" w:lineRule="auto"/>
        <w:rPr>
          <w:rFonts w:ascii="Calibri" w:eastAsia="Calibri" w:hAnsi="Calibri" w:cs="Times New Roman"/>
          <w:sz w:val="16"/>
          <w:szCs w:val="16"/>
          <w:lang w:val="es-MX" w:eastAsia="en-US"/>
        </w:rPr>
      </w:pPr>
    </w:p>
    <w:p w14:paraId="092CBD57" w14:textId="7750E2FA" w:rsidR="00653334" w:rsidRPr="00653334" w:rsidRDefault="00802396" w:rsidP="00D22FFD">
      <w:pPr>
        <w:spacing w:after="160" w:line="259" w:lineRule="auto"/>
        <w:rPr>
          <w:rFonts w:ascii="Calibri" w:eastAsia="Calibri" w:hAnsi="Calibri" w:cs="Times New Roman"/>
          <w:sz w:val="16"/>
          <w:szCs w:val="16"/>
          <w:lang w:val="es-MX" w:eastAsia="en-US"/>
        </w:rPr>
      </w:pPr>
      <w:r w:rsidRPr="00653334">
        <w:rPr>
          <w:rFonts w:ascii="Calibri" w:eastAsia="Calibri" w:hAnsi="Calibri" w:cs="Times New Roman"/>
          <w:noProof/>
          <w:sz w:val="16"/>
          <w:szCs w:val="16"/>
          <w:lang w:val="es-MX" w:eastAsia="es-MX"/>
        </w:rPr>
        <mc:AlternateContent>
          <mc:Choice Requires="wps">
            <w:drawing>
              <wp:anchor distT="45720" distB="45720" distL="114300" distR="114300" simplePos="0" relativeHeight="251661312" behindDoc="0" locked="0" layoutInCell="1" allowOverlap="1" wp14:anchorId="44BAF3EF" wp14:editId="2BA07CF4">
                <wp:simplePos x="0" y="0"/>
                <wp:positionH relativeFrom="margin">
                  <wp:align>left</wp:align>
                </wp:positionH>
                <wp:positionV relativeFrom="paragraph">
                  <wp:posOffset>6046471</wp:posOffset>
                </wp:positionV>
                <wp:extent cx="5855970" cy="742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742950"/>
                        </a:xfrm>
                        <a:prstGeom prst="rect">
                          <a:avLst/>
                        </a:prstGeom>
                        <a:solidFill>
                          <a:srgbClr val="FFFFFF"/>
                        </a:solidFill>
                        <a:ln w="9525">
                          <a:noFill/>
                          <a:miter lim="800000"/>
                          <a:headEnd/>
                          <a:tailEnd/>
                        </a:ln>
                      </wps:spPr>
                      <wps:txbx>
                        <w:txbxContent>
                          <w:p w14:paraId="48621A70" w14:textId="77777777" w:rsidR="00A759AA" w:rsidRPr="00802396" w:rsidRDefault="00A759AA" w:rsidP="0072323B">
                            <w:pPr>
                              <w:spacing w:after="160" w:line="259" w:lineRule="auto"/>
                              <w:rPr>
                                <w:rFonts w:ascii="Calibri" w:eastAsia="Calibri" w:hAnsi="Calibri" w:cs="Times New Roman"/>
                                <w:sz w:val="14"/>
                                <w:szCs w:val="14"/>
                                <w:lang w:val="es-MX" w:eastAsia="en-US"/>
                              </w:rPr>
                            </w:pPr>
                            <w:r w:rsidRPr="00802396">
                              <w:rPr>
                                <w:rFonts w:ascii="Calibri" w:eastAsia="Calibri" w:hAnsi="Calibri" w:cs="Times New Roman"/>
                                <w:sz w:val="14"/>
                                <w:szCs w:val="14"/>
                                <w:lang w:val="es-MX" w:eastAsia="en-US"/>
                              </w:rPr>
                              <w:t>¨El anexo aquí presentado es perfectible, y se encuentra susceptible de modificaciones programáticas toda vez así se le indique por observaciones de auditorías,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769D1E1D" w14:textId="77777777" w:rsidR="00A759AA" w:rsidRDefault="00A759AA" w:rsidP="007232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AF3EF" id="_x0000_s1027" type="#_x0000_t202" style="position:absolute;left:0;text-align:left;margin-left:0;margin-top:476.1pt;width:461.1pt;height:5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" stroked="f">
                <v:textbox>
                  <w:txbxContent>
                    <w:p w14:paraId="48621A70" w14:textId="77777777" w:rsidR="00A759AA" w:rsidRPr="00802396" w:rsidRDefault="00A759AA" w:rsidP="0072323B">
                      <w:pPr>
                        <w:spacing w:after="160" w:line="259" w:lineRule="auto"/>
                        <w:rPr>
                          <w:rFonts w:ascii="Calibri" w:eastAsia="Calibri" w:hAnsi="Calibri" w:cs="Times New Roman"/>
                          <w:sz w:val="14"/>
                          <w:szCs w:val="14"/>
                          <w:lang w:val="es-MX" w:eastAsia="en-US"/>
                        </w:rPr>
                      </w:pPr>
                      <w:r w:rsidRPr="00802396">
                        <w:rPr>
                          <w:rFonts w:ascii="Calibri" w:eastAsia="Calibri" w:hAnsi="Calibri" w:cs="Times New Roman"/>
                          <w:sz w:val="14"/>
                          <w:szCs w:val="14"/>
                          <w:lang w:val="es-MX" w:eastAsia="en-US"/>
                        </w:rPr>
                        <w:t>¨El anexo aquí presentado es perfectible, y se encuentra susceptible de modificaciones programáticas toda vez así se le indique por observaciones de auditorías,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769D1E1D" w14:textId="77777777" w:rsidR="00A759AA" w:rsidRDefault="00A759AA" w:rsidP="0072323B"/>
                  </w:txbxContent>
                </v:textbox>
                <w10:wrap anchorx="margin"/>
              </v:shape>
            </w:pict>
          </mc:Fallback>
        </mc:AlternateContent>
      </w:r>
    </w:p>
    <w:tbl>
      <w:tblPr>
        <w:tblW w:w="5000" w:type="pct"/>
        <w:tblCellMar>
          <w:left w:w="70" w:type="dxa"/>
          <w:right w:w="70" w:type="dxa"/>
        </w:tblCellMar>
        <w:tblLook w:val="04A0" w:firstRow="1" w:lastRow="0" w:firstColumn="1" w:lastColumn="0" w:noHBand="0" w:noVBand="1"/>
      </w:tblPr>
      <w:tblGrid>
        <w:gridCol w:w="942"/>
        <w:gridCol w:w="1919"/>
        <w:gridCol w:w="1920"/>
        <w:gridCol w:w="2996"/>
        <w:gridCol w:w="1910"/>
      </w:tblGrid>
      <w:tr w:rsidR="00614058" w:rsidRPr="00614058" w14:paraId="0E7CE4B1" w14:textId="77777777" w:rsidTr="00614058">
        <w:trPr>
          <w:trHeight w:val="282"/>
        </w:trPr>
        <w:tc>
          <w:tcPr>
            <w:tcW w:w="5000" w:type="pct"/>
            <w:gridSpan w:val="5"/>
            <w:tcBorders>
              <w:top w:val="single" w:sz="4" w:space="0" w:color="000000"/>
              <w:left w:val="single" w:sz="4" w:space="0" w:color="000000"/>
              <w:bottom w:val="single" w:sz="4" w:space="0" w:color="000000"/>
              <w:right w:val="single" w:sz="4" w:space="0" w:color="000000"/>
            </w:tcBorders>
            <w:shd w:val="clear" w:color="189CC1" w:fill="189CC1"/>
            <w:hideMark/>
          </w:tcPr>
          <w:p w14:paraId="68DA019D" w14:textId="160C62FF" w:rsidR="00614058" w:rsidRPr="00614058" w:rsidRDefault="00614058" w:rsidP="00614058">
            <w:pPr>
              <w:spacing w:after="0" w:line="240" w:lineRule="auto"/>
              <w:jc w:val="center"/>
              <w:rPr>
                <w:rFonts w:ascii="Arial" w:eastAsia="Times New Roman" w:hAnsi="Arial" w:cs="Arial"/>
                <w:b/>
                <w:bCs/>
                <w:color w:val="FFFFFF"/>
                <w:sz w:val="14"/>
                <w:szCs w:val="14"/>
                <w:lang w:val="es-MX" w:eastAsia="es-MX"/>
              </w:rPr>
            </w:pPr>
            <w:r w:rsidRPr="00614058">
              <w:rPr>
                <w:rFonts w:ascii="Arial" w:eastAsia="Times New Roman" w:hAnsi="Arial" w:cs="Arial"/>
                <w:b/>
                <w:bCs/>
                <w:color w:val="FFFFFF"/>
                <w:sz w:val="14"/>
                <w:szCs w:val="14"/>
                <w:lang w:val="es-MX" w:eastAsia="es-MX"/>
              </w:rPr>
              <w:t>Formato 4 x 4</w:t>
            </w:r>
          </w:p>
        </w:tc>
      </w:tr>
      <w:tr w:rsidR="00614058" w:rsidRPr="00614058" w14:paraId="7E3136E8" w14:textId="77777777" w:rsidTr="00614058">
        <w:trPr>
          <w:trHeight w:val="300"/>
        </w:trPr>
        <w:tc>
          <w:tcPr>
            <w:tcW w:w="349" w:type="pct"/>
            <w:tcBorders>
              <w:top w:val="nil"/>
              <w:left w:val="single" w:sz="4" w:space="0" w:color="000000"/>
              <w:bottom w:val="single" w:sz="4" w:space="0" w:color="000000"/>
              <w:right w:val="single" w:sz="4" w:space="0" w:color="000000"/>
            </w:tcBorders>
            <w:shd w:val="clear" w:color="A0D8DB" w:fill="A0D8DB"/>
            <w:hideMark/>
          </w:tcPr>
          <w:p w14:paraId="685E090E"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Nivel</w:t>
            </w:r>
          </w:p>
        </w:tc>
        <w:tc>
          <w:tcPr>
            <w:tcW w:w="1164" w:type="pct"/>
            <w:tcBorders>
              <w:top w:val="single" w:sz="4" w:space="0" w:color="000000"/>
              <w:left w:val="nil"/>
              <w:bottom w:val="single" w:sz="4" w:space="0" w:color="000000"/>
              <w:right w:val="single" w:sz="4" w:space="0" w:color="000000"/>
            </w:tcBorders>
            <w:shd w:val="clear" w:color="A0D8DB" w:fill="A0D8DB"/>
            <w:hideMark/>
          </w:tcPr>
          <w:p w14:paraId="7A8E451C"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Resumen Narrativo</w:t>
            </w:r>
          </w:p>
        </w:tc>
        <w:tc>
          <w:tcPr>
            <w:tcW w:w="1164" w:type="pct"/>
            <w:tcBorders>
              <w:top w:val="nil"/>
              <w:left w:val="nil"/>
              <w:bottom w:val="single" w:sz="4" w:space="0" w:color="000000"/>
              <w:right w:val="single" w:sz="4" w:space="0" w:color="000000"/>
            </w:tcBorders>
            <w:shd w:val="clear" w:color="A0D8DB" w:fill="A0D8DB"/>
            <w:hideMark/>
          </w:tcPr>
          <w:p w14:paraId="3EFE3A02"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Indicador</w:t>
            </w:r>
          </w:p>
        </w:tc>
        <w:tc>
          <w:tcPr>
            <w:tcW w:w="1164" w:type="pct"/>
            <w:tcBorders>
              <w:top w:val="single" w:sz="4" w:space="0" w:color="000000"/>
              <w:left w:val="nil"/>
              <w:bottom w:val="single" w:sz="4" w:space="0" w:color="000000"/>
              <w:right w:val="single" w:sz="4" w:space="0" w:color="000000"/>
            </w:tcBorders>
            <w:shd w:val="clear" w:color="A0D8DB" w:fill="A0D8DB"/>
            <w:hideMark/>
          </w:tcPr>
          <w:p w14:paraId="3A043BDD"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Medio de Verificación</w:t>
            </w:r>
          </w:p>
        </w:tc>
        <w:tc>
          <w:tcPr>
            <w:tcW w:w="1158" w:type="pct"/>
            <w:tcBorders>
              <w:top w:val="single" w:sz="4" w:space="0" w:color="000000"/>
              <w:left w:val="nil"/>
              <w:bottom w:val="single" w:sz="4" w:space="0" w:color="000000"/>
              <w:right w:val="single" w:sz="4" w:space="0" w:color="000000"/>
            </w:tcBorders>
            <w:shd w:val="clear" w:color="A0D8DB" w:fill="A0D8DB"/>
            <w:hideMark/>
          </w:tcPr>
          <w:p w14:paraId="4F795EA8"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Supuesto</w:t>
            </w:r>
          </w:p>
        </w:tc>
      </w:tr>
      <w:tr w:rsidR="00614058" w:rsidRPr="00614058" w14:paraId="63CD2EB8"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4114675B"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Fin</w:t>
            </w:r>
          </w:p>
        </w:tc>
        <w:tc>
          <w:tcPr>
            <w:tcW w:w="1164" w:type="pct"/>
            <w:tcBorders>
              <w:top w:val="single" w:sz="4" w:space="0" w:color="000000"/>
              <w:left w:val="nil"/>
              <w:bottom w:val="single" w:sz="4" w:space="0" w:color="000000"/>
              <w:right w:val="single" w:sz="4" w:space="0" w:color="000000"/>
            </w:tcBorders>
            <w:shd w:val="clear" w:color="FFFFFF" w:fill="FFFFFF"/>
            <w:hideMark/>
          </w:tcPr>
          <w:p w14:paraId="46CDD850"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F - Contribuir a construir de la mano de los ciudadanos un gobierno honesto, confiable y transparente, soportado en la rendición de cuentas y el acceso a la información pública como herramientas para garantizar la equidad política y social mediante el principio de máxima publicidad, el modelo de planeación y programación presupuestal del gobierno, cobijado por la capacitación a la ciudadanía para el ejercicio efectivo del derecho de acceso a la información pública.</w:t>
            </w:r>
          </w:p>
        </w:tc>
        <w:tc>
          <w:tcPr>
            <w:tcW w:w="1164" w:type="pct"/>
            <w:tcBorders>
              <w:top w:val="nil"/>
              <w:left w:val="nil"/>
              <w:bottom w:val="single" w:sz="4" w:space="0" w:color="000000"/>
              <w:right w:val="single" w:sz="4" w:space="0" w:color="000000"/>
            </w:tcBorders>
            <w:shd w:val="clear" w:color="FFFFFF" w:fill="FFFFFF"/>
            <w:hideMark/>
          </w:tcPr>
          <w:p w14:paraId="61F04F20" w14:textId="1298C513"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PED17I1 - Subíndice de participación desde la perspectiva gubernamental.</w:t>
            </w:r>
          </w:p>
        </w:tc>
        <w:tc>
          <w:tcPr>
            <w:tcW w:w="1164" w:type="pct"/>
            <w:tcBorders>
              <w:top w:val="single" w:sz="4" w:space="0" w:color="000000"/>
              <w:left w:val="nil"/>
              <w:bottom w:val="single" w:sz="4" w:space="0" w:color="000000"/>
              <w:right w:val="single" w:sz="4" w:space="0" w:color="000000"/>
            </w:tcBorders>
            <w:shd w:val="clear" w:color="FFFFFF" w:fill="FFFFFF"/>
            <w:hideMark/>
          </w:tcPr>
          <w:p w14:paraId="5B186533" w14:textId="0064861E"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https://micrositios.inai.org.mx/gobiernoabierto/</w:t>
            </w:r>
          </w:p>
        </w:tc>
        <w:tc>
          <w:tcPr>
            <w:tcW w:w="1158" w:type="pct"/>
            <w:tcBorders>
              <w:top w:val="single" w:sz="4" w:space="0" w:color="000000"/>
              <w:left w:val="nil"/>
              <w:bottom w:val="single" w:sz="4" w:space="0" w:color="000000"/>
              <w:right w:val="single" w:sz="4" w:space="0" w:color="000000"/>
            </w:tcBorders>
            <w:shd w:val="clear" w:color="FFFFFF" w:fill="FFFFFF"/>
            <w:hideMark/>
          </w:tcPr>
          <w:p w14:paraId="51EF48EB" w14:textId="32087F43"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Que se consolide el principio de máxima publicidad con el cumplimiento de los derechos de acceso a la información pública y la protección de los datos personales en los Quintanarroenses.</w:t>
            </w:r>
          </w:p>
        </w:tc>
      </w:tr>
      <w:tr w:rsidR="00614058" w:rsidRPr="00614058" w14:paraId="1B1148C5"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5186306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lastRenderedPageBreak/>
              <w:t>Propósito</w:t>
            </w:r>
          </w:p>
        </w:tc>
        <w:tc>
          <w:tcPr>
            <w:tcW w:w="1164" w:type="pct"/>
            <w:tcBorders>
              <w:top w:val="single" w:sz="4" w:space="0" w:color="000000"/>
              <w:left w:val="nil"/>
              <w:bottom w:val="single" w:sz="4" w:space="0" w:color="000000"/>
              <w:right w:val="single" w:sz="4" w:space="0" w:color="000000"/>
            </w:tcBorders>
            <w:shd w:val="clear" w:color="FFFFFF" w:fill="FFFFFF"/>
            <w:hideMark/>
          </w:tcPr>
          <w:p w14:paraId="23FB6D95" w14:textId="5308114B"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P - La sociedad Quintanarroenses tiene el derecho de acceso a la información y la protección de datos personales en posesión de los sujetos obligados en el estado de Quintana Roo.</w:t>
            </w:r>
          </w:p>
        </w:tc>
        <w:tc>
          <w:tcPr>
            <w:tcW w:w="1164" w:type="pct"/>
            <w:tcBorders>
              <w:top w:val="nil"/>
              <w:left w:val="nil"/>
              <w:bottom w:val="single" w:sz="4" w:space="0" w:color="000000"/>
              <w:right w:val="single" w:sz="4" w:space="0" w:color="000000"/>
            </w:tcBorders>
            <w:shd w:val="clear" w:color="FFFFFF" w:fill="FFFFFF"/>
            <w:hideMark/>
          </w:tcPr>
          <w:p w14:paraId="7FA7AD44" w14:textId="254D79FD"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2401I01 - IE01-Indice Nacional de los </w:t>
            </w:r>
            <w:r w:rsidR="00FC3000" w:rsidRPr="00614058">
              <w:rPr>
                <w:rFonts w:ascii="Arial" w:eastAsia="Times New Roman" w:hAnsi="Arial" w:cs="Arial"/>
                <w:color w:val="000000"/>
                <w:sz w:val="14"/>
                <w:szCs w:val="14"/>
                <w:lang w:val="es-MX" w:eastAsia="es-MX"/>
              </w:rPr>
              <w:t>órganos</w:t>
            </w:r>
            <w:r w:rsidRPr="00614058">
              <w:rPr>
                <w:rFonts w:ascii="Arial" w:eastAsia="Times New Roman" w:hAnsi="Arial" w:cs="Arial"/>
                <w:color w:val="000000"/>
                <w:sz w:val="14"/>
                <w:szCs w:val="14"/>
                <w:lang w:val="es-MX" w:eastAsia="es-MX"/>
              </w:rPr>
              <w:t xml:space="preserve"> Garantes del Derecho de Acceso  a la </w:t>
            </w:r>
            <w:r w:rsidR="00FC3000" w:rsidRPr="00614058">
              <w:rPr>
                <w:rFonts w:ascii="Arial" w:eastAsia="Times New Roman" w:hAnsi="Arial" w:cs="Arial"/>
                <w:color w:val="000000"/>
                <w:sz w:val="14"/>
                <w:szCs w:val="14"/>
                <w:lang w:val="es-MX" w:eastAsia="es-MX"/>
              </w:rPr>
              <w:t>Información</w:t>
            </w:r>
          </w:p>
        </w:tc>
        <w:tc>
          <w:tcPr>
            <w:tcW w:w="1164" w:type="pct"/>
            <w:tcBorders>
              <w:top w:val="single" w:sz="4" w:space="0" w:color="000000"/>
              <w:left w:val="nil"/>
              <w:bottom w:val="single" w:sz="4" w:space="0" w:color="000000"/>
              <w:right w:val="single" w:sz="4" w:space="0" w:color="000000"/>
            </w:tcBorders>
            <w:shd w:val="clear" w:color="FFFFFF" w:fill="FFFFFF"/>
            <w:hideMark/>
          </w:tcPr>
          <w:p w14:paraId="5EAEF61F" w14:textId="0C1A0BB0"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Evaluación Nacional de los Organismos Garantes del Derecho a la Información</w:t>
            </w:r>
          </w:p>
        </w:tc>
        <w:tc>
          <w:tcPr>
            <w:tcW w:w="1158" w:type="pct"/>
            <w:tcBorders>
              <w:top w:val="single" w:sz="4" w:space="0" w:color="000000"/>
              <w:left w:val="nil"/>
              <w:bottom w:val="single" w:sz="4" w:space="0" w:color="000000"/>
              <w:right w:val="single" w:sz="4" w:space="0" w:color="000000"/>
            </w:tcBorders>
            <w:shd w:val="clear" w:color="FFFFFF" w:fill="FFFFFF"/>
            <w:hideMark/>
          </w:tcPr>
          <w:p w14:paraId="7924FD2B"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La sociedad quintanarroense tenga garantizado el derecho de acceso a la información y la protección de datos personales.</w:t>
            </w:r>
          </w:p>
        </w:tc>
      </w:tr>
      <w:tr w:rsidR="00614058" w:rsidRPr="00614058" w14:paraId="34D7F45D" w14:textId="77777777" w:rsidTr="00614058">
        <w:trPr>
          <w:trHeight w:val="300"/>
        </w:trPr>
        <w:tc>
          <w:tcPr>
            <w:tcW w:w="349" w:type="pct"/>
            <w:tcBorders>
              <w:top w:val="nil"/>
              <w:left w:val="single" w:sz="4" w:space="0" w:color="000000"/>
              <w:bottom w:val="single" w:sz="4" w:space="0" w:color="000000"/>
              <w:right w:val="single" w:sz="4" w:space="0" w:color="000000"/>
            </w:tcBorders>
            <w:shd w:val="clear" w:color="FFFFFF" w:fill="FFFFFF"/>
            <w:hideMark/>
          </w:tcPr>
          <w:p w14:paraId="012161A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Componente</w:t>
            </w:r>
          </w:p>
        </w:tc>
        <w:tc>
          <w:tcPr>
            <w:tcW w:w="1164" w:type="pct"/>
            <w:tcBorders>
              <w:top w:val="single" w:sz="4" w:space="0" w:color="000000"/>
              <w:left w:val="nil"/>
              <w:bottom w:val="single" w:sz="4" w:space="0" w:color="000000"/>
              <w:right w:val="single" w:sz="4" w:space="0" w:color="000000"/>
            </w:tcBorders>
            <w:shd w:val="clear" w:color="FFFFFF" w:fill="FFFFFF"/>
            <w:hideMark/>
          </w:tcPr>
          <w:p w14:paraId="78ABB3A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C01 - Información Pública, Verificada.</w:t>
            </w:r>
          </w:p>
        </w:tc>
        <w:tc>
          <w:tcPr>
            <w:tcW w:w="1164" w:type="pct"/>
            <w:tcBorders>
              <w:top w:val="nil"/>
              <w:left w:val="nil"/>
              <w:bottom w:val="single" w:sz="4" w:space="0" w:color="000000"/>
              <w:right w:val="single" w:sz="4" w:space="0" w:color="000000"/>
            </w:tcBorders>
            <w:shd w:val="clear" w:color="FFFFFF" w:fill="FFFFFF"/>
            <w:hideMark/>
          </w:tcPr>
          <w:p w14:paraId="6E172CA2" w14:textId="04052F63"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C01 - Porcentaje Global de Transparencia</w:t>
            </w:r>
          </w:p>
        </w:tc>
        <w:tc>
          <w:tcPr>
            <w:tcW w:w="1164" w:type="pct"/>
            <w:tcBorders>
              <w:top w:val="single" w:sz="4" w:space="0" w:color="000000"/>
              <w:left w:val="nil"/>
              <w:bottom w:val="single" w:sz="4" w:space="0" w:color="000000"/>
              <w:right w:val="single" w:sz="4" w:space="0" w:color="000000"/>
            </w:tcBorders>
            <w:shd w:val="clear" w:color="FFFFFF" w:fill="FFFFFF"/>
            <w:hideMark/>
          </w:tcPr>
          <w:p w14:paraId="0A18460E"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Dictamen de cumplimiento. </w:t>
            </w:r>
          </w:p>
        </w:tc>
        <w:tc>
          <w:tcPr>
            <w:tcW w:w="1158" w:type="pct"/>
            <w:tcBorders>
              <w:top w:val="single" w:sz="4" w:space="0" w:color="000000"/>
              <w:left w:val="nil"/>
              <w:bottom w:val="single" w:sz="4" w:space="0" w:color="000000"/>
              <w:right w:val="single" w:sz="4" w:space="0" w:color="000000"/>
            </w:tcBorders>
            <w:shd w:val="clear" w:color="FFFFFF" w:fill="FFFFFF"/>
            <w:hideMark/>
          </w:tcPr>
          <w:p w14:paraId="60443CA8"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Los Sujetos Obligados ponen a disposición de los particulares el 100% de la información pública.</w:t>
            </w:r>
          </w:p>
        </w:tc>
      </w:tr>
      <w:tr w:rsidR="00614058" w:rsidRPr="00614058" w14:paraId="5B5814CE"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5BC66CE0"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664BA61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C01.A14 - Política de gobierno abierto implementada.</w:t>
            </w:r>
          </w:p>
        </w:tc>
        <w:tc>
          <w:tcPr>
            <w:tcW w:w="1164" w:type="pct"/>
            <w:tcBorders>
              <w:top w:val="nil"/>
              <w:left w:val="nil"/>
              <w:bottom w:val="single" w:sz="4" w:space="0" w:color="000000"/>
              <w:right w:val="single" w:sz="4" w:space="0" w:color="000000"/>
            </w:tcBorders>
            <w:shd w:val="clear" w:color="FFFFFF" w:fill="FFFFFF"/>
            <w:hideMark/>
          </w:tcPr>
          <w:p w14:paraId="7F2F9C97" w14:textId="4C410EC2"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A14 - Porcentaje de actividades implementadas de la política de gobierno abierto</w:t>
            </w:r>
          </w:p>
        </w:tc>
        <w:tc>
          <w:tcPr>
            <w:tcW w:w="1164" w:type="pct"/>
            <w:tcBorders>
              <w:top w:val="single" w:sz="4" w:space="0" w:color="000000"/>
              <w:left w:val="nil"/>
              <w:bottom w:val="single" w:sz="4" w:space="0" w:color="000000"/>
              <w:right w:val="single" w:sz="4" w:space="0" w:color="000000"/>
            </w:tcBorders>
            <w:shd w:val="clear" w:color="FFFFFF" w:fill="FFFFFF"/>
            <w:hideMark/>
          </w:tcPr>
          <w:p w14:paraId="60973DB2" w14:textId="4AAF8511"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Informe de actividades de gobierno abierto.</w:t>
            </w:r>
          </w:p>
        </w:tc>
        <w:tc>
          <w:tcPr>
            <w:tcW w:w="1158" w:type="pct"/>
            <w:tcBorders>
              <w:top w:val="single" w:sz="4" w:space="0" w:color="000000"/>
              <w:left w:val="nil"/>
              <w:bottom w:val="single" w:sz="4" w:space="0" w:color="000000"/>
              <w:right w:val="single" w:sz="4" w:space="0" w:color="000000"/>
            </w:tcBorders>
            <w:shd w:val="clear" w:color="FFFFFF" w:fill="FFFFFF"/>
            <w:hideMark/>
          </w:tcPr>
          <w:p w14:paraId="2526C4C9" w14:textId="088CF573"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Los sujetos obligados y sociedad civil trabajan en co</w:t>
            </w:r>
            <w:r w:rsidR="00FC3000">
              <w:rPr>
                <w:rFonts w:ascii="Arial" w:eastAsia="Times New Roman" w:hAnsi="Arial" w:cs="Arial"/>
                <w:color w:val="000000"/>
                <w:sz w:val="14"/>
                <w:szCs w:val="14"/>
                <w:lang w:val="es-MX" w:eastAsia="es-MX"/>
              </w:rPr>
              <w:t>njunto para generar políticas pú</w:t>
            </w:r>
            <w:r w:rsidRPr="00614058">
              <w:rPr>
                <w:rFonts w:ascii="Arial" w:eastAsia="Times New Roman" w:hAnsi="Arial" w:cs="Arial"/>
                <w:color w:val="000000"/>
                <w:sz w:val="14"/>
                <w:szCs w:val="14"/>
                <w:lang w:val="es-MX" w:eastAsia="es-MX"/>
              </w:rPr>
              <w:t>blicas en beneficio de la sociedad.</w:t>
            </w:r>
          </w:p>
        </w:tc>
      </w:tr>
      <w:tr w:rsidR="00614058" w:rsidRPr="00614058" w14:paraId="05293827"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5D230F1B"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25076AB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C01.A15 - Política de Transparencia Proactiva implementada.</w:t>
            </w:r>
          </w:p>
        </w:tc>
        <w:tc>
          <w:tcPr>
            <w:tcW w:w="1164" w:type="pct"/>
            <w:tcBorders>
              <w:top w:val="nil"/>
              <w:left w:val="nil"/>
              <w:bottom w:val="single" w:sz="4" w:space="0" w:color="000000"/>
              <w:right w:val="single" w:sz="4" w:space="0" w:color="000000"/>
            </w:tcBorders>
            <w:shd w:val="clear" w:color="FFFFFF" w:fill="FFFFFF"/>
            <w:hideMark/>
          </w:tcPr>
          <w:p w14:paraId="28956AD0" w14:textId="3C31D19F"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A15 - Porcentaje de sujetos obligados que implementan políticas de transparencia proactiva.</w:t>
            </w:r>
          </w:p>
        </w:tc>
        <w:tc>
          <w:tcPr>
            <w:tcW w:w="1164" w:type="pct"/>
            <w:tcBorders>
              <w:top w:val="single" w:sz="4" w:space="0" w:color="000000"/>
              <w:left w:val="nil"/>
              <w:bottom w:val="single" w:sz="4" w:space="0" w:color="000000"/>
              <w:right w:val="single" w:sz="4" w:space="0" w:color="000000"/>
            </w:tcBorders>
            <w:shd w:val="clear" w:color="FFFFFF" w:fill="FFFFFF"/>
            <w:hideMark/>
          </w:tcPr>
          <w:p w14:paraId="072F64DD" w14:textId="155FB73B"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sujetos obligados en materia de transparencia proactiva.</w:t>
            </w:r>
          </w:p>
        </w:tc>
        <w:tc>
          <w:tcPr>
            <w:tcW w:w="1158" w:type="pct"/>
            <w:tcBorders>
              <w:top w:val="single" w:sz="4" w:space="0" w:color="000000"/>
              <w:left w:val="nil"/>
              <w:bottom w:val="single" w:sz="4" w:space="0" w:color="000000"/>
              <w:right w:val="single" w:sz="4" w:space="0" w:color="000000"/>
            </w:tcBorders>
            <w:shd w:val="clear" w:color="FFFFFF" w:fill="FFFFFF"/>
            <w:hideMark/>
          </w:tcPr>
          <w:p w14:paraId="403D27B6"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Los sujetos obligados cargan o generan información adicional a la obligatoria marcada por la Ley.</w:t>
            </w:r>
          </w:p>
        </w:tc>
      </w:tr>
      <w:tr w:rsidR="00614058" w:rsidRPr="00614058" w14:paraId="27F96D4C" w14:textId="77777777" w:rsidTr="00614058">
        <w:trPr>
          <w:trHeight w:val="300"/>
        </w:trPr>
        <w:tc>
          <w:tcPr>
            <w:tcW w:w="349" w:type="pct"/>
            <w:tcBorders>
              <w:top w:val="nil"/>
              <w:left w:val="single" w:sz="4" w:space="0" w:color="000000"/>
              <w:bottom w:val="single" w:sz="4" w:space="0" w:color="000000"/>
              <w:right w:val="single" w:sz="4" w:space="0" w:color="000000"/>
            </w:tcBorders>
            <w:shd w:val="clear" w:color="FFFFFF" w:fill="FFFFFF"/>
            <w:hideMark/>
          </w:tcPr>
          <w:p w14:paraId="195BEB24"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765875AD"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C01.A01 - Verificación virtual de oficio a las obligaciones de transparencia.</w:t>
            </w:r>
          </w:p>
        </w:tc>
        <w:tc>
          <w:tcPr>
            <w:tcW w:w="1164" w:type="pct"/>
            <w:tcBorders>
              <w:top w:val="nil"/>
              <w:left w:val="nil"/>
              <w:bottom w:val="single" w:sz="4" w:space="0" w:color="000000"/>
              <w:right w:val="single" w:sz="4" w:space="0" w:color="000000"/>
            </w:tcBorders>
            <w:shd w:val="clear" w:color="FFFFFF" w:fill="FFFFFF"/>
            <w:hideMark/>
          </w:tcPr>
          <w:p w14:paraId="3AA7777E"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A01 - Porcentaje de Reportes generados</w:t>
            </w:r>
          </w:p>
        </w:tc>
        <w:tc>
          <w:tcPr>
            <w:tcW w:w="1164" w:type="pct"/>
            <w:tcBorders>
              <w:top w:val="single" w:sz="4" w:space="0" w:color="000000"/>
              <w:left w:val="nil"/>
              <w:bottom w:val="single" w:sz="4" w:space="0" w:color="000000"/>
              <w:right w:val="single" w:sz="4" w:space="0" w:color="000000"/>
            </w:tcBorders>
            <w:shd w:val="clear" w:color="FFFFFF" w:fill="FFFFFF"/>
            <w:hideMark/>
          </w:tcPr>
          <w:p w14:paraId="459FEA2D"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verificaciones virtuales de oficio</w:t>
            </w:r>
          </w:p>
        </w:tc>
        <w:tc>
          <w:tcPr>
            <w:tcW w:w="1158" w:type="pct"/>
            <w:tcBorders>
              <w:top w:val="single" w:sz="4" w:space="0" w:color="000000"/>
              <w:left w:val="nil"/>
              <w:bottom w:val="single" w:sz="4" w:space="0" w:color="000000"/>
              <w:right w:val="single" w:sz="4" w:space="0" w:color="000000"/>
            </w:tcBorders>
            <w:shd w:val="clear" w:color="FFFFFF" w:fill="FFFFFF"/>
            <w:hideMark/>
          </w:tcPr>
          <w:p w14:paraId="22E78C2D"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Los sujetos obligados cumplen con cargar sus obligaciones de transparencia en tiempo y forma.</w:t>
            </w:r>
          </w:p>
        </w:tc>
      </w:tr>
      <w:tr w:rsidR="00614058" w:rsidRPr="00614058" w14:paraId="231152BA"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26E2B302"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61FA289E" w14:textId="533AFDF0"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C01.A02 - Verificación virtual por denuncias al incumplimiento de las obligaciones de transparencia.</w:t>
            </w:r>
          </w:p>
        </w:tc>
        <w:tc>
          <w:tcPr>
            <w:tcW w:w="1164" w:type="pct"/>
            <w:tcBorders>
              <w:top w:val="nil"/>
              <w:left w:val="nil"/>
              <w:bottom w:val="single" w:sz="4" w:space="0" w:color="000000"/>
              <w:right w:val="single" w:sz="4" w:space="0" w:color="000000"/>
            </w:tcBorders>
            <w:shd w:val="clear" w:color="FFFFFF" w:fill="FFFFFF"/>
            <w:hideMark/>
          </w:tcPr>
          <w:p w14:paraId="54F52DE2" w14:textId="1B97978B"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A02 - Porcentaje de reportes generados por denuncias al incumplimiento de las obligaciones de transparencia</w:t>
            </w:r>
          </w:p>
        </w:tc>
        <w:tc>
          <w:tcPr>
            <w:tcW w:w="1164" w:type="pct"/>
            <w:tcBorders>
              <w:top w:val="single" w:sz="4" w:space="0" w:color="000000"/>
              <w:left w:val="nil"/>
              <w:bottom w:val="single" w:sz="4" w:space="0" w:color="000000"/>
              <w:right w:val="single" w:sz="4" w:space="0" w:color="000000"/>
            </w:tcBorders>
            <w:shd w:val="clear" w:color="FFFFFF" w:fill="FFFFFF"/>
            <w:hideMark/>
          </w:tcPr>
          <w:p w14:paraId="5CEE13F0"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Reporte de verificaciones virtual por denuncia </w:t>
            </w:r>
          </w:p>
        </w:tc>
        <w:tc>
          <w:tcPr>
            <w:tcW w:w="1158" w:type="pct"/>
            <w:tcBorders>
              <w:top w:val="single" w:sz="4" w:space="0" w:color="000000"/>
              <w:left w:val="nil"/>
              <w:bottom w:val="single" w:sz="4" w:space="0" w:color="000000"/>
              <w:right w:val="single" w:sz="4" w:space="0" w:color="000000"/>
            </w:tcBorders>
            <w:shd w:val="clear" w:color="FFFFFF" w:fill="FFFFFF"/>
            <w:hideMark/>
          </w:tcPr>
          <w:p w14:paraId="347FBA0D"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Los sujetos obligados cumplen con cargar sus obligaciones de transparencia en tiempo y forma.</w:t>
            </w:r>
          </w:p>
        </w:tc>
      </w:tr>
      <w:tr w:rsidR="00614058" w:rsidRPr="00614058" w14:paraId="7BE87FAF"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6A9F606A" w14:textId="192CBE13" w:rsidR="00614058" w:rsidRPr="00614058" w:rsidRDefault="00FC3000" w:rsidP="00614058">
            <w:pPr>
              <w:spacing w:after="0" w:line="240" w:lineRule="auto"/>
              <w:jc w:val="left"/>
              <w:rPr>
                <w:rFonts w:ascii="Arial" w:eastAsia="Times New Roman" w:hAnsi="Arial" w:cs="Arial"/>
                <w:color w:val="000000"/>
                <w:sz w:val="14"/>
                <w:szCs w:val="14"/>
                <w:lang w:val="es-MX" w:eastAsia="es-MX"/>
              </w:rPr>
            </w:pPr>
            <w:r w:rsidRPr="00653334">
              <w:rPr>
                <w:rFonts w:ascii="Calibri" w:eastAsia="Calibri" w:hAnsi="Calibri" w:cs="Times New Roman"/>
                <w:noProof/>
                <w:sz w:val="16"/>
                <w:szCs w:val="16"/>
                <w:lang w:val="es-MX" w:eastAsia="es-MX"/>
              </w:rPr>
              <mc:AlternateContent>
                <mc:Choice Requires="wps">
                  <w:drawing>
                    <wp:anchor distT="45720" distB="45720" distL="114300" distR="114300" simplePos="0" relativeHeight="251669504" behindDoc="0" locked="0" layoutInCell="1" allowOverlap="1" wp14:anchorId="0D3CF59D" wp14:editId="0A4E3110">
                      <wp:simplePos x="0" y="0"/>
                      <wp:positionH relativeFrom="column">
                        <wp:posOffset>-177800</wp:posOffset>
                      </wp:positionH>
                      <wp:positionV relativeFrom="paragraph">
                        <wp:posOffset>378460</wp:posOffset>
                      </wp:positionV>
                      <wp:extent cx="6059424" cy="73152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424" cy="731520"/>
                              </a:xfrm>
                              <a:prstGeom prst="rect">
                                <a:avLst/>
                              </a:prstGeom>
                              <a:solidFill>
                                <a:srgbClr val="FFFFFF"/>
                              </a:solidFill>
                              <a:ln w="9525">
                                <a:noFill/>
                                <a:miter lim="800000"/>
                                <a:headEnd/>
                                <a:tailEnd/>
                              </a:ln>
                            </wps:spPr>
                            <wps:txbx>
                              <w:txbxContent>
                                <w:p w14:paraId="5C444E23" w14:textId="77777777" w:rsidR="00A759AA" w:rsidRPr="00D22FFD" w:rsidRDefault="00A759AA" w:rsidP="00FC3000">
                                  <w:pPr>
                                    <w:spacing w:after="160" w:line="259" w:lineRule="auto"/>
                                    <w:rPr>
                                      <w:rFonts w:ascii="Calibri" w:eastAsia="Calibri" w:hAnsi="Calibri" w:cs="Times New Roman"/>
                                      <w:sz w:val="14"/>
                                      <w:szCs w:val="14"/>
                                      <w:lang w:val="es-MX" w:eastAsia="en-US"/>
                                    </w:rPr>
                                  </w:pPr>
                                  <w:r w:rsidRPr="00D22FFD">
                                    <w:rPr>
                                      <w:rFonts w:ascii="Calibri" w:eastAsia="Calibri" w:hAnsi="Calibri" w:cs="Times New Roman"/>
                                      <w:sz w:val="14"/>
                                      <w:szCs w:val="14"/>
                                      <w:lang w:val="es-MX" w:eastAsia="en-US"/>
                                    </w:rPr>
                                    <w:t>¨</w:t>
                                  </w:r>
                                  <w:r w:rsidRPr="00AD49BF">
                                    <w:rPr>
                                      <w:rFonts w:ascii="Calibri" w:eastAsia="Calibri" w:hAnsi="Calibri" w:cs="Times New Roman"/>
                                      <w:sz w:val="14"/>
                                      <w:szCs w:val="14"/>
                                      <w:lang w:val="es-MX" w:eastAsia="en-US"/>
                                    </w:rPr>
                                    <w:t>El</w:t>
                                  </w:r>
                                  <w:r w:rsidRPr="00D22FFD">
                                    <w:rPr>
                                      <w:rFonts w:ascii="Calibri" w:eastAsia="Calibri" w:hAnsi="Calibri" w:cs="Times New Roman"/>
                                      <w:sz w:val="14"/>
                                      <w:szCs w:val="14"/>
                                      <w:lang w:val="es-MX" w:eastAsia="en-US"/>
                                    </w:rPr>
                                    <w:t xml:space="preserve"> anexo aquí presentado es perfectible, y se encuentra susceptible de modificaciones programáticas toda vez así se le indique por observaciones de </w:t>
                                  </w:r>
                                  <w:r w:rsidRPr="00AD49BF">
                                    <w:rPr>
                                      <w:rFonts w:ascii="Calibri" w:eastAsia="Calibri" w:hAnsi="Calibri" w:cs="Times New Roman"/>
                                      <w:sz w:val="14"/>
                                      <w:szCs w:val="14"/>
                                      <w:lang w:val="es-MX" w:eastAsia="en-US"/>
                                    </w:rPr>
                                    <w:t>auditorías</w:t>
                                  </w:r>
                                  <w:r w:rsidRPr="00D22FFD">
                                    <w:rPr>
                                      <w:rFonts w:ascii="Calibri" w:eastAsia="Calibri" w:hAnsi="Calibri" w:cs="Times New Roman"/>
                                      <w:sz w:val="14"/>
                                      <w:szCs w:val="14"/>
                                      <w:lang w:val="es-MX" w:eastAsia="en-US"/>
                                    </w:rPr>
                                    <w:t>,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437674EC" w14:textId="77777777" w:rsidR="00A759AA" w:rsidRDefault="00A759AA" w:rsidP="00FC30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3CF59D" id="_x0000_s1028" type="#_x0000_t202" style="position:absolute;margin-left:-14pt;margin-top:29.8pt;width:477.1pt;height:57.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" stroked="f">
                      <v:textbox>
                        <w:txbxContent>
                          <w:p w14:paraId="5C444E23" w14:textId="77777777" w:rsidR="00A759AA" w:rsidRPr="00D22FFD" w:rsidRDefault="00A759AA" w:rsidP="00FC3000">
                            <w:pPr>
                              <w:spacing w:after="160" w:line="259" w:lineRule="auto"/>
                              <w:rPr>
                                <w:rFonts w:ascii="Calibri" w:eastAsia="Calibri" w:hAnsi="Calibri" w:cs="Times New Roman"/>
                                <w:sz w:val="14"/>
                                <w:szCs w:val="14"/>
                                <w:lang w:val="es-MX" w:eastAsia="en-US"/>
                              </w:rPr>
                            </w:pPr>
                            <w:r w:rsidRPr="00D22FFD">
                              <w:rPr>
                                <w:rFonts w:ascii="Calibri" w:eastAsia="Calibri" w:hAnsi="Calibri" w:cs="Times New Roman"/>
                                <w:sz w:val="14"/>
                                <w:szCs w:val="14"/>
                                <w:lang w:val="es-MX" w:eastAsia="en-US"/>
                              </w:rPr>
                              <w:t>¨</w:t>
                            </w:r>
                            <w:r w:rsidRPr="00AD49BF">
                              <w:rPr>
                                <w:rFonts w:ascii="Calibri" w:eastAsia="Calibri" w:hAnsi="Calibri" w:cs="Times New Roman"/>
                                <w:sz w:val="14"/>
                                <w:szCs w:val="14"/>
                                <w:lang w:val="es-MX" w:eastAsia="en-US"/>
                              </w:rPr>
                              <w:t>El</w:t>
                            </w:r>
                            <w:r w:rsidRPr="00D22FFD">
                              <w:rPr>
                                <w:rFonts w:ascii="Calibri" w:eastAsia="Calibri" w:hAnsi="Calibri" w:cs="Times New Roman"/>
                                <w:sz w:val="14"/>
                                <w:szCs w:val="14"/>
                                <w:lang w:val="es-MX" w:eastAsia="en-US"/>
                              </w:rPr>
                              <w:t xml:space="preserve"> anexo aquí presentado es perfectible, y se encuentra susceptible de modificaciones programáticas toda vez así se le indique por observaciones de </w:t>
                            </w:r>
                            <w:r w:rsidRPr="00AD49BF">
                              <w:rPr>
                                <w:rFonts w:ascii="Calibri" w:eastAsia="Calibri" w:hAnsi="Calibri" w:cs="Times New Roman"/>
                                <w:sz w:val="14"/>
                                <w:szCs w:val="14"/>
                                <w:lang w:val="es-MX" w:eastAsia="en-US"/>
                              </w:rPr>
                              <w:t>auditorías</w:t>
                            </w:r>
                            <w:r w:rsidRPr="00D22FFD">
                              <w:rPr>
                                <w:rFonts w:ascii="Calibri" w:eastAsia="Calibri" w:hAnsi="Calibri" w:cs="Times New Roman"/>
                                <w:sz w:val="14"/>
                                <w:szCs w:val="14"/>
                                <w:lang w:val="es-MX" w:eastAsia="en-US"/>
                              </w:rPr>
                              <w:t>,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437674EC" w14:textId="77777777" w:rsidR="00A759AA" w:rsidRDefault="00A759AA" w:rsidP="00FC3000"/>
                        </w:txbxContent>
                      </v:textbox>
                    </v:shape>
                  </w:pict>
                </mc:Fallback>
              </mc:AlternateContent>
            </w:r>
            <w:r w:rsidR="00614058"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7F42C135" w14:textId="315E9C61"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C01.A03 - Sustanciación de las denuncias por incumplimiento a las obligaciones de transparencia.</w:t>
            </w:r>
          </w:p>
        </w:tc>
        <w:tc>
          <w:tcPr>
            <w:tcW w:w="1164" w:type="pct"/>
            <w:tcBorders>
              <w:top w:val="nil"/>
              <w:left w:val="nil"/>
              <w:bottom w:val="single" w:sz="4" w:space="0" w:color="000000"/>
              <w:right w:val="single" w:sz="4" w:space="0" w:color="000000"/>
            </w:tcBorders>
            <w:shd w:val="clear" w:color="FFFFFF" w:fill="FFFFFF"/>
            <w:hideMark/>
          </w:tcPr>
          <w:p w14:paraId="3EFB1460" w14:textId="740EF1AC"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A03 - Índice de denuncias sustanciadas por incumplimiento a las obligaciones de transparencia </w:t>
            </w:r>
          </w:p>
        </w:tc>
        <w:tc>
          <w:tcPr>
            <w:tcW w:w="1164" w:type="pct"/>
            <w:tcBorders>
              <w:top w:val="single" w:sz="4" w:space="0" w:color="000000"/>
              <w:left w:val="nil"/>
              <w:bottom w:val="single" w:sz="4" w:space="0" w:color="000000"/>
              <w:right w:val="single" w:sz="4" w:space="0" w:color="000000"/>
            </w:tcBorders>
            <w:shd w:val="clear" w:color="FFFFFF" w:fill="FFFFFF"/>
            <w:hideMark/>
          </w:tcPr>
          <w:p w14:paraId="4149861C" w14:textId="101BB202"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Control de denuncias presentadas</w:t>
            </w:r>
          </w:p>
        </w:tc>
        <w:tc>
          <w:tcPr>
            <w:tcW w:w="1158" w:type="pct"/>
            <w:tcBorders>
              <w:top w:val="single" w:sz="4" w:space="0" w:color="000000"/>
              <w:left w:val="nil"/>
              <w:bottom w:val="single" w:sz="4" w:space="0" w:color="000000"/>
              <w:right w:val="single" w:sz="4" w:space="0" w:color="000000"/>
            </w:tcBorders>
            <w:shd w:val="clear" w:color="FFFFFF" w:fill="FFFFFF"/>
            <w:hideMark/>
          </w:tcPr>
          <w:p w14:paraId="3CAAB4D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La ciudadanía denuncia la falta de información disponible.</w:t>
            </w:r>
          </w:p>
        </w:tc>
      </w:tr>
      <w:tr w:rsidR="00614058" w:rsidRPr="00614058" w14:paraId="212B94BE"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217745C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77BC97AA"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C01.A04 - Seguimiento a la atención de solicitudes de información pública por parte de los sujetos obligados.</w:t>
            </w:r>
          </w:p>
        </w:tc>
        <w:tc>
          <w:tcPr>
            <w:tcW w:w="1164" w:type="pct"/>
            <w:tcBorders>
              <w:top w:val="nil"/>
              <w:left w:val="nil"/>
              <w:bottom w:val="single" w:sz="4" w:space="0" w:color="000000"/>
              <w:right w:val="single" w:sz="4" w:space="0" w:color="000000"/>
            </w:tcBorders>
            <w:shd w:val="clear" w:color="FFFFFF" w:fill="FFFFFF"/>
            <w:hideMark/>
          </w:tcPr>
          <w:p w14:paraId="191353B0"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A04 -  Porcentaje de solicitudes de información presentadas</w:t>
            </w:r>
          </w:p>
        </w:tc>
        <w:tc>
          <w:tcPr>
            <w:tcW w:w="1164" w:type="pct"/>
            <w:tcBorders>
              <w:top w:val="single" w:sz="4" w:space="0" w:color="000000"/>
              <w:left w:val="nil"/>
              <w:bottom w:val="single" w:sz="4" w:space="0" w:color="000000"/>
              <w:right w:val="single" w:sz="4" w:space="0" w:color="000000"/>
            </w:tcBorders>
            <w:shd w:val="clear" w:color="FFFFFF" w:fill="FFFFFF"/>
            <w:hideMark/>
          </w:tcPr>
          <w:p w14:paraId="157E5564"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solicitudes de información</w:t>
            </w:r>
          </w:p>
        </w:tc>
        <w:tc>
          <w:tcPr>
            <w:tcW w:w="1158" w:type="pct"/>
            <w:tcBorders>
              <w:top w:val="single" w:sz="4" w:space="0" w:color="000000"/>
              <w:left w:val="nil"/>
              <w:bottom w:val="single" w:sz="4" w:space="0" w:color="000000"/>
              <w:right w:val="single" w:sz="4" w:space="0" w:color="000000"/>
            </w:tcBorders>
            <w:shd w:val="clear" w:color="FFFFFF" w:fill="FFFFFF"/>
            <w:hideMark/>
          </w:tcPr>
          <w:p w14:paraId="2A9E97A0"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Los sujetos obligados realizan la atención a sus solicitudes de información.</w:t>
            </w:r>
          </w:p>
        </w:tc>
      </w:tr>
      <w:tr w:rsidR="00614058" w:rsidRPr="00614058" w14:paraId="5B34184E"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1FF5F8AB"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3A518213" w14:textId="658CFCD9"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C01.A05 - Sustanciación de los Recursos de Revisión.</w:t>
            </w:r>
          </w:p>
        </w:tc>
        <w:tc>
          <w:tcPr>
            <w:tcW w:w="1164" w:type="pct"/>
            <w:tcBorders>
              <w:top w:val="nil"/>
              <w:left w:val="nil"/>
              <w:bottom w:val="single" w:sz="4" w:space="0" w:color="000000"/>
              <w:right w:val="single" w:sz="4" w:space="0" w:color="000000"/>
            </w:tcBorders>
            <w:shd w:val="clear" w:color="FFFFFF" w:fill="FFFFFF"/>
            <w:hideMark/>
          </w:tcPr>
          <w:p w14:paraId="63F7F774" w14:textId="5F825B3B"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A05 - Porcentaje de resoluciones y acuerdos que ponen fin al proceso del Recurso de Revisión.</w:t>
            </w:r>
          </w:p>
        </w:tc>
        <w:tc>
          <w:tcPr>
            <w:tcW w:w="1164" w:type="pct"/>
            <w:tcBorders>
              <w:top w:val="single" w:sz="4" w:space="0" w:color="000000"/>
              <w:left w:val="nil"/>
              <w:bottom w:val="single" w:sz="4" w:space="0" w:color="000000"/>
              <w:right w:val="single" w:sz="4" w:space="0" w:color="000000"/>
            </w:tcBorders>
            <w:shd w:val="clear" w:color="FFFFFF" w:fill="FFFFFF"/>
            <w:hideMark/>
          </w:tcPr>
          <w:p w14:paraId="3ADD1434"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Recursos de Revisión.</w:t>
            </w:r>
          </w:p>
        </w:tc>
        <w:tc>
          <w:tcPr>
            <w:tcW w:w="1158" w:type="pct"/>
            <w:tcBorders>
              <w:top w:val="single" w:sz="4" w:space="0" w:color="000000"/>
              <w:left w:val="nil"/>
              <w:bottom w:val="single" w:sz="4" w:space="0" w:color="000000"/>
              <w:right w:val="single" w:sz="4" w:space="0" w:color="000000"/>
            </w:tcBorders>
            <w:shd w:val="clear" w:color="FFFFFF" w:fill="FFFFFF"/>
            <w:hideMark/>
          </w:tcPr>
          <w:p w14:paraId="4E5CDA6B" w14:textId="5E2003A2"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El ciudadano conoce el proceso </w:t>
            </w:r>
            <w:r w:rsidR="00013197" w:rsidRPr="00614058">
              <w:rPr>
                <w:rFonts w:ascii="Arial" w:eastAsia="Times New Roman" w:hAnsi="Arial" w:cs="Arial"/>
                <w:color w:val="000000"/>
                <w:sz w:val="14"/>
                <w:szCs w:val="14"/>
                <w:lang w:val="es-MX" w:eastAsia="es-MX"/>
              </w:rPr>
              <w:t>de los recursos</w:t>
            </w:r>
            <w:r w:rsidRPr="00614058">
              <w:rPr>
                <w:rFonts w:ascii="Arial" w:eastAsia="Times New Roman" w:hAnsi="Arial" w:cs="Arial"/>
                <w:color w:val="000000"/>
                <w:sz w:val="14"/>
                <w:szCs w:val="14"/>
                <w:lang w:val="es-MX" w:eastAsia="es-MX"/>
              </w:rPr>
              <w:t xml:space="preserve"> de revisión y lo aplica.</w:t>
            </w:r>
          </w:p>
        </w:tc>
      </w:tr>
      <w:tr w:rsidR="00614058" w:rsidRPr="00614058" w14:paraId="467B45A3"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78955594"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1401088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C01.A06 - Atención y Trámite de Amparos.</w:t>
            </w:r>
          </w:p>
        </w:tc>
        <w:tc>
          <w:tcPr>
            <w:tcW w:w="1164" w:type="pct"/>
            <w:tcBorders>
              <w:top w:val="nil"/>
              <w:left w:val="nil"/>
              <w:bottom w:val="single" w:sz="4" w:space="0" w:color="000000"/>
              <w:right w:val="single" w:sz="4" w:space="0" w:color="000000"/>
            </w:tcBorders>
            <w:shd w:val="clear" w:color="FFFFFF" w:fill="FFFFFF"/>
            <w:hideMark/>
          </w:tcPr>
          <w:p w14:paraId="06B0DCF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A06 - Porcentaje de amparos que atiende la coordinación Jurídica.</w:t>
            </w:r>
          </w:p>
        </w:tc>
        <w:tc>
          <w:tcPr>
            <w:tcW w:w="1164" w:type="pct"/>
            <w:tcBorders>
              <w:top w:val="single" w:sz="4" w:space="0" w:color="000000"/>
              <w:left w:val="nil"/>
              <w:bottom w:val="single" w:sz="4" w:space="0" w:color="000000"/>
              <w:right w:val="single" w:sz="4" w:space="0" w:color="000000"/>
            </w:tcBorders>
            <w:shd w:val="clear" w:color="FFFFFF" w:fill="FFFFFF"/>
            <w:hideMark/>
          </w:tcPr>
          <w:p w14:paraId="4A19B2DE"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Tramitación de Amparos.</w:t>
            </w:r>
          </w:p>
        </w:tc>
        <w:tc>
          <w:tcPr>
            <w:tcW w:w="1158" w:type="pct"/>
            <w:tcBorders>
              <w:top w:val="single" w:sz="4" w:space="0" w:color="000000"/>
              <w:left w:val="nil"/>
              <w:bottom w:val="single" w:sz="4" w:space="0" w:color="000000"/>
              <w:right w:val="single" w:sz="4" w:space="0" w:color="000000"/>
            </w:tcBorders>
            <w:shd w:val="clear" w:color="FFFFFF" w:fill="FFFFFF"/>
            <w:hideMark/>
          </w:tcPr>
          <w:p w14:paraId="56EFBEE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El ciudadano logra su derecho de acceso a la información de acuerdo a los términos legales.</w:t>
            </w:r>
          </w:p>
        </w:tc>
      </w:tr>
      <w:tr w:rsidR="00614058" w:rsidRPr="00614058" w14:paraId="7494B8EF"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022B4E04"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525CB416"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C01.A07 - Atención y Tramite de Recursos de Inconformidad.</w:t>
            </w:r>
          </w:p>
        </w:tc>
        <w:tc>
          <w:tcPr>
            <w:tcW w:w="1164" w:type="pct"/>
            <w:tcBorders>
              <w:top w:val="nil"/>
              <w:left w:val="nil"/>
              <w:bottom w:val="single" w:sz="4" w:space="0" w:color="000000"/>
              <w:right w:val="single" w:sz="4" w:space="0" w:color="000000"/>
            </w:tcBorders>
            <w:shd w:val="clear" w:color="FFFFFF" w:fill="FFFFFF"/>
            <w:hideMark/>
          </w:tcPr>
          <w:p w14:paraId="4975988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A07 - Porcentaje de Recursos de Inconformidad que atiende la Coordinación Jurídica</w:t>
            </w:r>
          </w:p>
        </w:tc>
        <w:tc>
          <w:tcPr>
            <w:tcW w:w="1164" w:type="pct"/>
            <w:tcBorders>
              <w:top w:val="single" w:sz="4" w:space="0" w:color="000000"/>
              <w:left w:val="nil"/>
              <w:bottom w:val="single" w:sz="4" w:space="0" w:color="000000"/>
              <w:right w:val="single" w:sz="4" w:space="0" w:color="000000"/>
            </w:tcBorders>
            <w:shd w:val="clear" w:color="FFFFFF" w:fill="FFFFFF"/>
            <w:hideMark/>
          </w:tcPr>
          <w:p w14:paraId="3F68FFB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Recursos de Inconformidad</w:t>
            </w:r>
          </w:p>
        </w:tc>
        <w:tc>
          <w:tcPr>
            <w:tcW w:w="1158" w:type="pct"/>
            <w:tcBorders>
              <w:top w:val="single" w:sz="4" w:space="0" w:color="000000"/>
              <w:left w:val="nil"/>
              <w:bottom w:val="single" w:sz="4" w:space="0" w:color="000000"/>
              <w:right w:val="single" w:sz="4" w:space="0" w:color="000000"/>
            </w:tcBorders>
            <w:shd w:val="clear" w:color="FFFFFF" w:fill="FFFFFF"/>
            <w:hideMark/>
          </w:tcPr>
          <w:p w14:paraId="3A2690FB" w14:textId="4180CA2E"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El ciudadano </w:t>
            </w:r>
            <w:r w:rsidR="00013197" w:rsidRPr="00614058">
              <w:rPr>
                <w:rFonts w:ascii="Arial" w:eastAsia="Times New Roman" w:hAnsi="Arial" w:cs="Arial"/>
                <w:color w:val="000000"/>
                <w:sz w:val="14"/>
                <w:szCs w:val="14"/>
                <w:lang w:val="es-MX" w:eastAsia="es-MX"/>
              </w:rPr>
              <w:t>está</w:t>
            </w:r>
            <w:r w:rsidRPr="00614058">
              <w:rPr>
                <w:rFonts w:ascii="Arial" w:eastAsia="Times New Roman" w:hAnsi="Arial" w:cs="Arial"/>
                <w:color w:val="000000"/>
                <w:sz w:val="14"/>
                <w:szCs w:val="14"/>
                <w:lang w:val="es-MX" w:eastAsia="es-MX"/>
              </w:rPr>
              <w:t xml:space="preserve"> conforme con la resolución emitida.</w:t>
            </w:r>
          </w:p>
        </w:tc>
      </w:tr>
      <w:tr w:rsidR="00614058" w:rsidRPr="00614058" w14:paraId="4831E988"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08879B2B"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55587B4A"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C01.A08 - Capacitación a los sujetos obligados, sector educativo y sociedad en general en materia de acceso a la información pública.</w:t>
            </w:r>
          </w:p>
        </w:tc>
        <w:tc>
          <w:tcPr>
            <w:tcW w:w="1164" w:type="pct"/>
            <w:tcBorders>
              <w:top w:val="nil"/>
              <w:left w:val="nil"/>
              <w:bottom w:val="single" w:sz="4" w:space="0" w:color="000000"/>
              <w:right w:val="single" w:sz="4" w:space="0" w:color="000000"/>
            </w:tcBorders>
            <w:shd w:val="clear" w:color="FFFFFF" w:fill="FFFFFF"/>
            <w:hideMark/>
          </w:tcPr>
          <w:p w14:paraId="3E7EA857" w14:textId="381135A0"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A08 - Porcentaje de personas capacitadas en materia de Acceso a la Información Pública</w:t>
            </w:r>
          </w:p>
        </w:tc>
        <w:tc>
          <w:tcPr>
            <w:tcW w:w="1164" w:type="pct"/>
            <w:tcBorders>
              <w:top w:val="single" w:sz="4" w:space="0" w:color="000000"/>
              <w:left w:val="nil"/>
              <w:bottom w:val="single" w:sz="4" w:space="0" w:color="000000"/>
              <w:right w:val="single" w:sz="4" w:space="0" w:color="000000"/>
            </w:tcBorders>
            <w:shd w:val="clear" w:color="FFFFFF" w:fill="FFFFFF"/>
            <w:hideMark/>
          </w:tcPr>
          <w:p w14:paraId="1C0CDF02" w14:textId="3791D36B"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acciones de capacitación</w:t>
            </w:r>
          </w:p>
        </w:tc>
        <w:tc>
          <w:tcPr>
            <w:tcW w:w="1158" w:type="pct"/>
            <w:tcBorders>
              <w:top w:val="single" w:sz="4" w:space="0" w:color="000000"/>
              <w:left w:val="nil"/>
              <w:bottom w:val="single" w:sz="4" w:space="0" w:color="000000"/>
              <w:right w:val="single" w:sz="4" w:space="0" w:color="000000"/>
            </w:tcBorders>
            <w:shd w:val="clear" w:color="FFFFFF" w:fill="FFFFFF"/>
            <w:hideMark/>
          </w:tcPr>
          <w:p w14:paraId="34D41B8E" w14:textId="16F0E7D9"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Los sujetos obligados, sector educativo y sociedad en general conocen y fortalecen el </w:t>
            </w:r>
            <w:r w:rsidR="00013197" w:rsidRPr="00614058">
              <w:rPr>
                <w:rFonts w:ascii="Arial" w:eastAsia="Times New Roman" w:hAnsi="Arial" w:cs="Arial"/>
                <w:color w:val="000000"/>
                <w:sz w:val="14"/>
                <w:szCs w:val="14"/>
                <w:lang w:val="es-MX" w:eastAsia="es-MX"/>
              </w:rPr>
              <w:t>cómo</w:t>
            </w:r>
            <w:r w:rsidRPr="00614058">
              <w:rPr>
                <w:rFonts w:ascii="Arial" w:eastAsia="Times New Roman" w:hAnsi="Arial" w:cs="Arial"/>
                <w:color w:val="000000"/>
                <w:sz w:val="14"/>
                <w:szCs w:val="14"/>
                <w:lang w:val="es-MX" w:eastAsia="es-MX"/>
              </w:rPr>
              <w:t xml:space="preserve"> poder ejercer su derecho de acceso a la información.</w:t>
            </w:r>
          </w:p>
        </w:tc>
      </w:tr>
      <w:tr w:rsidR="00614058" w:rsidRPr="00614058" w14:paraId="553804AE"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3DD8E32B"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448FBD84" w14:textId="1C5FEE6F"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C01.A09 - Actualización de los instrumentos </w:t>
            </w:r>
            <w:r w:rsidR="00013197" w:rsidRPr="00614058">
              <w:rPr>
                <w:rFonts w:ascii="Arial" w:eastAsia="Times New Roman" w:hAnsi="Arial" w:cs="Arial"/>
                <w:color w:val="000000"/>
                <w:sz w:val="14"/>
                <w:szCs w:val="14"/>
                <w:lang w:val="es-MX" w:eastAsia="es-MX"/>
              </w:rPr>
              <w:t>archivísticos</w:t>
            </w:r>
            <w:r w:rsidRPr="00614058">
              <w:rPr>
                <w:rFonts w:ascii="Arial" w:eastAsia="Times New Roman" w:hAnsi="Arial" w:cs="Arial"/>
                <w:color w:val="000000"/>
                <w:sz w:val="14"/>
                <w:szCs w:val="14"/>
                <w:lang w:val="es-MX" w:eastAsia="es-MX"/>
              </w:rPr>
              <w:t xml:space="preserve"> de las unidades responsables del IDAIPQROO.</w:t>
            </w:r>
          </w:p>
        </w:tc>
        <w:tc>
          <w:tcPr>
            <w:tcW w:w="1164" w:type="pct"/>
            <w:tcBorders>
              <w:top w:val="nil"/>
              <w:left w:val="nil"/>
              <w:bottom w:val="single" w:sz="4" w:space="0" w:color="000000"/>
              <w:right w:val="single" w:sz="4" w:space="0" w:color="000000"/>
            </w:tcBorders>
            <w:shd w:val="clear" w:color="FFFFFF" w:fill="FFFFFF"/>
            <w:hideMark/>
          </w:tcPr>
          <w:p w14:paraId="59664313" w14:textId="6A664CB2"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A09 - Porcentaje de instrumentos de control y consulta </w:t>
            </w:r>
            <w:r w:rsidR="00013197" w:rsidRPr="00614058">
              <w:rPr>
                <w:rFonts w:ascii="Arial" w:eastAsia="Times New Roman" w:hAnsi="Arial" w:cs="Arial"/>
                <w:color w:val="000000"/>
                <w:sz w:val="14"/>
                <w:szCs w:val="14"/>
                <w:lang w:val="es-MX" w:eastAsia="es-MX"/>
              </w:rPr>
              <w:t>archivística</w:t>
            </w:r>
            <w:r w:rsidRPr="00614058">
              <w:rPr>
                <w:rFonts w:ascii="Arial" w:eastAsia="Times New Roman" w:hAnsi="Arial" w:cs="Arial"/>
                <w:color w:val="000000"/>
                <w:sz w:val="14"/>
                <w:szCs w:val="14"/>
                <w:lang w:val="es-MX" w:eastAsia="es-MX"/>
              </w:rPr>
              <w:t xml:space="preserve"> entregados.</w:t>
            </w:r>
          </w:p>
        </w:tc>
        <w:tc>
          <w:tcPr>
            <w:tcW w:w="1164" w:type="pct"/>
            <w:tcBorders>
              <w:top w:val="single" w:sz="4" w:space="0" w:color="000000"/>
              <w:left w:val="nil"/>
              <w:bottom w:val="single" w:sz="4" w:space="0" w:color="000000"/>
              <w:right w:val="single" w:sz="4" w:space="0" w:color="000000"/>
            </w:tcBorders>
            <w:shd w:val="clear" w:color="FFFFFF" w:fill="FFFFFF"/>
            <w:hideMark/>
          </w:tcPr>
          <w:p w14:paraId="43280CBD" w14:textId="69C54581"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Integración de los instrumentos de control y consulta </w:t>
            </w:r>
            <w:r w:rsidR="00013197" w:rsidRPr="00614058">
              <w:rPr>
                <w:rFonts w:ascii="Arial" w:eastAsia="Times New Roman" w:hAnsi="Arial" w:cs="Arial"/>
                <w:color w:val="000000"/>
                <w:sz w:val="14"/>
                <w:szCs w:val="14"/>
                <w:lang w:val="es-MX" w:eastAsia="es-MX"/>
              </w:rPr>
              <w:t>archivística</w:t>
            </w:r>
            <w:r w:rsidRPr="00614058">
              <w:rPr>
                <w:rFonts w:ascii="Arial" w:eastAsia="Times New Roman" w:hAnsi="Arial" w:cs="Arial"/>
                <w:color w:val="000000"/>
                <w:sz w:val="14"/>
                <w:szCs w:val="14"/>
                <w:lang w:val="es-MX" w:eastAsia="es-MX"/>
              </w:rPr>
              <w:t xml:space="preserve"> del idaipqroo.</w:t>
            </w:r>
          </w:p>
        </w:tc>
        <w:tc>
          <w:tcPr>
            <w:tcW w:w="1158" w:type="pct"/>
            <w:tcBorders>
              <w:top w:val="single" w:sz="4" w:space="0" w:color="000000"/>
              <w:left w:val="nil"/>
              <w:bottom w:val="single" w:sz="4" w:space="0" w:color="000000"/>
              <w:right w:val="single" w:sz="4" w:space="0" w:color="000000"/>
            </w:tcBorders>
            <w:shd w:val="clear" w:color="FFFFFF" w:fill="FFFFFF"/>
            <w:hideMark/>
          </w:tcPr>
          <w:p w14:paraId="727D8A8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Las unidades administrativas del IDAIPQROO mantengan un correcto manejo de los archivos en su posesión.</w:t>
            </w:r>
          </w:p>
        </w:tc>
      </w:tr>
      <w:tr w:rsidR="00614058" w:rsidRPr="00614058" w14:paraId="5CAFC9C6" w14:textId="77777777" w:rsidTr="00614058">
        <w:trPr>
          <w:trHeight w:val="300"/>
        </w:trPr>
        <w:tc>
          <w:tcPr>
            <w:tcW w:w="349" w:type="pct"/>
            <w:tcBorders>
              <w:top w:val="nil"/>
              <w:left w:val="single" w:sz="4" w:space="0" w:color="000000"/>
              <w:bottom w:val="single" w:sz="4" w:space="0" w:color="000000"/>
              <w:right w:val="single" w:sz="4" w:space="0" w:color="000000"/>
            </w:tcBorders>
            <w:shd w:val="clear" w:color="FFFFFF" w:fill="FFFFFF"/>
            <w:hideMark/>
          </w:tcPr>
          <w:p w14:paraId="6118647F"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lastRenderedPageBreak/>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7FD43B71" w14:textId="0D14E063"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C01.A10 - Atender las solicitudes de información pública.</w:t>
            </w:r>
          </w:p>
        </w:tc>
        <w:tc>
          <w:tcPr>
            <w:tcW w:w="1164" w:type="pct"/>
            <w:tcBorders>
              <w:top w:val="nil"/>
              <w:left w:val="nil"/>
              <w:bottom w:val="single" w:sz="4" w:space="0" w:color="000000"/>
              <w:right w:val="single" w:sz="4" w:space="0" w:color="000000"/>
            </w:tcBorders>
            <w:shd w:val="clear" w:color="FFFFFF" w:fill="FFFFFF"/>
            <w:hideMark/>
          </w:tcPr>
          <w:p w14:paraId="0BF9600E"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A10 - Porcentaje de solicitudes de información atendidas </w:t>
            </w:r>
          </w:p>
        </w:tc>
        <w:tc>
          <w:tcPr>
            <w:tcW w:w="1164" w:type="pct"/>
            <w:tcBorders>
              <w:top w:val="single" w:sz="4" w:space="0" w:color="000000"/>
              <w:left w:val="nil"/>
              <w:bottom w:val="single" w:sz="4" w:space="0" w:color="000000"/>
              <w:right w:val="single" w:sz="4" w:space="0" w:color="000000"/>
            </w:tcBorders>
            <w:shd w:val="clear" w:color="FFFFFF" w:fill="FFFFFF"/>
            <w:hideMark/>
          </w:tcPr>
          <w:p w14:paraId="78E6B24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Solicitudes de información</w:t>
            </w:r>
          </w:p>
        </w:tc>
        <w:tc>
          <w:tcPr>
            <w:tcW w:w="1158" w:type="pct"/>
            <w:tcBorders>
              <w:top w:val="single" w:sz="4" w:space="0" w:color="000000"/>
              <w:left w:val="nil"/>
              <w:bottom w:val="single" w:sz="4" w:space="0" w:color="000000"/>
              <w:right w:val="single" w:sz="4" w:space="0" w:color="000000"/>
            </w:tcBorders>
            <w:shd w:val="clear" w:color="FFFFFF" w:fill="FFFFFF"/>
            <w:hideMark/>
          </w:tcPr>
          <w:p w14:paraId="45515828"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Los ciudadanos realizan solicitudes de información al IDAIPQROO.</w:t>
            </w:r>
          </w:p>
        </w:tc>
      </w:tr>
      <w:tr w:rsidR="00614058" w:rsidRPr="00614058" w14:paraId="388483EE" w14:textId="77777777" w:rsidTr="00614058">
        <w:trPr>
          <w:trHeight w:val="540"/>
        </w:trPr>
        <w:tc>
          <w:tcPr>
            <w:tcW w:w="349" w:type="pct"/>
            <w:tcBorders>
              <w:top w:val="nil"/>
              <w:left w:val="single" w:sz="4" w:space="0" w:color="000000"/>
              <w:bottom w:val="single" w:sz="4" w:space="0" w:color="000000"/>
              <w:right w:val="single" w:sz="4" w:space="0" w:color="000000"/>
            </w:tcBorders>
            <w:shd w:val="clear" w:color="FFFFFF" w:fill="FFFFFF"/>
            <w:hideMark/>
          </w:tcPr>
          <w:p w14:paraId="5EDCA990" w14:textId="41306FF9"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5261E416" w14:textId="2660E964"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C01.A11 - Seguimiento al cumplimiento y actualización de las obligaciones de transparencia en el sitio institucional, así como en la plataforma nacional de transparencia, por parte de las unidades administrativas del IDAIPQROO</w:t>
            </w:r>
          </w:p>
        </w:tc>
        <w:tc>
          <w:tcPr>
            <w:tcW w:w="1164" w:type="pct"/>
            <w:tcBorders>
              <w:top w:val="nil"/>
              <w:left w:val="nil"/>
              <w:bottom w:val="single" w:sz="4" w:space="0" w:color="000000"/>
              <w:right w:val="single" w:sz="4" w:space="0" w:color="000000"/>
            </w:tcBorders>
            <w:shd w:val="clear" w:color="FFFFFF" w:fill="FFFFFF"/>
            <w:hideMark/>
          </w:tcPr>
          <w:p w14:paraId="1077F39E" w14:textId="28B8F215"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A11 - Porcentaje de cumplimiento en obligaciones de transparencia por parte de las unidades administrativas del IDAIPQROO</w:t>
            </w:r>
          </w:p>
        </w:tc>
        <w:tc>
          <w:tcPr>
            <w:tcW w:w="1164" w:type="pct"/>
            <w:tcBorders>
              <w:top w:val="single" w:sz="4" w:space="0" w:color="000000"/>
              <w:left w:val="nil"/>
              <w:bottom w:val="single" w:sz="4" w:space="0" w:color="000000"/>
              <w:right w:val="single" w:sz="4" w:space="0" w:color="000000"/>
            </w:tcBorders>
            <w:shd w:val="clear" w:color="FFFFFF" w:fill="FFFFFF"/>
            <w:hideMark/>
          </w:tcPr>
          <w:p w14:paraId="64C99CC8"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Reporte de cumplimiento de obligaciones de transparencia </w:t>
            </w:r>
          </w:p>
        </w:tc>
        <w:tc>
          <w:tcPr>
            <w:tcW w:w="1158" w:type="pct"/>
            <w:tcBorders>
              <w:top w:val="single" w:sz="4" w:space="0" w:color="000000"/>
              <w:left w:val="nil"/>
              <w:bottom w:val="single" w:sz="4" w:space="0" w:color="000000"/>
              <w:right w:val="single" w:sz="4" w:space="0" w:color="000000"/>
            </w:tcBorders>
            <w:shd w:val="clear" w:color="FFFFFF" w:fill="FFFFFF"/>
            <w:hideMark/>
          </w:tcPr>
          <w:p w14:paraId="2590A130"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Las unidades administrativas del IDAIPQROO Carguen de formar correcta y en el periodo indicado la información de las obligaciones de transparencia.</w:t>
            </w:r>
          </w:p>
        </w:tc>
      </w:tr>
      <w:tr w:rsidR="00614058" w:rsidRPr="00614058" w14:paraId="5DAD7E38"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4EC624F7" w14:textId="1BEA8C9B"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2284F9F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C01.A12 - Confirmación, modificación o revocación de las determinaciones en materia de acceso a la información.</w:t>
            </w:r>
          </w:p>
        </w:tc>
        <w:tc>
          <w:tcPr>
            <w:tcW w:w="1164" w:type="pct"/>
            <w:tcBorders>
              <w:top w:val="nil"/>
              <w:left w:val="nil"/>
              <w:bottom w:val="single" w:sz="4" w:space="0" w:color="000000"/>
              <w:right w:val="single" w:sz="4" w:space="0" w:color="000000"/>
            </w:tcBorders>
            <w:shd w:val="clear" w:color="FFFFFF" w:fill="FFFFFF"/>
            <w:hideMark/>
          </w:tcPr>
          <w:p w14:paraId="6276313A"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A12 - Porcentaje de acuerdos realizados por el comité de transparencia</w:t>
            </w:r>
          </w:p>
        </w:tc>
        <w:tc>
          <w:tcPr>
            <w:tcW w:w="1164" w:type="pct"/>
            <w:tcBorders>
              <w:top w:val="single" w:sz="4" w:space="0" w:color="000000"/>
              <w:left w:val="nil"/>
              <w:bottom w:val="single" w:sz="4" w:space="0" w:color="000000"/>
              <w:right w:val="single" w:sz="4" w:space="0" w:color="000000"/>
            </w:tcBorders>
            <w:shd w:val="clear" w:color="FFFFFF" w:fill="FFFFFF"/>
            <w:hideMark/>
          </w:tcPr>
          <w:p w14:paraId="6B4B5642"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acuerdos realizados</w:t>
            </w:r>
          </w:p>
        </w:tc>
        <w:tc>
          <w:tcPr>
            <w:tcW w:w="1158" w:type="pct"/>
            <w:tcBorders>
              <w:top w:val="single" w:sz="4" w:space="0" w:color="000000"/>
              <w:left w:val="nil"/>
              <w:bottom w:val="single" w:sz="4" w:space="0" w:color="000000"/>
              <w:right w:val="single" w:sz="4" w:space="0" w:color="000000"/>
            </w:tcBorders>
            <w:shd w:val="clear" w:color="FFFFFF" w:fill="FFFFFF"/>
            <w:hideMark/>
          </w:tcPr>
          <w:p w14:paraId="44391A29"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El comité de transparencia garantice el derecho de acceso a la información sin vulnerar los datos personales.</w:t>
            </w:r>
          </w:p>
        </w:tc>
      </w:tr>
      <w:tr w:rsidR="00614058" w:rsidRPr="00614058" w14:paraId="299EE669" w14:textId="77777777" w:rsidTr="00614058">
        <w:trPr>
          <w:trHeight w:val="300"/>
        </w:trPr>
        <w:tc>
          <w:tcPr>
            <w:tcW w:w="349" w:type="pct"/>
            <w:tcBorders>
              <w:top w:val="nil"/>
              <w:left w:val="single" w:sz="4" w:space="0" w:color="000000"/>
              <w:bottom w:val="single" w:sz="4" w:space="0" w:color="000000"/>
              <w:right w:val="single" w:sz="4" w:space="0" w:color="000000"/>
            </w:tcBorders>
            <w:shd w:val="clear" w:color="FFFFFF" w:fill="FFFFFF"/>
            <w:hideMark/>
          </w:tcPr>
          <w:p w14:paraId="63D016B0" w14:textId="4F24366F"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410350CE" w14:textId="27F65A6C"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C01.A13 - Promoción y difusión en medios de comunicación y ciudadanía en general sobre el derecho de acceso a la información pública.</w:t>
            </w:r>
          </w:p>
        </w:tc>
        <w:tc>
          <w:tcPr>
            <w:tcW w:w="1164" w:type="pct"/>
            <w:tcBorders>
              <w:top w:val="nil"/>
              <w:left w:val="nil"/>
              <w:bottom w:val="single" w:sz="4" w:space="0" w:color="000000"/>
              <w:right w:val="single" w:sz="4" w:space="0" w:color="000000"/>
            </w:tcBorders>
            <w:shd w:val="clear" w:color="FFFFFF" w:fill="FFFFFF"/>
            <w:hideMark/>
          </w:tcPr>
          <w:p w14:paraId="373FB3C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A13 - Porcentaje  de boletines de comunicación realizados.</w:t>
            </w:r>
          </w:p>
        </w:tc>
        <w:tc>
          <w:tcPr>
            <w:tcW w:w="1164" w:type="pct"/>
            <w:tcBorders>
              <w:top w:val="single" w:sz="4" w:space="0" w:color="000000"/>
              <w:left w:val="nil"/>
              <w:bottom w:val="single" w:sz="4" w:space="0" w:color="000000"/>
              <w:right w:val="single" w:sz="4" w:space="0" w:color="000000"/>
            </w:tcBorders>
            <w:shd w:val="clear" w:color="FFFFFF" w:fill="FFFFFF"/>
            <w:hideMark/>
          </w:tcPr>
          <w:p w14:paraId="21E06A9B"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boletines realizados.</w:t>
            </w:r>
          </w:p>
        </w:tc>
        <w:tc>
          <w:tcPr>
            <w:tcW w:w="1158" w:type="pct"/>
            <w:tcBorders>
              <w:top w:val="single" w:sz="4" w:space="0" w:color="000000"/>
              <w:left w:val="nil"/>
              <w:bottom w:val="single" w:sz="4" w:space="0" w:color="000000"/>
              <w:right w:val="single" w:sz="4" w:space="0" w:color="000000"/>
            </w:tcBorders>
            <w:shd w:val="clear" w:color="FFFFFF" w:fill="FFFFFF"/>
            <w:hideMark/>
          </w:tcPr>
          <w:p w14:paraId="39666E36"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La ciudadanía se interesa y conoce sobre el derecho de acceso a la información pública</w:t>
            </w:r>
          </w:p>
        </w:tc>
      </w:tr>
      <w:tr w:rsidR="00614058" w:rsidRPr="00614058" w14:paraId="190D3083" w14:textId="77777777" w:rsidTr="00614058">
        <w:trPr>
          <w:trHeight w:val="540"/>
        </w:trPr>
        <w:tc>
          <w:tcPr>
            <w:tcW w:w="349" w:type="pct"/>
            <w:tcBorders>
              <w:top w:val="nil"/>
              <w:left w:val="single" w:sz="4" w:space="0" w:color="000000"/>
              <w:bottom w:val="single" w:sz="4" w:space="0" w:color="000000"/>
              <w:right w:val="single" w:sz="4" w:space="0" w:color="000000"/>
            </w:tcBorders>
            <w:shd w:val="clear" w:color="FFFFFF" w:fill="FFFFFF"/>
            <w:hideMark/>
          </w:tcPr>
          <w:p w14:paraId="4FFA06FC" w14:textId="3B4911D9" w:rsidR="00614058" w:rsidRPr="00614058" w:rsidRDefault="00FC3000" w:rsidP="00614058">
            <w:pPr>
              <w:spacing w:after="0" w:line="240" w:lineRule="auto"/>
              <w:jc w:val="left"/>
              <w:rPr>
                <w:rFonts w:ascii="Arial" w:eastAsia="Times New Roman" w:hAnsi="Arial" w:cs="Arial"/>
                <w:color w:val="000000"/>
                <w:sz w:val="14"/>
                <w:szCs w:val="14"/>
                <w:lang w:val="es-MX" w:eastAsia="es-MX"/>
              </w:rPr>
            </w:pPr>
            <w:r w:rsidRPr="00653334">
              <w:rPr>
                <w:rFonts w:ascii="Calibri" w:eastAsia="Calibri" w:hAnsi="Calibri" w:cs="Times New Roman"/>
                <w:noProof/>
                <w:sz w:val="16"/>
                <w:szCs w:val="16"/>
                <w:lang w:val="es-MX" w:eastAsia="es-MX"/>
              </w:rPr>
              <mc:AlternateContent>
                <mc:Choice Requires="wps">
                  <w:drawing>
                    <wp:anchor distT="45720" distB="45720" distL="114300" distR="114300" simplePos="0" relativeHeight="251663360" behindDoc="0" locked="0" layoutInCell="1" allowOverlap="1" wp14:anchorId="681C4075" wp14:editId="54E4A59B">
                      <wp:simplePos x="0" y="0"/>
                      <wp:positionH relativeFrom="column">
                        <wp:posOffset>-186055</wp:posOffset>
                      </wp:positionH>
                      <wp:positionV relativeFrom="paragraph">
                        <wp:posOffset>556895</wp:posOffset>
                      </wp:positionV>
                      <wp:extent cx="6059424" cy="73152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424" cy="731520"/>
                              </a:xfrm>
                              <a:prstGeom prst="rect">
                                <a:avLst/>
                              </a:prstGeom>
                              <a:solidFill>
                                <a:srgbClr val="FFFFFF"/>
                              </a:solidFill>
                              <a:ln w="9525">
                                <a:noFill/>
                                <a:miter lim="800000"/>
                                <a:headEnd/>
                                <a:tailEnd/>
                              </a:ln>
                            </wps:spPr>
                            <wps:txbx>
                              <w:txbxContent>
                                <w:p w14:paraId="02AE3E2F" w14:textId="77777777" w:rsidR="00A759AA" w:rsidRPr="00D22FFD" w:rsidRDefault="00A759AA" w:rsidP="00AD49BF">
                                  <w:pPr>
                                    <w:spacing w:after="160" w:line="259" w:lineRule="auto"/>
                                    <w:rPr>
                                      <w:rFonts w:ascii="Calibri" w:eastAsia="Calibri" w:hAnsi="Calibri" w:cs="Times New Roman"/>
                                      <w:sz w:val="14"/>
                                      <w:szCs w:val="14"/>
                                      <w:lang w:val="es-MX" w:eastAsia="en-US"/>
                                    </w:rPr>
                                  </w:pPr>
                                  <w:r w:rsidRPr="00D22FFD">
                                    <w:rPr>
                                      <w:rFonts w:ascii="Calibri" w:eastAsia="Calibri" w:hAnsi="Calibri" w:cs="Times New Roman"/>
                                      <w:sz w:val="14"/>
                                      <w:szCs w:val="14"/>
                                      <w:lang w:val="es-MX" w:eastAsia="en-US"/>
                                    </w:rPr>
                                    <w:t>¨</w:t>
                                  </w:r>
                                  <w:r w:rsidRPr="00AD49BF">
                                    <w:rPr>
                                      <w:rFonts w:ascii="Calibri" w:eastAsia="Calibri" w:hAnsi="Calibri" w:cs="Times New Roman"/>
                                      <w:sz w:val="14"/>
                                      <w:szCs w:val="14"/>
                                      <w:lang w:val="es-MX" w:eastAsia="en-US"/>
                                    </w:rPr>
                                    <w:t>El</w:t>
                                  </w:r>
                                  <w:r w:rsidRPr="00D22FFD">
                                    <w:rPr>
                                      <w:rFonts w:ascii="Calibri" w:eastAsia="Calibri" w:hAnsi="Calibri" w:cs="Times New Roman"/>
                                      <w:sz w:val="14"/>
                                      <w:szCs w:val="14"/>
                                      <w:lang w:val="es-MX" w:eastAsia="en-US"/>
                                    </w:rPr>
                                    <w:t xml:space="preserve"> anexo aquí presentado es perfectible, y se encuentra susceptible de modificaciones programáticas toda vez así se le indique por observaciones de </w:t>
                                  </w:r>
                                  <w:r w:rsidRPr="00AD49BF">
                                    <w:rPr>
                                      <w:rFonts w:ascii="Calibri" w:eastAsia="Calibri" w:hAnsi="Calibri" w:cs="Times New Roman"/>
                                      <w:sz w:val="14"/>
                                      <w:szCs w:val="14"/>
                                      <w:lang w:val="es-MX" w:eastAsia="en-US"/>
                                    </w:rPr>
                                    <w:t>auditorías</w:t>
                                  </w:r>
                                  <w:r w:rsidRPr="00D22FFD">
                                    <w:rPr>
                                      <w:rFonts w:ascii="Calibri" w:eastAsia="Calibri" w:hAnsi="Calibri" w:cs="Times New Roman"/>
                                      <w:sz w:val="14"/>
                                      <w:szCs w:val="14"/>
                                      <w:lang w:val="es-MX" w:eastAsia="en-US"/>
                                    </w:rPr>
                                    <w:t>,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71944F90" w14:textId="77777777" w:rsidR="00A759AA" w:rsidRDefault="00A759AA" w:rsidP="00AD49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1C4075" id="_x0000_s1029" type="#_x0000_t202" style="position:absolute;margin-left:-14.65pt;margin-top:43.85pt;width:477.1pt;height:5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" stroked="f">
                      <v:textbox>
                        <w:txbxContent>
                          <w:p w14:paraId="02AE3E2F" w14:textId="77777777" w:rsidR="00A759AA" w:rsidRPr="00D22FFD" w:rsidRDefault="00A759AA" w:rsidP="00AD49BF">
                            <w:pPr>
                              <w:spacing w:after="160" w:line="259" w:lineRule="auto"/>
                              <w:rPr>
                                <w:rFonts w:ascii="Calibri" w:eastAsia="Calibri" w:hAnsi="Calibri" w:cs="Times New Roman"/>
                                <w:sz w:val="14"/>
                                <w:szCs w:val="14"/>
                                <w:lang w:val="es-MX" w:eastAsia="en-US"/>
                              </w:rPr>
                            </w:pPr>
                            <w:r w:rsidRPr="00D22FFD">
                              <w:rPr>
                                <w:rFonts w:ascii="Calibri" w:eastAsia="Calibri" w:hAnsi="Calibri" w:cs="Times New Roman"/>
                                <w:sz w:val="14"/>
                                <w:szCs w:val="14"/>
                                <w:lang w:val="es-MX" w:eastAsia="en-US"/>
                              </w:rPr>
                              <w:t>¨</w:t>
                            </w:r>
                            <w:r w:rsidRPr="00AD49BF">
                              <w:rPr>
                                <w:rFonts w:ascii="Calibri" w:eastAsia="Calibri" w:hAnsi="Calibri" w:cs="Times New Roman"/>
                                <w:sz w:val="14"/>
                                <w:szCs w:val="14"/>
                                <w:lang w:val="es-MX" w:eastAsia="en-US"/>
                              </w:rPr>
                              <w:t>El</w:t>
                            </w:r>
                            <w:r w:rsidRPr="00D22FFD">
                              <w:rPr>
                                <w:rFonts w:ascii="Calibri" w:eastAsia="Calibri" w:hAnsi="Calibri" w:cs="Times New Roman"/>
                                <w:sz w:val="14"/>
                                <w:szCs w:val="14"/>
                                <w:lang w:val="es-MX" w:eastAsia="en-US"/>
                              </w:rPr>
                              <w:t xml:space="preserve"> anexo aquí presentado es perfectible, y se encuentra susceptible de modificaciones programáticas toda vez así se le indique por observaciones de </w:t>
                            </w:r>
                            <w:r w:rsidRPr="00AD49BF">
                              <w:rPr>
                                <w:rFonts w:ascii="Calibri" w:eastAsia="Calibri" w:hAnsi="Calibri" w:cs="Times New Roman"/>
                                <w:sz w:val="14"/>
                                <w:szCs w:val="14"/>
                                <w:lang w:val="es-MX" w:eastAsia="en-US"/>
                              </w:rPr>
                              <w:t>auditorías</w:t>
                            </w:r>
                            <w:r w:rsidRPr="00D22FFD">
                              <w:rPr>
                                <w:rFonts w:ascii="Calibri" w:eastAsia="Calibri" w:hAnsi="Calibri" w:cs="Times New Roman"/>
                                <w:sz w:val="14"/>
                                <w:szCs w:val="14"/>
                                <w:lang w:val="es-MX" w:eastAsia="en-US"/>
                              </w:rPr>
                              <w:t>,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71944F90" w14:textId="77777777" w:rsidR="00A759AA" w:rsidRDefault="00A759AA" w:rsidP="00AD49BF"/>
                        </w:txbxContent>
                      </v:textbox>
                    </v:shape>
                  </w:pict>
                </mc:Fallback>
              </mc:AlternateContent>
            </w:r>
            <w:r w:rsidR="00614058" w:rsidRPr="00614058">
              <w:rPr>
                <w:rFonts w:ascii="Arial" w:eastAsia="Times New Roman" w:hAnsi="Arial" w:cs="Arial"/>
                <w:color w:val="000000"/>
                <w:sz w:val="14"/>
                <w:szCs w:val="14"/>
                <w:lang w:val="es-MX" w:eastAsia="es-MX"/>
              </w:rPr>
              <w:t>Componente</w:t>
            </w:r>
          </w:p>
        </w:tc>
        <w:tc>
          <w:tcPr>
            <w:tcW w:w="1164" w:type="pct"/>
            <w:tcBorders>
              <w:top w:val="single" w:sz="4" w:space="0" w:color="000000"/>
              <w:left w:val="nil"/>
              <w:bottom w:val="single" w:sz="4" w:space="0" w:color="000000"/>
              <w:right w:val="single" w:sz="4" w:space="0" w:color="000000"/>
            </w:tcBorders>
            <w:shd w:val="clear" w:color="FFFFFF" w:fill="FFFFFF"/>
            <w:hideMark/>
          </w:tcPr>
          <w:p w14:paraId="45EADE45" w14:textId="09CC2086"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C02 - Manejo adecuado de los datos personales en posesión de sujetos obligados verificado.</w:t>
            </w:r>
          </w:p>
        </w:tc>
        <w:tc>
          <w:tcPr>
            <w:tcW w:w="1164" w:type="pct"/>
            <w:tcBorders>
              <w:top w:val="nil"/>
              <w:left w:val="nil"/>
              <w:bottom w:val="single" w:sz="4" w:space="0" w:color="000000"/>
              <w:right w:val="single" w:sz="4" w:space="0" w:color="000000"/>
            </w:tcBorders>
            <w:shd w:val="clear" w:color="FFFFFF" w:fill="FFFFFF"/>
            <w:hideMark/>
          </w:tcPr>
          <w:p w14:paraId="5E5DC60C" w14:textId="59038DFB"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C02 - Porcentaje de Sujetos Obligados que cumplen con las obligaciones de la Ley de Protección de Datos Personales en Posesión de Sujetos Obligados. </w:t>
            </w:r>
          </w:p>
        </w:tc>
        <w:tc>
          <w:tcPr>
            <w:tcW w:w="1164" w:type="pct"/>
            <w:tcBorders>
              <w:top w:val="single" w:sz="4" w:space="0" w:color="000000"/>
              <w:left w:val="nil"/>
              <w:bottom w:val="single" w:sz="4" w:space="0" w:color="000000"/>
              <w:right w:val="single" w:sz="4" w:space="0" w:color="000000"/>
            </w:tcBorders>
            <w:shd w:val="clear" w:color="FFFFFF" w:fill="FFFFFF"/>
            <w:hideMark/>
          </w:tcPr>
          <w:p w14:paraId="4E83910D"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Sujetos Obligados verificados</w:t>
            </w:r>
          </w:p>
        </w:tc>
        <w:tc>
          <w:tcPr>
            <w:tcW w:w="1158" w:type="pct"/>
            <w:tcBorders>
              <w:top w:val="single" w:sz="4" w:space="0" w:color="000000"/>
              <w:left w:val="nil"/>
              <w:bottom w:val="single" w:sz="4" w:space="0" w:color="000000"/>
              <w:right w:val="single" w:sz="4" w:space="0" w:color="000000"/>
            </w:tcBorders>
            <w:shd w:val="clear" w:color="FFFFFF" w:fill="FFFFFF"/>
            <w:hideMark/>
          </w:tcPr>
          <w:p w14:paraId="28607FA2"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Los Sujetos Obligados tratan de forma correcta los datos personales en su posesión.</w:t>
            </w:r>
          </w:p>
        </w:tc>
      </w:tr>
      <w:tr w:rsidR="00614058" w:rsidRPr="00614058" w14:paraId="07562CDD" w14:textId="77777777" w:rsidTr="00614058">
        <w:trPr>
          <w:trHeight w:val="540"/>
        </w:trPr>
        <w:tc>
          <w:tcPr>
            <w:tcW w:w="349" w:type="pct"/>
            <w:tcBorders>
              <w:top w:val="nil"/>
              <w:left w:val="single" w:sz="4" w:space="0" w:color="000000"/>
              <w:bottom w:val="single" w:sz="4" w:space="0" w:color="000000"/>
              <w:right w:val="single" w:sz="4" w:space="0" w:color="000000"/>
            </w:tcBorders>
            <w:shd w:val="clear" w:color="FFFFFF" w:fill="FFFFFF"/>
            <w:hideMark/>
          </w:tcPr>
          <w:p w14:paraId="2A0AD01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7BDD7BD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C02.A01 - Verificación que los sujetos obligados de la Ley Local de Protección de Datos Personales del Estado de Quintana Roo cumplan con las disposiciones de la misma.</w:t>
            </w:r>
          </w:p>
        </w:tc>
        <w:tc>
          <w:tcPr>
            <w:tcW w:w="1164" w:type="pct"/>
            <w:tcBorders>
              <w:top w:val="nil"/>
              <w:left w:val="nil"/>
              <w:bottom w:val="single" w:sz="4" w:space="0" w:color="000000"/>
              <w:right w:val="single" w:sz="4" w:space="0" w:color="000000"/>
            </w:tcBorders>
            <w:shd w:val="clear" w:color="FFFFFF" w:fill="FFFFFF"/>
            <w:hideMark/>
          </w:tcPr>
          <w:p w14:paraId="7AE4A22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A01 - Porcentaje de Sujetos Obligados que cumplen con las obligaciones de la Ley de Protección de Datos Personales en Posesión de Sujetos Obligados. </w:t>
            </w:r>
          </w:p>
        </w:tc>
        <w:tc>
          <w:tcPr>
            <w:tcW w:w="1164" w:type="pct"/>
            <w:tcBorders>
              <w:top w:val="single" w:sz="4" w:space="0" w:color="000000"/>
              <w:left w:val="nil"/>
              <w:bottom w:val="single" w:sz="4" w:space="0" w:color="000000"/>
              <w:right w:val="single" w:sz="4" w:space="0" w:color="000000"/>
            </w:tcBorders>
            <w:shd w:val="clear" w:color="FFFFFF" w:fill="FFFFFF"/>
            <w:hideMark/>
          </w:tcPr>
          <w:p w14:paraId="302D6ABD"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Reporte de Sujetos Obligados verificados. </w:t>
            </w:r>
          </w:p>
        </w:tc>
        <w:tc>
          <w:tcPr>
            <w:tcW w:w="1158" w:type="pct"/>
            <w:tcBorders>
              <w:top w:val="single" w:sz="4" w:space="0" w:color="000000"/>
              <w:left w:val="nil"/>
              <w:bottom w:val="single" w:sz="4" w:space="0" w:color="000000"/>
              <w:right w:val="single" w:sz="4" w:space="0" w:color="000000"/>
            </w:tcBorders>
            <w:shd w:val="clear" w:color="FFFFFF" w:fill="FFFFFF"/>
            <w:hideMark/>
          </w:tcPr>
          <w:p w14:paraId="5964B3E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Los sujetos obligados cuidan y manejan de forma correcta los datos personales de los ciudadanos.</w:t>
            </w:r>
          </w:p>
        </w:tc>
      </w:tr>
      <w:tr w:rsidR="00614058" w:rsidRPr="00614058" w14:paraId="0BBB0A43"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1003D78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7E6F32B2"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C02.A02 - Atender las solicitudes de información pública, de acceso, rectificación, cancelación y oposición de datos personales en posesión de sujetos obligados.</w:t>
            </w:r>
          </w:p>
        </w:tc>
        <w:tc>
          <w:tcPr>
            <w:tcW w:w="1164" w:type="pct"/>
            <w:tcBorders>
              <w:top w:val="nil"/>
              <w:left w:val="nil"/>
              <w:bottom w:val="single" w:sz="4" w:space="0" w:color="000000"/>
              <w:right w:val="single" w:sz="4" w:space="0" w:color="000000"/>
            </w:tcBorders>
            <w:shd w:val="clear" w:color="FFFFFF" w:fill="FFFFFF"/>
            <w:hideMark/>
          </w:tcPr>
          <w:p w14:paraId="0AF8D7C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A02 - Porcentaje de solicitudes recibidas de derechos por acceso, rectificación, cancelación y oposición.</w:t>
            </w:r>
          </w:p>
        </w:tc>
        <w:tc>
          <w:tcPr>
            <w:tcW w:w="1164" w:type="pct"/>
            <w:tcBorders>
              <w:top w:val="single" w:sz="4" w:space="0" w:color="000000"/>
              <w:left w:val="nil"/>
              <w:bottom w:val="single" w:sz="4" w:space="0" w:color="000000"/>
              <w:right w:val="single" w:sz="4" w:space="0" w:color="000000"/>
            </w:tcBorders>
            <w:shd w:val="clear" w:color="FFFFFF" w:fill="FFFFFF"/>
            <w:hideMark/>
          </w:tcPr>
          <w:p w14:paraId="077A52D9"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solicitudes de información</w:t>
            </w:r>
          </w:p>
        </w:tc>
        <w:tc>
          <w:tcPr>
            <w:tcW w:w="1158" w:type="pct"/>
            <w:tcBorders>
              <w:top w:val="single" w:sz="4" w:space="0" w:color="000000"/>
              <w:left w:val="nil"/>
              <w:bottom w:val="single" w:sz="4" w:space="0" w:color="000000"/>
              <w:right w:val="single" w:sz="4" w:space="0" w:color="000000"/>
            </w:tcBorders>
            <w:shd w:val="clear" w:color="FFFFFF" w:fill="FFFFFF"/>
            <w:hideMark/>
          </w:tcPr>
          <w:p w14:paraId="7AC8FDBC"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Los ciudadanos realizan solicitudes de Información al idaipqroo.</w:t>
            </w:r>
          </w:p>
        </w:tc>
      </w:tr>
      <w:tr w:rsidR="00614058" w:rsidRPr="00614058" w14:paraId="28538D3A"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218574A6"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17D8C2A6"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C02.A03 - Capacitación a los sujetos obligados, sector educativo y sociedad en general en materia de protección de datos personales.</w:t>
            </w:r>
          </w:p>
        </w:tc>
        <w:tc>
          <w:tcPr>
            <w:tcW w:w="1164" w:type="pct"/>
            <w:tcBorders>
              <w:top w:val="nil"/>
              <w:left w:val="nil"/>
              <w:bottom w:val="single" w:sz="4" w:space="0" w:color="000000"/>
              <w:right w:val="single" w:sz="4" w:space="0" w:color="000000"/>
            </w:tcBorders>
            <w:shd w:val="clear" w:color="FFFFFF" w:fill="FFFFFF"/>
            <w:hideMark/>
          </w:tcPr>
          <w:p w14:paraId="71B01293"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A03 - Porcentaje de personas capacitadas en materia de Protección de Datos Personales</w:t>
            </w:r>
          </w:p>
        </w:tc>
        <w:tc>
          <w:tcPr>
            <w:tcW w:w="1164" w:type="pct"/>
            <w:tcBorders>
              <w:top w:val="single" w:sz="4" w:space="0" w:color="000000"/>
              <w:left w:val="nil"/>
              <w:bottom w:val="single" w:sz="4" w:space="0" w:color="000000"/>
              <w:right w:val="single" w:sz="4" w:space="0" w:color="000000"/>
            </w:tcBorders>
            <w:shd w:val="clear" w:color="FFFFFF" w:fill="FFFFFF"/>
            <w:hideMark/>
          </w:tcPr>
          <w:p w14:paraId="0AC57B0E"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acciones de capacitación</w:t>
            </w:r>
          </w:p>
        </w:tc>
        <w:tc>
          <w:tcPr>
            <w:tcW w:w="1158" w:type="pct"/>
            <w:tcBorders>
              <w:top w:val="single" w:sz="4" w:space="0" w:color="000000"/>
              <w:left w:val="nil"/>
              <w:bottom w:val="single" w:sz="4" w:space="0" w:color="000000"/>
              <w:right w:val="single" w:sz="4" w:space="0" w:color="000000"/>
            </w:tcBorders>
            <w:shd w:val="clear" w:color="FFFFFF" w:fill="FFFFFF"/>
            <w:hideMark/>
          </w:tcPr>
          <w:p w14:paraId="550E800E" w14:textId="7B344C3F"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Los sujetos obligados, sector educativo y sociedad en general conocen y fortalecen el </w:t>
            </w:r>
            <w:r w:rsidR="00013197" w:rsidRPr="00614058">
              <w:rPr>
                <w:rFonts w:ascii="Arial" w:eastAsia="Times New Roman" w:hAnsi="Arial" w:cs="Arial"/>
                <w:color w:val="000000"/>
                <w:sz w:val="14"/>
                <w:szCs w:val="14"/>
                <w:lang w:val="es-MX" w:eastAsia="es-MX"/>
              </w:rPr>
              <w:t>cómo</w:t>
            </w:r>
            <w:r w:rsidRPr="00614058">
              <w:rPr>
                <w:rFonts w:ascii="Arial" w:eastAsia="Times New Roman" w:hAnsi="Arial" w:cs="Arial"/>
                <w:color w:val="000000"/>
                <w:sz w:val="14"/>
                <w:szCs w:val="14"/>
                <w:lang w:val="es-MX" w:eastAsia="es-MX"/>
              </w:rPr>
              <w:t xml:space="preserve"> poder proteger sus datos personales.</w:t>
            </w:r>
          </w:p>
        </w:tc>
      </w:tr>
      <w:tr w:rsidR="00614058" w:rsidRPr="00614058" w14:paraId="3BEE479B" w14:textId="77777777" w:rsidTr="00614058">
        <w:trPr>
          <w:trHeight w:val="675"/>
        </w:trPr>
        <w:tc>
          <w:tcPr>
            <w:tcW w:w="349" w:type="pct"/>
            <w:tcBorders>
              <w:top w:val="nil"/>
              <w:left w:val="single" w:sz="4" w:space="0" w:color="000000"/>
              <w:bottom w:val="single" w:sz="4" w:space="0" w:color="000000"/>
              <w:right w:val="single" w:sz="4" w:space="0" w:color="000000"/>
            </w:tcBorders>
            <w:shd w:val="clear" w:color="FFFFFF" w:fill="FFFFFF"/>
            <w:hideMark/>
          </w:tcPr>
          <w:p w14:paraId="285DB26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2D90F194"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C02.A04 - Promoción y difusión en medios de comunicación y ciudadanía en general sobre el derecho de la protección de los datos personales.</w:t>
            </w:r>
          </w:p>
        </w:tc>
        <w:tc>
          <w:tcPr>
            <w:tcW w:w="1164" w:type="pct"/>
            <w:tcBorders>
              <w:top w:val="nil"/>
              <w:left w:val="nil"/>
              <w:bottom w:val="single" w:sz="4" w:space="0" w:color="000000"/>
              <w:right w:val="single" w:sz="4" w:space="0" w:color="000000"/>
            </w:tcBorders>
            <w:shd w:val="clear" w:color="FFFFFF" w:fill="FFFFFF"/>
            <w:hideMark/>
          </w:tcPr>
          <w:p w14:paraId="2C90996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A04 - Porcentaje de boletines de comunicación realizados </w:t>
            </w:r>
          </w:p>
        </w:tc>
        <w:tc>
          <w:tcPr>
            <w:tcW w:w="1164" w:type="pct"/>
            <w:tcBorders>
              <w:top w:val="single" w:sz="4" w:space="0" w:color="000000"/>
              <w:left w:val="nil"/>
              <w:bottom w:val="single" w:sz="4" w:space="0" w:color="000000"/>
              <w:right w:val="single" w:sz="4" w:space="0" w:color="000000"/>
            </w:tcBorders>
            <w:shd w:val="clear" w:color="FFFFFF" w:fill="FFFFFF"/>
            <w:hideMark/>
          </w:tcPr>
          <w:p w14:paraId="4259C7B4"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Reporte de comunicados de prensa </w:t>
            </w:r>
          </w:p>
        </w:tc>
        <w:tc>
          <w:tcPr>
            <w:tcW w:w="1158" w:type="pct"/>
            <w:tcBorders>
              <w:top w:val="single" w:sz="4" w:space="0" w:color="000000"/>
              <w:left w:val="nil"/>
              <w:bottom w:val="single" w:sz="4" w:space="0" w:color="000000"/>
              <w:right w:val="single" w:sz="4" w:space="0" w:color="000000"/>
            </w:tcBorders>
            <w:shd w:val="clear" w:color="FFFFFF" w:fill="FFFFFF"/>
            <w:hideMark/>
          </w:tcPr>
          <w:p w14:paraId="094F2294"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La ciudadanía se interesa y conoce como proteger sus datos personales.</w:t>
            </w:r>
          </w:p>
        </w:tc>
      </w:tr>
    </w:tbl>
    <w:p w14:paraId="6888A440" w14:textId="7EB9F848" w:rsidR="00D22FFD" w:rsidRDefault="00AD49BF" w:rsidP="00C2741A">
      <w:pPr>
        <w:rPr>
          <w:rFonts w:eastAsia="Calibri" w:cs="Arial"/>
          <w:bCs/>
          <w:sz w:val="18"/>
          <w:szCs w:val="20"/>
        </w:rPr>
      </w:pPr>
      <w:r w:rsidRPr="00653334">
        <w:rPr>
          <w:rFonts w:ascii="Calibri" w:eastAsia="Calibri" w:hAnsi="Calibri" w:cs="Times New Roman"/>
          <w:noProof/>
          <w:sz w:val="16"/>
          <w:szCs w:val="16"/>
          <w:lang w:val="es-MX" w:eastAsia="es-MX"/>
        </w:rPr>
        <mc:AlternateContent>
          <mc:Choice Requires="wps">
            <w:drawing>
              <wp:anchor distT="45720" distB="45720" distL="114300" distR="114300" simplePos="0" relativeHeight="251665408" behindDoc="0" locked="0" layoutInCell="1" allowOverlap="1" wp14:anchorId="0023ED57" wp14:editId="2ED0185E">
                <wp:simplePos x="0" y="0"/>
                <wp:positionH relativeFrom="page">
                  <wp:align>center</wp:align>
                </wp:positionH>
                <wp:positionV relativeFrom="paragraph">
                  <wp:posOffset>3241675</wp:posOffset>
                </wp:positionV>
                <wp:extent cx="5913120" cy="780288"/>
                <wp:effectExtent l="0" t="0" r="0" b="127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780288"/>
                        </a:xfrm>
                        <a:prstGeom prst="rect">
                          <a:avLst/>
                        </a:prstGeom>
                        <a:solidFill>
                          <a:srgbClr val="FFFFFF"/>
                        </a:solidFill>
                        <a:ln w="9525">
                          <a:noFill/>
                          <a:miter lim="800000"/>
                          <a:headEnd/>
                          <a:tailEnd/>
                        </a:ln>
                      </wps:spPr>
                      <wps:txbx>
                        <w:txbxContent>
                          <w:p w14:paraId="17F9F4FC" w14:textId="77777777" w:rsidR="00A759AA" w:rsidRPr="00802396" w:rsidRDefault="00A759AA" w:rsidP="00AD49BF">
                            <w:pPr>
                              <w:spacing w:after="160" w:line="259" w:lineRule="auto"/>
                              <w:rPr>
                                <w:rFonts w:ascii="Calibri" w:eastAsia="Calibri" w:hAnsi="Calibri" w:cs="Times New Roman"/>
                                <w:sz w:val="14"/>
                                <w:szCs w:val="14"/>
                                <w:lang w:val="es-MX" w:eastAsia="en-US"/>
                              </w:rPr>
                            </w:pPr>
                            <w:r w:rsidRPr="00802396">
                              <w:rPr>
                                <w:rFonts w:ascii="Calibri" w:eastAsia="Calibri" w:hAnsi="Calibri" w:cs="Times New Roman"/>
                                <w:sz w:val="14"/>
                                <w:szCs w:val="14"/>
                                <w:lang w:val="es-MX" w:eastAsia="en-US"/>
                              </w:rPr>
                              <w:t>¨El anexo aquí presentado es perfectible, y se encuentra susceptible de modificaciones programáticas toda vez así se le indique por observaciones de auditorías,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6B381EFE" w14:textId="77777777" w:rsidR="00A759AA" w:rsidRDefault="00A759AA" w:rsidP="00AD49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23ED57" id="_x0000_s1030" type="#_x0000_t202" style="position:absolute;left:0;text-align:left;margin-left:0;margin-top:255.25pt;width:465.6pt;height:61.45pt;z-index:2516654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" stroked="f">
                <v:textbox>
                  <w:txbxContent>
                    <w:p w14:paraId="17F9F4FC" w14:textId="77777777" w:rsidR="00A759AA" w:rsidRPr="00802396" w:rsidRDefault="00A759AA" w:rsidP="00AD49BF">
                      <w:pPr>
                        <w:spacing w:after="160" w:line="259" w:lineRule="auto"/>
                        <w:rPr>
                          <w:rFonts w:ascii="Calibri" w:eastAsia="Calibri" w:hAnsi="Calibri" w:cs="Times New Roman"/>
                          <w:sz w:val="14"/>
                          <w:szCs w:val="14"/>
                          <w:lang w:val="es-MX" w:eastAsia="en-US"/>
                        </w:rPr>
                      </w:pPr>
                      <w:r w:rsidRPr="00802396">
                        <w:rPr>
                          <w:rFonts w:ascii="Calibri" w:eastAsia="Calibri" w:hAnsi="Calibri" w:cs="Times New Roman"/>
                          <w:sz w:val="14"/>
                          <w:szCs w:val="14"/>
                          <w:lang w:val="es-MX" w:eastAsia="en-US"/>
                        </w:rPr>
                        <w:t>¨El anexo aquí presentado es perfectible, y se encuentra susceptible de modificaciones programáticas toda vez así se le indique por observaciones de auditorías,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6B381EFE" w14:textId="77777777" w:rsidR="00A759AA" w:rsidRDefault="00A759AA" w:rsidP="00AD49BF"/>
                  </w:txbxContent>
                </v:textbox>
                <w10:wrap anchorx="page"/>
              </v:shape>
            </w:pict>
          </mc:Fallback>
        </mc:AlternateContent>
      </w:r>
    </w:p>
    <w:tbl>
      <w:tblPr>
        <w:tblW w:w="5000" w:type="pct"/>
        <w:tblCellMar>
          <w:left w:w="70" w:type="dxa"/>
          <w:right w:w="70" w:type="dxa"/>
        </w:tblCellMar>
        <w:tblLook w:val="04A0" w:firstRow="1" w:lastRow="0" w:firstColumn="1" w:lastColumn="0" w:noHBand="0" w:noVBand="1"/>
      </w:tblPr>
      <w:tblGrid>
        <w:gridCol w:w="1292"/>
        <w:gridCol w:w="862"/>
        <w:gridCol w:w="215"/>
        <w:gridCol w:w="357"/>
        <w:gridCol w:w="309"/>
        <w:gridCol w:w="1850"/>
        <w:gridCol w:w="302"/>
        <w:gridCol w:w="960"/>
        <w:gridCol w:w="1016"/>
        <w:gridCol w:w="192"/>
        <w:gridCol w:w="191"/>
        <w:gridCol w:w="1020"/>
        <w:gridCol w:w="1121"/>
      </w:tblGrid>
      <w:tr w:rsidR="00614058" w:rsidRPr="00614058" w14:paraId="79FD67C1" w14:textId="77777777" w:rsidTr="00614058">
        <w:trPr>
          <w:trHeight w:val="285"/>
        </w:trPr>
        <w:tc>
          <w:tcPr>
            <w:tcW w:w="5000" w:type="pct"/>
            <w:gridSpan w:val="13"/>
            <w:tcBorders>
              <w:top w:val="single" w:sz="4" w:space="0" w:color="000000"/>
              <w:left w:val="single" w:sz="4" w:space="0" w:color="000000"/>
              <w:bottom w:val="single" w:sz="4" w:space="0" w:color="000000"/>
              <w:right w:val="single" w:sz="4" w:space="0" w:color="000000"/>
            </w:tcBorders>
            <w:shd w:val="clear" w:color="189CC1" w:fill="189CC1"/>
            <w:hideMark/>
          </w:tcPr>
          <w:p w14:paraId="51BDD0BB" w14:textId="77777777" w:rsidR="00614058" w:rsidRPr="00614058" w:rsidRDefault="00614058" w:rsidP="00614058">
            <w:pPr>
              <w:spacing w:after="0" w:line="240" w:lineRule="auto"/>
              <w:jc w:val="center"/>
              <w:rPr>
                <w:rFonts w:ascii="Arial" w:eastAsia="Times New Roman" w:hAnsi="Arial" w:cs="Arial"/>
                <w:b/>
                <w:bCs/>
                <w:color w:val="FFFFFF"/>
                <w:sz w:val="14"/>
                <w:szCs w:val="14"/>
                <w:lang w:val="es-MX" w:eastAsia="es-MX"/>
              </w:rPr>
            </w:pPr>
            <w:r w:rsidRPr="00614058">
              <w:rPr>
                <w:rFonts w:ascii="Arial" w:eastAsia="Times New Roman" w:hAnsi="Arial" w:cs="Arial"/>
                <w:b/>
                <w:bCs/>
                <w:color w:val="FFFFFF"/>
                <w:sz w:val="14"/>
                <w:szCs w:val="14"/>
                <w:lang w:val="es-MX" w:eastAsia="es-MX"/>
              </w:rPr>
              <w:t>Programa Presupuestario</w:t>
            </w:r>
          </w:p>
        </w:tc>
      </w:tr>
      <w:tr w:rsidR="00614058" w:rsidRPr="00614058" w14:paraId="6A343085" w14:textId="77777777" w:rsidTr="00614058">
        <w:trPr>
          <w:trHeight w:val="300"/>
        </w:trPr>
        <w:tc>
          <w:tcPr>
            <w:tcW w:w="688" w:type="pct"/>
            <w:tcBorders>
              <w:top w:val="nil"/>
              <w:left w:val="single" w:sz="4" w:space="0" w:color="000000"/>
              <w:bottom w:val="single" w:sz="4" w:space="0" w:color="000000"/>
              <w:right w:val="single" w:sz="4" w:space="0" w:color="000000"/>
            </w:tcBorders>
            <w:shd w:val="clear" w:color="A0D8DB" w:fill="A0D8DB"/>
            <w:hideMark/>
          </w:tcPr>
          <w:p w14:paraId="09823E71" w14:textId="77777777" w:rsidR="00614058" w:rsidRPr="00614058" w:rsidRDefault="00614058" w:rsidP="00614058">
            <w:pPr>
              <w:spacing w:after="0" w:line="240" w:lineRule="auto"/>
              <w:jc w:val="left"/>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Programa Presupuestario:</w:t>
            </w:r>
          </w:p>
        </w:tc>
        <w:tc>
          <w:tcPr>
            <w:tcW w:w="1790" w:type="pct"/>
            <w:gridSpan w:val="5"/>
            <w:tcBorders>
              <w:top w:val="single" w:sz="4" w:space="0" w:color="000000"/>
              <w:left w:val="nil"/>
              <w:bottom w:val="single" w:sz="4" w:space="0" w:color="000000"/>
              <w:right w:val="single" w:sz="4" w:space="0" w:color="000000"/>
            </w:tcBorders>
            <w:shd w:val="clear" w:color="FFFFFF" w:fill="FFFFFF"/>
            <w:hideMark/>
          </w:tcPr>
          <w:p w14:paraId="64A23B1B"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M001 - Gestión y Apoyo Institucional</w:t>
            </w:r>
          </w:p>
        </w:tc>
        <w:tc>
          <w:tcPr>
            <w:tcW w:w="693" w:type="pct"/>
            <w:gridSpan w:val="2"/>
            <w:tcBorders>
              <w:top w:val="single" w:sz="4" w:space="0" w:color="000000"/>
              <w:left w:val="nil"/>
              <w:bottom w:val="single" w:sz="4" w:space="0" w:color="000000"/>
              <w:right w:val="single" w:sz="4" w:space="0" w:color="000000"/>
            </w:tcBorders>
            <w:shd w:val="clear" w:color="A0D8DB" w:fill="A0D8DB"/>
            <w:hideMark/>
          </w:tcPr>
          <w:p w14:paraId="3EC274A4" w14:textId="77777777" w:rsidR="00614058" w:rsidRPr="00614058" w:rsidRDefault="00614058" w:rsidP="00614058">
            <w:pPr>
              <w:spacing w:after="0" w:line="240" w:lineRule="auto"/>
              <w:jc w:val="left"/>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Unidad Responsable:</w:t>
            </w:r>
          </w:p>
        </w:tc>
        <w:tc>
          <w:tcPr>
            <w:tcW w:w="1830" w:type="pct"/>
            <w:gridSpan w:val="5"/>
            <w:tcBorders>
              <w:top w:val="single" w:sz="4" w:space="0" w:color="000000"/>
              <w:left w:val="nil"/>
              <w:bottom w:val="single" w:sz="4" w:space="0" w:color="000000"/>
              <w:right w:val="single" w:sz="4" w:space="0" w:color="000000"/>
            </w:tcBorders>
            <w:shd w:val="clear" w:color="FFFFFF" w:fill="FFFFFF"/>
            <w:hideMark/>
          </w:tcPr>
          <w:p w14:paraId="45019EC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4104-1101 - Comisionado Presidente</w:t>
            </w:r>
          </w:p>
        </w:tc>
      </w:tr>
      <w:tr w:rsidR="00614058" w:rsidRPr="00614058" w14:paraId="1BED6A74" w14:textId="77777777" w:rsidTr="00614058">
        <w:trPr>
          <w:trHeight w:val="143"/>
        </w:trPr>
        <w:tc>
          <w:tcPr>
            <w:tcW w:w="688" w:type="pct"/>
            <w:tcBorders>
              <w:top w:val="nil"/>
              <w:left w:val="nil"/>
              <w:bottom w:val="nil"/>
              <w:right w:val="nil"/>
            </w:tcBorders>
            <w:shd w:val="clear" w:color="FFFFFF" w:fill="FFFFFF"/>
            <w:hideMark/>
          </w:tcPr>
          <w:p w14:paraId="6F36596C"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466" w:type="pct"/>
            <w:tcBorders>
              <w:top w:val="nil"/>
              <w:left w:val="nil"/>
              <w:bottom w:val="nil"/>
              <w:right w:val="nil"/>
            </w:tcBorders>
            <w:shd w:val="clear" w:color="FFFFFF" w:fill="FFFFFF"/>
            <w:hideMark/>
          </w:tcPr>
          <w:p w14:paraId="13116EC9"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5" w:type="pct"/>
            <w:tcBorders>
              <w:top w:val="nil"/>
              <w:left w:val="nil"/>
              <w:bottom w:val="nil"/>
              <w:right w:val="nil"/>
            </w:tcBorders>
            <w:shd w:val="clear" w:color="FFFFFF" w:fill="FFFFFF"/>
            <w:hideMark/>
          </w:tcPr>
          <w:p w14:paraId="1ED3D3E3"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41" w:type="pct"/>
            <w:tcBorders>
              <w:top w:val="nil"/>
              <w:left w:val="nil"/>
              <w:bottom w:val="nil"/>
              <w:right w:val="nil"/>
            </w:tcBorders>
            <w:shd w:val="clear" w:color="FFFFFF" w:fill="FFFFFF"/>
            <w:hideMark/>
          </w:tcPr>
          <w:p w14:paraId="3F746E27"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22" w:type="pct"/>
            <w:tcBorders>
              <w:top w:val="nil"/>
              <w:left w:val="nil"/>
              <w:bottom w:val="nil"/>
              <w:right w:val="nil"/>
            </w:tcBorders>
            <w:shd w:val="clear" w:color="FFFFFF" w:fill="FFFFFF"/>
            <w:hideMark/>
          </w:tcPr>
          <w:p w14:paraId="70B29AF8"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975" w:type="pct"/>
            <w:tcBorders>
              <w:top w:val="nil"/>
              <w:left w:val="nil"/>
              <w:bottom w:val="nil"/>
              <w:right w:val="nil"/>
            </w:tcBorders>
            <w:shd w:val="clear" w:color="FFFFFF" w:fill="FFFFFF"/>
            <w:hideMark/>
          </w:tcPr>
          <w:p w14:paraId="0EEFFCE8"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77" w:type="pct"/>
            <w:tcBorders>
              <w:top w:val="nil"/>
              <w:left w:val="nil"/>
              <w:bottom w:val="nil"/>
              <w:right w:val="nil"/>
            </w:tcBorders>
            <w:shd w:val="clear" w:color="FFFFFF" w:fill="FFFFFF"/>
            <w:hideMark/>
          </w:tcPr>
          <w:p w14:paraId="27C5F778"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16" w:type="pct"/>
            <w:tcBorders>
              <w:top w:val="nil"/>
              <w:left w:val="nil"/>
              <w:bottom w:val="nil"/>
              <w:right w:val="nil"/>
            </w:tcBorders>
            <w:shd w:val="clear" w:color="FFFFFF" w:fill="FFFFFF"/>
            <w:hideMark/>
          </w:tcPr>
          <w:p w14:paraId="70B3905B"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5" w:type="pct"/>
            <w:tcBorders>
              <w:top w:val="nil"/>
              <w:left w:val="nil"/>
              <w:bottom w:val="nil"/>
              <w:right w:val="nil"/>
            </w:tcBorders>
            <w:shd w:val="clear" w:color="FFFFFF" w:fill="FFFFFF"/>
            <w:hideMark/>
          </w:tcPr>
          <w:p w14:paraId="33B5E420"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0" w:type="pct"/>
            <w:tcBorders>
              <w:top w:val="nil"/>
              <w:left w:val="nil"/>
              <w:bottom w:val="nil"/>
              <w:right w:val="nil"/>
            </w:tcBorders>
            <w:shd w:val="clear" w:color="FFFFFF" w:fill="FFFFFF"/>
            <w:hideMark/>
          </w:tcPr>
          <w:p w14:paraId="63FD7D35"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8" w:type="pct"/>
            <w:tcBorders>
              <w:top w:val="nil"/>
              <w:left w:val="nil"/>
              <w:bottom w:val="nil"/>
              <w:right w:val="nil"/>
            </w:tcBorders>
            <w:shd w:val="clear" w:color="FFFFFF" w:fill="FFFFFF"/>
            <w:hideMark/>
          </w:tcPr>
          <w:p w14:paraId="0EB95570"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7" w:type="pct"/>
            <w:tcBorders>
              <w:top w:val="nil"/>
              <w:left w:val="nil"/>
              <w:bottom w:val="nil"/>
              <w:right w:val="nil"/>
            </w:tcBorders>
            <w:shd w:val="clear" w:color="FFFFFF" w:fill="FFFFFF"/>
            <w:hideMark/>
          </w:tcPr>
          <w:p w14:paraId="770F74D6"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600" w:type="pct"/>
            <w:tcBorders>
              <w:top w:val="nil"/>
              <w:left w:val="nil"/>
              <w:bottom w:val="nil"/>
              <w:right w:val="nil"/>
            </w:tcBorders>
            <w:shd w:val="clear" w:color="FFFFFF" w:fill="FFFFFF"/>
            <w:hideMark/>
          </w:tcPr>
          <w:p w14:paraId="27023D11"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r>
      <w:tr w:rsidR="00614058" w:rsidRPr="00614058" w14:paraId="37B1F05F" w14:textId="77777777" w:rsidTr="00614058">
        <w:trPr>
          <w:trHeight w:val="282"/>
        </w:trPr>
        <w:tc>
          <w:tcPr>
            <w:tcW w:w="5000" w:type="pct"/>
            <w:gridSpan w:val="13"/>
            <w:tcBorders>
              <w:top w:val="single" w:sz="4" w:space="0" w:color="000000"/>
              <w:left w:val="single" w:sz="4" w:space="0" w:color="000000"/>
              <w:bottom w:val="single" w:sz="4" w:space="0" w:color="000000"/>
              <w:right w:val="single" w:sz="4" w:space="0" w:color="000000"/>
            </w:tcBorders>
            <w:shd w:val="clear" w:color="189CC1" w:fill="189CC1"/>
            <w:hideMark/>
          </w:tcPr>
          <w:p w14:paraId="7E199D3C" w14:textId="77777777" w:rsidR="00614058" w:rsidRPr="00614058" w:rsidRDefault="00614058" w:rsidP="00614058">
            <w:pPr>
              <w:spacing w:after="0" w:line="240" w:lineRule="auto"/>
              <w:jc w:val="center"/>
              <w:rPr>
                <w:rFonts w:ascii="Arial" w:eastAsia="Times New Roman" w:hAnsi="Arial" w:cs="Arial"/>
                <w:b/>
                <w:bCs/>
                <w:color w:val="FFFFFF"/>
                <w:sz w:val="14"/>
                <w:szCs w:val="14"/>
                <w:lang w:val="es-MX" w:eastAsia="es-MX"/>
              </w:rPr>
            </w:pPr>
            <w:r w:rsidRPr="00614058">
              <w:rPr>
                <w:rFonts w:ascii="Arial" w:eastAsia="Times New Roman" w:hAnsi="Arial" w:cs="Arial"/>
                <w:b/>
                <w:bCs/>
                <w:color w:val="FFFFFF"/>
                <w:sz w:val="14"/>
                <w:szCs w:val="14"/>
                <w:lang w:val="es-MX" w:eastAsia="es-MX"/>
              </w:rPr>
              <w:lastRenderedPageBreak/>
              <w:t>Alineación al Plan Estatal de Desarrollo (P.E.D.)</w:t>
            </w:r>
          </w:p>
        </w:tc>
      </w:tr>
      <w:tr w:rsidR="00614058" w:rsidRPr="00614058" w14:paraId="0A4E59A2" w14:textId="77777777" w:rsidTr="00614058">
        <w:trPr>
          <w:trHeight w:val="285"/>
        </w:trPr>
        <w:tc>
          <w:tcPr>
            <w:tcW w:w="1239" w:type="pct"/>
            <w:gridSpan w:val="3"/>
            <w:tcBorders>
              <w:top w:val="single" w:sz="4" w:space="0" w:color="000000"/>
              <w:left w:val="single" w:sz="4" w:space="0" w:color="000000"/>
              <w:bottom w:val="single" w:sz="4" w:space="0" w:color="000000"/>
              <w:right w:val="single" w:sz="4" w:space="0" w:color="000000"/>
            </w:tcBorders>
            <w:shd w:val="clear" w:color="A0D8DB" w:fill="A0D8DB"/>
            <w:hideMark/>
          </w:tcPr>
          <w:p w14:paraId="405F43CE"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Eje</w:t>
            </w:r>
          </w:p>
        </w:tc>
        <w:tc>
          <w:tcPr>
            <w:tcW w:w="1238" w:type="pct"/>
            <w:gridSpan w:val="3"/>
            <w:tcBorders>
              <w:top w:val="single" w:sz="4" w:space="0" w:color="000000"/>
              <w:left w:val="nil"/>
              <w:bottom w:val="single" w:sz="4" w:space="0" w:color="000000"/>
              <w:right w:val="single" w:sz="4" w:space="0" w:color="000000"/>
            </w:tcBorders>
            <w:shd w:val="clear" w:color="A0D8DB" w:fill="A0D8DB"/>
            <w:hideMark/>
          </w:tcPr>
          <w:p w14:paraId="21B900C4"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Programa del P.E.D.</w:t>
            </w:r>
          </w:p>
        </w:tc>
        <w:tc>
          <w:tcPr>
            <w:tcW w:w="1238" w:type="pct"/>
            <w:gridSpan w:val="3"/>
            <w:tcBorders>
              <w:top w:val="single" w:sz="4" w:space="0" w:color="000000"/>
              <w:left w:val="nil"/>
              <w:bottom w:val="single" w:sz="4" w:space="0" w:color="000000"/>
              <w:right w:val="single" w:sz="4" w:space="0" w:color="000000"/>
            </w:tcBorders>
            <w:shd w:val="clear" w:color="A0D8DB" w:fill="A0D8DB"/>
            <w:hideMark/>
          </w:tcPr>
          <w:p w14:paraId="515F2B41"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Objetivo</w:t>
            </w:r>
          </w:p>
        </w:tc>
        <w:tc>
          <w:tcPr>
            <w:tcW w:w="1285" w:type="pct"/>
            <w:gridSpan w:val="4"/>
            <w:tcBorders>
              <w:top w:val="single" w:sz="4" w:space="0" w:color="000000"/>
              <w:left w:val="nil"/>
              <w:bottom w:val="single" w:sz="4" w:space="0" w:color="000000"/>
              <w:right w:val="single" w:sz="4" w:space="0" w:color="000000"/>
            </w:tcBorders>
            <w:shd w:val="clear" w:color="A0D8DB" w:fill="A0D8DB"/>
            <w:hideMark/>
          </w:tcPr>
          <w:p w14:paraId="4B0B4477"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Estrategia</w:t>
            </w:r>
          </w:p>
        </w:tc>
      </w:tr>
      <w:tr w:rsidR="00614058" w:rsidRPr="00614058" w14:paraId="2CDC6059" w14:textId="77777777" w:rsidTr="00614058">
        <w:trPr>
          <w:trHeight w:val="282"/>
        </w:trPr>
        <w:tc>
          <w:tcPr>
            <w:tcW w:w="1239" w:type="pct"/>
            <w:gridSpan w:val="3"/>
            <w:tcBorders>
              <w:top w:val="single" w:sz="4" w:space="0" w:color="000000"/>
              <w:left w:val="single" w:sz="4" w:space="0" w:color="000000"/>
              <w:bottom w:val="single" w:sz="4" w:space="0" w:color="000000"/>
              <w:right w:val="single" w:sz="4" w:space="0" w:color="000000"/>
            </w:tcBorders>
            <w:shd w:val="clear" w:color="FFFFFF" w:fill="FFFFFF"/>
            <w:hideMark/>
          </w:tcPr>
          <w:p w14:paraId="7AD14B8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3 - Gobierno Moderno, Confiable y Cercano a la Gente</w:t>
            </w:r>
          </w:p>
        </w:tc>
        <w:tc>
          <w:tcPr>
            <w:tcW w:w="1238" w:type="pct"/>
            <w:gridSpan w:val="3"/>
            <w:tcBorders>
              <w:top w:val="single" w:sz="4" w:space="0" w:color="000000"/>
              <w:left w:val="nil"/>
              <w:bottom w:val="single" w:sz="4" w:space="0" w:color="000000"/>
              <w:right w:val="single" w:sz="4" w:space="0" w:color="000000"/>
            </w:tcBorders>
            <w:shd w:val="clear" w:color="FFFFFF" w:fill="FFFFFF"/>
            <w:hideMark/>
          </w:tcPr>
          <w:p w14:paraId="4A4A81C8"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Gestión y Control Gubernamental.</w:t>
            </w:r>
          </w:p>
        </w:tc>
        <w:tc>
          <w:tcPr>
            <w:tcW w:w="1238" w:type="pct"/>
            <w:gridSpan w:val="3"/>
            <w:tcBorders>
              <w:top w:val="single" w:sz="4" w:space="0" w:color="000000"/>
              <w:left w:val="nil"/>
              <w:bottom w:val="single" w:sz="4" w:space="0" w:color="000000"/>
              <w:right w:val="single" w:sz="4" w:space="0" w:color="000000"/>
            </w:tcBorders>
            <w:shd w:val="clear" w:color="FFFFFF" w:fill="FFFFFF"/>
            <w:hideMark/>
          </w:tcPr>
          <w:p w14:paraId="2761C17B"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3-17 - Impulsar una administración pública ordenada, controlada y transparente en la obtención de resultados y materialización de sus metas, que garantice la efectiva rendición de cuentas y el combate frontal a la corrupción.</w:t>
            </w:r>
          </w:p>
        </w:tc>
        <w:tc>
          <w:tcPr>
            <w:tcW w:w="1285" w:type="pct"/>
            <w:gridSpan w:val="4"/>
            <w:tcBorders>
              <w:top w:val="single" w:sz="4" w:space="0" w:color="000000"/>
              <w:left w:val="nil"/>
              <w:bottom w:val="single" w:sz="4" w:space="0" w:color="000000"/>
              <w:right w:val="single" w:sz="4" w:space="0" w:color="000000"/>
            </w:tcBorders>
            <w:shd w:val="clear" w:color="FFFFFF" w:fill="FFFFFF"/>
            <w:hideMark/>
          </w:tcPr>
          <w:p w14:paraId="6C484DC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3-17-01 - Desarrollar un programa integral de orden y control sustentando en medios de verificación, que permita obtener la comprobación de avances mesurables y la rendición de cuentas en el cumplimiento de objetivos y metas establecidas en el Plan Estatal de Desarrollo.</w:t>
            </w:r>
          </w:p>
        </w:tc>
      </w:tr>
      <w:tr w:rsidR="00614058" w:rsidRPr="00614058" w14:paraId="1B926F23" w14:textId="77777777" w:rsidTr="00614058">
        <w:trPr>
          <w:trHeight w:val="143"/>
        </w:trPr>
        <w:tc>
          <w:tcPr>
            <w:tcW w:w="688" w:type="pct"/>
            <w:tcBorders>
              <w:top w:val="nil"/>
              <w:left w:val="nil"/>
              <w:bottom w:val="nil"/>
              <w:right w:val="nil"/>
            </w:tcBorders>
            <w:shd w:val="clear" w:color="FFFFFF" w:fill="FFFFFF"/>
            <w:hideMark/>
          </w:tcPr>
          <w:p w14:paraId="1D6911D2"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466" w:type="pct"/>
            <w:tcBorders>
              <w:top w:val="nil"/>
              <w:left w:val="nil"/>
              <w:bottom w:val="nil"/>
              <w:right w:val="nil"/>
            </w:tcBorders>
            <w:shd w:val="clear" w:color="FFFFFF" w:fill="FFFFFF"/>
            <w:hideMark/>
          </w:tcPr>
          <w:p w14:paraId="62DD76CF"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5" w:type="pct"/>
            <w:tcBorders>
              <w:top w:val="nil"/>
              <w:left w:val="nil"/>
              <w:bottom w:val="nil"/>
              <w:right w:val="nil"/>
            </w:tcBorders>
            <w:shd w:val="clear" w:color="FFFFFF" w:fill="FFFFFF"/>
            <w:hideMark/>
          </w:tcPr>
          <w:p w14:paraId="6523D503"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41" w:type="pct"/>
            <w:tcBorders>
              <w:top w:val="nil"/>
              <w:left w:val="nil"/>
              <w:bottom w:val="nil"/>
              <w:right w:val="nil"/>
            </w:tcBorders>
            <w:shd w:val="clear" w:color="FFFFFF" w:fill="FFFFFF"/>
            <w:hideMark/>
          </w:tcPr>
          <w:p w14:paraId="2AAFD0EC"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22" w:type="pct"/>
            <w:tcBorders>
              <w:top w:val="nil"/>
              <w:left w:val="nil"/>
              <w:bottom w:val="nil"/>
              <w:right w:val="nil"/>
            </w:tcBorders>
            <w:shd w:val="clear" w:color="FFFFFF" w:fill="FFFFFF"/>
            <w:hideMark/>
          </w:tcPr>
          <w:p w14:paraId="35EEB8BD"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975" w:type="pct"/>
            <w:tcBorders>
              <w:top w:val="nil"/>
              <w:left w:val="nil"/>
              <w:bottom w:val="nil"/>
              <w:right w:val="nil"/>
            </w:tcBorders>
            <w:shd w:val="clear" w:color="FFFFFF" w:fill="FFFFFF"/>
            <w:hideMark/>
          </w:tcPr>
          <w:p w14:paraId="2231FDAF"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77" w:type="pct"/>
            <w:tcBorders>
              <w:top w:val="nil"/>
              <w:left w:val="nil"/>
              <w:bottom w:val="nil"/>
              <w:right w:val="nil"/>
            </w:tcBorders>
            <w:shd w:val="clear" w:color="FFFFFF" w:fill="FFFFFF"/>
            <w:hideMark/>
          </w:tcPr>
          <w:p w14:paraId="72DDDFF0"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16" w:type="pct"/>
            <w:tcBorders>
              <w:top w:val="nil"/>
              <w:left w:val="nil"/>
              <w:bottom w:val="nil"/>
              <w:right w:val="nil"/>
            </w:tcBorders>
            <w:shd w:val="clear" w:color="FFFFFF" w:fill="FFFFFF"/>
            <w:hideMark/>
          </w:tcPr>
          <w:p w14:paraId="44E4F153"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5" w:type="pct"/>
            <w:tcBorders>
              <w:top w:val="nil"/>
              <w:left w:val="nil"/>
              <w:bottom w:val="nil"/>
              <w:right w:val="nil"/>
            </w:tcBorders>
            <w:shd w:val="clear" w:color="FFFFFF" w:fill="FFFFFF"/>
            <w:hideMark/>
          </w:tcPr>
          <w:p w14:paraId="1E0ACFCD"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0" w:type="pct"/>
            <w:tcBorders>
              <w:top w:val="nil"/>
              <w:left w:val="nil"/>
              <w:bottom w:val="nil"/>
              <w:right w:val="nil"/>
            </w:tcBorders>
            <w:shd w:val="clear" w:color="FFFFFF" w:fill="FFFFFF"/>
            <w:hideMark/>
          </w:tcPr>
          <w:p w14:paraId="1FD2AC5D"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8" w:type="pct"/>
            <w:tcBorders>
              <w:top w:val="nil"/>
              <w:left w:val="nil"/>
              <w:bottom w:val="nil"/>
              <w:right w:val="nil"/>
            </w:tcBorders>
            <w:shd w:val="clear" w:color="FFFFFF" w:fill="FFFFFF"/>
            <w:hideMark/>
          </w:tcPr>
          <w:p w14:paraId="702B2ACC"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7" w:type="pct"/>
            <w:tcBorders>
              <w:top w:val="nil"/>
              <w:left w:val="nil"/>
              <w:bottom w:val="nil"/>
              <w:right w:val="nil"/>
            </w:tcBorders>
            <w:shd w:val="clear" w:color="FFFFFF" w:fill="FFFFFF"/>
            <w:hideMark/>
          </w:tcPr>
          <w:p w14:paraId="4315CB18"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600" w:type="pct"/>
            <w:tcBorders>
              <w:top w:val="nil"/>
              <w:left w:val="nil"/>
              <w:bottom w:val="nil"/>
              <w:right w:val="nil"/>
            </w:tcBorders>
            <w:shd w:val="clear" w:color="FFFFFF" w:fill="FFFFFF"/>
            <w:hideMark/>
          </w:tcPr>
          <w:p w14:paraId="361D42A4"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r>
      <w:tr w:rsidR="00614058" w:rsidRPr="00614058" w14:paraId="304B59A0" w14:textId="77777777" w:rsidTr="00614058">
        <w:trPr>
          <w:trHeight w:val="282"/>
        </w:trPr>
        <w:tc>
          <w:tcPr>
            <w:tcW w:w="5000" w:type="pct"/>
            <w:gridSpan w:val="13"/>
            <w:tcBorders>
              <w:top w:val="single" w:sz="4" w:space="0" w:color="000000"/>
              <w:left w:val="single" w:sz="4" w:space="0" w:color="000000"/>
              <w:bottom w:val="single" w:sz="4" w:space="0" w:color="000000"/>
              <w:right w:val="single" w:sz="4" w:space="0" w:color="000000"/>
            </w:tcBorders>
            <w:shd w:val="clear" w:color="189CC1" w:fill="189CC1"/>
            <w:hideMark/>
          </w:tcPr>
          <w:p w14:paraId="5BBE5839" w14:textId="77777777" w:rsidR="00614058" w:rsidRPr="00614058" w:rsidRDefault="00614058" w:rsidP="00614058">
            <w:pPr>
              <w:spacing w:after="0" w:line="240" w:lineRule="auto"/>
              <w:jc w:val="center"/>
              <w:rPr>
                <w:rFonts w:ascii="Arial" w:eastAsia="Times New Roman" w:hAnsi="Arial" w:cs="Arial"/>
                <w:b/>
                <w:bCs/>
                <w:color w:val="FFFFFF"/>
                <w:sz w:val="14"/>
                <w:szCs w:val="14"/>
                <w:lang w:val="es-MX" w:eastAsia="es-MX"/>
              </w:rPr>
            </w:pPr>
            <w:r w:rsidRPr="00614058">
              <w:rPr>
                <w:rFonts w:ascii="Arial" w:eastAsia="Times New Roman" w:hAnsi="Arial" w:cs="Arial"/>
                <w:b/>
                <w:bCs/>
                <w:color w:val="FFFFFF"/>
                <w:sz w:val="14"/>
                <w:szCs w:val="14"/>
                <w:lang w:val="es-MX" w:eastAsia="es-MX"/>
              </w:rPr>
              <w:t>Alineación al Programa de Desarrollo (P.D.)</w:t>
            </w:r>
          </w:p>
        </w:tc>
      </w:tr>
      <w:tr w:rsidR="00614058" w:rsidRPr="00614058" w14:paraId="02F38BE6" w14:textId="77777777" w:rsidTr="00614058">
        <w:trPr>
          <w:trHeight w:val="285"/>
        </w:trPr>
        <w:tc>
          <w:tcPr>
            <w:tcW w:w="1153" w:type="pct"/>
            <w:gridSpan w:val="2"/>
            <w:tcBorders>
              <w:top w:val="single" w:sz="4" w:space="0" w:color="000000"/>
              <w:left w:val="single" w:sz="4" w:space="0" w:color="000000"/>
              <w:bottom w:val="single" w:sz="4" w:space="0" w:color="000000"/>
              <w:right w:val="single" w:sz="4" w:space="0" w:color="000000"/>
            </w:tcBorders>
            <w:shd w:val="clear" w:color="A0D8DB" w:fill="A0D8DB"/>
            <w:hideMark/>
          </w:tcPr>
          <w:p w14:paraId="55BA1D93"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Programa de Desarrollo</w:t>
            </w:r>
          </w:p>
        </w:tc>
        <w:tc>
          <w:tcPr>
            <w:tcW w:w="348" w:type="pct"/>
            <w:gridSpan w:val="3"/>
            <w:tcBorders>
              <w:top w:val="single" w:sz="4" w:space="0" w:color="000000"/>
              <w:left w:val="nil"/>
              <w:bottom w:val="single" w:sz="4" w:space="0" w:color="000000"/>
              <w:right w:val="single" w:sz="4" w:space="0" w:color="000000"/>
            </w:tcBorders>
            <w:shd w:val="clear" w:color="A0D8DB" w:fill="A0D8DB"/>
            <w:hideMark/>
          </w:tcPr>
          <w:p w14:paraId="600D710F"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Tipo de P.D.</w:t>
            </w:r>
          </w:p>
        </w:tc>
        <w:tc>
          <w:tcPr>
            <w:tcW w:w="1153" w:type="pct"/>
            <w:gridSpan w:val="2"/>
            <w:tcBorders>
              <w:top w:val="single" w:sz="4" w:space="0" w:color="000000"/>
              <w:left w:val="nil"/>
              <w:bottom w:val="single" w:sz="4" w:space="0" w:color="000000"/>
              <w:right w:val="single" w:sz="4" w:space="0" w:color="000000"/>
            </w:tcBorders>
            <w:shd w:val="clear" w:color="A0D8DB" w:fill="A0D8DB"/>
            <w:hideMark/>
          </w:tcPr>
          <w:p w14:paraId="7EB7326C"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Tema</w:t>
            </w:r>
          </w:p>
        </w:tc>
        <w:tc>
          <w:tcPr>
            <w:tcW w:w="1199" w:type="pct"/>
            <w:gridSpan w:val="4"/>
            <w:tcBorders>
              <w:top w:val="single" w:sz="4" w:space="0" w:color="000000"/>
              <w:left w:val="nil"/>
              <w:bottom w:val="single" w:sz="4" w:space="0" w:color="000000"/>
              <w:right w:val="single" w:sz="4" w:space="0" w:color="000000"/>
            </w:tcBorders>
            <w:shd w:val="clear" w:color="A0D8DB" w:fill="A0D8DB"/>
            <w:hideMark/>
          </w:tcPr>
          <w:p w14:paraId="5516619A"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Objetivo</w:t>
            </w:r>
          </w:p>
        </w:tc>
        <w:tc>
          <w:tcPr>
            <w:tcW w:w="1147" w:type="pct"/>
            <w:gridSpan w:val="2"/>
            <w:tcBorders>
              <w:top w:val="single" w:sz="4" w:space="0" w:color="000000"/>
              <w:left w:val="nil"/>
              <w:bottom w:val="single" w:sz="4" w:space="0" w:color="000000"/>
              <w:right w:val="single" w:sz="4" w:space="0" w:color="000000"/>
            </w:tcBorders>
            <w:shd w:val="clear" w:color="A0D8DB" w:fill="A0D8DB"/>
            <w:hideMark/>
          </w:tcPr>
          <w:p w14:paraId="56AB4143"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Estrategia</w:t>
            </w:r>
          </w:p>
        </w:tc>
      </w:tr>
      <w:tr w:rsidR="00614058" w:rsidRPr="00614058" w14:paraId="48918A13" w14:textId="77777777" w:rsidTr="00614058">
        <w:trPr>
          <w:trHeight w:val="282"/>
        </w:trPr>
        <w:tc>
          <w:tcPr>
            <w:tcW w:w="1153" w:type="pct"/>
            <w:gridSpan w:val="2"/>
            <w:tcBorders>
              <w:top w:val="single" w:sz="4" w:space="0" w:color="000000"/>
              <w:left w:val="single" w:sz="4" w:space="0" w:color="000000"/>
              <w:bottom w:val="single" w:sz="4" w:space="0" w:color="000000"/>
              <w:right w:val="single" w:sz="4" w:space="0" w:color="000000"/>
            </w:tcBorders>
            <w:shd w:val="clear" w:color="FFFFFF" w:fill="FFFFFF"/>
            <w:hideMark/>
          </w:tcPr>
          <w:p w14:paraId="544AA0E3"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24 - Programa Institucional de Promoción, Fomento y Garantía del Derecho de Acceso a la Información Pública y la Protección de Datos Personales en el Estado de Quintana Roo</w:t>
            </w:r>
          </w:p>
        </w:tc>
        <w:tc>
          <w:tcPr>
            <w:tcW w:w="348" w:type="pct"/>
            <w:gridSpan w:val="3"/>
            <w:tcBorders>
              <w:top w:val="single" w:sz="4" w:space="0" w:color="000000"/>
              <w:left w:val="nil"/>
              <w:bottom w:val="single" w:sz="4" w:space="0" w:color="000000"/>
              <w:right w:val="single" w:sz="4" w:space="0" w:color="000000"/>
            </w:tcBorders>
            <w:shd w:val="clear" w:color="FFFFFF" w:fill="FFFFFF"/>
            <w:hideMark/>
          </w:tcPr>
          <w:p w14:paraId="4E0B165C"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Institucional</w:t>
            </w:r>
          </w:p>
        </w:tc>
        <w:tc>
          <w:tcPr>
            <w:tcW w:w="1153" w:type="pct"/>
            <w:gridSpan w:val="2"/>
            <w:tcBorders>
              <w:top w:val="single" w:sz="4" w:space="0" w:color="000000"/>
              <w:left w:val="nil"/>
              <w:bottom w:val="single" w:sz="4" w:space="0" w:color="000000"/>
              <w:right w:val="single" w:sz="4" w:space="0" w:color="000000"/>
            </w:tcBorders>
            <w:shd w:val="clear" w:color="FFFFFF" w:fill="FFFFFF"/>
            <w:hideMark/>
          </w:tcPr>
          <w:p w14:paraId="1A659580"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Acceso a la información pública y la protección de sus datos personales en posesión de los sujetos obligados</w:t>
            </w:r>
          </w:p>
        </w:tc>
        <w:tc>
          <w:tcPr>
            <w:tcW w:w="1199" w:type="pct"/>
            <w:gridSpan w:val="4"/>
            <w:tcBorders>
              <w:top w:val="single" w:sz="4" w:space="0" w:color="000000"/>
              <w:left w:val="nil"/>
              <w:bottom w:val="single" w:sz="4" w:space="0" w:color="000000"/>
              <w:right w:val="single" w:sz="4" w:space="0" w:color="000000"/>
            </w:tcBorders>
            <w:shd w:val="clear" w:color="FFFFFF" w:fill="FFFFFF"/>
            <w:hideMark/>
          </w:tcPr>
          <w:p w14:paraId="46250D5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24-01 - Consolidar el cumplimiento de los derechos de acceso a la información pública y la protección de sus datos personales en posesión de los sujetos obligados en el estado de Quintana Roo.</w:t>
            </w:r>
          </w:p>
        </w:tc>
        <w:tc>
          <w:tcPr>
            <w:tcW w:w="1147" w:type="pct"/>
            <w:gridSpan w:val="2"/>
            <w:tcBorders>
              <w:top w:val="single" w:sz="4" w:space="0" w:color="000000"/>
              <w:left w:val="nil"/>
              <w:bottom w:val="single" w:sz="4" w:space="0" w:color="000000"/>
              <w:right w:val="single" w:sz="4" w:space="0" w:color="000000"/>
            </w:tcBorders>
            <w:shd w:val="clear" w:color="FFFFFF" w:fill="FFFFFF"/>
            <w:hideMark/>
          </w:tcPr>
          <w:p w14:paraId="167CB0A6"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24-01-01 - Promover en la sociedad quintanarroense el pleno ejercicio de estos derechos; la transparencia y la apertura de la información en posesión de cualquier sujeto obligado, en apego a los principios de certeza, legalidad, independencia, imparcialidad, eficacia, objetividad, profesionalismo y máxima publicidad.</w:t>
            </w:r>
          </w:p>
        </w:tc>
      </w:tr>
      <w:tr w:rsidR="00614058" w:rsidRPr="00614058" w14:paraId="2D80D1BB" w14:textId="77777777" w:rsidTr="00614058">
        <w:trPr>
          <w:trHeight w:val="143"/>
        </w:trPr>
        <w:tc>
          <w:tcPr>
            <w:tcW w:w="688" w:type="pct"/>
            <w:tcBorders>
              <w:top w:val="nil"/>
              <w:left w:val="nil"/>
              <w:bottom w:val="nil"/>
              <w:right w:val="nil"/>
            </w:tcBorders>
            <w:shd w:val="clear" w:color="FFFFFF" w:fill="FFFFFF"/>
            <w:hideMark/>
          </w:tcPr>
          <w:p w14:paraId="126AD678"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466" w:type="pct"/>
            <w:tcBorders>
              <w:top w:val="nil"/>
              <w:left w:val="nil"/>
              <w:bottom w:val="nil"/>
              <w:right w:val="nil"/>
            </w:tcBorders>
            <w:shd w:val="clear" w:color="FFFFFF" w:fill="FFFFFF"/>
            <w:hideMark/>
          </w:tcPr>
          <w:p w14:paraId="27B26BB9"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5" w:type="pct"/>
            <w:tcBorders>
              <w:top w:val="nil"/>
              <w:left w:val="nil"/>
              <w:bottom w:val="nil"/>
              <w:right w:val="nil"/>
            </w:tcBorders>
            <w:shd w:val="clear" w:color="FFFFFF" w:fill="FFFFFF"/>
            <w:hideMark/>
          </w:tcPr>
          <w:p w14:paraId="02DB5F8B"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41" w:type="pct"/>
            <w:tcBorders>
              <w:top w:val="nil"/>
              <w:left w:val="nil"/>
              <w:bottom w:val="nil"/>
              <w:right w:val="nil"/>
            </w:tcBorders>
            <w:shd w:val="clear" w:color="FFFFFF" w:fill="FFFFFF"/>
            <w:hideMark/>
          </w:tcPr>
          <w:p w14:paraId="34ED07FA"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22" w:type="pct"/>
            <w:tcBorders>
              <w:top w:val="nil"/>
              <w:left w:val="nil"/>
              <w:bottom w:val="nil"/>
              <w:right w:val="nil"/>
            </w:tcBorders>
            <w:shd w:val="clear" w:color="FFFFFF" w:fill="FFFFFF"/>
            <w:hideMark/>
          </w:tcPr>
          <w:p w14:paraId="0457C94F"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975" w:type="pct"/>
            <w:tcBorders>
              <w:top w:val="nil"/>
              <w:left w:val="nil"/>
              <w:bottom w:val="nil"/>
              <w:right w:val="nil"/>
            </w:tcBorders>
            <w:shd w:val="clear" w:color="FFFFFF" w:fill="FFFFFF"/>
            <w:hideMark/>
          </w:tcPr>
          <w:p w14:paraId="36D28AC1"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177" w:type="pct"/>
            <w:tcBorders>
              <w:top w:val="nil"/>
              <w:left w:val="nil"/>
              <w:bottom w:val="nil"/>
              <w:right w:val="nil"/>
            </w:tcBorders>
            <w:shd w:val="clear" w:color="FFFFFF" w:fill="FFFFFF"/>
            <w:hideMark/>
          </w:tcPr>
          <w:p w14:paraId="4621EAA6"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16" w:type="pct"/>
            <w:tcBorders>
              <w:top w:val="nil"/>
              <w:left w:val="nil"/>
              <w:bottom w:val="nil"/>
              <w:right w:val="nil"/>
            </w:tcBorders>
            <w:shd w:val="clear" w:color="FFFFFF" w:fill="FFFFFF"/>
            <w:hideMark/>
          </w:tcPr>
          <w:p w14:paraId="1E33C8A9"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5" w:type="pct"/>
            <w:tcBorders>
              <w:top w:val="nil"/>
              <w:left w:val="nil"/>
              <w:bottom w:val="nil"/>
              <w:right w:val="nil"/>
            </w:tcBorders>
            <w:shd w:val="clear" w:color="FFFFFF" w:fill="FFFFFF"/>
            <w:hideMark/>
          </w:tcPr>
          <w:p w14:paraId="43A5B384"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80" w:type="pct"/>
            <w:tcBorders>
              <w:top w:val="nil"/>
              <w:left w:val="nil"/>
              <w:bottom w:val="nil"/>
              <w:right w:val="nil"/>
            </w:tcBorders>
            <w:shd w:val="clear" w:color="FFFFFF" w:fill="FFFFFF"/>
            <w:hideMark/>
          </w:tcPr>
          <w:p w14:paraId="46E4AAAA"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8" w:type="pct"/>
            <w:tcBorders>
              <w:top w:val="nil"/>
              <w:left w:val="nil"/>
              <w:bottom w:val="nil"/>
              <w:right w:val="nil"/>
            </w:tcBorders>
            <w:shd w:val="clear" w:color="FFFFFF" w:fill="FFFFFF"/>
            <w:hideMark/>
          </w:tcPr>
          <w:p w14:paraId="4D74222F"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547" w:type="pct"/>
            <w:tcBorders>
              <w:top w:val="nil"/>
              <w:left w:val="nil"/>
              <w:bottom w:val="nil"/>
              <w:right w:val="nil"/>
            </w:tcBorders>
            <w:shd w:val="clear" w:color="FFFFFF" w:fill="FFFFFF"/>
            <w:hideMark/>
          </w:tcPr>
          <w:p w14:paraId="7B504A86"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c>
          <w:tcPr>
            <w:tcW w:w="600" w:type="pct"/>
            <w:tcBorders>
              <w:top w:val="nil"/>
              <w:left w:val="nil"/>
              <w:bottom w:val="nil"/>
              <w:right w:val="nil"/>
            </w:tcBorders>
            <w:shd w:val="clear" w:color="FFFFFF" w:fill="FFFFFF"/>
            <w:hideMark/>
          </w:tcPr>
          <w:p w14:paraId="5247F4A2" w14:textId="77777777" w:rsidR="00614058" w:rsidRPr="00614058" w:rsidRDefault="00614058" w:rsidP="00614058">
            <w:pPr>
              <w:spacing w:after="0" w:line="240" w:lineRule="auto"/>
              <w:jc w:val="left"/>
              <w:rPr>
                <w:rFonts w:ascii="Calibri" w:eastAsia="Times New Roman" w:hAnsi="Calibri" w:cs="Times New Roman"/>
                <w:sz w:val="22"/>
                <w:szCs w:val="22"/>
                <w:lang w:val="es-MX" w:eastAsia="es-MX"/>
              </w:rPr>
            </w:pPr>
            <w:r w:rsidRPr="00614058">
              <w:rPr>
                <w:rFonts w:ascii="Calibri" w:eastAsia="Times New Roman" w:hAnsi="Calibri" w:cs="Times New Roman"/>
                <w:sz w:val="22"/>
                <w:szCs w:val="22"/>
                <w:lang w:val="es-MX" w:eastAsia="es-MX"/>
              </w:rPr>
              <w:t> </w:t>
            </w:r>
          </w:p>
        </w:tc>
      </w:tr>
      <w:tr w:rsidR="00614058" w:rsidRPr="00614058" w14:paraId="4A10A1D2" w14:textId="77777777" w:rsidTr="00614058">
        <w:trPr>
          <w:trHeight w:val="282"/>
        </w:trPr>
        <w:tc>
          <w:tcPr>
            <w:tcW w:w="5000" w:type="pct"/>
            <w:gridSpan w:val="13"/>
            <w:tcBorders>
              <w:top w:val="single" w:sz="4" w:space="0" w:color="000000"/>
              <w:left w:val="single" w:sz="4" w:space="0" w:color="000000"/>
              <w:bottom w:val="single" w:sz="4" w:space="0" w:color="000000"/>
              <w:right w:val="single" w:sz="4" w:space="0" w:color="000000"/>
            </w:tcBorders>
            <w:shd w:val="clear" w:color="189CC1" w:fill="189CC1"/>
            <w:hideMark/>
          </w:tcPr>
          <w:p w14:paraId="41FAB578" w14:textId="77777777" w:rsidR="00614058" w:rsidRPr="00614058" w:rsidRDefault="00614058" w:rsidP="00614058">
            <w:pPr>
              <w:spacing w:after="0" w:line="240" w:lineRule="auto"/>
              <w:jc w:val="center"/>
              <w:rPr>
                <w:rFonts w:ascii="Arial" w:eastAsia="Times New Roman" w:hAnsi="Arial" w:cs="Arial"/>
                <w:b/>
                <w:bCs/>
                <w:color w:val="FFFFFF"/>
                <w:sz w:val="14"/>
                <w:szCs w:val="14"/>
                <w:lang w:val="es-MX" w:eastAsia="es-MX"/>
              </w:rPr>
            </w:pPr>
            <w:r w:rsidRPr="00614058">
              <w:rPr>
                <w:rFonts w:ascii="Arial" w:eastAsia="Times New Roman" w:hAnsi="Arial" w:cs="Arial"/>
                <w:b/>
                <w:bCs/>
                <w:color w:val="FFFFFF"/>
                <w:sz w:val="14"/>
                <w:szCs w:val="14"/>
                <w:lang w:val="es-MX" w:eastAsia="es-MX"/>
              </w:rPr>
              <w:t>Alineación Funcional</w:t>
            </w:r>
          </w:p>
        </w:tc>
      </w:tr>
      <w:tr w:rsidR="00614058" w:rsidRPr="00614058" w14:paraId="76A0E16F" w14:textId="77777777" w:rsidTr="00614058">
        <w:trPr>
          <w:trHeight w:val="300"/>
        </w:trPr>
        <w:tc>
          <w:tcPr>
            <w:tcW w:w="688" w:type="pct"/>
            <w:tcBorders>
              <w:top w:val="nil"/>
              <w:left w:val="single" w:sz="4" w:space="0" w:color="000000"/>
              <w:bottom w:val="single" w:sz="4" w:space="0" w:color="000000"/>
              <w:right w:val="single" w:sz="4" w:space="0" w:color="000000"/>
            </w:tcBorders>
            <w:shd w:val="clear" w:color="A0D8DB" w:fill="A0D8DB"/>
            <w:hideMark/>
          </w:tcPr>
          <w:p w14:paraId="7B1CDE56" w14:textId="77777777" w:rsidR="00614058" w:rsidRPr="00614058" w:rsidRDefault="00614058" w:rsidP="00614058">
            <w:pPr>
              <w:spacing w:after="0" w:line="240" w:lineRule="auto"/>
              <w:jc w:val="left"/>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Finalidad:</w:t>
            </w:r>
          </w:p>
        </w:tc>
        <w:tc>
          <w:tcPr>
            <w:tcW w:w="1790" w:type="pct"/>
            <w:gridSpan w:val="5"/>
            <w:tcBorders>
              <w:top w:val="single" w:sz="4" w:space="0" w:color="000000"/>
              <w:left w:val="nil"/>
              <w:bottom w:val="single" w:sz="4" w:space="0" w:color="000000"/>
              <w:right w:val="single" w:sz="4" w:space="0" w:color="000000"/>
            </w:tcBorders>
            <w:shd w:val="clear" w:color="FFFFFF" w:fill="FFFFFF"/>
            <w:hideMark/>
          </w:tcPr>
          <w:p w14:paraId="1D8A7C69"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1 - Gobierno</w:t>
            </w:r>
          </w:p>
        </w:tc>
        <w:tc>
          <w:tcPr>
            <w:tcW w:w="693" w:type="pct"/>
            <w:gridSpan w:val="2"/>
            <w:tcBorders>
              <w:top w:val="single" w:sz="4" w:space="0" w:color="000000"/>
              <w:left w:val="nil"/>
              <w:bottom w:val="single" w:sz="4" w:space="0" w:color="000000"/>
              <w:right w:val="single" w:sz="4" w:space="0" w:color="000000"/>
            </w:tcBorders>
            <w:shd w:val="clear" w:color="A0D8DB" w:fill="A0D8DB"/>
            <w:hideMark/>
          </w:tcPr>
          <w:p w14:paraId="64D382A9" w14:textId="77777777" w:rsidR="00614058" w:rsidRPr="00614058" w:rsidRDefault="00614058" w:rsidP="00614058">
            <w:pPr>
              <w:spacing w:after="0" w:line="240" w:lineRule="auto"/>
              <w:jc w:val="left"/>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Función:</w:t>
            </w:r>
          </w:p>
        </w:tc>
        <w:tc>
          <w:tcPr>
            <w:tcW w:w="1830" w:type="pct"/>
            <w:gridSpan w:val="5"/>
            <w:tcBorders>
              <w:top w:val="single" w:sz="4" w:space="0" w:color="000000"/>
              <w:left w:val="nil"/>
              <w:bottom w:val="single" w:sz="4" w:space="0" w:color="000000"/>
              <w:right w:val="single" w:sz="4" w:space="0" w:color="000000"/>
            </w:tcBorders>
            <w:shd w:val="clear" w:color="FFFFFF" w:fill="FFFFFF"/>
            <w:hideMark/>
          </w:tcPr>
          <w:p w14:paraId="21488847"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18 - Otros Servicios Generales</w:t>
            </w:r>
          </w:p>
        </w:tc>
      </w:tr>
    </w:tbl>
    <w:p w14:paraId="5D1219EB" w14:textId="77777777" w:rsidR="00D22FFD" w:rsidRDefault="00D22FFD" w:rsidP="00C2741A">
      <w:pPr>
        <w:rPr>
          <w:rFonts w:eastAsia="Calibri" w:cs="Arial"/>
          <w:bCs/>
          <w:sz w:val="18"/>
          <w:szCs w:val="20"/>
        </w:rPr>
      </w:pPr>
    </w:p>
    <w:tbl>
      <w:tblPr>
        <w:tblW w:w="5000" w:type="pct"/>
        <w:tblCellMar>
          <w:left w:w="70" w:type="dxa"/>
          <w:right w:w="70" w:type="dxa"/>
        </w:tblCellMar>
        <w:tblLook w:val="04A0" w:firstRow="1" w:lastRow="0" w:firstColumn="1" w:lastColumn="0" w:noHBand="0" w:noVBand="1"/>
      </w:tblPr>
      <w:tblGrid>
        <w:gridCol w:w="942"/>
        <w:gridCol w:w="2188"/>
        <w:gridCol w:w="2189"/>
        <w:gridCol w:w="2189"/>
        <w:gridCol w:w="2179"/>
      </w:tblGrid>
      <w:tr w:rsidR="00614058" w:rsidRPr="00614058" w14:paraId="2BFB0C1F" w14:textId="77777777" w:rsidTr="00614058">
        <w:trPr>
          <w:trHeight w:val="282"/>
        </w:trPr>
        <w:tc>
          <w:tcPr>
            <w:tcW w:w="5000" w:type="pct"/>
            <w:gridSpan w:val="5"/>
            <w:tcBorders>
              <w:top w:val="single" w:sz="4" w:space="0" w:color="000000"/>
              <w:left w:val="single" w:sz="4" w:space="0" w:color="000000"/>
              <w:bottom w:val="single" w:sz="4" w:space="0" w:color="000000"/>
              <w:right w:val="single" w:sz="4" w:space="0" w:color="000000"/>
            </w:tcBorders>
            <w:shd w:val="clear" w:color="189CC1" w:fill="189CC1"/>
            <w:hideMark/>
          </w:tcPr>
          <w:p w14:paraId="005DDD2F" w14:textId="77777777" w:rsidR="00614058" w:rsidRPr="00614058" w:rsidRDefault="00614058" w:rsidP="00614058">
            <w:pPr>
              <w:spacing w:after="0" w:line="240" w:lineRule="auto"/>
              <w:jc w:val="center"/>
              <w:rPr>
                <w:rFonts w:ascii="Arial" w:eastAsia="Times New Roman" w:hAnsi="Arial" w:cs="Arial"/>
                <w:b/>
                <w:bCs/>
                <w:color w:val="FFFFFF"/>
                <w:sz w:val="14"/>
                <w:szCs w:val="14"/>
                <w:lang w:val="es-MX" w:eastAsia="es-MX"/>
              </w:rPr>
            </w:pPr>
            <w:r w:rsidRPr="00614058">
              <w:rPr>
                <w:rFonts w:ascii="Arial" w:eastAsia="Times New Roman" w:hAnsi="Arial" w:cs="Arial"/>
                <w:b/>
                <w:bCs/>
                <w:color w:val="FFFFFF"/>
                <w:sz w:val="14"/>
                <w:szCs w:val="14"/>
                <w:lang w:val="es-MX" w:eastAsia="es-MX"/>
              </w:rPr>
              <w:t>Formato 4 x 4</w:t>
            </w:r>
          </w:p>
        </w:tc>
      </w:tr>
      <w:tr w:rsidR="00614058" w:rsidRPr="00614058" w14:paraId="024DA54A" w14:textId="77777777" w:rsidTr="00614058">
        <w:trPr>
          <w:trHeight w:val="300"/>
        </w:trPr>
        <w:tc>
          <w:tcPr>
            <w:tcW w:w="349" w:type="pct"/>
            <w:tcBorders>
              <w:top w:val="nil"/>
              <w:left w:val="single" w:sz="4" w:space="0" w:color="000000"/>
              <w:bottom w:val="single" w:sz="4" w:space="0" w:color="000000"/>
              <w:right w:val="single" w:sz="4" w:space="0" w:color="000000"/>
            </w:tcBorders>
            <w:shd w:val="clear" w:color="A0D8DB" w:fill="A0D8DB"/>
            <w:hideMark/>
          </w:tcPr>
          <w:p w14:paraId="590CD602"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Nivel</w:t>
            </w:r>
          </w:p>
        </w:tc>
        <w:tc>
          <w:tcPr>
            <w:tcW w:w="1164" w:type="pct"/>
            <w:tcBorders>
              <w:top w:val="single" w:sz="4" w:space="0" w:color="000000"/>
              <w:left w:val="nil"/>
              <w:bottom w:val="single" w:sz="4" w:space="0" w:color="000000"/>
              <w:right w:val="single" w:sz="4" w:space="0" w:color="000000"/>
            </w:tcBorders>
            <w:shd w:val="clear" w:color="A0D8DB" w:fill="A0D8DB"/>
            <w:hideMark/>
          </w:tcPr>
          <w:p w14:paraId="5C7ADD4C"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Resumen Narrativo</w:t>
            </w:r>
          </w:p>
        </w:tc>
        <w:tc>
          <w:tcPr>
            <w:tcW w:w="1164" w:type="pct"/>
            <w:tcBorders>
              <w:top w:val="nil"/>
              <w:left w:val="nil"/>
              <w:bottom w:val="single" w:sz="4" w:space="0" w:color="000000"/>
              <w:right w:val="single" w:sz="4" w:space="0" w:color="000000"/>
            </w:tcBorders>
            <w:shd w:val="clear" w:color="A0D8DB" w:fill="A0D8DB"/>
            <w:hideMark/>
          </w:tcPr>
          <w:p w14:paraId="70888CE4"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Indicador</w:t>
            </w:r>
          </w:p>
        </w:tc>
        <w:tc>
          <w:tcPr>
            <w:tcW w:w="1164" w:type="pct"/>
            <w:tcBorders>
              <w:top w:val="single" w:sz="4" w:space="0" w:color="000000"/>
              <w:left w:val="nil"/>
              <w:bottom w:val="single" w:sz="4" w:space="0" w:color="000000"/>
              <w:right w:val="single" w:sz="4" w:space="0" w:color="000000"/>
            </w:tcBorders>
            <w:shd w:val="clear" w:color="A0D8DB" w:fill="A0D8DB"/>
            <w:hideMark/>
          </w:tcPr>
          <w:p w14:paraId="4191F054"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Medio de Verificación</w:t>
            </w:r>
          </w:p>
        </w:tc>
        <w:tc>
          <w:tcPr>
            <w:tcW w:w="1158" w:type="pct"/>
            <w:tcBorders>
              <w:top w:val="single" w:sz="4" w:space="0" w:color="000000"/>
              <w:left w:val="nil"/>
              <w:bottom w:val="single" w:sz="4" w:space="0" w:color="000000"/>
              <w:right w:val="single" w:sz="4" w:space="0" w:color="000000"/>
            </w:tcBorders>
            <w:shd w:val="clear" w:color="A0D8DB" w:fill="A0D8DB"/>
            <w:hideMark/>
          </w:tcPr>
          <w:p w14:paraId="16BD96C4" w14:textId="77777777" w:rsidR="00614058" w:rsidRPr="00614058" w:rsidRDefault="00614058" w:rsidP="00614058">
            <w:pPr>
              <w:spacing w:after="0" w:line="240" w:lineRule="auto"/>
              <w:jc w:val="center"/>
              <w:rPr>
                <w:rFonts w:ascii="Arial" w:eastAsia="Times New Roman" w:hAnsi="Arial" w:cs="Arial"/>
                <w:b/>
                <w:bCs/>
                <w:color w:val="000000"/>
                <w:sz w:val="14"/>
                <w:szCs w:val="14"/>
                <w:lang w:val="es-MX" w:eastAsia="es-MX"/>
              </w:rPr>
            </w:pPr>
            <w:r w:rsidRPr="00614058">
              <w:rPr>
                <w:rFonts w:ascii="Arial" w:eastAsia="Times New Roman" w:hAnsi="Arial" w:cs="Arial"/>
                <w:b/>
                <w:bCs/>
                <w:color w:val="000000"/>
                <w:sz w:val="14"/>
                <w:szCs w:val="14"/>
                <w:lang w:val="es-MX" w:eastAsia="es-MX"/>
              </w:rPr>
              <w:t>Supuesto</w:t>
            </w:r>
          </w:p>
        </w:tc>
      </w:tr>
      <w:tr w:rsidR="00614058" w:rsidRPr="00614058" w14:paraId="6C7A31E8" w14:textId="77777777" w:rsidTr="00614058">
        <w:trPr>
          <w:trHeight w:val="300"/>
        </w:trPr>
        <w:tc>
          <w:tcPr>
            <w:tcW w:w="349" w:type="pct"/>
            <w:tcBorders>
              <w:top w:val="nil"/>
              <w:left w:val="single" w:sz="4" w:space="0" w:color="000000"/>
              <w:bottom w:val="single" w:sz="4" w:space="0" w:color="000000"/>
              <w:right w:val="single" w:sz="4" w:space="0" w:color="000000"/>
            </w:tcBorders>
            <w:shd w:val="clear" w:color="FFFFFF" w:fill="FFFFFF"/>
            <w:hideMark/>
          </w:tcPr>
          <w:p w14:paraId="77CAB15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Fin</w:t>
            </w:r>
          </w:p>
        </w:tc>
        <w:tc>
          <w:tcPr>
            <w:tcW w:w="1164" w:type="pct"/>
            <w:tcBorders>
              <w:top w:val="single" w:sz="4" w:space="0" w:color="000000"/>
              <w:left w:val="nil"/>
              <w:bottom w:val="single" w:sz="4" w:space="0" w:color="000000"/>
              <w:right w:val="single" w:sz="4" w:space="0" w:color="000000"/>
            </w:tcBorders>
            <w:shd w:val="clear" w:color="FFFFFF" w:fill="FFFFFF"/>
            <w:hideMark/>
          </w:tcPr>
          <w:p w14:paraId="36015B6D"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F - Contribuir a consolidar la Gestión para Resultados como un modelo de cultura organizacional, directiva y de gestión que permita la creación de valor público en la administración pública estatal., mediante acciones de facilitación para el cumplimiento de metas sustantivas.</w:t>
            </w:r>
          </w:p>
        </w:tc>
        <w:tc>
          <w:tcPr>
            <w:tcW w:w="1164" w:type="pct"/>
            <w:tcBorders>
              <w:top w:val="nil"/>
              <w:left w:val="nil"/>
              <w:bottom w:val="single" w:sz="4" w:space="0" w:color="000000"/>
              <w:right w:val="single" w:sz="4" w:space="0" w:color="000000"/>
            </w:tcBorders>
            <w:shd w:val="clear" w:color="FFFFFF" w:fill="FFFFFF"/>
            <w:hideMark/>
          </w:tcPr>
          <w:p w14:paraId="6D1D3DD6"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PED19I1 - Índice General de Avance en PbR SED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15DA2166"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Secretaria de Hacienda y Crédito Público.</w:t>
            </w:r>
          </w:p>
        </w:tc>
        <w:tc>
          <w:tcPr>
            <w:tcW w:w="1158" w:type="pct"/>
            <w:tcBorders>
              <w:top w:val="single" w:sz="4" w:space="0" w:color="000000"/>
              <w:left w:val="nil"/>
              <w:bottom w:val="single" w:sz="4" w:space="0" w:color="000000"/>
              <w:right w:val="single" w:sz="4" w:space="0" w:color="000000"/>
            </w:tcBorders>
            <w:shd w:val="clear" w:color="FFFFFF" w:fill="FFFFFF"/>
            <w:hideMark/>
          </w:tcPr>
          <w:p w14:paraId="6C3FF3D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La Secretaría de Hacienda y Crédito Público continúa haciendo las evaluaciones en las entidades federativas.</w:t>
            </w:r>
          </w:p>
        </w:tc>
      </w:tr>
      <w:tr w:rsidR="00614058" w:rsidRPr="00614058" w14:paraId="3083785F"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26D9711E"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Propósito</w:t>
            </w:r>
          </w:p>
        </w:tc>
        <w:tc>
          <w:tcPr>
            <w:tcW w:w="1164" w:type="pct"/>
            <w:tcBorders>
              <w:top w:val="single" w:sz="4" w:space="0" w:color="000000"/>
              <w:left w:val="nil"/>
              <w:bottom w:val="single" w:sz="4" w:space="0" w:color="000000"/>
              <w:right w:val="single" w:sz="4" w:space="0" w:color="000000"/>
            </w:tcBorders>
            <w:shd w:val="clear" w:color="FFFFFF" w:fill="FFFFFF"/>
            <w:hideMark/>
          </w:tcPr>
          <w:p w14:paraId="7ED54BA9"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P - La Administración Pública Estatal mejora la calidad del gasto público y promueve una adecuada rendición de cuentas.</w:t>
            </w:r>
          </w:p>
        </w:tc>
        <w:tc>
          <w:tcPr>
            <w:tcW w:w="1164" w:type="pct"/>
            <w:tcBorders>
              <w:top w:val="nil"/>
              <w:left w:val="nil"/>
              <w:bottom w:val="single" w:sz="4" w:space="0" w:color="000000"/>
              <w:right w:val="single" w:sz="4" w:space="0" w:color="000000"/>
            </w:tcBorders>
            <w:shd w:val="clear" w:color="FFFFFF" w:fill="FFFFFF"/>
            <w:hideMark/>
          </w:tcPr>
          <w:p w14:paraId="57C48256"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09O1IO2 - Porcentaje de cumplimiento programático de metas sustantivas del Gobierno del Estado</w:t>
            </w:r>
          </w:p>
        </w:tc>
        <w:tc>
          <w:tcPr>
            <w:tcW w:w="1164" w:type="pct"/>
            <w:tcBorders>
              <w:top w:val="single" w:sz="4" w:space="0" w:color="000000"/>
              <w:left w:val="nil"/>
              <w:bottom w:val="single" w:sz="4" w:space="0" w:color="000000"/>
              <w:right w:val="single" w:sz="4" w:space="0" w:color="000000"/>
            </w:tcBorders>
            <w:shd w:val="clear" w:color="FFFFFF" w:fill="FFFFFF"/>
            <w:hideMark/>
          </w:tcPr>
          <w:p w14:paraId="28C90578"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SEFIPLAN</w:t>
            </w:r>
          </w:p>
        </w:tc>
        <w:tc>
          <w:tcPr>
            <w:tcW w:w="1158" w:type="pct"/>
            <w:tcBorders>
              <w:top w:val="single" w:sz="4" w:space="0" w:color="000000"/>
              <w:left w:val="nil"/>
              <w:bottom w:val="single" w:sz="4" w:space="0" w:color="000000"/>
              <w:right w:val="single" w:sz="4" w:space="0" w:color="000000"/>
            </w:tcBorders>
            <w:shd w:val="clear" w:color="FFFFFF" w:fill="FFFFFF"/>
            <w:hideMark/>
          </w:tcPr>
          <w:p w14:paraId="42E39978"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Las Dependencias, Órganos Administrativos Desconcentrados, Entidades Paraestatales y Organismos Autónomos cumplen con las metas sustantivas.</w:t>
            </w:r>
          </w:p>
        </w:tc>
      </w:tr>
      <w:tr w:rsidR="00614058" w:rsidRPr="00614058" w14:paraId="5BE139D0"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3EAD9DF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Componente</w:t>
            </w:r>
          </w:p>
        </w:tc>
        <w:tc>
          <w:tcPr>
            <w:tcW w:w="1164" w:type="pct"/>
            <w:tcBorders>
              <w:top w:val="single" w:sz="4" w:space="0" w:color="000000"/>
              <w:left w:val="nil"/>
              <w:bottom w:val="single" w:sz="4" w:space="0" w:color="000000"/>
              <w:right w:val="single" w:sz="4" w:space="0" w:color="000000"/>
            </w:tcBorders>
            <w:shd w:val="clear" w:color="FFFFFF" w:fill="FFFFFF"/>
            <w:hideMark/>
          </w:tcPr>
          <w:p w14:paraId="259100B1"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C01 - Actividades de facilitación (apoyo) desarrolladas para el cumplimiento de metas de las áreas sustantivas.</w:t>
            </w:r>
          </w:p>
        </w:tc>
        <w:tc>
          <w:tcPr>
            <w:tcW w:w="1164" w:type="pct"/>
            <w:tcBorders>
              <w:top w:val="nil"/>
              <w:left w:val="nil"/>
              <w:bottom w:val="single" w:sz="4" w:space="0" w:color="000000"/>
              <w:right w:val="single" w:sz="4" w:space="0" w:color="000000"/>
            </w:tcBorders>
            <w:shd w:val="clear" w:color="FFFFFF" w:fill="FFFFFF"/>
            <w:hideMark/>
          </w:tcPr>
          <w:p w14:paraId="46D44D7C"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C01 - Porcentaje de cumplimiento programático de metas sustantivas de la institución       </w:t>
            </w:r>
          </w:p>
        </w:tc>
        <w:tc>
          <w:tcPr>
            <w:tcW w:w="1164" w:type="pct"/>
            <w:tcBorders>
              <w:top w:val="single" w:sz="4" w:space="0" w:color="000000"/>
              <w:left w:val="nil"/>
              <w:bottom w:val="single" w:sz="4" w:space="0" w:color="000000"/>
              <w:right w:val="single" w:sz="4" w:space="0" w:color="000000"/>
            </w:tcBorders>
            <w:shd w:val="clear" w:color="FFFFFF" w:fill="FFFFFF"/>
            <w:hideMark/>
          </w:tcPr>
          <w:p w14:paraId="59AD56F3"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Informe de actividades realizadas por el IDAIPQROO</w:t>
            </w:r>
          </w:p>
        </w:tc>
        <w:tc>
          <w:tcPr>
            <w:tcW w:w="1158" w:type="pct"/>
            <w:tcBorders>
              <w:top w:val="single" w:sz="4" w:space="0" w:color="000000"/>
              <w:left w:val="nil"/>
              <w:bottom w:val="single" w:sz="4" w:space="0" w:color="000000"/>
              <w:right w:val="single" w:sz="4" w:space="0" w:color="000000"/>
            </w:tcBorders>
            <w:shd w:val="clear" w:color="FFFFFF" w:fill="FFFFFF"/>
            <w:hideMark/>
          </w:tcPr>
          <w:p w14:paraId="69ED9E5D"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Las áreas sustantivas programan metas realistas de lograrse</w:t>
            </w:r>
          </w:p>
        </w:tc>
      </w:tr>
      <w:tr w:rsidR="00614058" w:rsidRPr="00614058" w14:paraId="3CA8C3E1" w14:textId="77777777" w:rsidTr="00614058">
        <w:trPr>
          <w:trHeight w:val="360"/>
        </w:trPr>
        <w:tc>
          <w:tcPr>
            <w:tcW w:w="349" w:type="pct"/>
            <w:tcBorders>
              <w:top w:val="nil"/>
              <w:left w:val="single" w:sz="4" w:space="0" w:color="000000"/>
              <w:bottom w:val="single" w:sz="4" w:space="0" w:color="000000"/>
              <w:right w:val="single" w:sz="4" w:space="0" w:color="000000"/>
            </w:tcBorders>
            <w:shd w:val="clear" w:color="FFFFFF" w:fill="FFFFFF"/>
            <w:hideMark/>
          </w:tcPr>
          <w:p w14:paraId="6A73CD35"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Actividad</w:t>
            </w:r>
          </w:p>
        </w:tc>
        <w:tc>
          <w:tcPr>
            <w:tcW w:w="1164" w:type="pct"/>
            <w:tcBorders>
              <w:top w:val="single" w:sz="4" w:space="0" w:color="000000"/>
              <w:left w:val="nil"/>
              <w:bottom w:val="single" w:sz="4" w:space="0" w:color="000000"/>
              <w:right w:val="single" w:sz="4" w:space="0" w:color="000000"/>
            </w:tcBorders>
            <w:shd w:val="clear" w:color="FFFFFF" w:fill="FFFFFF"/>
            <w:hideMark/>
          </w:tcPr>
          <w:p w14:paraId="779452A0"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C01.A01 - Asistencia a las áreas sustantivas en funciones administrativas, jurídicas, de </w:t>
            </w:r>
            <w:r w:rsidRPr="00614058">
              <w:rPr>
                <w:rFonts w:ascii="Arial" w:eastAsia="Times New Roman" w:hAnsi="Arial" w:cs="Arial"/>
                <w:color w:val="000000"/>
                <w:sz w:val="14"/>
                <w:szCs w:val="14"/>
                <w:lang w:val="es-MX" w:eastAsia="es-MX"/>
              </w:rPr>
              <w:lastRenderedPageBreak/>
              <w:t>planeación, relaciones públicas u otras funciones de staff.</w:t>
            </w:r>
          </w:p>
        </w:tc>
        <w:tc>
          <w:tcPr>
            <w:tcW w:w="1164" w:type="pct"/>
            <w:tcBorders>
              <w:top w:val="nil"/>
              <w:left w:val="nil"/>
              <w:bottom w:val="single" w:sz="4" w:space="0" w:color="000000"/>
              <w:right w:val="single" w:sz="4" w:space="0" w:color="000000"/>
            </w:tcBorders>
            <w:shd w:val="clear" w:color="FFFFFF" w:fill="FFFFFF"/>
            <w:hideMark/>
          </w:tcPr>
          <w:p w14:paraId="1032C54E"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lastRenderedPageBreak/>
              <w:t xml:space="preserve">A01 - Porcentaje del Presupuesto Ejercido destinado a las áreas staff       </w:t>
            </w:r>
          </w:p>
        </w:tc>
        <w:tc>
          <w:tcPr>
            <w:tcW w:w="1164" w:type="pct"/>
            <w:tcBorders>
              <w:top w:val="single" w:sz="4" w:space="0" w:color="000000"/>
              <w:left w:val="nil"/>
              <w:bottom w:val="single" w:sz="4" w:space="0" w:color="000000"/>
              <w:right w:val="single" w:sz="4" w:space="0" w:color="000000"/>
            </w:tcBorders>
            <w:shd w:val="clear" w:color="FFFFFF" w:fill="FFFFFF"/>
            <w:hideMark/>
          </w:tcPr>
          <w:p w14:paraId="06C7FA83"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Reporte de avance de presupuesto ejercido del área de staff</w:t>
            </w:r>
          </w:p>
        </w:tc>
        <w:tc>
          <w:tcPr>
            <w:tcW w:w="1158" w:type="pct"/>
            <w:tcBorders>
              <w:top w:val="single" w:sz="4" w:space="0" w:color="000000"/>
              <w:left w:val="nil"/>
              <w:bottom w:val="single" w:sz="4" w:space="0" w:color="000000"/>
              <w:right w:val="single" w:sz="4" w:space="0" w:color="000000"/>
            </w:tcBorders>
            <w:shd w:val="clear" w:color="FFFFFF" w:fill="FFFFFF"/>
            <w:hideMark/>
          </w:tcPr>
          <w:p w14:paraId="40E21768" w14:textId="77777777" w:rsidR="00614058" w:rsidRPr="00614058" w:rsidRDefault="00614058" w:rsidP="00614058">
            <w:pPr>
              <w:spacing w:after="0" w:line="240" w:lineRule="auto"/>
              <w:jc w:val="left"/>
              <w:rPr>
                <w:rFonts w:ascii="Arial" w:eastAsia="Times New Roman" w:hAnsi="Arial" w:cs="Arial"/>
                <w:color w:val="000000"/>
                <w:sz w:val="14"/>
                <w:szCs w:val="14"/>
                <w:lang w:val="es-MX" w:eastAsia="es-MX"/>
              </w:rPr>
            </w:pPr>
            <w:r w:rsidRPr="00614058">
              <w:rPr>
                <w:rFonts w:ascii="Arial" w:eastAsia="Times New Roman" w:hAnsi="Arial" w:cs="Arial"/>
                <w:color w:val="000000"/>
                <w:sz w:val="14"/>
                <w:szCs w:val="14"/>
                <w:lang w:val="es-MX" w:eastAsia="es-MX"/>
              </w:rPr>
              <w:t xml:space="preserve">Las áreas sustantivas solicitan con oportunidad funciones administrativas, jurídicas, de </w:t>
            </w:r>
            <w:r w:rsidRPr="00614058">
              <w:rPr>
                <w:rFonts w:ascii="Arial" w:eastAsia="Times New Roman" w:hAnsi="Arial" w:cs="Arial"/>
                <w:color w:val="000000"/>
                <w:sz w:val="14"/>
                <w:szCs w:val="14"/>
                <w:lang w:val="es-MX" w:eastAsia="es-MX"/>
              </w:rPr>
              <w:lastRenderedPageBreak/>
              <w:t>planeación, relaciones públicas u otras funciones de staff</w:t>
            </w:r>
          </w:p>
        </w:tc>
      </w:tr>
    </w:tbl>
    <w:p w14:paraId="75CAB7EF" w14:textId="77777777" w:rsidR="00AD49BF" w:rsidRDefault="00AD49BF" w:rsidP="00AD49BF">
      <w:pPr>
        <w:spacing w:after="120"/>
        <w:rPr>
          <w:noProof/>
          <w:color w:val="4BACC6" w:themeColor="accent5"/>
          <w:lang w:val="es-ES"/>
        </w:rPr>
      </w:pPr>
    </w:p>
    <w:p w14:paraId="6C8227C5" w14:textId="77777777" w:rsidR="00802396" w:rsidRDefault="00802396" w:rsidP="00AD49BF">
      <w:pPr>
        <w:spacing w:after="120"/>
        <w:ind w:firstLine="708"/>
        <w:jc w:val="right"/>
        <w:rPr>
          <w:noProof/>
          <w:color w:val="4BACC6" w:themeColor="accent5"/>
          <w:lang w:val="es-ES"/>
        </w:rPr>
      </w:pPr>
    </w:p>
    <w:p w14:paraId="7CFF3BD7" w14:textId="77777777" w:rsidR="00AD49BF" w:rsidRPr="00802396" w:rsidRDefault="00AD49BF" w:rsidP="00AD49BF">
      <w:pPr>
        <w:jc w:val="right"/>
        <w:rPr>
          <w:rFonts w:eastAsia="Times New Roman" w:cs="Futura"/>
          <w:color w:val="31849B" w:themeColor="accent5" w:themeShade="BF"/>
        </w:rPr>
      </w:pPr>
      <w:r w:rsidRPr="00802396">
        <w:rPr>
          <w:rFonts w:eastAsia="Times New Roman" w:cs="Futura"/>
          <w:color w:val="31849B" w:themeColor="accent5" w:themeShade="BF"/>
        </w:rPr>
        <w:t>Lic. José Orlando Espinosa Rodríguez</w:t>
      </w:r>
    </w:p>
    <w:p w14:paraId="1655656C" w14:textId="654AE50D" w:rsidR="00D22FFD" w:rsidRDefault="00AD49BF" w:rsidP="00AD49BF">
      <w:pPr>
        <w:jc w:val="right"/>
        <w:rPr>
          <w:rFonts w:eastAsia="Calibri" w:cs="Arial"/>
          <w:bCs/>
          <w:sz w:val="18"/>
          <w:szCs w:val="20"/>
        </w:rPr>
      </w:pPr>
      <w:r w:rsidRPr="00802396">
        <w:rPr>
          <w:rFonts w:ascii="Calibri" w:eastAsia="Calibri" w:hAnsi="Calibri" w:cs="Times New Roman"/>
          <w:noProof/>
          <w:color w:val="31849B" w:themeColor="accent5" w:themeShade="BF"/>
          <w:sz w:val="16"/>
          <w:szCs w:val="16"/>
          <w:lang w:val="es-MX" w:eastAsia="es-MX"/>
        </w:rPr>
        <mc:AlternateContent>
          <mc:Choice Requires="wps">
            <w:drawing>
              <wp:anchor distT="45720" distB="45720" distL="114300" distR="114300" simplePos="0" relativeHeight="251667456" behindDoc="0" locked="0" layoutInCell="1" allowOverlap="1" wp14:anchorId="05421CF6" wp14:editId="12E17446">
                <wp:simplePos x="0" y="0"/>
                <wp:positionH relativeFrom="margin">
                  <wp:posOffset>-333375</wp:posOffset>
                </wp:positionH>
                <wp:positionV relativeFrom="paragraph">
                  <wp:posOffset>332105</wp:posOffset>
                </wp:positionV>
                <wp:extent cx="5913120" cy="780288"/>
                <wp:effectExtent l="0" t="0" r="0" b="127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780288"/>
                        </a:xfrm>
                        <a:prstGeom prst="rect">
                          <a:avLst/>
                        </a:prstGeom>
                        <a:solidFill>
                          <a:srgbClr val="FFFFFF"/>
                        </a:solidFill>
                        <a:ln w="9525">
                          <a:noFill/>
                          <a:miter lim="800000"/>
                          <a:headEnd/>
                          <a:tailEnd/>
                        </a:ln>
                      </wps:spPr>
                      <wps:txbx>
                        <w:txbxContent>
                          <w:p w14:paraId="02ED111E" w14:textId="77777777" w:rsidR="00A759AA" w:rsidRPr="00802396" w:rsidRDefault="00A759AA" w:rsidP="00AD49BF">
                            <w:pPr>
                              <w:spacing w:after="160" w:line="259" w:lineRule="auto"/>
                              <w:rPr>
                                <w:rFonts w:ascii="Calibri" w:eastAsia="Calibri" w:hAnsi="Calibri" w:cs="Times New Roman"/>
                                <w:sz w:val="14"/>
                                <w:szCs w:val="14"/>
                                <w:lang w:val="es-MX" w:eastAsia="en-US"/>
                              </w:rPr>
                            </w:pPr>
                            <w:r w:rsidRPr="00802396">
                              <w:rPr>
                                <w:rFonts w:ascii="Calibri" w:eastAsia="Calibri" w:hAnsi="Calibri" w:cs="Times New Roman"/>
                                <w:sz w:val="14"/>
                                <w:szCs w:val="14"/>
                                <w:lang w:val="es-MX" w:eastAsia="en-US"/>
                              </w:rPr>
                              <w:t>¨El anexo aquí presentado es perfectible, y se encuentra susceptible de modificaciones programáticas toda vez así se le indique por observaciones de auditorías,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5BB669CA" w14:textId="77777777" w:rsidR="00A759AA" w:rsidRPr="00802396" w:rsidRDefault="00A759AA" w:rsidP="00AD49BF">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421CF6" id="_x0000_s1031" type="#_x0000_t202" style="position:absolute;left:0;text-align:left;margin-left:-26.25pt;margin-top:26.15pt;width:465.6pt;height:61.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" stroked="f">
                <v:textbox>
                  <w:txbxContent>
                    <w:p w14:paraId="02ED111E" w14:textId="77777777" w:rsidR="00A759AA" w:rsidRPr="00802396" w:rsidRDefault="00A759AA" w:rsidP="00AD49BF">
                      <w:pPr>
                        <w:spacing w:after="160" w:line="259" w:lineRule="auto"/>
                        <w:rPr>
                          <w:rFonts w:ascii="Calibri" w:eastAsia="Calibri" w:hAnsi="Calibri" w:cs="Times New Roman"/>
                          <w:sz w:val="14"/>
                          <w:szCs w:val="14"/>
                          <w:lang w:val="es-MX" w:eastAsia="en-US"/>
                        </w:rPr>
                      </w:pPr>
                      <w:r w:rsidRPr="00802396">
                        <w:rPr>
                          <w:rFonts w:ascii="Calibri" w:eastAsia="Calibri" w:hAnsi="Calibri" w:cs="Times New Roman"/>
                          <w:sz w:val="14"/>
                          <w:szCs w:val="14"/>
                          <w:lang w:val="es-MX" w:eastAsia="en-US"/>
                        </w:rPr>
                        <w:t>¨El anexo aquí presentado es perfectible, y se encuentra susceptible de modificaciones programáticas toda vez así se le indique por observaciones de auditorías, evaluaciones al desempeño y revisiones de la Secretaria de Finanzas y Planeación antes y durante el ejercicio fiscal del que se trate, así como también, cuando las condiciones del ente público responsable de dicha información programática requiera hacer modificaciones acorde a sus necesidades institucionales, atendiendo a lo establecido en los Lineamientos para la Creación, Modificación, y Cancelación de Programas Presupuestarios y para la Modificación de Metas del Gobierno del Estado de Quintana Roo¨</w:t>
                      </w:r>
                    </w:p>
                    <w:p w14:paraId="5BB669CA" w14:textId="77777777" w:rsidR="00A759AA" w:rsidRPr="00802396" w:rsidRDefault="00A759AA" w:rsidP="00AD49BF">
                      <w:pPr>
                        <w:rPr>
                          <w:sz w:val="14"/>
                          <w:szCs w:val="14"/>
                        </w:rPr>
                      </w:pPr>
                    </w:p>
                  </w:txbxContent>
                </v:textbox>
                <w10:wrap anchorx="margin"/>
              </v:shape>
            </w:pict>
          </mc:Fallback>
        </mc:AlternateContent>
      </w:r>
      <w:r w:rsidRPr="00802396">
        <w:rPr>
          <w:rFonts w:eastAsia="Times New Roman" w:cs="Futura"/>
          <w:color w:val="31849B" w:themeColor="accent5" w:themeShade="BF"/>
        </w:rPr>
        <w:t>Comisionado</w:t>
      </w:r>
      <w:r w:rsidRPr="00671424">
        <w:rPr>
          <w:rFonts w:eastAsia="Times New Roman" w:cs="Futura"/>
          <w:color w:val="595959"/>
        </w:rPr>
        <w:t xml:space="preserve"> </w:t>
      </w:r>
      <w:r w:rsidRPr="00802396">
        <w:rPr>
          <w:rFonts w:eastAsia="Times New Roman" w:cs="Futura"/>
          <w:color w:val="31849B" w:themeColor="accent5" w:themeShade="BF"/>
        </w:rPr>
        <w:t>Presidente del IDAIPQROO</w:t>
      </w:r>
    </w:p>
    <w:sectPr w:rsidR="00D22FFD" w:rsidSect="00612870">
      <w:headerReference w:type="default" r:id="rId19"/>
      <w:footerReference w:type="default" r:id="rId20"/>
      <w:pgSz w:w="12240" w:h="15840" w:code="1"/>
      <w:pgMar w:top="2977" w:right="1134" w:bottom="1134" w:left="1559" w:header="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E30CC" w14:textId="77777777" w:rsidR="008E4226" w:rsidRDefault="008E4226" w:rsidP="00315CBE">
      <w:r>
        <w:separator/>
      </w:r>
    </w:p>
  </w:endnote>
  <w:endnote w:type="continuationSeparator" w:id="0">
    <w:p w14:paraId="0B2BCD25" w14:textId="77777777" w:rsidR="008E4226" w:rsidRDefault="008E4226" w:rsidP="0031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01" w:usb1="1000204A" w:usb2="00000000" w:usb3="00000000" w:csb0="00000011" w:csb1="00000000"/>
  </w:font>
  <w:font w:name="Futura T OT Book">
    <w:altName w:val="Times New Roman"/>
    <w:charset w:val="00"/>
    <w:family w:val="auto"/>
    <w:pitch w:val="variable"/>
    <w:sig w:usb0="00000001" w:usb1="50002048" w:usb2="00000000" w:usb3="00000000" w:csb0="00000093" w:csb1="00000000"/>
  </w:font>
  <w:font w:name="Futur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Futura T OT">
    <w:altName w:val="Arial"/>
    <w:panose1 w:val="00000000000000000000"/>
    <w:charset w:val="00"/>
    <w:family w:val="modern"/>
    <w:notTrueType/>
    <w:pitch w:val="variable"/>
    <w:sig w:usb0="800000AF" w:usb1="50002048"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oberanaSans-Regular">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Gothic,Italic">
    <w:panose1 w:val="00000000000000000000"/>
    <w:charset w:val="00"/>
    <w:family w:val="auto"/>
    <w:notTrueType/>
    <w:pitch w:val="default"/>
    <w:sig w:usb0="00000003" w:usb1="00000000" w:usb2="00000000" w:usb3="00000000" w:csb0="00000001" w:csb1="00000000"/>
  </w:font>
  <w:font w:name="Futura Std Condensed Light">
    <w:altName w:val="Century Gothic"/>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42971"/>
      <w:docPartObj>
        <w:docPartGallery w:val="Page Numbers (Bottom of Page)"/>
        <w:docPartUnique/>
      </w:docPartObj>
    </w:sdtPr>
    <w:sdtEndPr/>
    <w:sdtContent>
      <w:p w14:paraId="43DC45D9" w14:textId="77777777" w:rsidR="00A759AA" w:rsidRDefault="00A759AA">
        <w:pPr>
          <w:pStyle w:val="Piedepgina"/>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Pr="008D2B7B">
          <w:rPr>
            <w:noProof/>
            <w:color w:val="FFFFFF" w:themeColor="background1"/>
            <w:lang w:val="es-ES"/>
          </w:rPr>
          <w:t>2</w:t>
        </w:r>
        <w:r w:rsidRPr="00D9762C">
          <w:rPr>
            <w:color w:val="FFFFFF" w:themeColor="background1"/>
          </w:rPr>
          <w:fldChar w:fldCharType="end"/>
        </w:r>
        <w:r w:rsidRPr="00D9762C">
          <w:rPr>
            <w:noProof/>
            <w:color w:val="FFFFFF" w:themeColor="background1"/>
            <w:lang w:eastAsia="es-MX"/>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078992"/>
      <w:docPartObj>
        <w:docPartGallery w:val="Page Numbers (Bottom of Page)"/>
        <w:docPartUnique/>
      </w:docPartObj>
    </w:sdtPr>
    <w:sdtEndPr>
      <w:rPr>
        <w:color w:val="FFFFFF" w:themeColor="background1"/>
      </w:rPr>
    </w:sdtEndPr>
    <w:sdtContent>
      <w:p w14:paraId="16AFDFB9" w14:textId="77777777" w:rsidR="00A759AA" w:rsidRDefault="00A759AA" w:rsidP="00FE1261">
        <w:pPr>
          <w:pStyle w:val="Piedepgina"/>
          <w:tabs>
            <w:tab w:val="clear" w:pos="8504"/>
            <w:tab w:val="right" w:pos="8789"/>
          </w:tabs>
          <w:ind w:left="-1418" w:right="332"/>
          <w:jc w:val="center"/>
        </w:pPr>
      </w:p>
      <w:p w14:paraId="74267261" w14:textId="77777777" w:rsidR="00A759AA" w:rsidRPr="00D9762C" w:rsidRDefault="00A759AA">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A84A61" w:rsidRPr="00A84A61">
          <w:rPr>
            <w:noProof/>
            <w:color w:val="FFFFFF" w:themeColor="background1"/>
            <w:lang w:val="es-ES"/>
          </w:rPr>
          <w:t>2</w:t>
        </w:r>
        <w:r w:rsidRPr="00D9762C">
          <w:rPr>
            <w:color w:val="FFFFFF" w:themeColor="background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610472"/>
      <w:docPartObj>
        <w:docPartGallery w:val="Page Numbers (Bottom of Page)"/>
        <w:docPartUnique/>
      </w:docPartObj>
    </w:sdtPr>
    <w:sdtEndPr>
      <w:rPr>
        <w:color w:val="FFFFFF" w:themeColor="background1"/>
      </w:rPr>
    </w:sdtEndPr>
    <w:sdtContent>
      <w:p w14:paraId="704E85F9" w14:textId="77777777" w:rsidR="00A759AA" w:rsidRPr="00A17DBE" w:rsidRDefault="00A759AA" w:rsidP="00FE1261">
        <w:pPr>
          <w:pStyle w:val="Piedepgina"/>
          <w:framePr w:w="724" w:h="535" w:hRule="exact" w:wrap="around" w:vAnchor="text" w:hAnchor="page" w:x="11101" w:y="343"/>
          <w:rPr>
            <w:rStyle w:val="Nmerodepgina"/>
            <w:rFonts w:ascii="Futura" w:hAnsi="Futura" w:cs="Futura" w:hint="eastAsia"/>
            <w:b/>
            <w:color w:val="595959" w:themeColor="text1" w:themeTint="A6"/>
            <w:sz w:val="20"/>
            <w:szCs w:val="20"/>
          </w:rPr>
        </w:pPr>
        <w:r w:rsidRPr="00A17DBE">
          <w:rPr>
            <w:rStyle w:val="Nmerodepgina"/>
            <w:rFonts w:ascii="Futura" w:hAnsi="Futura" w:cs="Futura"/>
            <w:b/>
            <w:color w:val="595959" w:themeColor="text1" w:themeTint="A6"/>
            <w:sz w:val="20"/>
            <w:szCs w:val="20"/>
          </w:rPr>
          <w:fldChar w:fldCharType="begin"/>
        </w:r>
        <w:r w:rsidRPr="00A17DBE">
          <w:rPr>
            <w:rStyle w:val="Nmerodepgina"/>
            <w:rFonts w:ascii="Futura" w:hAnsi="Futura" w:cs="Futura"/>
            <w:b/>
            <w:color w:val="595959" w:themeColor="text1" w:themeTint="A6"/>
            <w:sz w:val="20"/>
            <w:szCs w:val="20"/>
          </w:rPr>
          <w:instrText xml:space="preserve">PAGE  </w:instrText>
        </w:r>
        <w:r w:rsidRPr="00A17DBE">
          <w:rPr>
            <w:rStyle w:val="Nmerodepgina"/>
            <w:rFonts w:ascii="Futura" w:hAnsi="Futura" w:cs="Futura"/>
            <w:b/>
            <w:color w:val="595959" w:themeColor="text1" w:themeTint="A6"/>
            <w:sz w:val="20"/>
            <w:szCs w:val="20"/>
          </w:rPr>
          <w:fldChar w:fldCharType="separate"/>
        </w:r>
        <w:r w:rsidR="00A84A61">
          <w:rPr>
            <w:rStyle w:val="Nmerodepgina"/>
            <w:rFonts w:ascii="Futura" w:hAnsi="Futura" w:cs="Futura" w:hint="eastAsia"/>
            <w:b/>
            <w:noProof/>
            <w:color w:val="595959" w:themeColor="text1" w:themeTint="A6"/>
            <w:sz w:val="20"/>
            <w:szCs w:val="20"/>
          </w:rPr>
          <w:t>72</w:t>
        </w:r>
        <w:r w:rsidRPr="00A17DBE">
          <w:rPr>
            <w:rStyle w:val="Nmerodepgina"/>
            <w:rFonts w:ascii="Futura" w:hAnsi="Futura" w:cs="Futura"/>
            <w:b/>
            <w:color w:val="595959" w:themeColor="text1" w:themeTint="A6"/>
            <w:sz w:val="20"/>
            <w:szCs w:val="20"/>
          </w:rPr>
          <w:fldChar w:fldCharType="end"/>
        </w:r>
      </w:p>
      <w:p w14:paraId="0F768F74" w14:textId="0BA687DE" w:rsidR="00A759AA" w:rsidRDefault="00A759AA" w:rsidP="00FE1261">
        <w:pPr>
          <w:pStyle w:val="Piedepgina"/>
          <w:tabs>
            <w:tab w:val="clear" w:pos="8504"/>
            <w:tab w:val="right" w:pos="8789"/>
          </w:tabs>
          <w:ind w:left="-1418" w:right="332"/>
          <w:jc w:val="center"/>
        </w:pPr>
        <w:r>
          <w:rPr>
            <w:noProof/>
            <w:lang w:val="es-MX" w:eastAsia="es-MX"/>
          </w:rPr>
          <w:drawing>
            <wp:inline distT="0" distB="0" distL="0" distR="0" wp14:anchorId="3DD0FE3C" wp14:editId="2A72A812">
              <wp:extent cx="7772400" cy="756920"/>
              <wp:effectExtent l="0" t="0" r="0" b="0"/>
              <wp:docPr id="23" name="Imagen 23"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756920"/>
                      </a:xfrm>
                      <a:prstGeom prst="rect">
                        <a:avLst/>
                      </a:prstGeom>
                      <a:noFill/>
                      <a:ln>
                        <a:noFill/>
                      </a:ln>
                    </pic:spPr>
                  </pic:pic>
                </a:graphicData>
              </a:graphic>
            </wp:inline>
          </w:drawing>
        </w:r>
      </w:p>
      <w:p w14:paraId="526A217E" w14:textId="77777777" w:rsidR="00A759AA" w:rsidRPr="00D9762C" w:rsidRDefault="00A759AA">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A84A61" w:rsidRPr="00A84A61">
          <w:rPr>
            <w:noProof/>
            <w:color w:val="FFFFFF" w:themeColor="background1"/>
            <w:lang w:val="es-ES"/>
          </w:rPr>
          <w:t>72</w:t>
        </w:r>
        <w:r w:rsidRPr="00D9762C">
          <w:rPr>
            <w:color w:val="FFFFFF"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B5A09" w14:textId="77777777" w:rsidR="008E4226" w:rsidRDefault="008E4226" w:rsidP="00315CBE">
      <w:r>
        <w:separator/>
      </w:r>
    </w:p>
  </w:footnote>
  <w:footnote w:type="continuationSeparator" w:id="0">
    <w:p w14:paraId="698A7A63" w14:textId="77777777" w:rsidR="008E4226" w:rsidRDefault="008E4226" w:rsidP="0031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D2E8" w14:textId="77777777" w:rsidR="00A759AA" w:rsidRDefault="00A759AA" w:rsidP="00612870">
    <w:pPr>
      <w:pStyle w:val="Encabezado"/>
      <w:jc w:val="center"/>
    </w:pPr>
    <w:r>
      <w:rPr>
        <w:noProof/>
        <w:lang w:val="es-MX" w:eastAsia="es-MX"/>
      </w:rPr>
      <w:drawing>
        <wp:anchor distT="0" distB="0" distL="114300" distR="114300" simplePos="0" relativeHeight="251661312" behindDoc="1" locked="0" layoutInCell="1" allowOverlap="1" wp14:anchorId="28EE547E" wp14:editId="5A2C290F">
          <wp:simplePos x="0" y="0"/>
          <wp:positionH relativeFrom="column">
            <wp:posOffset>5558155</wp:posOffset>
          </wp:positionH>
          <wp:positionV relativeFrom="paragraph">
            <wp:posOffset>-38100</wp:posOffset>
          </wp:positionV>
          <wp:extent cx="838200" cy="72824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DAIPQROO.jpg"/>
                  <pic:cNvPicPr/>
                </pic:nvPicPr>
                <pic:blipFill>
                  <a:blip r:embed="rId1">
                    <a:extLst>
                      <a:ext uri="{28A0092B-C50C-407E-A947-70E740481C1C}">
                        <a14:useLocalDpi xmlns:a14="http://schemas.microsoft.com/office/drawing/2010/main" val="0"/>
                      </a:ext>
                    </a:extLst>
                  </a:blip>
                  <a:stretch>
                    <a:fillRect/>
                  </a:stretch>
                </pic:blipFill>
                <pic:spPr>
                  <a:xfrm>
                    <a:off x="0" y="0"/>
                    <a:ext cx="838200" cy="728249"/>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0288" behindDoc="0" locked="0" layoutInCell="1" allowOverlap="1" wp14:anchorId="6B3019A2" wp14:editId="2F545F5A">
          <wp:simplePos x="0" y="0"/>
          <wp:positionH relativeFrom="page">
            <wp:posOffset>577215</wp:posOffset>
          </wp:positionH>
          <wp:positionV relativeFrom="topMargin">
            <wp:posOffset>249555</wp:posOffset>
          </wp:positionV>
          <wp:extent cx="5419725" cy="1003935"/>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c:Desktop:Cuenta Publica hoja editorial HEAD1.png"/>
                  <pic:cNvPicPr>
                    <a:picLocks noChangeAspect="1" noChangeArrowheads="1"/>
                  </pic:cNvPicPr>
                </pic:nvPicPr>
                <pic:blipFill rotWithShape="1">
                  <a:blip r:embed="rId2">
                    <a:extLst>
                      <a:ext uri="{28A0092B-C50C-407E-A947-70E740481C1C}">
                        <a14:useLocalDpi xmlns:a14="http://schemas.microsoft.com/office/drawing/2010/main" val="0"/>
                      </a:ext>
                    </a:extLst>
                  </a:blip>
                  <a:srcRect r="28448"/>
                  <a:stretch/>
                </pic:blipFill>
                <pic:spPr bwMode="auto">
                  <a:xfrm>
                    <a:off x="0" y="0"/>
                    <a:ext cx="5419725" cy="1003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5A7B6" w14:textId="77777777" w:rsidR="00A759AA" w:rsidRDefault="00A759AA" w:rsidP="00612870">
    <w:pPr>
      <w:pStyle w:val="Encabezado"/>
      <w:jc w:val="center"/>
    </w:pPr>
    <w:r>
      <w:rPr>
        <w:noProof/>
        <w:lang w:val="es-MX" w:eastAsia="es-MX"/>
      </w:rPr>
      <w:drawing>
        <wp:anchor distT="0" distB="0" distL="114300" distR="114300" simplePos="0" relativeHeight="251664384" behindDoc="1" locked="0" layoutInCell="1" allowOverlap="1" wp14:anchorId="3B1FCFD4" wp14:editId="0E19D72F">
          <wp:simplePos x="0" y="0"/>
          <wp:positionH relativeFrom="margin">
            <wp:posOffset>5214620</wp:posOffset>
          </wp:positionH>
          <wp:positionV relativeFrom="paragraph">
            <wp:posOffset>381000</wp:posOffset>
          </wp:positionV>
          <wp:extent cx="838200" cy="728249"/>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DAIPQROO.jpg"/>
                  <pic:cNvPicPr/>
                </pic:nvPicPr>
                <pic:blipFill>
                  <a:blip r:embed="rId1">
                    <a:extLst>
                      <a:ext uri="{28A0092B-C50C-407E-A947-70E740481C1C}">
                        <a14:useLocalDpi xmlns:a14="http://schemas.microsoft.com/office/drawing/2010/main" val="0"/>
                      </a:ext>
                    </a:extLst>
                  </a:blip>
                  <a:stretch>
                    <a:fillRect/>
                  </a:stretch>
                </pic:blipFill>
                <pic:spPr>
                  <a:xfrm>
                    <a:off x="0" y="0"/>
                    <a:ext cx="838200" cy="728249"/>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3360" behindDoc="0" locked="0" layoutInCell="1" allowOverlap="1" wp14:anchorId="704DAB21" wp14:editId="6EAAF790">
          <wp:simplePos x="0" y="0"/>
          <wp:positionH relativeFrom="page">
            <wp:posOffset>577215</wp:posOffset>
          </wp:positionH>
          <wp:positionV relativeFrom="topMargin">
            <wp:posOffset>249555</wp:posOffset>
          </wp:positionV>
          <wp:extent cx="5419725" cy="1003935"/>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c:Desktop:Cuenta Publica hoja editorial HEAD1.png"/>
                  <pic:cNvPicPr>
                    <a:picLocks noChangeAspect="1" noChangeArrowheads="1"/>
                  </pic:cNvPicPr>
                </pic:nvPicPr>
                <pic:blipFill rotWithShape="1">
                  <a:blip r:embed="rId2">
                    <a:extLst>
                      <a:ext uri="{28A0092B-C50C-407E-A947-70E740481C1C}">
                        <a14:useLocalDpi xmlns:a14="http://schemas.microsoft.com/office/drawing/2010/main" val="0"/>
                      </a:ext>
                    </a:extLst>
                  </a:blip>
                  <a:srcRect r="28448"/>
                  <a:stretch/>
                </pic:blipFill>
                <pic:spPr bwMode="auto">
                  <a:xfrm>
                    <a:off x="0" y="0"/>
                    <a:ext cx="5419725" cy="1003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227"/>
    <w:multiLevelType w:val="multilevel"/>
    <w:tmpl w:val="77102500"/>
    <w:lvl w:ilvl="0">
      <w:start w:val="1"/>
      <w:numFmt w:val="bullet"/>
      <w:lvlText w:val=""/>
      <w:lvlJc w:val="left"/>
      <w:pPr>
        <w:ind w:left="2143" w:hanging="360"/>
      </w:pPr>
      <w:rPr>
        <w:rFonts w:ascii="Wingdings" w:hAnsi="Wingdings" w:hint="default"/>
      </w:rPr>
    </w:lvl>
    <w:lvl w:ilvl="1">
      <w:start w:val="1"/>
      <w:numFmt w:val="bullet"/>
      <w:lvlText w:val="o"/>
      <w:lvlJc w:val="left"/>
      <w:pPr>
        <w:ind w:left="2863" w:hanging="360"/>
      </w:pPr>
      <w:rPr>
        <w:rFonts w:ascii="Courier New" w:hAnsi="Courier New" w:hint="default"/>
      </w:rPr>
    </w:lvl>
    <w:lvl w:ilvl="2">
      <w:start w:val="1"/>
      <w:numFmt w:val="bullet"/>
      <w:lvlText w:val=""/>
      <w:lvlJc w:val="left"/>
      <w:pPr>
        <w:ind w:left="3583" w:hanging="360"/>
      </w:pPr>
      <w:rPr>
        <w:rFonts w:ascii="Wingdings" w:hAnsi="Wingdings" w:hint="default"/>
      </w:rPr>
    </w:lvl>
    <w:lvl w:ilvl="3">
      <w:start w:val="1"/>
      <w:numFmt w:val="bullet"/>
      <w:lvlText w:val=""/>
      <w:lvlJc w:val="left"/>
      <w:pPr>
        <w:ind w:left="4303" w:hanging="360"/>
      </w:pPr>
      <w:rPr>
        <w:rFonts w:ascii="Symbol" w:hAnsi="Symbol" w:hint="default"/>
      </w:rPr>
    </w:lvl>
    <w:lvl w:ilvl="4">
      <w:start w:val="1"/>
      <w:numFmt w:val="bullet"/>
      <w:lvlText w:val="o"/>
      <w:lvlJc w:val="left"/>
      <w:pPr>
        <w:ind w:left="5023" w:hanging="360"/>
      </w:pPr>
      <w:rPr>
        <w:rFonts w:ascii="Courier New" w:hAnsi="Courier New" w:hint="default"/>
      </w:rPr>
    </w:lvl>
    <w:lvl w:ilvl="5">
      <w:start w:val="1"/>
      <w:numFmt w:val="bullet"/>
      <w:lvlText w:val=""/>
      <w:lvlJc w:val="left"/>
      <w:pPr>
        <w:ind w:left="5743" w:hanging="360"/>
      </w:pPr>
      <w:rPr>
        <w:rFonts w:ascii="Wingdings" w:hAnsi="Wingdings" w:hint="default"/>
      </w:rPr>
    </w:lvl>
    <w:lvl w:ilvl="6">
      <w:start w:val="1"/>
      <w:numFmt w:val="bullet"/>
      <w:lvlText w:val=""/>
      <w:lvlJc w:val="left"/>
      <w:pPr>
        <w:ind w:left="6463" w:hanging="360"/>
      </w:pPr>
      <w:rPr>
        <w:rFonts w:ascii="Symbol" w:hAnsi="Symbol" w:hint="default"/>
      </w:rPr>
    </w:lvl>
    <w:lvl w:ilvl="7">
      <w:start w:val="1"/>
      <w:numFmt w:val="bullet"/>
      <w:lvlText w:val="o"/>
      <w:lvlJc w:val="left"/>
      <w:pPr>
        <w:ind w:left="7183" w:hanging="360"/>
      </w:pPr>
      <w:rPr>
        <w:rFonts w:ascii="Courier New" w:hAnsi="Courier New" w:hint="default"/>
      </w:rPr>
    </w:lvl>
    <w:lvl w:ilvl="8">
      <w:start w:val="1"/>
      <w:numFmt w:val="bullet"/>
      <w:lvlText w:val=""/>
      <w:lvlJc w:val="left"/>
      <w:pPr>
        <w:ind w:left="7903" w:hanging="360"/>
      </w:pPr>
      <w:rPr>
        <w:rFonts w:ascii="Wingdings" w:hAnsi="Wingdings" w:hint="default"/>
      </w:rPr>
    </w:lvl>
  </w:abstractNum>
  <w:abstractNum w:abstractNumId="1">
    <w:nsid w:val="05511D9F"/>
    <w:multiLevelType w:val="hybridMultilevel"/>
    <w:tmpl w:val="BBCAA902"/>
    <w:lvl w:ilvl="0" w:tplc="AF8C3BEE">
      <w:start w:val="1"/>
      <w:numFmt w:val="bullet"/>
      <w:lvlText w:val=""/>
      <w:lvlJc w:val="left"/>
      <w:pPr>
        <w:tabs>
          <w:tab w:val="num" w:pos="720"/>
        </w:tabs>
        <w:ind w:left="720" w:hanging="360"/>
      </w:pPr>
      <w:rPr>
        <w:rFonts w:ascii="Wingdings" w:hAnsi="Wingdings" w:hint="default"/>
        <w:color w:val="4BACC6" w:themeColor="accent5"/>
      </w:rPr>
    </w:lvl>
    <w:lvl w:ilvl="1" w:tplc="9F18D3FA" w:tentative="1">
      <w:start w:val="1"/>
      <w:numFmt w:val="bullet"/>
      <w:lvlText w:val="•"/>
      <w:lvlJc w:val="left"/>
      <w:pPr>
        <w:tabs>
          <w:tab w:val="num" w:pos="1440"/>
        </w:tabs>
        <w:ind w:left="1440" w:hanging="360"/>
      </w:pPr>
      <w:rPr>
        <w:rFonts w:ascii="Arial" w:hAnsi="Arial" w:hint="default"/>
      </w:rPr>
    </w:lvl>
    <w:lvl w:ilvl="2" w:tplc="C5AE233A" w:tentative="1">
      <w:start w:val="1"/>
      <w:numFmt w:val="bullet"/>
      <w:lvlText w:val="•"/>
      <w:lvlJc w:val="left"/>
      <w:pPr>
        <w:tabs>
          <w:tab w:val="num" w:pos="2160"/>
        </w:tabs>
        <w:ind w:left="2160" w:hanging="360"/>
      </w:pPr>
      <w:rPr>
        <w:rFonts w:ascii="Arial" w:hAnsi="Arial" w:hint="default"/>
      </w:rPr>
    </w:lvl>
    <w:lvl w:ilvl="3" w:tplc="C4E40086" w:tentative="1">
      <w:start w:val="1"/>
      <w:numFmt w:val="bullet"/>
      <w:lvlText w:val="•"/>
      <w:lvlJc w:val="left"/>
      <w:pPr>
        <w:tabs>
          <w:tab w:val="num" w:pos="2880"/>
        </w:tabs>
        <w:ind w:left="2880" w:hanging="360"/>
      </w:pPr>
      <w:rPr>
        <w:rFonts w:ascii="Arial" w:hAnsi="Arial" w:hint="default"/>
      </w:rPr>
    </w:lvl>
    <w:lvl w:ilvl="4" w:tplc="7D62AA24" w:tentative="1">
      <w:start w:val="1"/>
      <w:numFmt w:val="bullet"/>
      <w:lvlText w:val="•"/>
      <w:lvlJc w:val="left"/>
      <w:pPr>
        <w:tabs>
          <w:tab w:val="num" w:pos="3600"/>
        </w:tabs>
        <w:ind w:left="3600" w:hanging="360"/>
      </w:pPr>
      <w:rPr>
        <w:rFonts w:ascii="Arial" w:hAnsi="Arial" w:hint="default"/>
      </w:rPr>
    </w:lvl>
    <w:lvl w:ilvl="5" w:tplc="D2E05278" w:tentative="1">
      <w:start w:val="1"/>
      <w:numFmt w:val="bullet"/>
      <w:lvlText w:val="•"/>
      <w:lvlJc w:val="left"/>
      <w:pPr>
        <w:tabs>
          <w:tab w:val="num" w:pos="4320"/>
        </w:tabs>
        <w:ind w:left="4320" w:hanging="360"/>
      </w:pPr>
      <w:rPr>
        <w:rFonts w:ascii="Arial" w:hAnsi="Arial" w:hint="default"/>
      </w:rPr>
    </w:lvl>
    <w:lvl w:ilvl="6" w:tplc="4AD088F0" w:tentative="1">
      <w:start w:val="1"/>
      <w:numFmt w:val="bullet"/>
      <w:lvlText w:val="•"/>
      <w:lvlJc w:val="left"/>
      <w:pPr>
        <w:tabs>
          <w:tab w:val="num" w:pos="5040"/>
        </w:tabs>
        <w:ind w:left="5040" w:hanging="360"/>
      </w:pPr>
      <w:rPr>
        <w:rFonts w:ascii="Arial" w:hAnsi="Arial" w:hint="default"/>
      </w:rPr>
    </w:lvl>
    <w:lvl w:ilvl="7" w:tplc="C72456A2" w:tentative="1">
      <w:start w:val="1"/>
      <w:numFmt w:val="bullet"/>
      <w:lvlText w:val="•"/>
      <w:lvlJc w:val="left"/>
      <w:pPr>
        <w:tabs>
          <w:tab w:val="num" w:pos="5760"/>
        </w:tabs>
        <w:ind w:left="5760" w:hanging="360"/>
      </w:pPr>
      <w:rPr>
        <w:rFonts w:ascii="Arial" w:hAnsi="Arial" w:hint="default"/>
      </w:rPr>
    </w:lvl>
    <w:lvl w:ilvl="8" w:tplc="08343782" w:tentative="1">
      <w:start w:val="1"/>
      <w:numFmt w:val="bullet"/>
      <w:lvlText w:val="•"/>
      <w:lvlJc w:val="left"/>
      <w:pPr>
        <w:tabs>
          <w:tab w:val="num" w:pos="6480"/>
        </w:tabs>
        <w:ind w:left="6480" w:hanging="360"/>
      </w:pPr>
      <w:rPr>
        <w:rFonts w:ascii="Arial" w:hAnsi="Arial" w:hint="default"/>
      </w:rPr>
    </w:lvl>
  </w:abstractNum>
  <w:abstractNum w:abstractNumId="2">
    <w:nsid w:val="0993001F"/>
    <w:multiLevelType w:val="hybridMultilevel"/>
    <w:tmpl w:val="B3C2C6A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0A5A5630"/>
    <w:multiLevelType w:val="hybridMultilevel"/>
    <w:tmpl w:val="5D285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DF7C27"/>
    <w:multiLevelType w:val="hybridMultilevel"/>
    <w:tmpl w:val="F0E654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F46B71"/>
    <w:multiLevelType w:val="hybridMultilevel"/>
    <w:tmpl w:val="4A52B61A"/>
    <w:lvl w:ilvl="0" w:tplc="9C90CD3E">
      <w:start w:val="1"/>
      <w:numFmt w:val="bullet"/>
      <w:lvlText w:val=""/>
      <w:lvlJc w:val="left"/>
      <w:pPr>
        <w:tabs>
          <w:tab w:val="num" w:pos="720"/>
        </w:tabs>
        <w:ind w:left="720" w:hanging="360"/>
      </w:pPr>
      <w:rPr>
        <w:rFonts w:ascii="Wingdings" w:hAnsi="Wingdings" w:hint="default"/>
      </w:rPr>
    </w:lvl>
    <w:lvl w:ilvl="1" w:tplc="5B0C47E0" w:tentative="1">
      <w:start w:val="1"/>
      <w:numFmt w:val="bullet"/>
      <w:lvlText w:val=""/>
      <w:lvlJc w:val="left"/>
      <w:pPr>
        <w:tabs>
          <w:tab w:val="num" w:pos="1440"/>
        </w:tabs>
        <w:ind w:left="1440" w:hanging="360"/>
      </w:pPr>
      <w:rPr>
        <w:rFonts w:ascii="Wingdings" w:hAnsi="Wingdings" w:hint="default"/>
      </w:rPr>
    </w:lvl>
    <w:lvl w:ilvl="2" w:tplc="D3D8A1FA">
      <w:start w:val="2270"/>
      <w:numFmt w:val="bullet"/>
      <w:lvlText w:val=""/>
      <w:lvlJc w:val="left"/>
      <w:pPr>
        <w:tabs>
          <w:tab w:val="num" w:pos="2160"/>
        </w:tabs>
        <w:ind w:left="2160" w:hanging="360"/>
      </w:pPr>
      <w:rPr>
        <w:rFonts w:ascii="Wingdings" w:hAnsi="Wingdings" w:hint="default"/>
      </w:rPr>
    </w:lvl>
    <w:lvl w:ilvl="3" w:tplc="8C38A104" w:tentative="1">
      <w:start w:val="1"/>
      <w:numFmt w:val="bullet"/>
      <w:lvlText w:val=""/>
      <w:lvlJc w:val="left"/>
      <w:pPr>
        <w:tabs>
          <w:tab w:val="num" w:pos="2880"/>
        </w:tabs>
        <w:ind w:left="2880" w:hanging="360"/>
      </w:pPr>
      <w:rPr>
        <w:rFonts w:ascii="Wingdings" w:hAnsi="Wingdings" w:hint="default"/>
      </w:rPr>
    </w:lvl>
    <w:lvl w:ilvl="4" w:tplc="B0D21DA6" w:tentative="1">
      <w:start w:val="1"/>
      <w:numFmt w:val="bullet"/>
      <w:lvlText w:val=""/>
      <w:lvlJc w:val="left"/>
      <w:pPr>
        <w:tabs>
          <w:tab w:val="num" w:pos="3600"/>
        </w:tabs>
        <w:ind w:left="3600" w:hanging="360"/>
      </w:pPr>
      <w:rPr>
        <w:rFonts w:ascii="Wingdings" w:hAnsi="Wingdings" w:hint="default"/>
      </w:rPr>
    </w:lvl>
    <w:lvl w:ilvl="5" w:tplc="AED6F30E" w:tentative="1">
      <w:start w:val="1"/>
      <w:numFmt w:val="bullet"/>
      <w:lvlText w:val=""/>
      <w:lvlJc w:val="left"/>
      <w:pPr>
        <w:tabs>
          <w:tab w:val="num" w:pos="4320"/>
        </w:tabs>
        <w:ind w:left="4320" w:hanging="360"/>
      </w:pPr>
      <w:rPr>
        <w:rFonts w:ascii="Wingdings" w:hAnsi="Wingdings" w:hint="default"/>
      </w:rPr>
    </w:lvl>
    <w:lvl w:ilvl="6" w:tplc="1D3CCD8E" w:tentative="1">
      <w:start w:val="1"/>
      <w:numFmt w:val="bullet"/>
      <w:lvlText w:val=""/>
      <w:lvlJc w:val="left"/>
      <w:pPr>
        <w:tabs>
          <w:tab w:val="num" w:pos="5040"/>
        </w:tabs>
        <w:ind w:left="5040" w:hanging="360"/>
      </w:pPr>
      <w:rPr>
        <w:rFonts w:ascii="Wingdings" w:hAnsi="Wingdings" w:hint="default"/>
      </w:rPr>
    </w:lvl>
    <w:lvl w:ilvl="7" w:tplc="47DC1CAE" w:tentative="1">
      <w:start w:val="1"/>
      <w:numFmt w:val="bullet"/>
      <w:lvlText w:val=""/>
      <w:lvlJc w:val="left"/>
      <w:pPr>
        <w:tabs>
          <w:tab w:val="num" w:pos="5760"/>
        </w:tabs>
        <w:ind w:left="5760" w:hanging="360"/>
      </w:pPr>
      <w:rPr>
        <w:rFonts w:ascii="Wingdings" w:hAnsi="Wingdings" w:hint="default"/>
      </w:rPr>
    </w:lvl>
    <w:lvl w:ilvl="8" w:tplc="B616E9F8" w:tentative="1">
      <w:start w:val="1"/>
      <w:numFmt w:val="bullet"/>
      <w:lvlText w:val=""/>
      <w:lvlJc w:val="left"/>
      <w:pPr>
        <w:tabs>
          <w:tab w:val="num" w:pos="6480"/>
        </w:tabs>
        <w:ind w:left="6480" w:hanging="360"/>
      </w:pPr>
      <w:rPr>
        <w:rFonts w:ascii="Wingdings" w:hAnsi="Wingdings" w:hint="default"/>
      </w:rPr>
    </w:lvl>
  </w:abstractNum>
  <w:abstractNum w:abstractNumId="6">
    <w:nsid w:val="1397416E"/>
    <w:multiLevelType w:val="hybridMultilevel"/>
    <w:tmpl w:val="96AA83EC"/>
    <w:lvl w:ilvl="0" w:tplc="858A6F62">
      <w:start w:val="1"/>
      <w:numFmt w:val="bullet"/>
      <w:lvlText w:val=""/>
      <w:lvlJc w:val="left"/>
      <w:pPr>
        <w:ind w:left="720" w:hanging="360"/>
      </w:pPr>
      <w:rPr>
        <w:rFonts w:ascii="Wingdings" w:hAnsi="Wingdings" w:hint="default"/>
        <w:color w:val="31849B" w:themeColor="accent5" w:themeShade="B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49432E9"/>
    <w:multiLevelType w:val="hybridMultilevel"/>
    <w:tmpl w:val="104EDC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65323CA"/>
    <w:multiLevelType w:val="hybridMultilevel"/>
    <w:tmpl w:val="F580F5B8"/>
    <w:lvl w:ilvl="0" w:tplc="AF8C3BEE">
      <w:start w:val="1"/>
      <w:numFmt w:val="bullet"/>
      <w:lvlText w:val=""/>
      <w:lvlJc w:val="left"/>
      <w:pPr>
        <w:tabs>
          <w:tab w:val="num" w:pos="720"/>
        </w:tabs>
        <w:ind w:left="720" w:hanging="360"/>
      </w:pPr>
      <w:rPr>
        <w:rFonts w:ascii="Wingdings" w:hAnsi="Wingdings" w:hint="default"/>
        <w:color w:val="4BACC6" w:themeColor="accent5"/>
      </w:rPr>
    </w:lvl>
    <w:lvl w:ilvl="1" w:tplc="9ECA1F76" w:tentative="1">
      <w:start w:val="1"/>
      <w:numFmt w:val="bullet"/>
      <w:lvlText w:val="•"/>
      <w:lvlJc w:val="left"/>
      <w:pPr>
        <w:tabs>
          <w:tab w:val="num" w:pos="1440"/>
        </w:tabs>
        <w:ind w:left="1440" w:hanging="360"/>
      </w:pPr>
      <w:rPr>
        <w:rFonts w:ascii="Arial" w:hAnsi="Arial" w:hint="default"/>
      </w:rPr>
    </w:lvl>
    <w:lvl w:ilvl="2" w:tplc="5CFCB064" w:tentative="1">
      <w:start w:val="1"/>
      <w:numFmt w:val="bullet"/>
      <w:lvlText w:val="•"/>
      <w:lvlJc w:val="left"/>
      <w:pPr>
        <w:tabs>
          <w:tab w:val="num" w:pos="2160"/>
        </w:tabs>
        <w:ind w:left="2160" w:hanging="360"/>
      </w:pPr>
      <w:rPr>
        <w:rFonts w:ascii="Arial" w:hAnsi="Arial" w:hint="default"/>
      </w:rPr>
    </w:lvl>
    <w:lvl w:ilvl="3" w:tplc="883E5036" w:tentative="1">
      <w:start w:val="1"/>
      <w:numFmt w:val="bullet"/>
      <w:lvlText w:val="•"/>
      <w:lvlJc w:val="left"/>
      <w:pPr>
        <w:tabs>
          <w:tab w:val="num" w:pos="2880"/>
        </w:tabs>
        <w:ind w:left="2880" w:hanging="360"/>
      </w:pPr>
      <w:rPr>
        <w:rFonts w:ascii="Arial" w:hAnsi="Arial" w:hint="default"/>
      </w:rPr>
    </w:lvl>
    <w:lvl w:ilvl="4" w:tplc="9FD099F6" w:tentative="1">
      <w:start w:val="1"/>
      <w:numFmt w:val="bullet"/>
      <w:lvlText w:val="•"/>
      <w:lvlJc w:val="left"/>
      <w:pPr>
        <w:tabs>
          <w:tab w:val="num" w:pos="3600"/>
        </w:tabs>
        <w:ind w:left="3600" w:hanging="360"/>
      </w:pPr>
      <w:rPr>
        <w:rFonts w:ascii="Arial" w:hAnsi="Arial" w:hint="default"/>
      </w:rPr>
    </w:lvl>
    <w:lvl w:ilvl="5" w:tplc="1FAA3CB8" w:tentative="1">
      <w:start w:val="1"/>
      <w:numFmt w:val="bullet"/>
      <w:lvlText w:val="•"/>
      <w:lvlJc w:val="left"/>
      <w:pPr>
        <w:tabs>
          <w:tab w:val="num" w:pos="4320"/>
        </w:tabs>
        <w:ind w:left="4320" w:hanging="360"/>
      </w:pPr>
      <w:rPr>
        <w:rFonts w:ascii="Arial" w:hAnsi="Arial" w:hint="default"/>
      </w:rPr>
    </w:lvl>
    <w:lvl w:ilvl="6" w:tplc="C9EE6AC0" w:tentative="1">
      <w:start w:val="1"/>
      <w:numFmt w:val="bullet"/>
      <w:lvlText w:val="•"/>
      <w:lvlJc w:val="left"/>
      <w:pPr>
        <w:tabs>
          <w:tab w:val="num" w:pos="5040"/>
        </w:tabs>
        <w:ind w:left="5040" w:hanging="360"/>
      </w:pPr>
      <w:rPr>
        <w:rFonts w:ascii="Arial" w:hAnsi="Arial" w:hint="default"/>
      </w:rPr>
    </w:lvl>
    <w:lvl w:ilvl="7" w:tplc="C428ACC2" w:tentative="1">
      <w:start w:val="1"/>
      <w:numFmt w:val="bullet"/>
      <w:lvlText w:val="•"/>
      <w:lvlJc w:val="left"/>
      <w:pPr>
        <w:tabs>
          <w:tab w:val="num" w:pos="5760"/>
        </w:tabs>
        <w:ind w:left="5760" w:hanging="360"/>
      </w:pPr>
      <w:rPr>
        <w:rFonts w:ascii="Arial" w:hAnsi="Arial" w:hint="default"/>
      </w:rPr>
    </w:lvl>
    <w:lvl w:ilvl="8" w:tplc="3F340E32" w:tentative="1">
      <w:start w:val="1"/>
      <w:numFmt w:val="bullet"/>
      <w:lvlText w:val="•"/>
      <w:lvlJc w:val="left"/>
      <w:pPr>
        <w:tabs>
          <w:tab w:val="num" w:pos="6480"/>
        </w:tabs>
        <w:ind w:left="6480" w:hanging="360"/>
      </w:pPr>
      <w:rPr>
        <w:rFonts w:ascii="Arial" w:hAnsi="Arial" w:hint="default"/>
      </w:rPr>
    </w:lvl>
  </w:abstractNum>
  <w:abstractNum w:abstractNumId="9">
    <w:nsid w:val="1B85641B"/>
    <w:multiLevelType w:val="multilevel"/>
    <w:tmpl w:val="03B0D946"/>
    <w:lvl w:ilvl="0">
      <w:start w:val="1"/>
      <w:numFmt w:val="decimal"/>
      <w:lvlText w:val="%1"/>
      <w:lvlJc w:val="left"/>
      <w:pPr>
        <w:ind w:left="432" w:hanging="432"/>
      </w:pPr>
    </w:lvl>
    <w:lvl w:ilvl="1">
      <w:start w:val="1"/>
      <w:numFmt w:val="decimal"/>
      <w:lvlText w:val="%2"/>
      <w:lvlJc w:val="left"/>
      <w:pPr>
        <w:ind w:left="718" w:hanging="576"/>
      </w:pPr>
      <w:rPr>
        <w:rFonts w:ascii="Futura Lt BT" w:eastAsia="Times New Roman" w:hAnsi="Futura Lt BT" w:cs="Times New Roman"/>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nsid w:val="1D5F7990"/>
    <w:multiLevelType w:val="hybridMultilevel"/>
    <w:tmpl w:val="3386E3A4"/>
    <w:lvl w:ilvl="0" w:tplc="970C2D9A">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1FA526B3"/>
    <w:multiLevelType w:val="hybridMultilevel"/>
    <w:tmpl w:val="E7F075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334955"/>
    <w:multiLevelType w:val="hybridMultilevel"/>
    <w:tmpl w:val="0574A25C"/>
    <w:lvl w:ilvl="0" w:tplc="1A86D1CA">
      <w:start w:val="1"/>
      <w:numFmt w:val="bullet"/>
      <w:lvlText w:val="•"/>
      <w:lvlJc w:val="left"/>
      <w:pPr>
        <w:tabs>
          <w:tab w:val="num" w:pos="720"/>
        </w:tabs>
        <w:ind w:left="720" w:hanging="360"/>
      </w:pPr>
      <w:rPr>
        <w:rFonts w:ascii="Arial" w:hAnsi="Arial" w:hint="default"/>
      </w:rPr>
    </w:lvl>
    <w:lvl w:ilvl="1" w:tplc="B14AE882" w:tentative="1">
      <w:start w:val="1"/>
      <w:numFmt w:val="bullet"/>
      <w:lvlText w:val="•"/>
      <w:lvlJc w:val="left"/>
      <w:pPr>
        <w:tabs>
          <w:tab w:val="num" w:pos="1440"/>
        </w:tabs>
        <w:ind w:left="1440" w:hanging="360"/>
      </w:pPr>
      <w:rPr>
        <w:rFonts w:ascii="Arial" w:hAnsi="Arial" w:hint="default"/>
      </w:rPr>
    </w:lvl>
    <w:lvl w:ilvl="2" w:tplc="532AD762" w:tentative="1">
      <w:start w:val="1"/>
      <w:numFmt w:val="bullet"/>
      <w:lvlText w:val="•"/>
      <w:lvlJc w:val="left"/>
      <w:pPr>
        <w:tabs>
          <w:tab w:val="num" w:pos="2160"/>
        </w:tabs>
        <w:ind w:left="2160" w:hanging="360"/>
      </w:pPr>
      <w:rPr>
        <w:rFonts w:ascii="Arial" w:hAnsi="Arial" w:hint="default"/>
      </w:rPr>
    </w:lvl>
    <w:lvl w:ilvl="3" w:tplc="4A564380" w:tentative="1">
      <w:start w:val="1"/>
      <w:numFmt w:val="bullet"/>
      <w:lvlText w:val="•"/>
      <w:lvlJc w:val="left"/>
      <w:pPr>
        <w:tabs>
          <w:tab w:val="num" w:pos="2880"/>
        </w:tabs>
        <w:ind w:left="2880" w:hanging="360"/>
      </w:pPr>
      <w:rPr>
        <w:rFonts w:ascii="Arial" w:hAnsi="Arial" w:hint="default"/>
      </w:rPr>
    </w:lvl>
    <w:lvl w:ilvl="4" w:tplc="FD7ACE14" w:tentative="1">
      <w:start w:val="1"/>
      <w:numFmt w:val="bullet"/>
      <w:lvlText w:val="•"/>
      <w:lvlJc w:val="left"/>
      <w:pPr>
        <w:tabs>
          <w:tab w:val="num" w:pos="3600"/>
        </w:tabs>
        <w:ind w:left="3600" w:hanging="360"/>
      </w:pPr>
      <w:rPr>
        <w:rFonts w:ascii="Arial" w:hAnsi="Arial" w:hint="default"/>
      </w:rPr>
    </w:lvl>
    <w:lvl w:ilvl="5" w:tplc="4B80E430" w:tentative="1">
      <w:start w:val="1"/>
      <w:numFmt w:val="bullet"/>
      <w:lvlText w:val="•"/>
      <w:lvlJc w:val="left"/>
      <w:pPr>
        <w:tabs>
          <w:tab w:val="num" w:pos="4320"/>
        </w:tabs>
        <w:ind w:left="4320" w:hanging="360"/>
      </w:pPr>
      <w:rPr>
        <w:rFonts w:ascii="Arial" w:hAnsi="Arial" w:hint="default"/>
      </w:rPr>
    </w:lvl>
    <w:lvl w:ilvl="6" w:tplc="98B26E4E" w:tentative="1">
      <w:start w:val="1"/>
      <w:numFmt w:val="bullet"/>
      <w:lvlText w:val="•"/>
      <w:lvlJc w:val="left"/>
      <w:pPr>
        <w:tabs>
          <w:tab w:val="num" w:pos="5040"/>
        </w:tabs>
        <w:ind w:left="5040" w:hanging="360"/>
      </w:pPr>
      <w:rPr>
        <w:rFonts w:ascii="Arial" w:hAnsi="Arial" w:hint="default"/>
      </w:rPr>
    </w:lvl>
    <w:lvl w:ilvl="7" w:tplc="002ABA38" w:tentative="1">
      <w:start w:val="1"/>
      <w:numFmt w:val="bullet"/>
      <w:lvlText w:val="•"/>
      <w:lvlJc w:val="left"/>
      <w:pPr>
        <w:tabs>
          <w:tab w:val="num" w:pos="5760"/>
        </w:tabs>
        <w:ind w:left="5760" w:hanging="360"/>
      </w:pPr>
      <w:rPr>
        <w:rFonts w:ascii="Arial" w:hAnsi="Arial" w:hint="default"/>
      </w:rPr>
    </w:lvl>
    <w:lvl w:ilvl="8" w:tplc="77CAF988" w:tentative="1">
      <w:start w:val="1"/>
      <w:numFmt w:val="bullet"/>
      <w:lvlText w:val="•"/>
      <w:lvlJc w:val="left"/>
      <w:pPr>
        <w:tabs>
          <w:tab w:val="num" w:pos="6480"/>
        </w:tabs>
        <w:ind w:left="6480" w:hanging="360"/>
      </w:pPr>
      <w:rPr>
        <w:rFonts w:ascii="Arial" w:hAnsi="Arial" w:hint="default"/>
      </w:rPr>
    </w:lvl>
  </w:abstractNum>
  <w:abstractNum w:abstractNumId="13">
    <w:nsid w:val="253406AC"/>
    <w:multiLevelType w:val="hybridMultilevel"/>
    <w:tmpl w:val="649C5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CA4637"/>
    <w:multiLevelType w:val="hybridMultilevel"/>
    <w:tmpl w:val="6250219C"/>
    <w:lvl w:ilvl="0" w:tplc="AF8C3BEE">
      <w:start w:val="1"/>
      <w:numFmt w:val="bullet"/>
      <w:lvlText w:val=""/>
      <w:lvlJc w:val="left"/>
      <w:pPr>
        <w:tabs>
          <w:tab w:val="num" w:pos="720"/>
        </w:tabs>
        <w:ind w:left="720" w:hanging="360"/>
      </w:pPr>
      <w:rPr>
        <w:rFonts w:ascii="Wingdings" w:hAnsi="Wingdings" w:hint="default"/>
        <w:color w:val="4BACC6" w:themeColor="accent5"/>
      </w:rPr>
    </w:lvl>
    <w:lvl w:ilvl="1" w:tplc="5B926314" w:tentative="1">
      <w:start w:val="1"/>
      <w:numFmt w:val="bullet"/>
      <w:lvlText w:val="•"/>
      <w:lvlJc w:val="left"/>
      <w:pPr>
        <w:tabs>
          <w:tab w:val="num" w:pos="1440"/>
        </w:tabs>
        <w:ind w:left="1440" w:hanging="360"/>
      </w:pPr>
      <w:rPr>
        <w:rFonts w:ascii="Arial" w:hAnsi="Arial" w:hint="default"/>
      </w:rPr>
    </w:lvl>
    <w:lvl w:ilvl="2" w:tplc="822A1EA6" w:tentative="1">
      <w:start w:val="1"/>
      <w:numFmt w:val="bullet"/>
      <w:lvlText w:val="•"/>
      <w:lvlJc w:val="left"/>
      <w:pPr>
        <w:tabs>
          <w:tab w:val="num" w:pos="2160"/>
        </w:tabs>
        <w:ind w:left="2160" w:hanging="360"/>
      </w:pPr>
      <w:rPr>
        <w:rFonts w:ascii="Arial" w:hAnsi="Arial" w:hint="default"/>
      </w:rPr>
    </w:lvl>
    <w:lvl w:ilvl="3" w:tplc="4906BB58" w:tentative="1">
      <w:start w:val="1"/>
      <w:numFmt w:val="bullet"/>
      <w:lvlText w:val="•"/>
      <w:lvlJc w:val="left"/>
      <w:pPr>
        <w:tabs>
          <w:tab w:val="num" w:pos="2880"/>
        </w:tabs>
        <w:ind w:left="2880" w:hanging="360"/>
      </w:pPr>
      <w:rPr>
        <w:rFonts w:ascii="Arial" w:hAnsi="Arial" w:hint="default"/>
      </w:rPr>
    </w:lvl>
    <w:lvl w:ilvl="4" w:tplc="C3924120" w:tentative="1">
      <w:start w:val="1"/>
      <w:numFmt w:val="bullet"/>
      <w:lvlText w:val="•"/>
      <w:lvlJc w:val="left"/>
      <w:pPr>
        <w:tabs>
          <w:tab w:val="num" w:pos="3600"/>
        </w:tabs>
        <w:ind w:left="3600" w:hanging="360"/>
      </w:pPr>
      <w:rPr>
        <w:rFonts w:ascii="Arial" w:hAnsi="Arial" w:hint="default"/>
      </w:rPr>
    </w:lvl>
    <w:lvl w:ilvl="5" w:tplc="B34E4D88" w:tentative="1">
      <w:start w:val="1"/>
      <w:numFmt w:val="bullet"/>
      <w:lvlText w:val="•"/>
      <w:lvlJc w:val="left"/>
      <w:pPr>
        <w:tabs>
          <w:tab w:val="num" w:pos="4320"/>
        </w:tabs>
        <w:ind w:left="4320" w:hanging="360"/>
      </w:pPr>
      <w:rPr>
        <w:rFonts w:ascii="Arial" w:hAnsi="Arial" w:hint="default"/>
      </w:rPr>
    </w:lvl>
    <w:lvl w:ilvl="6" w:tplc="D7CEADDE" w:tentative="1">
      <w:start w:val="1"/>
      <w:numFmt w:val="bullet"/>
      <w:lvlText w:val="•"/>
      <w:lvlJc w:val="left"/>
      <w:pPr>
        <w:tabs>
          <w:tab w:val="num" w:pos="5040"/>
        </w:tabs>
        <w:ind w:left="5040" w:hanging="360"/>
      </w:pPr>
      <w:rPr>
        <w:rFonts w:ascii="Arial" w:hAnsi="Arial" w:hint="default"/>
      </w:rPr>
    </w:lvl>
    <w:lvl w:ilvl="7" w:tplc="94B43D0A" w:tentative="1">
      <w:start w:val="1"/>
      <w:numFmt w:val="bullet"/>
      <w:lvlText w:val="•"/>
      <w:lvlJc w:val="left"/>
      <w:pPr>
        <w:tabs>
          <w:tab w:val="num" w:pos="5760"/>
        </w:tabs>
        <w:ind w:left="5760" w:hanging="360"/>
      </w:pPr>
      <w:rPr>
        <w:rFonts w:ascii="Arial" w:hAnsi="Arial" w:hint="default"/>
      </w:rPr>
    </w:lvl>
    <w:lvl w:ilvl="8" w:tplc="2E0033D0" w:tentative="1">
      <w:start w:val="1"/>
      <w:numFmt w:val="bullet"/>
      <w:lvlText w:val="•"/>
      <w:lvlJc w:val="left"/>
      <w:pPr>
        <w:tabs>
          <w:tab w:val="num" w:pos="6480"/>
        </w:tabs>
        <w:ind w:left="6480" w:hanging="360"/>
      </w:pPr>
      <w:rPr>
        <w:rFonts w:ascii="Arial" w:hAnsi="Arial" w:hint="default"/>
      </w:rPr>
    </w:lvl>
  </w:abstractNum>
  <w:abstractNum w:abstractNumId="15">
    <w:nsid w:val="37F03B36"/>
    <w:multiLevelType w:val="hybridMultilevel"/>
    <w:tmpl w:val="F6AE0AA0"/>
    <w:lvl w:ilvl="0" w:tplc="AF8C3BEE">
      <w:start w:val="1"/>
      <w:numFmt w:val="bullet"/>
      <w:lvlText w:val=""/>
      <w:lvlJc w:val="left"/>
      <w:pPr>
        <w:ind w:left="360" w:hanging="360"/>
      </w:pPr>
      <w:rPr>
        <w:rFonts w:ascii="Wingdings" w:hAnsi="Wingdings" w:hint="default"/>
        <w:color w:val="4BACC6" w:themeColor="accent5"/>
      </w:rPr>
    </w:lvl>
    <w:lvl w:ilvl="1" w:tplc="0EE611F2">
      <w:numFmt w:val="bullet"/>
      <w:lvlText w:val="•"/>
      <w:lvlJc w:val="left"/>
      <w:pPr>
        <w:ind w:left="1080" w:hanging="360"/>
      </w:pPr>
      <w:rPr>
        <w:rFonts w:ascii="Futura T OT Book" w:eastAsia="Times New Roman" w:hAnsi="Futura T OT Book" w:cs="Futura"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3C277228"/>
    <w:multiLevelType w:val="hybridMultilevel"/>
    <w:tmpl w:val="51885C5C"/>
    <w:lvl w:ilvl="0" w:tplc="519C62F8">
      <w:numFmt w:val="bullet"/>
      <w:lvlText w:val="•"/>
      <w:lvlJc w:val="left"/>
      <w:pPr>
        <w:ind w:left="720" w:hanging="360"/>
      </w:pPr>
      <w:rPr>
        <w:rFonts w:ascii="Futura T OT Book" w:eastAsiaTheme="minorEastAsia" w:hAnsi="Futura T OT Book" w:cs="Futur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FF0199A"/>
    <w:multiLevelType w:val="hybridMultilevel"/>
    <w:tmpl w:val="C406C3D2"/>
    <w:lvl w:ilvl="0" w:tplc="D208012E">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44C1713F"/>
    <w:multiLevelType w:val="hybridMultilevel"/>
    <w:tmpl w:val="B1D2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5A874B4"/>
    <w:multiLevelType w:val="hybridMultilevel"/>
    <w:tmpl w:val="3C7CC808"/>
    <w:lvl w:ilvl="0" w:tplc="4E349504">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483139A5"/>
    <w:multiLevelType w:val="hybridMultilevel"/>
    <w:tmpl w:val="52ECB788"/>
    <w:lvl w:ilvl="0" w:tplc="E8769D1A">
      <w:start w:val="1"/>
      <w:numFmt w:val="upperRoman"/>
      <w:lvlText w:val="%1."/>
      <w:lvlJc w:val="left"/>
      <w:pPr>
        <w:ind w:left="1080" w:hanging="720"/>
      </w:pPr>
      <w:rPr>
        <w:rFonts w:hint="default"/>
        <w:sz w:val="36"/>
        <w:szCs w:val="3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86061E"/>
    <w:multiLevelType w:val="hybridMultilevel"/>
    <w:tmpl w:val="73086F68"/>
    <w:lvl w:ilvl="0" w:tplc="AF8C3BEE">
      <w:start w:val="1"/>
      <w:numFmt w:val="bullet"/>
      <w:lvlText w:val=""/>
      <w:lvlJc w:val="left"/>
      <w:pPr>
        <w:tabs>
          <w:tab w:val="num" w:pos="720"/>
        </w:tabs>
        <w:ind w:left="720" w:hanging="360"/>
      </w:pPr>
      <w:rPr>
        <w:rFonts w:ascii="Wingdings" w:hAnsi="Wingdings" w:hint="default"/>
        <w:color w:val="4BACC6" w:themeColor="accent5"/>
      </w:rPr>
    </w:lvl>
    <w:lvl w:ilvl="1" w:tplc="164CE152" w:tentative="1">
      <w:start w:val="1"/>
      <w:numFmt w:val="bullet"/>
      <w:lvlText w:val="•"/>
      <w:lvlJc w:val="left"/>
      <w:pPr>
        <w:tabs>
          <w:tab w:val="num" w:pos="1440"/>
        </w:tabs>
        <w:ind w:left="1440" w:hanging="360"/>
      </w:pPr>
      <w:rPr>
        <w:rFonts w:ascii="Arial" w:hAnsi="Arial" w:hint="default"/>
      </w:rPr>
    </w:lvl>
    <w:lvl w:ilvl="2" w:tplc="B2B2E3D2" w:tentative="1">
      <w:start w:val="1"/>
      <w:numFmt w:val="bullet"/>
      <w:lvlText w:val="•"/>
      <w:lvlJc w:val="left"/>
      <w:pPr>
        <w:tabs>
          <w:tab w:val="num" w:pos="2160"/>
        </w:tabs>
        <w:ind w:left="2160" w:hanging="360"/>
      </w:pPr>
      <w:rPr>
        <w:rFonts w:ascii="Arial" w:hAnsi="Arial" w:hint="default"/>
      </w:rPr>
    </w:lvl>
    <w:lvl w:ilvl="3" w:tplc="983499FA" w:tentative="1">
      <w:start w:val="1"/>
      <w:numFmt w:val="bullet"/>
      <w:lvlText w:val="•"/>
      <w:lvlJc w:val="left"/>
      <w:pPr>
        <w:tabs>
          <w:tab w:val="num" w:pos="2880"/>
        </w:tabs>
        <w:ind w:left="2880" w:hanging="360"/>
      </w:pPr>
      <w:rPr>
        <w:rFonts w:ascii="Arial" w:hAnsi="Arial" w:hint="default"/>
      </w:rPr>
    </w:lvl>
    <w:lvl w:ilvl="4" w:tplc="818EB4DC" w:tentative="1">
      <w:start w:val="1"/>
      <w:numFmt w:val="bullet"/>
      <w:lvlText w:val="•"/>
      <w:lvlJc w:val="left"/>
      <w:pPr>
        <w:tabs>
          <w:tab w:val="num" w:pos="3600"/>
        </w:tabs>
        <w:ind w:left="3600" w:hanging="360"/>
      </w:pPr>
      <w:rPr>
        <w:rFonts w:ascii="Arial" w:hAnsi="Arial" w:hint="default"/>
      </w:rPr>
    </w:lvl>
    <w:lvl w:ilvl="5" w:tplc="035EA662" w:tentative="1">
      <w:start w:val="1"/>
      <w:numFmt w:val="bullet"/>
      <w:lvlText w:val="•"/>
      <w:lvlJc w:val="left"/>
      <w:pPr>
        <w:tabs>
          <w:tab w:val="num" w:pos="4320"/>
        </w:tabs>
        <w:ind w:left="4320" w:hanging="360"/>
      </w:pPr>
      <w:rPr>
        <w:rFonts w:ascii="Arial" w:hAnsi="Arial" w:hint="default"/>
      </w:rPr>
    </w:lvl>
    <w:lvl w:ilvl="6" w:tplc="92A4205A" w:tentative="1">
      <w:start w:val="1"/>
      <w:numFmt w:val="bullet"/>
      <w:lvlText w:val="•"/>
      <w:lvlJc w:val="left"/>
      <w:pPr>
        <w:tabs>
          <w:tab w:val="num" w:pos="5040"/>
        </w:tabs>
        <w:ind w:left="5040" w:hanging="360"/>
      </w:pPr>
      <w:rPr>
        <w:rFonts w:ascii="Arial" w:hAnsi="Arial" w:hint="default"/>
      </w:rPr>
    </w:lvl>
    <w:lvl w:ilvl="7" w:tplc="6A6AC3EA" w:tentative="1">
      <w:start w:val="1"/>
      <w:numFmt w:val="bullet"/>
      <w:lvlText w:val="•"/>
      <w:lvlJc w:val="left"/>
      <w:pPr>
        <w:tabs>
          <w:tab w:val="num" w:pos="5760"/>
        </w:tabs>
        <w:ind w:left="5760" w:hanging="360"/>
      </w:pPr>
      <w:rPr>
        <w:rFonts w:ascii="Arial" w:hAnsi="Arial" w:hint="default"/>
      </w:rPr>
    </w:lvl>
    <w:lvl w:ilvl="8" w:tplc="912A6CAE" w:tentative="1">
      <w:start w:val="1"/>
      <w:numFmt w:val="bullet"/>
      <w:lvlText w:val="•"/>
      <w:lvlJc w:val="left"/>
      <w:pPr>
        <w:tabs>
          <w:tab w:val="num" w:pos="6480"/>
        </w:tabs>
        <w:ind w:left="6480" w:hanging="360"/>
      </w:pPr>
      <w:rPr>
        <w:rFonts w:ascii="Arial" w:hAnsi="Arial" w:hint="default"/>
      </w:rPr>
    </w:lvl>
  </w:abstractNum>
  <w:abstractNum w:abstractNumId="22">
    <w:nsid w:val="50075BEF"/>
    <w:multiLevelType w:val="hybridMultilevel"/>
    <w:tmpl w:val="4B741A68"/>
    <w:lvl w:ilvl="0" w:tplc="7186A402">
      <w:start w:val="1"/>
      <w:numFmt w:val="bullet"/>
      <w:lvlText w:val=""/>
      <w:lvlJc w:val="left"/>
      <w:pPr>
        <w:tabs>
          <w:tab w:val="num" w:pos="1068"/>
        </w:tabs>
        <w:ind w:left="1068" w:hanging="360"/>
      </w:pPr>
      <w:rPr>
        <w:rFonts w:ascii="Symbol" w:hAnsi="Symbol" w:hint="default"/>
      </w:rPr>
    </w:lvl>
    <w:lvl w:ilvl="1" w:tplc="080A0003" w:tentative="1">
      <w:start w:val="1"/>
      <w:numFmt w:val="bullet"/>
      <w:lvlText w:val="o"/>
      <w:lvlJc w:val="left"/>
      <w:pPr>
        <w:ind w:left="-4089" w:hanging="360"/>
      </w:pPr>
      <w:rPr>
        <w:rFonts w:ascii="Courier New" w:hAnsi="Courier New" w:cs="Courier New" w:hint="default"/>
      </w:rPr>
    </w:lvl>
    <w:lvl w:ilvl="2" w:tplc="080A0005" w:tentative="1">
      <w:start w:val="1"/>
      <w:numFmt w:val="bullet"/>
      <w:lvlText w:val=""/>
      <w:lvlJc w:val="left"/>
      <w:pPr>
        <w:ind w:left="-3369" w:hanging="360"/>
      </w:pPr>
      <w:rPr>
        <w:rFonts w:ascii="Wingdings" w:hAnsi="Wingdings" w:hint="default"/>
      </w:rPr>
    </w:lvl>
    <w:lvl w:ilvl="3" w:tplc="080A0001" w:tentative="1">
      <w:start w:val="1"/>
      <w:numFmt w:val="bullet"/>
      <w:lvlText w:val=""/>
      <w:lvlJc w:val="left"/>
      <w:pPr>
        <w:ind w:left="-2649" w:hanging="360"/>
      </w:pPr>
      <w:rPr>
        <w:rFonts w:ascii="Symbol" w:hAnsi="Symbol" w:hint="default"/>
      </w:rPr>
    </w:lvl>
    <w:lvl w:ilvl="4" w:tplc="080A0003" w:tentative="1">
      <w:start w:val="1"/>
      <w:numFmt w:val="bullet"/>
      <w:lvlText w:val="o"/>
      <w:lvlJc w:val="left"/>
      <w:pPr>
        <w:ind w:left="-1929" w:hanging="360"/>
      </w:pPr>
      <w:rPr>
        <w:rFonts w:ascii="Courier New" w:hAnsi="Courier New" w:cs="Courier New" w:hint="default"/>
      </w:rPr>
    </w:lvl>
    <w:lvl w:ilvl="5" w:tplc="080A0005" w:tentative="1">
      <w:start w:val="1"/>
      <w:numFmt w:val="bullet"/>
      <w:lvlText w:val=""/>
      <w:lvlJc w:val="left"/>
      <w:pPr>
        <w:ind w:left="-1209" w:hanging="360"/>
      </w:pPr>
      <w:rPr>
        <w:rFonts w:ascii="Wingdings" w:hAnsi="Wingdings" w:hint="default"/>
      </w:rPr>
    </w:lvl>
    <w:lvl w:ilvl="6" w:tplc="080A0001" w:tentative="1">
      <w:start w:val="1"/>
      <w:numFmt w:val="bullet"/>
      <w:lvlText w:val=""/>
      <w:lvlJc w:val="left"/>
      <w:pPr>
        <w:ind w:left="-489" w:hanging="360"/>
      </w:pPr>
      <w:rPr>
        <w:rFonts w:ascii="Symbol" w:hAnsi="Symbol" w:hint="default"/>
      </w:rPr>
    </w:lvl>
    <w:lvl w:ilvl="7" w:tplc="080A0003" w:tentative="1">
      <w:start w:val="1"/>
      <w:numFmt w:val="bullet"/>
      <w:lvlText w:val="o"/>
      <w:lvlJc w:val="left"/>
      <w:pPr>
        <w:ind w:left="231" w:hanging="360"/>
      </w:pPr>
      <w:rPr>
        <w:rFonts w:ascii="Courier New" w:hAnsi="Courier New" w:cs="Courier New" w:hint="default"/>
      </w:rPr>
    </w:lvl>
    <w:lvl w:ilvl="8" w:tplc="080A0005" w:tentative="1">
      <w:start w:val="1"/>
      <w:numFmt w:val="bullet"/>
      <w:lvlText w:val=""/>
      <w:lvlJc w:val="left"/>
      <w:pPr>
        <w:ind w:left="951" w:hanging="360"/>
      </w:pPr>
      <w:rPr>
        <w:rFonts w:ascii="Wingdings" w:hAnsi="Wingdings" w:hint="default"/>
      </w:rPr>
    </w:lvl>
  </w:abstractNum>
  <w:abstractNum w:abstractNumId="23">
    <w:nsid w:val="5E397D05"/>
    <w:multiLevelType w:val="hybridMultilevel"/>
    <w:tmpl w:val="C2304260"/>
    <w:lvl w:ilvl="0" w:tplc="CA9427B0">
      <w:start w:val="1"/>
      <w:numFmt w:val="lowerLetter"/>
      <w:lvlText w:val="%1)"/>
      <w:lvlJc w:val="left"/>
      <w:pPr>
        <w:ind w:left="720" w:hanging="360"/>
      </w:pPr>
      <w:rPr>
        <w:rFonts w:ascii="Arial" w:eastAsia="Arial" w:hAnsi="Arial"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BE5EBA"/>
    <w:multiLevelType w:val="hybridMultilevel"/>
    <w:tmpl w:val="7C66E2D6"/>
    <w:lvl w:ilvl="0" w:tplc="CD8AA7A0">
      <w:start w:val="1"/>
      <w:numFmt w:val="bullet"/>
      <w:lvlText w:val="•"/>
      <w:lvlJc w:val="left"/>
      <w:pPr>
        <w:tabs>
          <w:tab w:val="num" w:pos="360"/>
        </w:tabs>
        <w:ind w:left="360" w:hanging="360"/>
      </w:pPr>
      <w:rPr>
        <w:rFonts w:ascii="Arial" w:hAnsi="Arial" w:hint="default"/>
      </w:rPr>
    </w:lvl>
    <w:lvl w:ilvl="1" w:tplc="1BFE3A14">
      <w:start w:val="1277"/>
      <w:numFmt w:val="bullet"/>
      <w:lvlText w:val="–"/>
      <w:lvlJc w:val="left"/>
      <w:pPr>
        <w:tabs>
          <w:tab w:val="num" w:pos="1080"/>
        </w:tabs>
        <w:ind w:left="1080" w:hanging="360"/>
      </w:pPr>
      <w:rPr>
        <w:rFonts w:ascii="Arial" w:hAnsi="Arial" w:hint="default"/>
      </w:rPr>
    </w:lvl>
    <w:lvl w:ilvl="2" w:tplc="A06E15D4" w:tentative="1">
      <w:start w:val="1"/>
      <w:numFmt w:val="bullet"/>
      <w:lvlText w:val="•"/>
      <w:lvlJc w:val="left"/>
      <w:pPr>
        <w:tabs>
          <w:tab w:val="num" w:pos="1800"/>
        </w:tabs>
        <w:ind w:left="1800" w:hanging="360"/>
      </w:pPr>
      <w:rPr>
        <w:rFonts w:ascii="Arial" w:hAnsi="Arial" w:hint="default"/>
      </w:rPr>
    </w:lvl>
    <w:lvl w:ilvl="3" w:tplc="B8401454" w:tentative="1">
      <w:start w:val="1"/>
      <w:numFmt w:val="bullet"/>
      <w:lvlText w:val="•"/>
      <w:lvlJc w:val="left"/>
      <w:pPr>
        <w:tabs>
          <w:tab w:val="num" w:pos="2520"/>
        </w:tabs>
        <w:ind w:left="2520" w:hanging="360"/>
      </w:pPr>
      <w:rPr>
        <w:rFonts w:ascii="Arial" w:hAnsi="Arial" w:hint="default"/>
      </w:rPr>
    </w:lvl>
    <w:lvl w:ilvl="4" w:tplc="1E9832B6" w:tentative="1">
      <w:start w:val="1"/>
      <w:numFmt w:val="bullet"/>
      <w:lvlText w:val="•"/>
      <w:lvlJc w:val="left"/>
      <w:pPr>
        <w:tabs>
          <w:tab w:val="num" w:pos="3240"/>
        </w:tabs>
        <w:ind w:left="3240" w:hanging="360"/>
      </w:pPr>
      <w:rPr>
        <w:rFonts w:ascii="Arial" w:hAnsi="Arial" w:hint="default"/>
      </w:rPr>
    </w:lvl>
    <w:lvl w:ilvl="5" w:tplc="FE269332" w:tentative="1">
      <w:start w:val="1"/>
      <w:numFmt w:val="bullet"/>
      <w:lvlText w:val="•"/>
      <w:lvlJc w:val="left"/>
      <w:pPr>
        <w:tabs>
          <w:tab w:val="num" w:pos="3960"/>
        </w:tabs>
        <w:ind w:left="3960" w:hanging="360"/>
      </w:pPr>
      <w:rPr>
        <w:rFonts w:ascii="Arial" w:hAnsi="Arial" w:hint="default"/>
      </w:rPr>
    </w:lvl>
    <w:lvl w:ilvl="6" w:tplc="721ADC42" w:tentative="1">
      <w:start w:val="1"/>
      <w:numFmt w:val="bullet"/>
      <w:lvlText w:val="•"/>
      <w:lvlJc w:val="left"/>
      <w:pPr>
        <w:tabs>
          <w:tab w:val="num" w:pos="4680"/>
        </w:tabs>
        <w:ind w:left="4680" w:hanging="360"/>
      </w:pPr>
      <w:rPr>
        <w:rFonts w:ascii="Arial" w:hAnsi="Arial" w:hint="default"/>
      </w:rPr>
    </w:lvl>
    <w:lvl w:ilvl="7" w:tplc="8A5A1CEE" w:tentative="1">
      <w:start w:val="1"/>
      <w:numFmt w:val="bullet"/>
      <w:lvlText w:val="•"/>
      <w:lvlJc w:val="left"/>
      <w:pPr>
        <w:tabs>
          <w:tab w:val="num" w:pos="5400"/>
        </w:tabs>
        <w:ind w:left="5400" w:hanging="360"/>
      </w:pPr>
      <w:rPr>
        <w:rFonts w:ascii="Arial" w:hAnsi="Arial" w:hint="default"/>
      </w:rPr>
    </w:lvl>
    <w:lvl w:ilvl="8" w:tplc="2C4E0B68" w:tentative="1">
      <w:start w:val="1"/>
      <w:numFmt w:val="bullet"/>
      <w:lvlText w:val="•"/>
      <w:lvlJc w:val="left"/>
      <w:pPr>
        <w:tabs>
          <w:tab w:val="num" w:pos="6120"/>
        </w:tabs>
        <w:ind w:left="6120" w:hanging="360"/>
      </w:pPr>
      <w:rPr>
        <w:rFonts w:ascii="Arial" w:hAnsi="Arial" w:hint="default"/>
      </w:rPr>
    </w:lvl>
  </w:abstractNum>
  <w:abstractNum w:abstractNumId="25">
    <w:nsid w:val="619E4163"/>
    <w:multiLevelType w:val="hybridMultilevel"/>
    <w:tmpl w:val="C360E8A6"/>
    <w:lvl w:ilvl="0" w:tplc="AF8C3BEE">
      <w:start w:val="1"/>
      <w:numFmt w:val="bullet"/>
      <w:lvlText w:val=""/>
      <w:lvlJc w:val="left"/>
      <w:pPr>
        <w:ind w:left="2143" w:hanging="360"/>
      </w:pPr>
      <w:rPr>
        <w:rFonts w:ascii="Wingdings" w:hAnsi="Wingdings" w:hint="default"/>
        <w:color w:val="4BACC6" w:themeColor="accent5"/>
      </w:rPr>
    </w:lvl>
    <w:lvl w:ilvl="1" w:tplc="0C0A0003" w:tentative="1">
      <w:start w:val="1"/>
      <w:numFmt w:val="bullet"/>
      <w:lvlText w:val="o"/>
      <w:lvlJc w:val="left"/>
      <w:pPr>
        <w:ind w:left="2863" w:hanging="360"/>
      </w:pPr>
      <w:rPr>
        <w:rFonts w:ascii="Courier New" w:hAnsi="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6">
    <w:nsid w:val="62FF1C0E"/>
    <w:multiLevelType w:val="hybridMultilevel"/>
    <w:tmpl w:val="01BCEEAA"/>
    <w:lvl w:ilvl="0" w:tplc="B0B209D8">
      <w:start w:val="1"/>
      <w:numFmt w:val="bullet"/>
      <w:lvlText w:val="•"/>
      <w:lvlJc w:val="left"/>
      <w:pPr>
        <w:tabs>
          <w:tab w:val="num" w:pos="720"/>
        </w:tabs>
        <w:ind w:left="720" w:hanging="360"/>
      </w:pPr>
      <w:rPr>
        <w:rFonts w:ascii="Arial" w:hAnsi="Arial" w:hint="default"/>
      </w:rPr>
    </w:lvl>
    <w:lvl w:ilvl="1" w:tplc="1D2A49AC" w:tentative="1">
      <w:start w:val="1"/>
      <w:numFmt w:val="bullet"/>
      <w:lvlText w:val="•"/>
      <w:lvlJc w:val="left"/>
      <w:pPr>
        <w:tabs>
          <w:tab w:val="num" w:pos="1440"/>
        </w:tabs>
        <w:ind w:left="1440" w:hanging="360"/>
      </w:pPr>
      <w:rPr>
        <w:rFonts w:ascii="Arial" w:hAnsi="Arial" w:hint="default"/>
      </w:rPr>
    </w:lvl>
    <w:lvl w:ilvl="2" w:tplc="A81A7296" w:tentative="1">
      <w:start w:val="1"/>
      <w:numFmt w:val="bullet"/>
      <w:lvlText w:val="•"/>
      <w:lvlJc w:val="left"/>
      <w:pPr>
        <w:tabs>
          <w:tab w:val="num" w:pos="2160"/>
        </w:tabs>
        <w:ind w:left="2160" w:hanging="360"/>
      </w:pPr>
      <w:rPr>
        <w:rFonts w:ascii="Arial" w:hAnsi="Arial" w:hint="default"/>
      </w:rPr>
    </w:lvl>
    <w:lvl w:ilvl="3" w:tplc="6B5C4A06" w:tentative="1">
      <w:start w:val="1"/>
      <w:numFmt w:val="bullet"/>
      <w:lvlText w:val="•"/>
      <w:lvlJc w:val="left"/>
      <w:pPr>
        <w:tabs>
          <w:tab w:val="num" w:pos="2880"/>
        </w:tabs>
        <w:ind w:left="2880" w:hanging="360"/>
      </w:pPr>
      <w:rPr>
        <w:rFonts w:ascii="Arial" w:hAnsi="Arial" w:hint="default"/>
      </w:rPr>
    </w:lvl>
    <w:lvl w:ilvl="4" w:tplc="49768E7C" w:tentative="1">
      <w:start w:val="1"/>
      <w:numFmt w:val="bullet"/>
      <w:lvlText w:val="•"/>
      <w:lvlJc w:val="left"/>
      <w:pPr>
        <w:tabs>
          <w:tab w:val="num" w:pos="3600"/>
        </w:tabs>
        <w:ind w:left="3600" w:hanging="360"/>
      </w:pPr>
      <w:rPr>
        <w:rFonts w:ascii="Arial" w:hAnsi="Arial" w:hint="default"/>
      </w:rPr>
    </w:lvl>
    <w:lvl w:ilvl="5" w:tplc="CD941FBA" w:tentative="1">
      <w:start w:val="1"/>
      <w:numFmt w:val="bullet"/>
      <w:lvlText w:val="•"/>
      <w:lvlJc w:val="left"/>
      <w:pPr>
        <w:tabs>
          <w:tab w:val="num" w:pos="4320"/>
        </w:tabs>
        <w:ind w:left="4320" w:hanging="360"/>
      </w:pPr>
      <w:rPr>
        <w:rFonts w:ascii="Arial" w:hAnsi="Arial" w:hint="default"/>
      </w:rPr>
    </w:lvl>
    <w:lvl w:ilvl="6" w:tplc="8A22CB24" w:tentative="1">
      <w:start w:val="1"/>
      <w:numFmt w:val="bullet"/>
      <w:lvlText w:val="•"/>
      <w:lvlJc w:val="left"/>
      <w:pPr>
        <w:tabs>
          <w:tab w:val="num" w:pos="5040"/>
        </w:tabs>
        <w:ind w:left="5040" w:hanging="360"/>
      </w:pPr>
      <w:rPr>
        <w:rFonts w:ascii="Arial" w:hAnsi="Arial" w:hint="default"/>
      </w:rPr>
    </w:lvl>
    <w:lvl w:ilvl="7" w:tplc="DA66F444" w:tentative="1">
      <w:start w:val="1"/>
      <w:numFmt w:val="bullet"/>
      <w:lvlText w:val="•"/>
      <w:lvlJc w:val="left"/>
      <w:pPr>
        <w:tabs>
          <w:tab w:val="num" w:pos="5760"/>
        </w:tabs>
        <w:ind w:left="5760" w:hanging="360"/>
      </w:pPr>
      <w:rPr>
        <w:rFonts w:ascii="Arial" w:hAnsi="Arial" w:hint="default"/>
      </w:rPr>
    </w:lvl>
    <w:lvl w:ilvl="8" w:tplc="66540152" w:tentative="1">
      <w:start w:val="1"/>
      <w:numFmt w:val="bullet"/>
      <w:lvlText w:val="•"/>
      <w:lvlJc w:val="left"/>
      <w:pPr>
        <w:tabs>
          <w:tab w:val="num" w:pos="6480"/>
        </w:tabs>
        <w:ind w:left="6480" w:hanging="360"/>
      </w:pPr>
      <w:rPr>
        <w:rFonts w:ascii="Arial" w:hAnsi="Arial" w:hint="default"/>
      </w:rPr>
    </w:lvl>
  </w:abstractNum>
  <w:abstractNum w:abstractNumId="27">
    <w:nsid w:val="674B7E90"/>
    <w:multiLevelType w:val="hybridMultilevel"/>
    <w:tmpl w:val="3A6CCF1A"/>
    <w:lvl w:ilvl="0" w:tplc="9C12D10C">
      <w:start w:val="1"/>
      <w:numFmt w:val="bullet"/>
      <w:lvlText w:val="•"/>
      <w:lvlJc w:val="left"/>
      <w:pPr>
        <w:tabs>
          <w:tab w:val="num" w:pos="720"/>
        </w:tabs>
        <w:ind w:left="720" w:hanging="360"/>
      </w:pPr>
      <w:rPr>
        <w:rFonts w:ascii="Arial" w:hAnsi="Arial" w:hint="default"/>
      </w:rPr>
    </w:lvl>
    <w:lvl w:ilvl="1" w:tplc="68784604" w:tentative="1">
      <w:start w:val="1"/>
      <w:numFmt w:val="bullet"/>
      <w:lvlText w:val="•"/>
      <w:lvlJc w:val="left"/>
      <w:pPr>
        <w:tabs>
          <w:tab w:val="num" w:pos="1440"/>
        </w:tabs>
        <w:ind w:left="1440" w:hanging="360"/>
      </w:pPr>
      <w:rPr>
        <w:rFonts w:ascii="Arial" w:hAnsi="Arial" w:hint="default"/>
      </w:rPr>
    </w:lvl>
    <w:lvl w:ilvl="2" w:tplc="905ED5E8" w:tentative="1">
      <w:start w:val="1"/>
      <w:numFmt w:val="bullet"/>
      <w:lvlText w:val="•"/>
      <w:lvlJc w:val="left"/>
      <w:pPr>
        <w:tabs>
          <w:tab w:val="num" w:pos="2160"/>
        </w:tabs>
        <w:ind w:left="2160" w:hanging="360"/>
      </w:pPr>
      <w:rPr>
        <w:rFonts w:ascii="Arial" w:hAnsi="Arial" w:hint="default"/>
      </w:rPr>
    </w:lvl>
    <w:lvl w:ilvl="3" w:tplc="D93A0404" w:tentative="1">
      <w:start w:val="1"/>
      <w:numFmt w:val="bullet"/>
      <w:lvlText w:val="•"/>
      <w:lvlJc w:val="left"/>
      <w:pPr>
        <w:tabs>
          <w:tab w:val="num" w:pos="2880"/>
        </w:tabs>
        <w:ind w:left="2880" w:hanging="360"/>
      </w:pPr>
      <w:rPr>
        <w:rFonts w:ascii="Arial" w:hAnsi="Arial" w:hint="default"/>
      </w:rPr>
    </w:lvl>
    <w:lvl w:ilvl="4" w:tplc="59BCE648" w:tentative="1">
      <w:start w:val="1"/>
      <w:numFmt w:val="bullet"/>
      <w:lvlText w:val="•"/>
      <w:lvlJc w:val="left"/>
      <w:pPr>
        <w:tabs>
          <w:tab w:val="num" w:pos="3600"/>
        </w:tabs>
        <w:ind w:left="3600" w:hanging="360"/>
      </w:pPr>
      <w:rPr>
        <w:rFonts w:ascii="Arial" w:hAnsi="Arial" w:hint="default"/>
      </w:rPr>
    </w:lvl>
    <w:lvl w:ilvl="5" w:tplc="113EF536" w:tentative="1">
      <w:start w:val="1"/>
      <w:numFmt w:val="bullet"/>
      <w:lvlText w:val="•"/>
      <w:lvlJc w:val="left"/>
      <w:pPr>
        <w:tabs>
          <w:tab w:val="num" w:pos="4320"/>
        </w:tabs>
        <w:ind w:left="4320" w:hanging="360"/>
      </w:pPr>
      <w:rPr>
        <w:rFonts w:ascii="Arial" w:hAnsi="Arial" w:hint="default"/>
      </w:rPr>
    </w:lvl>
    <w:lvl w:ilvl="6" w:tplc="C8B0A39A" w:tentative="1">
      <w:start w:val="1"/>
      <w:numFmt w:val="bullet"/>
      <w:lvlText w:val="•"/>
      <w:lvlJc w:val="left"/>
      <w:pPr>
        <w:tabs>
          <w:tab w:val="num" w:pos="5040"/>
        </w:tabs>
        <w:ind w:left="5040" w:hanging="360"/>
      </w:pPr>
      <w:rPr>
        <w:rFonts w:ascii="Arial" w:hAnsi="Arial" w:hint="default"/>
      </w:rPr>
    </w:lvl>
    <w:lvl w:ilvl="7" w:tplc="F15E5798" w:tentative="1">
      <w:start w:val="1"/>
      <w:numFmt w:val="bullet"/>
      <w:lvlText w:val="•"/>
      <w:lvlJc w:val="left"/>
      <w:pPr>
        <w:tabs>
          <w:tab w:val="num" w:pos="5760"/>
        </w:tabs>
        <w:ind w:left="5760" w:hanging="360"/>
      </w:pPr>
      <w:rPr>
        <w:rFonts w:ascii="Arial" w:hAnsi="Arial" w:hint="default"/>
      </w:rPr>
    </w:lvl>
    <w:lvl w:ilvl="8" w:tplc="F90C0886" w:tentative="1">
      <w:start w:val="1"/>
      <w:numFmt w:val="bullet"/>
      <w:lvlText w:val="•"/>
      <w:lvlJc w:val="left"/>
      <w:pPr>
        <w:tabs>
          <w:tab w:val="num" w:pos="6480"/>
        </w:tabs>
        <w:ind w:left="6480" w:hanging="360"/>
      </w:pPr>
      <w:rPr>
        <w:rFonts w:ascii="Arial" w:hAnsi="Arial" w:hint="default"/>
      </w:rPr>
    </w:lvl>
  </w:abstractNum>
  <w:abstractNum w:abstractNumId="28">
    <w:nsid w:val="6A1A2B06"/>
    <w:multiLevelType w:val="hybridMultilevel"/>
    <w:tmpl w:val="E34EB740"/>
    <w:lvl w:ilvl="0" w:tplc="AF8C3BEE">
      <w:start w:val="1"/>
      <w:numFmt w:val="bullet"/>
      <w:lvlText w:val=""/>
      <w:lvlJc w:val="left"/>
      <w:pPr>
        <w:tabs>
          <w:tab w:val="num" w:pos="720"/>
        </w:tabs>
        <w:ind w:left="720" w:hanging="360"/>
      </w:pPr>
      <w:rPr>
        <w:rFonts w:ascii="Wingdings" w:hAnsi="Wingdings" w:hint="default"/>
        <w:color w:val="4BACC6" w:themeColor="accent5"/>
      </w:rPr>
    </w:lvl>
    <w:lvl w:ilvl="1" w:tplc="D042F8EC" w:tentative="1">
      <w:start w:val="1"/>
      <w:numFmt w:val="bullet"/>
      <w:lvlText w:val="•"/>
      <w:lvlJc w:val="left"/>
      <w:pPr>
        <w:tabs>
          <w:tab w:val="num" w:pos="1440"/>
        </w:tabs>
        <w:ind w:left="1440" w:hanging="360"/>
      </w:pPr>
      <w:rPr>
        <w:rFonts w:ascii="Arial" w:hAnsi="Arial" w:hint="default"/>
      </w:rPr>
    </w:lvl>
    <w:lvl w:ilvl="2" w:tplc="3BF69F4E" w:tentative="1">
      <w:start w:val="1"/>
      <w:numFmt w:val="bullet"/>
      <w:lvlText w:val="•"/>
      <w:lvlJc w:val="left"/>
      <w:pPr>
        <w:tabs>
          <w:tab w:val="num" w:pos="2160"/>
        </w:tabs>
        <w:ind w:left="2160" w:hanging="360"/>
      </w:pPr>
      <w:rPr>
        <w:rFonts w:ascii="Arial" w:hAnsi="Arial" w:hint="default"/>
      </w:rPr>
    </w:lvl>
    <w:lvl w:ilvl="3" w:tplc="03C61A2C" w:tentative="1">
      <w:start w:val="1"/>
      <w:numFmt w:val="bullet"/>
      <w:lvlText w:val="•"/>
      <w:lvlJc w:val="left"/>
      <w:pPr>
        <w:tabs>
          <w:tab w:val="num" w:pos="2880"/>
        </w:tabs>
        <w:ind w:left="2880" w:hanging="360"/>
      </w:pPr>
      <w:rPr>
        <w:rFonts w:ascii="Arial" w:hAnsi="Arial" w:hint="default"/>
      </w:rPr>
    </w:lvl>
    <w:lvl w:ilvl="4" w:tplc="57C0C95A" w:tentative="1">
      <w:start w:val="1"/>
      <w:numFmt w:val="bullet"/>
      <w:lvlText w:val="•"/>
      <w:lvlJc w:val="left"/>
      <w:pPr>
        <w:tabs>
          <w:tab w:val="num" w:pos="3600"/>
        </w:tabs>
        <w:ind w:left="3600" w:hanging="360"/>
      </w:pPr>
      <w:rPr>
        <w:rFonts w:ascii="Arial" w:hAnsi="Arial" w:hint="default"/>
      </w:rPr>
    </w:lvl>
    <w:lvl w:ilvl="5" w:tplc="23560056" w:tentative="1">
      <w:start w:val="1"/>
      <w:numFmt w:val="bullet"/>
      <w:lvlText w:val="•"/>
      <w:lvlJc w:val="left"/>
      <w:pPr>
        <w:tabs>
          <w:tab w:val="num" w:pos="4320"/>
        </w:tabs>
        <w:ind w:left="4320" w:hanging="360"/>
      </w:pPr>
      <w:rPr>
        <w:rFonts w:ascii="Arial" w:hAnsi="Arial" w:hint="default"/>
      </w:rPr>
    </w:lvl>
    <w:lvl w:ilvl="6" w:tplc="5E02C7D0" w:tentative="1">
      <w:start w:val="1"/>
      <w:numFmt w:val="bullet"/>
      <w:lvlText w:val="•"/>
      <w:lvlJc w:val="left"/>
      <w:pPr>
        <w:tabs>
          <w:tab w:val="num" w:pos="5040"/>
        </w:tabs>
        <w:ind w:left="5040" w:hanging="360"/>
      </w:pPr>
      <w:rPr>
        <w:rFonts w:ascii="Arial" w:hAnsi="Arial" w:hint="default"/>
      </w:rPr>
    </w:lvl>
    <w:lvl w:ilvl="7" w:tplc="1786E66E" w:tentative="1">
      <w:start w:val="1"/>
      <w:numFmt w:val="bullet"/>
      <w:lvlText w:val="•"/>
      <w:lvlJc w:val="left"/>
      <w:pPr>
        <w:tabs>
          <w:tab w:val="num" w:pos="5760"/>
        </w:tabs>
        <w:ind w:left="5760" w:hanging="360"/>
      </w:pPr>
      <w:rPr>
        <w:rFonts w:ascii="Arial" w:hAnsi="Arial" w:hint="default"/>
      </w:rPr>
    </w:lvl>
    <w:lvl w:ilvl="8" w:tplc="8C5C215A" w:tentative="1">
      <w:start w:val="1"/>
      <w:numFmt w:val="bullet"/>
      <w:lvlText w:val="•"/>
      <w:lvlJc w:val="left"/>
      <w:pPr>
        <w:tabs>
          <w:tab w:val="num" w:pos="6480"/>
        </w:tabs>
        <w:ind w:left="6480" w:hanging="360"/>
      </w:pPr>
      <w:rPr>
        <w:rFonts w:ascii="Arial" w:hAnsi="Arial" w:hint="default"/>
      </w:rPr>
    </w:lvl>
  </w:abstractNum>
  <w:abstractNum w:abstractNumId="29">
    <w:nsid w:val="6D923D9D"/>
    <w:multiLevelType w:val="hybridMultilevel"/>
    <w:tmpl w:val="85BA943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73402897"/>
    <w:multiLevelType w:val="multilevel"/>
    <w:tmpl w:val="C38417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794356E"/>
    <w:multiLevelType w:val="hybridMultilevel"/>
    <w:tmpl w:val="BA8AC284"/>
    <w:lvl w:ilvl="0" w:tplc="AF8C3BEE">
      <w:start w:val="1"/>
      <w:numFmt w:val="bullet"/>
      <w:lvlText w:val=""/>
      <w:lvlJc w:val="left"/>
      <w:pPr>
        <w:tabs>
          <w:tab w:val="num" w:pos="720"/>
        </w:tabs>
        <w:ind w:left="720" w:hanging="360"/>
      </w:pPr>
      <w:rPr>
        <w:rFonts w:ascii="Wingdings" w:hAnsi="Wingdings" w:hint="default"/>
        <w:color w:val="4BACC6" w:themeColor="accent5"/>
      </w:rPr>
    </w:lvl>
    <w:lvl w:ilvl="1" w:tplc="12E64C10" w:tentative="1">
      <w:start w:val="1"/>
      <w:numFmt w:val="bullet"/>
      <w:lvlText w:val="•"/>
      <w:lvlJc w:val="left"/>
      <w:pPr>
        <w:tabs>
          <w:tab w:val="num" w:pos="1440"/>
        </w:tabs>
        <w:ind w:left="1440" w:hanging="360"/>
      </w:pPr>
      <w:rPr>
        <w:rFonts w:ascii="Arial" w:hAnsi="Arial" w:hint="default"/>
      </w:rPr>
    </w:lvl>
    <w:lvl w:ilvl="2" w:tplc="8012CD80" w:tentative="1">
      <w:start w:val="1"/>
      <w:numFmt w:val="bullet"/>
      <w:lvlText w:val="•"/>
      <w:lvlJc w:val="left"/>
      <w:pPr>
        <w:tabs>
          <w:tab w:val="num" w:pos="2160"/>
        </w:tabs>
        <w:ind w:left="2160" w:hanging="360"/>
      </w:pPr>
      <w:rPr>
        <w:rFonts w:ascii="Arial" w:hAnsi="Arial" w:hint="default"/>
      </w:rPr>
    </w:lvl>
    <w:lvl w:ilvl="3" w:tplc="67C6AF3A" w:tentative="1">
      <w:start w:val="1"/>
      <w:numFmt w:val="bullet"/>
      <w:lvlText w:val="•"/>
      <w:lvlJc w:val="left"/>
      <w:pPr>
        <w:tabs>
          <w:tab w:val="num" w:pos="2880"/>
        </w:tabs>
        <w:ind w:left="2880" w:hanging="360"/>
      </w:pPr>
      <w:rPr>
        <w:rFonts w:ascii="Arial" w:hAnsi="Arial" w:hint="default"/>
      </w:rPr>
    </w:lvl>
    <w:lvl w:ilvl="4" w:tplc="C31A4406" w:tentative="1">
      <w:start w:val="1"/>
      <w:numFmt w:val="bullet"/>
      <w:lvlText w:val="•"/>
      <w:lvlJc w:val="left"/>
      <w:pPr>
        <w:tabs>
          <w:tab w:val="num" w:pos="3600"/>
        </w:tabs>
        <w:ind w:left="3600" w:hanging="360"/>
      </w:pPr>
      <w:rPr>
        <w:rFonts w:ascii="Arial" w:hAnsi="Arial" w:hint="default"/>
      </w:rPr>
    </w:lvl>
    <w:lvl w:ilvl="5" w:tplc="128A9BA8" w:tentative="1">
      <w:start w:val="1"/>
      <w:numFmt w:val="bullet"/>
      <w:lvlText w:val="•"/>
      <w:lvlJc w:val="left"/>
      <w:pPr>
        <w:tabs>
          <w:tab w:val="num" w:pos="4320"/>
        </w:tabs>
        <w:ind w:left="4320" w:hanging="360"/>
      </w:pPr>
      <w:rPr>
        <w:rFonts w:ascii="Arial" w:hAnsi="Arial" w:hint="default"/>
      </w:rPr>
    </w:lvl>
    <w:lvl w:ilvl="6" w:tplc="1F6E35B0" w:tentative="1">
      <w:start w:val="1"/>
      <w:numFmt w:val="bullet"/>
      <w:lvlText w:val="•"/>
      <w:lvlJc w:val="left"/>
      <w:pPr>
        <w:tabs>
          <w:tab w:val="num" w:pos="5040"/>
        </w:tabs>
        <w:ind w:left="5040" w:hanging="360"/>
      </w:pPr>
      <w:rPr>
        <w:rFonts w:ascii="Arial" w:hAnsi="Arial" w:hint="default"/>
      </w:rPr>
    </w:lvl>
    <w:lvl w:ilvl="7" w:tplc="E9086636" w:tentative="1">
      <w:start w:val="1"/>
      <w:numFmt w:val="bullet"/>
      <w:lvlText w:val="•"/>
      <w:lvlJc w:val="left"/>
      <w:pPr>
        <w:tabs>
          <w:tab w:val="num" w:pos="5760"/>
        </w:tabs>
        <w:ind w:left="5760" w:hanging="360"/>
      </w:pPr>
      <w:rPr>
        <w:rFonts w:ascii="Arial" w:hAnsi="Arial" w:hint="default"/>
      </w:rPr>
    </w:lvl>
    <w:lvl w:ilvl="8" w:tplc="B4D02556" w:tentative="1">
      <w:start w:val="1"/>
      <w:numFmt w:val="bullet"/>
      <w:lvlText w:val="•"/>
      <w:lvlJc w:val="left"/>
      <w:pPr>
        <w:tabs>
          <w:tab w:val="num" w:pos="6480"/>
        </w:tabs>
        <w:ind w:left="6480" w:hanging="360"/>
      </w:pPr>
      <w:rPr>
        <w:rFonts w:ascii="Arial" w:hAnsi="Arial" w:hint="default"/>
      </w:rPr>
    </w:lvl>
  </w:abstractNum>
  <w:abstractNum w:abstractNumId="32">
    <w:nsid w:val="77DD2EA8"/>
    <w:multiLevelType w:val="hybridMultilevel"/>
    <w:tmpl w:val="3E8844A4"/>
    <w:lvl w:ilvl="0" w:tplc="AF8C3BEE">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B023FA6"/>
    <w:multiLevelType w:val="hybridMultilevel"/>
    <w:tmpl w:val="FB963E4A"/>
    <w:lvl w:ilvl="0" w:tplc="19BECC52">
      <w:start w:val="1"/>
      <w:numFmt w:val="bullet"/>
      <w:lvlText w:val=""/>
      <w:lvlJc w:val="left"/>
      <w:pPr>
        <w:tabs>
          <w:tab w:val="num" w:pos="720"/>
        </w:tabs>
        <w:ind w:left="720" w:hanging="360"/>
      </w:pPr>
      <w:rPr>
        <w:rFonts w:ascii="Wingdings" w:hAnsi="Wingdings" w:hint="default"/>
      </w:rPr>
    </w:lvl>
    <w:lvl w:ilvl="1" w:tplc="EF6A74EA" w:tentative="1">
      <w:start w:val="1"/>
      <w:numFmt w:val="bullet"/>
      <w:lvlText w:val=""/>
      <w:lvlJc w:val="left"/>
      <w:pPr>
        <w:tabs>
          <w:tab w:val="num" w:pos="1440"/>
        </w:tabs>
        <w:ind w:left="1440" w:hanging="360"/>
      </w:pPr>
      <w:rPr>
        <w:rFonts w:ascii="Wingdings" w:hAnsi="Wingdings" w:hint="default"/>
      </w:rPr>
    </w:lvl>
    <w:lvl w:ilvl="2" w:tplc="9D987832">
      <w:start w:val="1"/>
      <w:numFmt w:val="bullet"/>
      <w:lvlText w:val=""/>
      <w:lvlJc w:val="left"/>
      <w:pPr>
        <w:tabs>
          <w:tab w:val="num" w:pos="2160"/>
        </w:tabs>
        <w:ind w:left="2160" w:hanging="360"/>
      </w:pPr>
      <w:rPr>
        <w:rFonts w:ascii="Wingdings" w:hAnsi="Wingdings" w:hint="default"/>
      </w:rPr>
    </w:lvl>
    <w:lvl w:ilvl="3" w:tplc="A5F8CCDE" w:tentative="1">
      <w:start w:val="1"/>
      <w:numFmt w:val="bullet"/>
      <w:lvlText w:val=""/>
      <w:lvlJc w:val="left"/>
      <w:pPr>
        <w:tabs>
          <w:tab w:val="num" w:pos="2880"/>
        </w:tabs>
        <w:ind w:left="2880" w:hanging="360"/>
      </w:pPr>
      <w:rPr>
        <w:rFonts w:ascii="Wingdings" w:hAnsi="Wingdings" w:hint="default"/>
      </w:rPr>
    </w:lvl>
    <w:lvl w:ilvl="4" w:tplc="F2FEC2A8" w:tentative="1">
      <w:start w:val="1"/>
      <w:numFmt w:val="bullet"/>
      <w:lvlText w:val=""/>
      <w:lvlJc w:val="left"/>
      <w:pPr>
        <w:tabs>
          <w:tab w:val="num" w:pos="3600"/>
        </w:tabs>
        <w:ind w:left="3600" w:hanging="360"/>
      </w:pPr>
      <w:rPr>
        <w:rFonts w:ascii="Wingdings" w:hAnsi="Wingdings" w:hint="default"/>
      </w:rPr>
    </w:lvl>
    <w:lvl w:ilvl="5" w:tplc="4FDAEA46" w:tentative="1">
      <w:start w:val="1"/>
      <w:numFmt w:val="bullet"/>
      <w:lvlText w:val=""/>
      <w:lvlJc w:val="left"/>
      <w:pPr>
        <w:tabs>
          <w:tab w:val="num" w:pos="4320"/>
        </w:tabs>
        <w:ind w:left="4320" w:hanging="360"/>
      </w:pPr>
      <w:rPr>
        <w:rFonts w:ascii="Wingdings" w:hAnsi="Wingdings" w:hint="default"/>
      </w:rPr>
    </w:lvl>
    <w:lvl w:ilvl="6" w:tplc="4852FCD4" w:tentative="1">
      <w:start w:val="1"/>
      <w:numFmt w:val="bullet"/>
      <w:lvlText w:val=""/>
      <w:lvlJc w:val="left"/>
      <w:pPr>
        <w:tabs>
          <w:tab w:val="num" w:pos="5040"/>
        </w:tabs>
        <w:ind w:left="5040" w:hanging="360"/>
      </w:pPr>
      <w:rPr>
        <w:rFonts w:ascii="Wingdings" w:hAnsi="Wingdings" w:hint="default"/>
      </w:rPr>
    </w:lvl>
    <w:lvl w:ilvl="7" w:tplc="F8600110" w:tentative="1">
      <w:start w:val="1"/>
      <w:numFmt w:val="bullet"/>
      <w:lvlText w:val=""/>
      <w:lvlJc w:val="left"/>
      <w:pPr>
        <w:tabs>
          <w:tab w:val="num" w:pos="5760"/>
        </w:tabs>
        <w:ind w:left="5760" w:hanging="360"/>
      </w:pPr>
      <w:rPr>
        <w:rFonts w:ascii="Wingdings" w:hAnsi="Wingdings" w:hint="default"/>
      </w:rPr>
    </w:lvl>
    <w:lvl w:ilvl="8" w:tplc="2D3E26F4" w:tentative="1">
      <w:start w:val="1"/>
      <w:numFmt w:val="bullet"/>
      <w:lvlText w:val=""/>
      <w:lvlJc w:val="left"/>
      <w:pPr>
        <w:tabs>
          <w:tab w:val="num" w:pos="6480"/>
        </w:tabs>
        <w:ind w:left="6480" w:hanging="360"/>
      </w:pPr>
      <w:rPr>
        <w:rFonts w:ascii="Wingdings" w:hAnsi="Wingdings" w:hint="default"/>
      </w:rPr>
    </w:lvl>
  </w:abstractNum>
  <w:abstractNum w:abstractNumId="34">
    <w:nsid w:val="7F4248DE"/>
    <w:multiLevelType w:val="hybridMultilevel"/>
    <w:tmpl w:val="07546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8"/>
  </w:num>
  <w:num w:numId="3">
    <w:abstractNumId w:val="23"/>
  </w:num>
  <w:num w:numId="4">
    <w:abstractNumId w:val="7"/>
  </w:num>
  <w:num w:numId="5">
    <w:abstractNumId w:val="9"/>
  </w:num>
  <w:num w:numId="6">
    <w:abstractNumId w:val="22"/>
  </w:num>
  <w:num w:numId="7">
    <w:abstractNumId w:val="4"/>
  </w:num>
  <w:num w:numId="8">
    <w:abstractNumId w:val="3"/>
  </w:num>
  <w:num w:numId="9">
    <w:abstractNumId w:val="30"/>
  </w:num>
  <w:num w:numId="10">
    <w:abstractNumId w:val="25"/>
  </w:num>
  <w:num w:numId="11">
    <w:abstractNumId w:val="0"/>
  </w:num>
  <w:num w:numId="12">
    <w:abstractNumId w:val="10"/>
  </w:num>
  <w:num w:numId="13">
    <w:abstractNumId w:val="19"/>
  </w:num>
  <w:num w:numId="14">
    <w:abstractNumId w:val="17"/>
  </w:num>
  <w:num w:numId="15">
    <w:abstractNumId w:val="24"/>
  </w:num>
  <w:num w:numId="16">
    <w:abstractNumId w:val="27"/>
  </w:num>
  <w:num w:numId="17">
    <w:abstractNumId w:val="26"/>
  </w:num>
  <w:num w:numId="18">
    <w:abstractNumId w:val="12"/>
  </w:num>
  <w:num w:numId="19">
    <w:abstractNumId w:val="20"/>
  </w:num>
  <w:num w:numId="20">
    <w:abstractNumId w:val="15"/>
  </w:num>
  <w:num w:numId="21">
    <w:abstractNumId w:val="16"/>
  </w:num>
  <w:num w:numId="22">
    <w:abstractNumId w:val="32"/>
  </w:num>
  <w:num w:numId="23">
    <w:abstractNumId w:val="29"/>
  </w:num>
  <w:num w:numId="24">
    <w:abstractNumId w:val="5"/>
  </w:num>
  <w:num w:numId="25">
    <w:abstractNumId w:val="33"/>
  </w:num>
  <w:num w:numId="26">
    <w:abstractNumId w:val="2"/>
  </w:num>
  <w:num w:numId="27">
    <w:abstractNumId w:val="28"/>
  </w:num>
  <w:num w:numId="28">
    <w:abstractNumId w:val="14"/>
  </w:num>
  <w:num w:numId="29">
    <w:abstractNumId w:val="8"/>
  </w:num>
  <w:num w:numId="30">
    <w:abstractNumId w:val="31"/>
  </w:num>
  <w:num w:numId="31">
    <w:abstractNumId w:val="1"/>
  </w:num>
  <w:num w:numId="32">
    <w:abstractNumId w:val="21"/>
  </w:num>
  <w:num w:numId="33">
    <w:abstractNumId w:val="11"/>
  </w:num>
  <w:num w:numId="34">
    <w:abstractNumId w:val="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BE"/>
    <w:rsid w:val="00001CA2"/>
    <w:rsid w:val="000066C5"/>
    <w:rsid w:val="00013197"/>
    <w:rsid w:val="0001762C"/>
    <w:rsid w:val="0003628D"/>
    <w:rsid w:val="00051C8B"/>
    <w:rsid w:val="000557ED"/>
    <w:rsid w:val="00060026"/>
    <w:rsid w:val="00062296"/>
    <w:rsid w:val="0006652B"/>
    <w:rsid w:val="00075428"/>
    <w:rsid w:val="00076C12"/>
    <w:rsid w:val="00077375"/>
    <w:rsid w:val="0008217F"/>
    <w:rsid w:val="00093D98"/>
    <w:rsid w:val="000A051A"/>
    <w:rsid w:val="000C733A"/>
    <w:rsid w:val="000C7F2D"/>
    <w:rsid w:val="000D56E2"/>
    <w:rsid w:val="000D6500"/>
    <w:rsid w:val="000E0A5A"/>
    <w:rsid w:val="000E21DD"/>
    <w:rsid w:val="0011110A"/>
    <w:rsid w:val="00114876"/>
    <w:rsid w:val="0012033F"/>
    <w:rsid w:val="00124C60"/>
    <w:rsid w:val="001420D7"/>
    <w:rsid w:val="00145A3A"/>
    <w:rsid w:val="001468EC"/>
    <w:rsid w:val="00146B1E"/>
    <w:rsid w:val="00161F45"/>
    <w:rsid w:val="00162171"/>
    <w:rsid w:val="00174EE2"/>
    <w:rsid w:val="00175EF3"/>
    <w:rsid w:val="00177821"/>
    <w:rsid w:val="00186DC9"/>
    <w:rsid w:val="001918AC"/>
    <w:rsid w:val="001A4FAA"/>
    <w:rsid w:val="001C4945"/>
    <w:rsid w:val="001C709F"/>
    <w:rsid w:val="001C75FE"/>
    <w:rsid w:val="00224224"/>
    <w:rsid w:val="002365EE"/>
    <w:rsid w:val="00241243"/>
    <w:rsid w:val="00244CD1"/>
    <w:rsid w:val="002630DA"/>
    <w:rsid w:val="002755EB"/>
    <w:rsid w:val="0029337A"/>
    <w:rsid w:val="002A41CB"/>
    <w:rsid w:val="002B3A5E"/>
    <w:rsid w:val="002B6975"/>
    <w:rsid w:val="002C7526"/>
    <w:rsid w:val="002E2925"/>
    <w:rsid w:val="00302575"/>
    <w:rsid w:val="0030549B"/>
    <w:rsid w:val="00311A43"/>
    <w:rsid w:val="00315CBE"/>
    <w:rsid w:val="00321C29"/>
    <w:rsid w:val="0033403C"/>
    <w:rsid w:val="0034293B"/>
    <w:rsid w:val="0035377A"/>
    <w:rsid w:val="003540E5"/>
    <w:rsid w:val="003555A0"/>
    <w:rsid w:val="00357955"/>
    <w:rsid w:val="0037365E"/>
    <w:rsid w:val="00377D19"/>
    <w:rsid w:val="00381066"/>
    <w:rsid w:val="003915D6"/>
    <w:rsid w:val="003A4529"/>
    <w:rsid w:val="003B46F0"/>
    <w:rsid w:val="003B5CD7"/>
    <w:rsid w:val="003D452C"/>
    <w:rsid w:val="003D588B"/>
    <w:rsid w:val="003D605E"/>
    <w:rsid w:val="003F60D4"/>
    <w:rsid w:val="00407E2F"/>
    <w:rsid w:val="00411E50"/>
    <w:rsid w:val="00416E1E"/>
    <w:rsid w:val="004411C2"/>
    <w:rsid w:val="004435BD"/>
    <w:rsid w:val="00444499"/>
    <w:rsid w:val="004524DC"/>
    <w:rsid w:val="00452B52"/>
    <w:rsid w:val="00475DD0"/>
    <w:rsid w:val="00485A5F"/>
    <w:rsid w:val="0049477F"/>
    <w:rsid w:val="004B2054"/>
    <w:rsid w:val="004B6B72"/>
    <w:rsid w:val="004C25E9"/>
    <w:rsid w:val="004C4AFE"/>
    <w:rsid w:val="004C6192"/>
    <w:rsid w:val="004C7357"/>
    <w:rsid w:val="004D2E35"/>
    <w:rsid w:val="004E0509"/>
    <w:rsid w:val="004E37CA"/>
    <w:rsid w:val="004E5BD1"/>
    <w:rsid w:val="004F01DF"/>
    <w:rsid w:val="004F0477"/>
    <w:rsid w:val="004F121F"/>
    <w:rsid w:val="005003C9"/>
    <w:rsid w:val="00501D91"/>
    <w:rsid w:val="00511401"/>
    <w:rsid w:val="00511DD8"/>
    <w:rsid w:val="0052072C"/>
    <w:rsid w:val="00526D7C"/>
    <w:rsid w:val="00531A56"/>
    <w:rsid w:val="005441E8"/>
    <w:rsid w:val="0056258F"/>
    <w:rsid w:val="005667C1"/>
    <w:rsid w:val="00570CDA"/>
    <w:rsid w:val="00582B38"/>
    <w:rsid w:val="00583858"/>
    <w:rsid w:val="00593FA3"/>
    <w:rsid w:val="0059401A"/>
    <w:rsid w:val="005A3874"/>
    <w:rsid w:val="005B4751"/>
    <w:rsid w:val="005B6754"/>
    <w:rsid w:val="005D0C5E"/>
    <w:rsid w:val="005D33EB"/>
    <w:rsid w:val="005E13ED"/>
    <w:rsid w:val="005E3F78"/>
    <w:rsid w:val="005E5612"/>
    <w:rsid w:val="005E7C1D"/>
    <w:rsid w:val="005E7D95"/>
    <w:rsid w:val="005F7240"/>
    <w:rsid w:val="005F74F5"/>
    <w:rsid w:val="006017BA"/>
    <w:rsid w:val="00607A47"/>
    <w:rsid w:val="00612870"/>
    <w:rsid w:val="006132B4"/>
    <w:rsid w:val="00614058"/>
    <w:rsid w:val="006372CE"/>
    <w:rsid w:val="00640A6E"/>
    <w:rsid w:val="00642B0C"/>
    <w:rsid w:val="0065072D"/>
    <w:rsid w:val="00653334"/>
    <w:rsid w:val="00671383"/>
    <w:rsid w:val="00671424"/>
    <w:rsid w:val="00674BFC"/>
    <w:rsid w:val="00676A12"/>
    <w:rsid w:val="006803C4"/>
    <w:rsid w:val="00681ACB"/>
    <w:rsid w:val="00690085"/>
    <w:rsid w:val="0069403A"/>
    <w:rsid w:val="00695E2D"/>
    <w:rsid w:val="006A687C"/>
    <w:rsid w:val="006C0BDB"/>
    <w:rsid w:val="006F275A"/>
    <w:rsid w:val="006F51BC"/>
    <w:rsid w:val="0071577E"/>
    <w:rsid w:val="00715ACF"/>
    <w:rsid w:val="00720ECB"/>
    <w:rsid w:val="0072323B"/>
    <w:rsid w:val="00731BAC"/>
    <w:rsid w:val="007420CA"/>
    <w:rsid w:val="00747F15"/>
    <w:rsid w:val="00752814"/>
    <w:rsid w:val="007676FA"/>
    <w:rsid w:val="00774E8D"/>
    <w:rsid w:val="007854BD"/>
    <w:rsid w:val="007876C3"/>
    <w:rsid w:val="007977CD"/>
    <w:rsid w:val="007B7E87"/>
    <w:rsid w:val="007C5861"/>
    <w:rsid w:val="007C6CE4"/>
    <w:rsid w:val="007D1CF0"/>
    <w:rsid w:val="007E5218"/>
    <w:rsid w:val="007F1D07"/>
    <w:rsid w:val="00801BA2"/>
    <w:rsid w:val="00802313"/>
    <w:rsid w:val="00802396"/>
    <w:rsid w:val="008172B4"/>
    <w:rsid w:val="00820B8A"/>
    <w:rsid w:val="00820BE8"/>
    <w:rsid w:val="00820CE6"/>
    <w:rsid w:val="00822F66"/>
    <w:rsid w:val="00827401"/>
    <w:rsid w:val="00830387"/>
    <w:rsid w:val="00835726"/>
    <w:rsid w:val="00844310"/>
    <w:rsid w:val="008608A5"/>
    <w:rsid w:val="00864D13"/>
    <w:rsid w:val="00867190"/>
    <w:rsid w:val="008852DE"/>
    <w:rsid w:val="008A7A51"/>
    <w:rsid w:val="008A7F43"/>
    <w:rsid w:val="008B6E51"/>
    <w:rsid w:val="008C4BFF"/>
    <w:rsid w:val="008D0738"/>
    <w:rsid w:val="008E26FC"/>
    <w:rsid w:val="008E4226"/>
    <w:rsid w:val="008E4F87"/>
    <w:rsid w:val="008F5671"/>
    <w:rsid w:val="00906F13"/>
    <w:rsid w:val="00917F94"/>
    <w:rsid w:val="0092296E"/>
    <w:rsid w:val="009448D6"/>
    <w:rsid w:val="009461EC"/>
    <w:rsid w:val="009539AC"/>
    <w:rsid w:val="00963DEB"/>
    <w:rsid w:val="0096589B"/>
    <w:rsid w:val="00967167"/>
    <w:rsid w:val="00972B46"/>
    <w:rsid w:val="0097540E"/>
    <w:rsid w:val="00986076"/>
    <w:rsid w:val="00994721"/>
    <w:rsid w:val="0099569A"/>
    <w:rsid w:val="009968F1"/>
    <w:rsid w:val="009A2B30"/>
    <w:rsid w:val="009D37D0"/>
    <w:rsid w:val="009E735D"/>
    <w:rsid w:val="00A264E1"/>
    <w:rsid w:val="00A31F24"/>
    <w:rsid w:val="00A33405"/>
    <w:rsid w:val="00A4327D"/>
    <w:rsid w:val="00A50967"/>
    <w:rsid w:val="00A62C1B"/>
    <w:rsid w:val="00A759AA"/>
    <w:rsid w:val="00A83C33"/>
    <w:rsid w:val="00A84A61"/>
    <w:rsid w:val="00AA04AD"/>
    <w:rsid w:val="00AA07FC"/>
    <w:rsid w:val="00AB5B8F"/>
    <w:rsid w:val="00AB7F1A"/>
    <w:rsid w:val="00AC06A5"/>
    <w:rsid w:val="00AC3871"/>
    <w:rsid w:val="00AC3878"/>
    <w:rsid w:val="00AC3BBB"/>
    <w:rsid w:val="00AD1042"/>
    <w:rsid w:val="00AD49BF"/>
    <w:rsid w:val="00AD533B"/>
    <w:rsid w:val="00AD59C5"/>
    <w:rsid w:val="00AE2A49"/>
    <w:rsid w:val="00AE5658"/>
    <w:rsid w:val="00AE60AA"/>
    <w:rsid w:val="00B05C88"/>
    <w:rsid w:val="00B11F36"/>
    <w:rsid w:val="00B14819"/>
    <w:rsid w:val="00B1597D"/>
    <w:rsid w:val="00B1761A"/>
    <w:rsid w:val="00B20343"/>
    <w:rsid w:val="00B26319"/>
    <w:rsid w:val="00B30195"/>
    <w:rsid w:val="00B3182B"/>
    <w:rsid w:val="00B504BC"/>
    <w:rsid w:val="00B545F3"/>
    <w:rsid w:val="00B6268C"/>
    <w:rsid w:val="00B65D4F"/>
    <w:rsid w:val="00B775F2"/>
    <w:rsid w:val="00BA097F"/>
    <w:rsid w:val="00BA2030"/>
    <w:rsid w:val="00BA21B5"/>
    <w:rsid w:val="00BA29DA"/>
    <w:rsid w:val="00BB666A"/>
    <w:rsid w:val="00BB7D3F"/>
    <w:rsid w:val="00BC0B6E"/>
    <w:rsid w:val="00BC3B73"/>
    <w:rsid w:val="00BC58DE"/>
    <w:rsid w:val="00BC5D8C"/>
    <w:rsid w:val="00BD2BE1"/>
    <w:rsid w:val="00BD62B1"/>
    <w:rsid w:val="00BD65C7"/>
    <w:rsid w:val="00BD678C"/>
    <w:rsid w:val="00BE77E6"/>
    <w:rsid w:val="00BF29E7"/>
    <w:rsid w:val="00BF41B5"/>
    <w:rsid w:val="00C02E94"/>
    <w:rsid w:val="00C0452C"/>
    <w:rsid w:val="00C06B1C"/>
    <w:rsid w:val="00C14CE8"/>
    <w:rsid w:val="00C22C55"/>
    <w:rsid w:val="00C2741A"/>
    <w:rsid w:val="00C34115"/>
    <w:rsid w:val="00C352DB"/>
    <w:rsid w:val="00C379A8"/>
    <w:rsid w:val="00C5757F"/>
    <w:rsid w:val="00C74118"/>
    <w:rsid w:val="00C81549"/>
    <w:rsid w:val="00C866CB"/>
    <w:rsid w:val="00C86D79"/>
    <w:rsid w:val="00C93750"/>
    <w:rsid w:val="00CA01ED"/>
    <w:rsid w:val="00CA07DA"/>
    <w:rsid w:val="00CA56F0"/>
    <w:rsid w:val="00CC0A1D"/>
    <w:rsid w:val="00CC295A"/>
    <w:rsid w:val="00CD0826"/>
    <w:rsid w:val="00CD0ACA"/>
    <w:rsid w:val="00D05800"/>
    <w:rsid w:val="00D05A10"/>
    <w:rsid w:val="00D22FFD"/>
    <w:rsid w:val="00D26236"/>
    <w:rsid w:val="00D36137"/>
    <w:rsid w:val="00D4275F"/>
    <w:rsid w:val="00D43C55"/>
    <w:rsid w:val="00D462B3"/>
    <w:rsid w:val="00D464F6"/>
    <w:rsid w:val="00D55A38"/>
    <w:rsid w:val="00D62584"/>
    <w:rsid w:val="00D6584A"/>
    <w:rsid w:val="00D85E7C"/>
    <w:rsid w:val="00D93C84"/>
    <w:rsid w:val="00D9411E"/>
    <w:rsid w:val="00D94D27"/>
    <w:rsid w:val="00DA58B7"/>
    <w:rsid w:val="00DA71AF"/>
    <w:rsid w:val="00DB0B07"/>
    <w:rsid w:val="00DB3C86"/>
    <w:rsid w:val="00DD10FA"/>
    <w:rsid w:val="00DD4F6A"/>
    <w:rsid w:val="00DE234D"/>
    <w:rsid w:val="00DE3906"/>
    <w:rsid w:val="00DE4238"/>
    <w:rsid w:val="00DE776B"/>
    <w:rsid w:val="00DE798A"/>
    <w:rsid w:val="00DF5D42"/>
    <w:rsid w:val="00DF5FDC"/>
    <w:rsid w:val="00E029D4"/>
    <w:rsid w:val="00E0460C"/>
    <w:rsid w:val="00E049BA"/>
    <w:rsid w:val="00E0643D"/>
    <w:rsid w:val="00E10361"/>
    <w:rsid w:val="00E11391"/>
    <w:rsid w:val="00E122AF"/>
    <w:rsid w:val="00E13F4E"/>
    <w:rsid w:val="00E220DC"/>
    <w:rsid w:val="00E271F5"/>
    <w:rsid w:val="00E36F16"/>
    <w:rsid w:val="00E4015F"/>
    <w:rsid w:val="00E563FB"/>
    <w:rsid w:val="00E609BA"/>
    <w:rsid w:val="00E64E2D"/>
    <w:rsid w:val="00E80265"/>
    <w:rsid w:val="00E815A3"/>
    <w:rsid w:val="00E9140F"/>
    <w:rsid w:val="00EB0C4B"/>
    <w:rsid w:val="00EC3AFB"/>
    <w:rsid w:val="00ED3C76"/>
    <w:rsid w:val="00EE6622"/>
    <w:rsid w:val="00EE6F88"/>
    <w:rsid w:val="00EF172E"/>
    <w:rsid w:val="00F16992"/>
    <w:rsid w:val="00F239AE"/>
    <w:rsid w:val="00F306CF"/>
    <w:rsid w:val="00F32817"/>
    <w:rsid w:val="00F3522A"/>
    <w:rsid w:val="00F56D4B"/>
    <w:rsid w:val="00F62785"/>
    <w:rsid w:val="00F72B9B"/>
    <w:rsid w:val="00F74F05"/>
    <w:rsid w:val="00F765C3"/>
    <w:rsid w:val="00FA3226"/>
    <w:rsid w:val="00FB2656"/>
    <w:rsid w:val="00FC0333"/>
    <w:rsid w:val="00FC3000"/>
    <w:rsid w:val="00FD7018"/>
    <w:rsid w:val="00FD734B"/>
    <w:rsid w:val="00FD7974"/>
    <w:rsid w:val="00FD7BA2"/>
    <w:rsid w:val="00FE1261"/>
    <w:rsid w:val="00FE159F"/>
    <w:rsid w:val="00FF125F"/>
    <w:rsid w:val="00FF1B99"/>
    <w:rsid w:val="00FF74F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B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20CE6"/>
    <w:pPr>
      <w:spacing w:after="200" w:line="276" w:lineRule="auto"/>
      <w:jc w:val="both"/>
    </w:pPr>
    <w:rPr>
      <w:rFonts w:ascii="Futura T OT" w:hAnsi="Futura T OT"/>
    </w:rPr>
  </w:style>
  <w:style w:type="paragraph" w:styleId="Ttulo1">
    <w:name w:val="heading 1"/>
    <w:aliases w:val="Sumario"/>
    <w:basedOn w:val="Normal"/>
    <w:next w:val="Normal"/>
    <w:link w:val="Ttulo1Car"/>
    <w:uiPriority w:val="9"/>
    <w:qFormat/>
    <w:rsid w:val="00C2741A"/>
    <w:pPr>
      <w:keepNext/>
      <w:keepLines/>
      <w:outlineLvl w:val="0"/>
    </w:pPr>
    <w:rPr>
      <w:rFonts w:eastAsia="Times New Roman" w:cs="Times New Roman"/>
      <w:b/>
      <w:bCs/>
      <w:caps/>
      <w:sz w:val="32"/>
      <w:szCs w:val="28"/>
      <w:lang w:val="es-MX" w:eastAsia="en-US"/>
    </w:rPr>
  </w:style>
  <w:style w:type="paragraph" w:styleId="Ttulo2">
    <w:name w:val="heading 2"/>
    <w:aliases w:val="Título Secciones"/>
    <w:basedOn w:val="Normal"/>
    <w:next w:val="Normal"/>
    <w:link w:val="Ttulo2Car"/>
    <w:uiPriority w:val="9"/>
    <w:unhideWhenUsed/>
    <w:qFormat/>
    <w:rsid w:val="005441E8"/>
    <w:pPr>
      <w:keepNext/>
      <w:keepLines/>
      <w:spacing w:before="200" w:line="240" w:lineRule="auto"/>
      <w:jc w:val="left"/>
      <w:outlineLvl w:val="1"/>
    </w:pPr>
    <w:rPr>
      <w:rFonts w:eastAsia="Times New Roman" w:cs="Times New Roman"/>
      <w:b/>
      <w:bCs/>
      <w:caps/>
      <w:color w:val="4BACC6"/>
      <w:sz w:val="28"/>
      <w:szCs w:val="26"/>
      <w:lang w:val="es-MX" w:eastAsia="en-US"/>
    </w:rPr>
  </w:style>
  <w:style w:type="paragraph" w:styleId="Ttulo3">
    <w:name w:val="heading 3"/>
    <w:basedOn w:val="Normal"/>
    <w:next w:val="Normal"/>
    <w:link w:val="Ttulo3Car"/>
    <w:uiPriority w:val="9"/>
    <w:unhideWhenUsed/>
    <w:rsid w:val="00774E8D"/>
    <w:pPr>
      <w:keepNext/>
      <w:keepLines/>
      <w:numPr>
        <w:ilvl w:val="2"/>
        <w:numId w:val="5"/>
      </w:numPr>
      <w:spacing w:before="200" w:line="360" w:lineRule="auto"/>
      <w:outlineLvl w:val="2"/>
    </w:pPr>
    <w:rPr>
      <w:rFonts w:eastAsia="Times New Roman" w:cs="Times New Roman"/>
      <w:b/>
      <w:bCs/>
      <w:color w:val="808080"/>
      <w:sz w:val="22"/>
      <w:szCs w:val="22"/>
      <w:lang w:val="es-MX" w:eastAsia="en-US"/>
    </w:rPr>
  </w:style>
  <w:style w:type="paragraph" w:styleId="Ttulo4">
    <w:name w:val="heading 4"/>
    <w:basedOn w:val="Normal"/>
    <w:next w:val="Normal"/>
    <w:link w:val="Ttulo4Car"/>
    <w:uiPriority w:val="9"/>
    <w:unhideWhenUsed/>
    <w:rsid w:val="00774E8D"/>
    <w:pPr>
      <w:keepNext/>
      <w:keepLines/>
      <w:numPr>
        <w:ilvl w:val="3"/>
        <w:numId w:val="5"/>
      </w:numPr>
      <w:spacing w:before="200" w:line="360" w:lineRule="auto"/>
      <w:outlineLvl w:val="3"/>
    </w:pPr>
    <w:rPr>
      <w:rFonts w:eastAsia="Times New Roman" w:cs="Times New Roman"/>
      <w:b/>
      <w:bCs/>
      <w:i/>
      <w:iCs/>
      <w:sz w:val="22"/>
      <w:szCs w:val="22"/>
      <w:lang w:val="es-MX" w:eastAsia="en-US"/>
    </w:rPr>
  </w:style>
  <w:style w:type="paragraph" w:styleId="Ttulo5">
    <w:name w:val="heading 5"/>
    <w:basedOn w:val="Normal"/>
    <w:next w:val="Normal"/>
    <w:link w:val="Ttulo5Car"/>
    <w:uiPriority w:val="9"/>
    <w:unhideWhenUsed/>
    <w:rsid w:val="00774E8D"/>
    <w:pPr>
      <w:keepNext/>
      <w:keepLines/>
      <w:numPr>
        <w:ilvl w:val="4"/>
        <w:numId w:val="5"/>
      </w:numPr>
      <w:spacing w:before="200" w:line="360" w:lineRule="auto"/>
      <w:outlineLvl w:val="4"/>
    </w:pPr>
    <w:rPr>
      <w:rFonts w:eastAsia="Times New Roman" w:cs="Times New Roman"/>
      <w:sz w:val="22"/>
      <w:szCs w:val="22"/>
      <w:lang w:val="es-MX" w:eastAsia="en-US"/>
    </w:rPr>
  </w:style>
  <w:style w:type="paragraph" w:styleId="Ttulo6">
    <w:name w:val="heading 6"/>
    <w:basedOn w:val="Normal"/>
    <w:next w:val="Normal"/>
    <w:link w:val="Ttulo6Car"/>
    <w:uiPriority w:val="9"/>
    <w:unhideWhenUsed/>
    <w:rsid w:val="00774E8D"/>
    <w:pPr>
      <w:keepNext/>
      <w:keepLines/>
      <w:numPr>
        <w:ilvl w:val="5"/>
        <w:numId w:val="5"/>
      </w:numPr>
      <w:spacing w:before="200" w:line="360" w:lineRule="auto"/>
      <w:outlineLvl w:val="5"/>
    </w:pPr>
    <w:rPr>
      <w:rFonts w:eastAsia="Times New Roman" w:cs="Times New Roman"/>
      <w:i/>
      <w:iCs/>
      <w:color w:val="243F60"/>
      <w:sz w:val="22"/>
      <w:szCs w:val="22"/>
      <w:lang w:val="es-MX" w:eastAsia="en-US"/>
    </w:rPr>
  </w:style>
  <w:style w:type="paragraph" w:styleId="Ttulo7">
    <w:name w:val="heading 7"/>
    <w:basedOn w:val="Normal"/>
    <w:next w:val="Normal"/>
    <w:link w:val="Ttulo7Car"/>
    <w:uiPriority w:val="9"/>
    <w:semiHidden/>
    <w:unhideWhenUsed/>
    <w:rsid w:val="00774E8D"/>
    <w:pPr>
      <w:keepNext/>
      <w:keepLines/>
      <w:numPr>
        <w:ilvl w:val="6"/>
        <w:numId w:val="5"/>
      </w:numPr>
      <w:spacing w:before="200" w:line="360" w:lineRule="auto"/>
      <w:outlineLvl w:val="6"/>
    </w:pPr>
    <w:rPr>
      <w:rFonts w:eastAsia="Times New Roman" w:cs="Times New Roman"/>
      <w:i/>
      <w:iCs/>
      <w:color w:val="404040"/>
      <w:sz w:val="22"/>
      <w:szCs w:val="22"/>
      <w:lang w:val="es-MX" w:eastAsia="en-US"/>
    </w:rPr>
  </w:style>
  <w:style w:type="paragraph" w:styleId="Ttulo8">
    <w:name w:val="heading 8"/>
    <w:basedOn w:val="Normal"/>
    <w:next w:val="Normal"/>
    <w:link w:val="Ttulo8Car"/>
    <w:uiPriority w:val="9"/>
    <w:semiHidden/>
    <w:unhideWhenUsed/>
    <w:qFormat/>
    <w:rsid w:val="00774E8D"/>
    <w:pPr>
      <w:keepNext/>
      <w:keepLines/>
      <w:numPr>
        <w:ilvl w:val="7"/>
        <w:numId w:val="5"/>
      </w:numPr>
      <w:spacing w:before="200" w:line="360" w:lineRule="auto"/>
      <w:outlineLvl w:val="7"/>
    </w:pPr>
    <w:rPr>
      <w:rFonts w:eastAsia="Times New Roman" w:cs="Times New Roman"/>
      <w:color w:val="404040"/>
      <w:sz w:val="20"/>
      <w:szCs w:val="20"/>
      <w:lang w:val="es-MX" w:eastAsia="en-US"/>
    </w:rPr>
  </w:style>
  <w:style w:type="paragraph" w:styleId="Ttulo9">
    <w:name w:val="heading 9"/>
    <w:basedOn w:val="Normal"/>
    <w:next w:val="Normal"/>
    <w:link w:val="Ttulo9Car"/>
    <w:uiPriority w:val="9"/>
    <w:semiHidden/>
    <w:unhideWhenUsed/>
    <w:qFormat/>
    <w:rsid w:val="00774E8D"/>
    <w:pPr>
      <w:keepNext/>
      <w:keepLines/>
      <w:numPr>
        <w:ilvl w:val="8"/>
        <w:numId w:val="5"/>
      </w:numPr>
      <w:spacing w:before="200" w:line="360" w:lineRule="auto"/>
      <w:outlineLvl w:val="8"/>
    </w:pPr>
    <w:rPr>
      <w:rFonts w:eastAsia="Times New Roman" w:cs="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CBE"/>
    <w:pPr>
      <w:tabs>
        <w:tab w:val="center" w:pos="4252"/>
        <w:tab w:val="right" w:pos="8504"/>
      </w:tabs>
    </w:pPr>
  </w:style>
  <w:style w:type="character" w:customStyle="1" w:styleId="EncabezadoCar">
    <w:name w:val="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cs="Times New Roman"/>
      <w:lang w:val="es-MX" w:eastAsia="es-MX"/>
    </w:rPr>
  </w:style>
  <w:style w:type="paragraph" w:customStyle="1" w:styleId="ecxmsonormal">
    <w:name w:val="ecxmsonormal"/>
    <w:basedOn w:val="Normal"/>
    <w:rsid w:val="00DA58B7"/>
    <w:pPr>
      <w:spacing w:after="324"/>
    </w:pPr>
    <w:rPr>
      <w:rFonts w:ascii="Times New Roman" w:eastAsia="Times New Roman" w:hAnsi="Times New Roman" w:cs="Times New Roman"/>
      <w:lang w:val="es-MX" w:eastAsia="es-MX"/>
    </w:rPr>
  </w:style>
  <w:style w:type="paragraph" w:styleId="Ttulo">
    <w:name w:val="Title"/>
    <w:aliases w:val="Titulares"/>
    <w:basedOn w:val="Normal"/>
    <w:link w:val="TtuloCar"/>
    <w:qFormat/>
    <w:rsid w:val="00695E2D"/>
    <w:pPr>
      <w:jc w:val="left"/>
    </w:pPr>
    <w:rPr>
      <w:rFonts w:eastAsia="Times New Roman" w:cs="Times New Roman"/>
      <w:b/>
      <w:color w:val="0D0D0D" w:themeColor="text1" w:themeTint="F2"/>
      <w:sz w:val="44"/>
      <w:szCs w:val="20"/>
    </w:rPr>
  </w:style>
  <w:style w:type="character" w:customStyle="1" w:styleId="TtuloCar">
    <w:name w:val="Título Car"/>
    <w:aliases w:val="Titulares Car"/>
    <w:basedOn w:val="Fuentedeprrafopredeter"/>
    <w:link w:val="Ttulo"/>
    <w:rsid w:val="00695E2D"/>
    <w:rPr>
      <w:rFonts w:ascii="Futura T OT" w:eastAsia="Times New Roman" w:hAnsi="Futura T OT" w:cs="Times New Roman"/>
      <w:b/>
      <w:color w:val="0D0D0D" w:themeColor="text1" w:themeTint="F2"/>
      <w:sz w:val="44"/>
      <w:szCs w:val="20"/>
    </w:rPr>
  </w:style>
  <w:style w:type="paragraph" w:styleId="Prrafodelista">
    <w:name w:val="List Paragraph"/>
    <w:basedOn w:val="Normal"/>
    <w:uiPriority w:val="34"/>
    <w:qFormat/>
    <w:rsid w:val="00A83C33"/>
    <w:pPr>
      <w:ind w:left="720"/>
      <w:contextualSpacing/>
    </w:pPr>
  </w:style>
  <w:style w:type="character" w:customStyle="1" w:styleId="Ttulo1Car">
    <w:name w:val="Título 1 Car"/>
    <w:aliases w:val="Sumario Car"/>
    <w:basedOn w:val="Fuentedeprrafopredeter"/>
    <w:link w:val="Ttulo1"/>
    <w:uiPriority w:val="9"/>
    <w:rsid w:val="00C2741A"/>
    <w:rPr>
      <w:rFonts w:ascii="Futura T OT" w:eastAsia="Times New Roman" w:hAnsi="Futura T OT" w:cs="Times New Roman"/>
      <w:b/>
      <w:bCs/>
      <w:caps/>
      <w:sz w:val="32"/>
      <w:szCs w:val="28"/>
      <w:lang w:val="es-MX" w:eastAsia="en-US"/>
    </w:rPr>
  </w:style>
  <w:style w:type="character" w:customStyle="1" w:styleId="Ttulo2Car">
    <w:name w:val="Título 2 Car"/>
    <w:aliases w:val="Título Secciones Car"/>
    <w:basedOn w:val="Fuentedeprrafopredeter"/>
    <w:link w:val="Ttulo2"/>
    <w:uiPriority w:val="9"/>
    <w:rsid w:val="005441E8"/>
    <w:rPr>
      <w:rFonts w:ascii="Futura T OT" w:eastAsia="Times New Roman" w:hAnsi="Futura T OT" w:cs="Times New Roman"/>
      <w:b/>
      <w:bCs/>
      <w:caps/>
      <w:color w:val="4BACC6"/>
      <w:sz w:val="28"/>
      <w:szCs w:val="26"/>
      <w:lang w:val="es-MX" w:eastAsia="en-US"/>
    </w:rPr>
  </w:style>
  <w:style w:type="character" w:customStyle="1" w:styleId="Ttulo3Car">
    <w:name w:val="Título 3 Car"/>
    <w:basedOn w:val="Fuentedeprrafopredeter"/>
    <w:link w:val="Ttulo3"/>
    <w:uiPriority w:val="9"/>
    <w:rsid w:val="00774E8D"/>
    <w:rPr>
      <w:rFonts w:eastAsia="Times New Roman" w:cs="Times New Roman"/>
      <w:b/>
      <w:bCs/>
      <w:color w:val="808080"/>
      <w:sz w:val="22"/>
      <w:szCs w:val="22"/>
      <w:lang w:val="es-MX" w:eastAsia="en-US"/>
    </w:rPr>
  </w:style>
  <w:style w:type="character" w:customStyle="1" w:styleId="Ttulo4Car">
    <w:name w:val="Título 4 Car"/>
    <w:basedOn w:val="Fuentedeprrafopredeter"/>
    <w:link w:val="Ttulo4"/>
    <w:uiPriority w:val="9"/>
    <w:rsid w:val="00774E8D"/>
    <w:rPr>
      <w:rFonts w:eastAsia="Times New Roman" w:cs="Times New Roman"/>
      <w:b/>
      <w:bCs/>
      <w:i/>
      <w:iCs/>
      <w:sz w:val="22"/>
      <w:szCs w:val="22"/>
      <w:lang w:val="es-MX" w:eastAsia="en-US"/>
    </w:rPr>
  </w:style>
  <w:style w:type="character" w:customStyle="1" w:styleId="Ttulo5Car">
    <w:name w:val="Título 5 Car"/>
    <w:basedOn w:val="Fuentedeprrafopredeter"/>
    <w:link w:val="Ttulo5"/>
    <w:uiPriority w:val="9"/>
    <w:rsid w:val="00774E8D"/>
    <w:rPr>
      <w:rFonts w:eastAsia="Times New Roman" w:cs="Times New Roman"/>
      <w:sz w:val="22"/>
      <w:szCs w:val="22"/>
      <w:lang w:val="es-MX" w:eastAsia="en-US"/>
    </w:rPr>
  </w:style>
  <w:style w:type="character" w:customStyle="1" w:styleId="Ttulo6Car">
    <w:name w:val="Título 6 Car"/>
    <w:basedOn w:val="Fuentedeprrafopredeter"/>
    <w:link w:val="Ttulo6"/>
    <w:uiPriority w:val="9"/>
    <w:rsid w:val="00774E8D"/>
    <w:rPr>
      <w:rFonts w:eastAsia="Times New Roman" w:cs="Times New Roman"/>
      <w:i/>
      <w:iCs/>
      <w:color w:val="243F60"/>
      <w:sz w:val="22"/>
      <w:szCs w:val="22"/>
      <w:lang w:val="es-MX" w:eastAsia="en-US"/>
    </w:rPr>
  </w:style>
  <w:style w:type="character" w:customStyle="1" w:styleId="Ttulo7Car">
    <w:name w:val="Título 7 Car"/>
    <w:basedOn w:val="Fuentedeprrafopredeter"/>
    <w:link w:val="Ttulo7"/>
    <w:uiPriority w:val="9"/>
    <w:semiHidden/>
    <w:rsid w:val="00774E8D"/>
    <w:rPr>
      <w:rFonts w:eastAsia="Times New Roman" w:cs="Times New Roman"/>
      <w:i/>
      <w:iCs/>
      <w:color w:val="404040"/>
      <w:sz w:val="22"/>
      <w:szCs w:val="22"/>
      <w:lang w:val="es-MX" w:eastAsia="en-US"/>
    </w:rPr>
  </w:style>
  <w:style w:type="character" w:customStyle="1" w:styleId="Ttulo8Car">
    <w:name w:val="Título 8 Car"/>
    <w:basedOn w:val="Fuentedeprrafopredeter"/>
    <w:link w:val="Ttulo8"/>
    <w:uiPriority w:val="9"/>
    <w:semiHidden/>
    <w:rsid w:val="00774E8D"/>
    <w:rPr>
      <w:rFonts w:eastAsia="Times New Roman" w:cs="Times New Roman"/>
      <w:color w:val="404040"/>
      <w:sz w:val="20"/>
      <w:szCs w:val="20"/>
      <w:lang w:val="es-MX" w:eastAsia="en-US"/>
    </w:rPr>
  </w:style>
  <w:style w:type="character" w:customStyle="1" w:styleId="Ttulo9Car">
    <w:name w:val="Título 9 Car"/>
    <w:basedOn w:val="Fuentedeprrafopredeter"/>
    <w:link w:val="Ttulo9"/>
    <w:uiPriority w:val="9"/>
    <w:semiHidden/>
    <w:rsid w:val="00774E8D"/>
    <w:rPr>
      <w:rFonts w:eastAsia="Times New Roman" w:cs="Times New Roman"/>
      <w:i/>
      <w:iCs/>
      <w:color w:val="404040"/>
      <w:sz w:val="20"/>
      <w:szCs w:val="20"/>
      <w:lang w:val="es-MX" w:eastAsia="en-US"/>
    </w:rPr>
  </w:style>
  <w:style w:type="paragraph" w:styleId="Epgrafe">
    <w:name w:val="caption"/>
    <w:basedOn w:val="Normal"/>
    <w:next w:val="Normal"/>
    <w:autoRedefine/>
    <w:uiPriority w:val="35"/>
    <w:unhideWhenUsed/>
    <w:rsid w:val="00AC3871"/>
    <w:pPr>
      <w:spacing w:before="120" w:after="120"/>
      <w:jc w:val="center"/>
    </w:pPr>
    <w:rPr>
      <w:rFonts w:eastAsia="Arial" w:cs="Times New Roman"/>
      <w:b/>
      <w:bCs/>
      <w:color w:val="4BACC6" w:themeColor="accent5"/>
      <w:sz w:val="28"/>
      <w:szCs w:val="28"/>
      <w:lang w:val="es-MX" w:eastAsia="en-US"/>
    </w:rPr>
  </w:style>
  <w:style w:type="paragraph" w:styleId="Textonotapie">
    <w:name w:val="footnote text"/>
    <w:basedOn w:val="Normal"/>
    <w:link w:val="TextonotapieCar"/>
    <w:uiPriority w:val="99"/>
    <w:semiHidden/>
    <w:unhideWhenUsed/>
    <w:rsid w:val="00774E8D"/>
    <w:rPr>
      <w:rFonts w:eastAsia="Arial" w:cs="Times New Roman"/>
      <w:sz w:val="20"/>
      <w:szCs w:val="20"/>
      <w:lang w:val="es-MX" w:eastAsia="en-US"/>
    </w:rPr>
  </w:style>
  <w:style w:type="character" w:customStyle="1" w:styleId="TextonotapieCar">
    <w:name w:val="Texto nota pie Car"/>
    <w:basedOn w:val="Fuentedeprrafopredeter"/>
    <w:link w:val="Textonotapie"/>
    <w:uiPriority w:val="99"/>
    <w:semiHidden/>
    <w:rsid w:val="00774E8D"/>
    <w:rPr>
      <w:rFonts w:eastAsia="Arial" w:cs="Times New Roman"/>
      <w:sz w:val="20"/>
      <w:szCs w:val="20"/>
      <w:lang w:val="es-MX" w:eastAsia="en-US"/>
    </w:rPr>
  </w:style>
  <w:style w:type="character" w:styleId="Refdenotaalpie">
    <w:name w:val="footnote reference"/>
    <w:basedOn w:val="Fuentedeprrafopredeter"/>
    <w:uiPriority w:val="99"/>
    <w:unhideWhenUsed/>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pPr>
    <w:rPr>
      <w:rFonts w:eastAsia="Calibri" w:cs="Times New Roman"/>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basedOn w:val="Normal"/>
    <w:link w:val="TextoCar"/>
    <w:rsid w:val="00774E8D"/>
    <w:pPr>
      <w:spacing w:after="101" w:line="216" w:lineRule="exact"/>
      <w:ind w:firstLine="288"/>
    </w:pPr>
    <w:rPr>
      <w:rFonts w:eastAsia="Calibri" w:cs="Times New Roman"/>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rPr>
      <w:rFonts w:eastAsia="Times New Roman" w:cs="Times New Roman"/>
      <w:sz w:val="20"/>
      <w:szCs w:val="20"/>
      <w:lang w:val="es-ES"/>
    </w:rPr>
  </w:style>
  <w:style w:type="character" w:customStyle="1" w:styleId="Textoindependiente2Car">
    <w:name w:val="Texto independiente 2 Car"/>
    <w:basedOn w:val="Fuentedeprrafopredete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semiHidden/>
    <w:unhideWhenUsed/>
    <w:rsid w:val="007B7E87"/>
  </w:style>
  <w:style w:type="paragraph" w:styleId="TtulodeTDC">
    <w:name w:val="TOC Heading"/>
    <w:basedOn w:val="Ttulo1"/>
    <w:next w:val="Normal"/>
    <w:uiPriority w:val="39"/>
    <w:semiHidden/>
    <w:unhideWhenUsed/>
    <w:qFormat/>
    <w:rsid w:val="00416E1E"/>
    <w:pPr>
      <w:jc w:val="left"/>
      <w:outlineLvl w:val="9"/>
    </w:pPr>
    <w:rPr>
      <w:rFonts w:asciiTheme="majorHAnsi" w:eastAsiaTheme="majorEastAsia" w:hAnsiTheme="majorHAnsi" w:cstheme="majorBidi"/>
      <w:color w:val="365F91" w:themeColor="accent1" w:themeShade="BF"/>
      <w:lang w:val="es-ES" w:eastAsia="es-ES"/>
    </w:rPr>
  </w:style>
  <w:style w:type="paragraph" w:styleId="TDC1">
    <w:name w:val="toc 1"/>
    <w:basedOn w:val="Normal"/>
    <w:next w:val="Normal"/>
    <w:autoRedefine/>
    <w:uiPriority w:val="39"/>
    <w:unhideWhenUsed/>
    <w:rsid w:val="004C7357"/>
    <w:pPr>
      <w:tabs>
        <w:tab w:val="right" w:leader="dot" w:pos="10196"/>
      </w:tabs>
      <w:spacing w:after="100"/>
      <w:jc w:val="left"/>
    </w:pPr>
  </w:style>
  <w:style w:type="paragraph" w:styleId="TDC2">
    <w:name w:val="toc 2"/>
    <w:basedOn w:val="Normal"/>
    <w:next w:val="Normal"/>
    <w:autoRedefine/>
    <w:uiPriority w:val="39"/>
    <w:unhideWhenUsed/>
    <w:rsid w:val="004C7357"/>
    <w:pPr>
      <w:tabs>
        <w:tab w:val="right" w:leader="dot" w:pos="10196"/>
      </w:tabs>
      <w:spacing w:after="100"/>
      <w:ind w:left="240"/>
      <w:jc w:val="left"/>
    </w:pPr>
  </w:style>
  <w:style w:type="paragraph" w:styleId="TDC3">
    <w:name w:val="toc 3"/>
    <w:basedOn w:val="Normal"/>
    <w:next w:val="Normal"/>
    <w:autoRedefine/>
    <w:uiPriority w:val="39"/>
    <w:unhideWhenUsed/>
    <w:rsid w:val="00416E1E"/>
    <w:pPr>
      <w:spacing w:after="100"/>
      <w:ind w:left="480"/>
    </w:pPr>
  </w:style>
  <w:style w:type="character" w:styleId="Hipervnculo">
    <w:name w:val="Hyperlink"/>
    <w:basedOn w:val="Fuentedeprrafopredeter"/>
    <w:uiPriority w:val="99"/>
    <w:unhideWhenUsed/>
    <w:rsid w:val="00416E1E"/>
    <w:rPr>
      <w:color w:val="0000FF" w:themeColor="hyperlink"/>
      <w:u w:val="single"/>
    </w:rPr>
  </w:style>
  <w:style w:type="character" w:styleId="Hipervnculovisitado">
    <w:name w:val="FollowedHyperlink"/>
    <w:basedOn w:val="Fuentedeprrafopredeter"/>
    <w:uiPriority w:val="99"/>
    <w:semiHidden/>
    <w:unhideWhenUsed/>
    <w:rsid w:val="00E0460C"/>
    <w:rPr>
      <w:color w:val="800080" w:themeColor="followedHyperlink"/>
      <w:u w:val="single"/>
    </w:rPr>
  </w:style>
  <w:style w:type="paragraph" w:customStyle="1" w:styleId="text-align-justify">
    <w:name w:val="text-align-justify"/>
    <w:basedOn w:val="Normal"/>
    <w:rsid w:val="00583858"/>
    <w:pPr>
      <w:spacing w:before="100" w:beforeAutospacing="1" w:after="100" w:afterAutospacing="1" w:line="240" w:lineRule="auto"/>
      <w:jc w:val="left"/>
    </w:pPr>
    <w:rPr>
      <w:rFonts w:ascii="Times New Roman" w:eastAsia="Times New Roman" w:hAnsi="Times New Roman" w:cs="Times New Roman"/>
      <w:lang w:val="es-MX" w:eastAsia="es-MX"/>
    </w:rPr>
  </w:style>
  <w:style w:type="paragraph" w:customStyle="1" w:styleId="Default">
    <w:name w:val="Default"/>
    <w:rsid w:val="00583858"/>
    <w:pPr>
      <w:autoSpaceDE w:val="0"/>
      <w:autoSpaceDN w:val="0"/>
      <w:adjustRightInd w:val="0"/>
    </w:pPr>
    <w:rPr>
      <w:rFonts w:ascii="Calibri" w:hAnsi="Calibri" w:cs="Calibri"/>
      <w:color w:val="000000"/>
      <w:lang w:val="es-MX"/>
    </w:rPr>
  </w:style>
  <w:style w:type="character" w:styleId="Refdecomentario">
    <w:name w:val="annotation reference"/>
    <w:basedOn w:val="Fuentedeprrafopredeter"/>
    <w:uiPriority w:val="99"/>
    <w:semiHidden/>
    <w:unhideWhenUsed/>
    <w:rsid w:val="006F275A"/>
    <w:rPr>
      <w:sz w:val="16"/>
      <w:szCs w:val="16"/>
    </w:rPr>
  </w:style>
  <w:style w:type="paragraph" w:styleId="Textocomentario">
    <w:name w:val="annotation text"/>
    <w:basedOn w:val="Normal"/>
    <w:link w:val="TextocomentarioCar"/>
    <w:uiPriority w:val="99"/>
    <w:semiHidden/>
    <w:unhideWhenUsed/>
    <w:rsid w:val="006F27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275A"/>
    <w:rPr>
      <w:rFonts w:ascii="Futura T OT" w:hAnsi="Futura T OT"/>
      <w:sz w:val="20"/>
      <w:szCs w:val="20"/>
    </w:rPr>
  </w:style>
  <w:style w:type="paragraph" w:styleId="Asuntodelcomentario">
    <w:name w:val="annotation subject"/>
    <w:basedOn w:val="Textocomentario"/>
    <w:next w:val="Textocomentario"/>
    <w:link w:val="AsuntodelcomentarioCar"/>
    <w:uiPriority w:val="99"/>
    <w:semiHidden/>
    <w:unhideWhenUsed/>
    <w:rsid w:val="006F275A"/>
    <w:rPr>
      <w:b/>
      <w:bCs/>
    </w:rPr>
  </w:style>
  <w:style w:type="character" w:customStyle="1" w:styleId="AsuntodelcomentarioCar">
    <w:name w:val="Asunto del comentario Car"/>
    <w:basedOn w:val="TextocomentarioCar"/>
    <w:link w:val="Asuntodelcomentario"/>
    <w:uiPriority w:val="99"/>
    <w:semiHidden/>
    <w:rsid w:val="006F275A"/>
    <w:rPr>
      <w:rFonts w:ascii="Futura T OT" w:hAnsi="Futura T OT"/>
      <w:b/>
      <w:bCs/>
      <w:sz w:val="20"/>
      <w:szCs w:val="20"/>
    </w:rPr>
  </w:style>
  <w:style w:type="character" w:styleId="Referenciasutil">
    <w:name w:val="Subtle Reference"/>
    <w:basedOn w:val="Fuentedeprrafopredeter"/>
    <w:uiPriority w:val="31"/>
    <w:qFormat/>
    <w:rsid w:val="004B6B72"/>
    <w:rPr>
      <w:caps w:val="0"/>
      <w:smallCaps/>
      <w:color w:val="404040" w:themeColor="text1" w:themeTint="BF"/>
      <w:u w:val="single" w:color="7F7F7F" w:themeColor="text1" w:themeTint="80"/>
    </w:rPr>
  </w:style>
  <w:style w:type="table" w:styleId="Tablaconcuadrcula">
    <w:name w:val="Table Grid"/>
    <w:basedOn w:val="Tablanormal"/>
    <w:uiPriority w:val="59"/>
    <w:rsid w:val="00D2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20CE6"/>
    <w:pPr>
      <w:spacing w:after="200" w:line="276" w:lineRule="auto"/>
      <w:jc w:val="both"/>
    </w:pPr>
    <w:rPr>
      <w:rFonts w:ascii="Futura T OT" w:hAnsi="Futura T OT"/>
    </w:rPr>
  </w:style>
  <w:style w:type="paragraph" w:styleId="Ttulo1">
    <w:name w:val="heading 1"/>
    <w:aliases w:val="Sumario"/>
    <w:basedOn w:val="Normal"/>
    <w:next w:val="Normal"/>
    <w:link w:val="Ttulo1Car"/>
    <w:uiPriority w:val="9"/>
    <w:qFormat/>
    <w:rsid w:val="00C2741A"/>
    <w:pPr>
      <w:keepNext/>
      <w:keepLines/>
      <w:outlineLvl w:val="0"/>
    </w:pPr>
    <w:rPr>
      <w:rFonts w:eastAsia="Times New Roman" w:cs="Times New Roman"/>
      <w:b/>
      <w:bCs/>
      <w:caps/>
      <w:sz w:val="32"/>
      <w:szCs w:val="28"/>
      <w:lang w:val="es-MX" w:eastAsia="en-US"/>
    </w:rPr>
  </w:style>
  <w:style w:type="paragraph" w:styleId="Ttulo2">
    <w:name w:val="heading 2"/>
    <w:aliases w:val="Título Secciones"/>
    <w:basedOn w:val="Normal"/>
    <w:next w:val="Normal"/>
    <w:link w:val="Ttulo2Car"/>
    <w:uiPriority w:val="9"/>
    <w:unhideWhenUsed/>
    <w:qFormat/>
    <w:rsid w:val="005441E8"/>
    <w:pPr>
      <w:keepNext/>
      <w:keepLines/>
      <w:spacing w:before="200" w:line="240" w:lineRule="auto"/>
      <w:jc w:val="left"/>
      <w:outlineLvl w:val="1"/>
    </w:pPr>
    <w:rPr>
      <w:rFonts w:eastAsia="Times New Roman" w:cs="Times New Roman"/>
      <w:b/>
      <w:bCs/>
      <w:caps/>
      <w:color w:val="4BACC6"/>
      <w:sz w:val="28"/>
      <w:szCs w:val="26"/>
      <w:lang w:val="es-MX" w:eastAsia="en-US"/>
    </w:rPr>
  </w:style>
  <w:style w:type="paragraph" w:styleId="Ttulo3">
    <w:name w:val="heading 3"/>
    <w:basedOn w:val="Normal"/>
    <w:next w:val="Normal"/>
    <w:link w:val="Ttulo3Car"/>
    <w:uiPriority w:val="9"/>
    <w:unhideWhenUsed/>
    <w:rsid w:val="00774E8D"/>
    <w:pPr>
      <w:keepNext/>
      <w:keepLines/>
      <w:numPr>
        <w:ilvl w:val="2"/>
        <w:numId w:val="5"/>
      </w:numPr>
      <w:spacing w:before="200" w:line="360" w:lineRule="auto"/>
      <w:outlineLvl w:val="2"/>
    </w:pPr>
    <w:rPr>
      <w:rFonts w:eastAsia="Times New Roman" w:cs="Times New Roman"/>
      <w:b/>
      <w:bCs/>
      <w:color w:val="808080"/>
      <w:sz w:val="22"/>
      <w:szCs w:val="22"/>
      <w:lang w:val="es-MX" w:eastAsia="en-US"/>
    </w:rPr>
  </w:style>
  <w:style w:type="paragraph" w:styleId="Ttulo4">
    <w:name w:val="heading 4"/>
    <w:basedOn w:val="Normal"/>
    <w:next w:val="Normal"/>
    <w:link w:val="Ttulo4Car"/>
    <w:uiPriority w:val="9"/>
    <w:unhideWhenUsed/>
    <w:rsid w:val="00774E8D"/>
    <w:pPr>
      <w:keepNext/>
      <w:keepLines/>
      <w:numPr>
        <w:ilvl w:val="3"/>
        <w:numId w:val="5"/>
      </w:numPr>
      <w:spacing w:before="200" w:line="360" w:lineRule="auto"/>
      <w:outlineLvl w:val="3"/>
    </w:pPr>
    <w:rPr>
      <w:rFonts w:eastAsia="Times New Roman" w:cs="Times New Roman"/>
      <w:b/>
      <w:bCs/>
      <w:i/>
      <w:iCs/>
      <w:sz w:val="22"/>
      <w:szCs w:val="22"/>
      <w:lang w:val="es-MX" w:eastAsia="en-US"/>
    </w:rPr>
  </w:style>
  <w:style w:type="paragraph" w:styleId="Ttulo5">
    <w:name w:val="heading 5"/>
    <w:basedOn w:val="Normal"/>
    <w:next w:val="Normal"/>
    <w:link w:val="Ttulo5Car"/>
    <w:uiPriority w:val="9"/>
    <w:unhideWhenUsed/>
    <w:rsid w:val="00774E8D"/>
    <w:pPr>
      <w:keepNext/>
      <w:keepLines/>
      <w:numPr>
        <w:ilvl w:val="4"/>
        <w:numId w:val="5"/>
      </w:numPr>
      <w:spacing w:before="200" w:line="360" w:lineRule="auto"/>
      <w:outlineLvl w:val="4"/>
    </w:pPr>
    <w:rPr>
      <w:rFonts w:eastAsia="Times New Roman" w:cs="Times New Roman"/>
      <w:sz w:val="22"/>
      <w:szCs w:val="22"/>
      <w:lang w:val="es-MX" w:eastAsia="en-US"/>
    </w:rPr>
  </w:style>
  <w:style w:type="paragraph" w:styleId="Ttulo6">
    <w:name w:val="heading 6"/>
    <w:basedOn w:val="Normal"/>
    <w:next w:val="Normal"/>
    <w:link w:val="Ttulo6Car"/>
    <w:uiPriority w:val="9"/>
    <w:unhideWhenUsed/>
    <w:rsid w:val="00774E8D"/>
    <w:pPr>
      <w:keepNext/>
      <w:keepLines/>
      <w:numPr>
        <w:ilvl w:val="5"/>
        <w:numId w:val="5"/>
      </w:numPr>
      <w:spacing w:before="200" w:line="360" w:lineRule="auto"/>
      <w:outlineLvl w:val="5"/>
    </w:pPr>
    <w:rPr>
      <w:rFonts w:eastAsia="Times New Roman" w:cs="Times New Roman"/>
      <w:i/>
      <w:iCs/>
      <w:color w:val="243F60"/>
      <w:sz w:val="22"/>
      <w:szCs w:val="22"/>
      <w:lang w:val="es-MX" w:eastAsia="en-US"/>
    </w:rPr>
  </w:style>
  <w:style w:type="paragraph" w:styleId="Ttulo7">
    <w:name w:val="heading 7"/>
    <w:basedOn w:val="Normal"/>
    <w:next w:val="Normal"/>
    <w:link w:val="Ttulo7Car"/>
    <w:uiPriority w:val="9"/>
    <w:semiHidden/>
    <w:unhideWhenUsed/>
    <w:rsid w:val="00774E8D"/>
    <w:pPr>
      <w:keepNext/>
      <w:keepLines/>
      <w:numPr>
        <w:ilvl w:val="6"/>
        <w:numId w:val="5"/>
      </w:numPr>
      <w:spacing w:before="200" w:line="360" w:lineRule="auto"/>
      <w:outlineLvl w:val="6"/>
    </w:pPr>
    <w:rPr>
      <w:rFonts w:eastAsia="Times New Roman" w:cs="Times New Roman"/>
      <w:i/>
      <w:iCs/>
      <w:color w:val="404040"/>
      <w:sz w:val="22"/>
      <w:szCs w:val="22"/>
      <w:lang w:val="es-MX" w:eastAsia="en-US"/>
    </w:rPr>
  </w:style>
  <w:style w:type="paragraph" w:styleId="Ttulo8">
    <w:name w:val="heading 8"/>
    <w:basedOn w:val="Normal"/>
    <w:next w:val="Normal"/>
    <w:link w:val="Ttulo8Car"/>
    <w:uiPriority w:val="9"/>
    <w:semiHidden/>
    <w:unhideWhenUsed/>
    <w:qFormat/>
    <w:rsid w:val="00774E8D"/>
    <w:pPr>
      <w:keepNext/>
      <w:keepLines/>
      <w:numPr>
        <w:ilvl w:val="7"/>
        <w:numId w:val="5"/>
      </w:numPr>
      <w:spacing w:before="200" w:line="360" w:lineRule="auto"/>
      <w:outlineLvl w:val="7"/>
    </w:pPr>
    <w:rPr>
      <w:rFonts w:eastAsia="Times New Roman" w:cs="Times New Roman"/>
      <w:color w:val="404040"/>
      <w:sz w:val="20"/>
      <w:szCs w:val="20"/>
      <w:lang w:val="es-MX" w:eastAsia="en-US"/>
    </w:rPr>
  </w:style>
  <w:style w:type="paragraph" w:styleId="Ttulo9">
    <w:name w:val="heading 9"/>
    <w:basedOn w:val="Normal"/>
    <w:next w:val="Normal"/>
    <w:link w:val="Ttulo9Car"/>
    <w:uiPriority w:val="9"/>
    <w:semiHidden/>
    <w:unhideWhenUsed/>
    <w:qFormat/>
    <w:rsid w:val="00774E8D"/>
    <w:pPr>
      <w:keepNext/>
      <w:keepLines/>
      <w:numPr>
        <w:ilvl w:val="8"/>
        <w:numId w:val="5"/>
      </w:numPr>
      <w:spacing w:before="200" w:line="360" w:lineRule="auto"/>
      <w:outlineLvl w:val="8"/>
    </w:pPr>
    <w:rPr>
      <w:rFonts w:eastAsia="Times New Roman" w:cs="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CBE"/>
    <w:pPr>
      <w:tabs>
        <w:tab w:val="center" w:pos="4252"/>
        <w:tab w:val="right" w:pos="8504"/>
      </w:tabs>
    </w:pPr>
  </w:style>
  <w:style w:type="character" w:customStyle="1" w:styleId="EncabezadoCar">
    <w:name w:val="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cs="Times New Roman"/>
      <w:lang w:val="es-MX" w:eastAsia="es-MX"/>
    </w:rPr>
  </w:style>
  <w:style w:type="paragraph" w:customStyle="1" w:styleId="ecxmsonormal">
    <w:name w:val="ecxmsonormal"/>
    <w:basedOn w:val="Normal"/>
    <w:rsid w:val="00DA58B7"/>
    <w:pPr>
      <w:spacing w:after="324"/>
    </w:pPr>
    <w:rPr>
      <w:rFonts w:ascii="Times New Roman" w:eastAsia="Times New Roman" w:hAnsi="Times New Roman" w:cs="Times New Roman"/>
      <w:lang w:val="es-MX" w:eastAsia="es-MX"/>
    </w:rPr>
  </w:style>
  <w:style w:type="paragraph" w:styleId="Ttulo">
    <w:name w:val="Title"/>
    <w:aliases w:val="Titulares"/>
    <w:basedOn w:val="Normal"/>
    <w:link w:val="TtuloCar"/>
    <w:qFormat/>
    <w:rsid w:val="00695E2D"/>
    <w:pPr>
      <w:jc w:val="left"/>
    </w:pPr>
    <w:rPr>
      <w:rFonts w:eastAsia="Times New Roman" w:cs="Times New Roman"/>
      <w:b/>
      <w:color w:val="0D0D0D" w:themeColor="text1" w:themeTint="F2"/>
      <w:sz w:val="44"/>
      <w:szCs w:val="20"/>
    </w:rPr>
  </w:style>
  <w:style w:type="character" w:customStyle="1" w:styleId="TtuloCar">
    <w:name w:val="Título Car"/>
    <w:aliases w:val="Titulares Car"/>
    <w:basedOn w:val="Fuentedeprrafopredeter"/>
    <w:link w:val="Ttulo"/>
    <w:rsid w:val="00695E2D"/>
    <w:rPr>
      <w:rFonts w:ascii="Futura T OT" w:eastAsia="Times New Roman" w:hAnsi="Futura T OT" w:cs="Times New Roman"/>
      <w:b/>
      <w:color w:val="0D0D0D" w:themeColor="text1" w:themeTint="F2"/>
      <w:sz w:val="44"/>
      <w:szCs w:val="20"/>
    </w:rPr>
  </w:style>
  <w:style w:type="paragraph" w:styleId="Prrafodelista">
    <w:name w:val="List Paragraph"/>
    <w:basedOn w:val="Normal"/>
    <w:uiPriority w:val="34"/>
    <w:qFormat/>
    <w:rsid w:val="00A83C33"/>
    <w:pPr>
      <w:ind w:left="720"/>
      <w:contextualSpacing/>
    </w:pPr>
  </w:style>
  <w:style w:type="character" w:customStyle="1" w:styleId="Ttulo1Car">
    <w:name w:val="Título 1 Car"/>
    <w:aliases w:val="Sumario Car"/>
    <w:basedOn w:val="Fuentedeprrafopredeter"/>
    <w:link w:val="Ttulo1"/>
    <w:uiPriority w:val="9"/>
    <w:rsid w:val="00C2741A"/>
    <w:rPr>
      <w:rFonts w:ascii="Futura T OT" w:eastAsia="Times New Roman" w:hAnsi="Futura T OT" w:cs="Times New Roman"/>
      <w:b/>
      <w:bCs/>
      <w:caps/>
      <w:sz w:val="32"/>
      <w:szCs w:val="28"/>
      <w:lang w:val="es-MX" w:eastAsia="en-US"/>
    </w:rPr>
  </w:style>
  <w:style w:type="character" w:customStyle="1" w:styleId="Ttulo2Car">
    <w:name w:val="Título 2 Car"/>
    <w:aliases w:val="Título Secciones Car"/>
    <w:basedOn w:val="Fuentedeprrafopredeter"/>
    <w:link w:val="Ttulo2"/>
    <w:uiPriority w:val="9"/>
    <w:rsid w:val="005441E8"/>
    <w:rPr>
      <w:rFonts w:ascii="Futura T OT" w:eastAsia="Times New Roman" w:hAnsi="Futura T OT" w:cs="Times New Roman"/>
      <w:b/>
      <w:bCs/>
      <w:caps/>
      <w:color w:val="4BACC6"/>
      <w:sz w:val="28"/>
      <w:szCs w:val="26"/>
      <w:lang w:val="es-MX" w:eastAsia="en-US"/>
    </w:rPr>
  </w:style>
  <w:style w:type="character" w:customStyle="1" w:styleId="Ttulo3Car">
    <w:name w:val="Título 3 Car"/>
    <w:basedOn w:val="Fuentedeprrafopredeter"/>
    <w:link w:val="Ttulo3"/>
    <w:uiPriority w:val="9"/>
    <w:rsid w:val="00774E8D"/>
    <w:rPr>
      <w:rFonts w:eastAsia="Times New Roman" w:cs="Times New Roman"/>
      <w:b/>
      <w:bCs/>
      <w:color w:val="808080"/>
      <w:sz w:val="22"/>
      <w:szCs w:val="22"/>
      <w:lang w:val="es-MX" w:eastAsia="en-US"/>
    </w:rPr>
  </w:style>
  <w:style w:type="character" w:customStyle="1" w:styleId="Ttulo4Car">
    <w:name w:val="Título 4 Car"/>
    <w:basedOn w:val="Fuentedeprrafopredeter"/>
    <w:link w:val="Ttulo4"/>
    <w:uiPriority w:val="9"/>
    <w:rsid w:val="00774E8D"/>
    <w:rPr>
      <w:rFonts w:eastAsia="Times New Roman" w:cs="Times New Roman"/>
      <w:b/>
      <w:bCs/>
      <w:i/>
      <w:iCs/>
      <w:sz w:val="22"/>
      <w:szCs w:val="22"/>
      <w:lang w:val="es-MX" w:eastAsia="en-US"/>
    </w:rPr>
  </w:style>
  <w:style w:type="character" w:customStyle="1" w:styleId="Ttulo5Car">
    <w:name w:val="Título 5 Car"/>
    <w:basedOn w:val="Fuentedeprrafopredeter"/>
    <w:link w:val="Ttulo5"/>
    <w:uiPriority w:val="9"/>
    <w:rsid w:val="00774E8D"/>
    <w:rPr>
      <w:rFonts w:eastAsia="Times New Roman" w:cs="Times New Roman"/>
      <w:sz w:val="22"/>
      <w:szCs w:val="22"/>
      <w:lang w:val="es-MX" w:eastAsia="en-US"/>
    </w:rPr>
  </w:style>
  <w:style w:type="character" w:customStyle="1" w:styleId="Ttulo6Car">
    <w:name w:val="Título 6 Car"/>
    <w:basedOn w:val="Fuentedeprrafopredeter"/>
    <w:link w:val="Ttulo6"/>
    <w:uiPriority w:val="9"/>
    <w:rsid w:val="00774E8D"/>
    <w:rPr>
      <w:rFonts w:eastAsia="Times New Roman" w:cs="Times New Roman"/>
      <w:i/>
      <w:iCs/>
      <w:color w:val="243F60"/>
      <w:sz w:val="22"/>
      <w:szCs w:val="22"/>
      <w:lang w:val="es-MX" w:eastAsia="en-US"/>
    </w:rPr>
  </w:style>
  <w:style w:type="character" w:customStyle="1" w:styleId="Ttulo7Car">
    <w:name w:val="Título 7 Car"/>
    <w:basedOn w:val="Fuentedeprrafopredeter"/>
    <w:link w:val="Ttulo7"/>
    <w:uiPriority w:val="9"/>
    <w:semiHidden/>
    <w:rsid w:val="00774E8D"/>
    <w:rPr>
      <w:rFonts w:eastAsia="Times New Roman" w:cs="Times New Roman"/>
      <w:i/>
      <w:iCs/>
      <w:color w:val="404040"/>
      <w:sz w:val="22"/>
      <w:szCs w:val="22"/>
      <w:lang w:val="es-MX" w:eastAsia="en-US"/>
    </w:rPr>
  </w:style>
  <w:style w:type="character" w:customStyle="1" w:styleId="Ttulo8Car">
    <w:name w:val="Título 8 Car"/>
    <w:basedOn w:val="Fuentedeprrafopredeter"/>
    <w:link w:val="Ttulo8"/>
    <w:uiPriority w:val="9"/>
    <w:semiHidden/>
    <w:rsid w:val="00774E8D"/>
    <w:rPr>
      <w:rFonts w:eastAsia="Times New Roman" w:cs="Times New Roman"/>
      <w:color w:val="404040"/>
      <w:sz w:val="20"/>
      <w:szCs w:val="20"/>
      <w:lang w:val="es-MX" w:eastAsia="en-US"/>
    </w:rPr>
  </w:style>
  <w:style w:type="character" w:customStyle="1" w:styleId="Ttulo9Car">
    <w:name w:val="Título 9 Car"/>
    <w:basedOn w:val="Fuentedeprrafopredeter"/>
    <w:link w:val="Ttulo9"/>
    <w:uiPriority w:val="9"/>
    <w:semiHidden/>
    <w:rsid w:val="00774E8D"/>
    <w:rPr>
      <w:rFonts w:eastAsia="Times New Roman" w:cs="Times New Roman"/>
      <w:i/>
      <w:iCs/>
      <w:color w:val="404040"/>
      <w:sz w:val="20"/>
      <w:szCs w:val="20"/>
      <w:lang w:val="es-MX" w:eastAsia="en-US"/>
    </w:rPr>
  </w:style>
  <w:style w:type="paragraph" w:styleId="Epgrafe">
    <w:name w:val="caption"/>
    <w:basedOn w:val="Normal"/>
    <w:next w:val="Normal"/>
    <w:autoRedefine/>
    <w:uiPriority w:val="35"/>
    <w:unhideWhenUsed/>
    <w:rsid w:val="00AC3871"/>
    <w:pPr>
      <w:spacing w:before="120" w:after="120"/>
      <w:jc w:val="center"/>
    </w:pPr>
    <w:rPr>
      <w:rFonts w:eastAsia="Arial" w:cs="Times New Roman"/>
      <w:b/>
      <w:bCs/>
      <w:color w:val="4BACC6" w:themeColor="accent5"/>
      <w:sz w:val="28"/>
      <w:szCs w:val="28"/>
      <w:lang w:val="es-MX" w:eastAsia="en-US"/>
    </w:rPr>
  </w:style>
  <w:style w:type="paragraph" w:styleId="Textonotapie">
    <w:name w:val="footnote text"/>
    <w:basedOn w:val="Normal"/>
    <w:link w:val="TextonotapieCar"/>
    <w:uiPriority w:val="99"/>
    <w:semiHidden/>
    <w:unhideWhenUsed/>
    <w:rsid w:val="00774E8D"/>
    <w:rPr>
      <w:rFonts w:eastAsia="Arial" w:cs="Times New Roman"/>
      <w:sz w:val="20"/>
      <w:szCs w:val="20"/>
      <w:lang w:val="es-MX" w:eastAsia="en-US"/>
    </w:rPr>
  </w:style>
  <w:style w:type="character" w:customStyle="1" w:styleId="TextonotapieCar">
    <w:name w:val="Texto nota pie Car"/>
    <w:basedOn w:val="Fuentedeprrafopredeter"/>
    <w:link w:val="Textonotapie"/>
    <w:uiPriority w:val="99"/>
    <w:semiHidden/>
    <w:rsid w:val="00774E8D"/>
    <w:rPr>
      <w:rFonts w:eastAsia="Arial" w:cs="Times New Roman"/>
      <w:sz w:val="20"/>
      <w:szCs w:val="20"/>
      <w:lang w:val="es-MX" w:eastAsia="en-US"/>
    </w:rPr>
  </w:style>
  <w:style w:type="character" w:styleId="Refdenotaalpie">
    <w:name w:val="footnote reference"/>
    <w:basedOn w:val="Fuentedeprrafopredeter"/>
    <w:uiPriority w:val="99"/>
    <w:unhideWhenUsed/>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pPr>
    <w:rPr>
      <w:rFonts w:eastAsia="Calibri" w:cs="Times New Roman"/>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basedOn w:val="Normal"/>
    <w:link w:val="TextoCar"/>
    <w:rsid w:val="00774E8D"/>
    <w:pPr>
      <w:spacing w:after="101" w:line="216" w:lineRule="exact"/>
      <w:ind w:firstLine="288"/>
    </w:pPr>
    <w:rPr>
      <w:rFonts w:eastAsia="Calibri" w:cs="Times New Roman"/>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rPr>
      <w:rFonts w:eastAsia="Times New Roman" w:cs="Times New Roman"/>
      <w:sz w:val="20"/>
      <w:szCs w:val="20"/>
      <w:lang w:val="es-ES"/>
    </w:rPr>
  </w:style>
  <w:style w:type="character" w:customStyle="1" w:styleId="Textoindependiente2Car">
    <w:name w:val="Texto independiente 2 Car"/>
    <w:basedOn w:val="Fuentedeprrafopredete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semiHidden/>
    <w:unhideWhenUsed/>
    <w:rsid w:val="007B7E87"/>
  </w:style>
  <w:style w:type="paragraph" w:styleId="TtulodeTDC">
    <w:name w:val="TOC Heading"/>
    <w:basedOn w:val="Ttulo1"/>
    <w:next w:val="Normal"/>
    <w:uiPriority w:val="39"/>
    <w:semiHidden/>
    <w:unhideWhenUsed/>
    <w:qFormat/>
    <w:rsid w:val="00416E1E"/>
    <w:pPr>
      <w:jc w:val="left"/>
      <w:outlineLvl w:val="9"/>
    </w:pPr>
    <w:rPr>
      <w:rFonts w:asciiTheme="majorHAnsi" w:eastAsiaTheme="majorEastAsia" w:hAnsiTheme="majorHAnsi" w:cstheme="majorBidi"/>
      <w:color w:val="365F91" w:themeColor="accent1" w:themeShade="BF"/>
      <w:lang w:val="es-ES" w:eastAsia="es-ES"/>
    </w:rPr>
  </w:style>
  <w:style w:type="paragraph" w:styleId="TDC1">
    <w:name w:val="toc 1"/>
    <w:basedOn w:val="Normal"/>
    <w:next w:val="Normal"/>
    <w:autoRedefine/>
    <w:uiPriority w:val="39"/>
    <w:unhideWhenUsed/>
    <w:rsid w:val="004C7357"/>
    <w:pPr>
      <w:tabs>
        <w:tab w:val="right" w:leader="dot" w:pos="10196"/>
      </w:tabs>
      <w:spacing w:after="100"/>
      <w:jc w:val="left"/>
    </w:pPr>
  </w:style>
  <w:style w:type="paragraph" w:styleId="TDC2">
    <w:name w:val="toc 2"/>
    <w:basedOn w:val="Normal"/>
    <w:next w:val="Normal"/>
    <w:autoRedefine/>
    <w:uiPriority w:val="39"/>
    <w:unhideWhenUsed/>
    <w:rsid w:val="004C7357"/>
    <w:pPr>
      <w:tabs>
        <w:tab w:val="right" w:leader="dot" w:pos="10196"/>
      </w:tabs>
      <w:spacing w:after="100"/>
      <w:ind w:left="240"/>
      <w:jc w:val="left"/>
    </w:pPr>
  </w:style>
  <w:style w:type="paragraph" w:styleId="TDC3">
    <w:name w:val="toc 3"/>
    <w:basedOn w:val="Normal"/>
    <w:next w:val="Normal"/>
    <w:autoRedefine/>
    <w:uiPriority w:val="39"/>
    <w:unhideWhenUsed/>
    <w:rsid w:val="00416E1E"/>
    <w:pPr>
      <w:spacing w:after="100"/>
      <w:ind w:left="480"/>
    </w:pPr>
  </w:style>
  <w:style w:type="character" w:styleId="Hipervnculo">
    <w:name w:val="Hyperlink"/>
    <w:basedOn w:val="Fuentedeprrafopredeter"/>
    <w:uiPriority w:val="99"/>
    <w:unhideWhenUsed/>
    <w:rsid w:val="00416E1E"/>
    <w:rPr>
      <w:color w:val="0000FF" w:themeColor="hyperlink"/>
      <w:u w:val="single"/>
    </w:rPr>
  </w:style>
  <w:style w:type="character" w:styleId="Hipervnculovisitado">
    <w:name w:val="FollowedHyperlink"/>
    <w:basedOn w:val="Fuentedeprrafopredeter"/>
    <w:uiPriority w:val="99"/>
    <w:semiHidden/>
    <w:unhideWhenUsed/>
    <w:rsid w:val="00E0460C"/>
    <w:rPr>
      <w:color w:val="800080" w:themeColor="followedHyperlink"/>
      <w:u w:val="single"/>
    </w:rPr>
  </w:style>
  <w:style w:type="paragraph" w:customStyle="1" w:styleId="text-align-justify">
    <w:name w:val="text-align-justify"/>
    <w:basedOn w:val="Normal"/>
    <w:rsid w:val="00583858"/>
    <w:pPr>
      <w:spacing w:before="100" w:beforeAutospacing="1" w:after="100" w:afterAutospacing="1" w:line="240" w:lineRule="auto"/>
      <w:jc w:val="left"/>
    </w:pPr>
    <w:rPr>
      <w:rFonts w:ascii="Times New Roman" w:eastAsia="Times New Roman" w:hAnsi="Times New Roman" w:cs="Times New Roman"/>
      <w:lang w:val="es-MX" w:eastAsia="es-MX"/>
    </w:rPr>
  </w:style>
  <w:style w:type="paragraph" w:customStyle="1" w:styleId="Default">
    <w:name w:val="Default"/>
    <w:rsid w:val="00583858"/>
    <w:pPr>
      <w:autoSpaceDE w:val="0"/>
      <w:autoSpaceDN w:val="0"/>
      <w:adjustRightInd w:val="0"/>
    </w:pPr>
    <w:rPr>
      <w:rFonts w:ascii="Calibri" w:hAnsi="Calibri" w:cs="Calibri"/>
      <w:color w:val="000000"/>
      <w:lang w:val="es-MX"/>
    </w:rPr>
  </w:style>
  <w:style w:type="character" w:styleId="Refdecomentario">
    <w:name w:val="annotation reference"/>
    <w:basedOn w:val="Fuentedeprrafopredeter"/>
    <w:uiPriority w:val="99"/>
    <w:semiHidden/>
    <w:unhideWhenUsed/>
    <w:rsid w:val="006F275A"/>
    <w:rPr>
      <w:sz w:val="16"/>
      <w:szCs w:val="16"/>
    </w:rPr>
  </w:style>
  <w:style w:type="paragraph" w:styleId="Textocomentario">
    <w:name w:val="annotation text"/>
    <w:basedOn w:val="Normal"/>
    <w:link w:val="TextocomentarioCar"/>
    <w:uiPriority w:val="99"/>
    <w:semiHidden/>
    <w:unhideWhenUsed/>
    <w:rsid w:val="006F27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275A"/>
    <w:rPr>
      <w:rFonts w:ascii="Futura T OT" w:hAnsi="Futura T OT"/>
      <w:sz w:val="20"/>
      <w:szCs w:val="20"/>
    </w:rPr>
  </w:style>
  <w:style w:type="paragraph" w:styleId="Asuntodelcomentario">
    <w:name w:val="annotation subject"/>
    <w:basedOn w:val="Textocomentario"/>
    <w:next w:val="Textocomentario"/>
    <w:link w:val="AsuntodelcomentarioCar"/>
    <w:uiPriority w:val="99"/>
    <w:semiHidden/>
    <w:unhideWhenUsed/>
    <w:rsid w:val="006F275A"/>
    <w:rPr>
      <w:b/>
      <w:bCs/>
    </w:rPr>
  </w:style>
  <w:style w:type="character" w:customStyle="1" w:styleId="AsuntodelcomentarioCar">
    <w:name w:val="Asunto del comentario Car"/>
    <w:basedOn w:val="TextocomentarioCar"/>
    <w:link w:val="Asuntodelcomentario"/>
    <w:uiPriority w:val="99"/>
    <w:semiHidden/>
    <w:rsid w:val="006F275A"/>
    <w:rPr>
      <w:rFonts w:ascii="Futura T OT" w:hAnsi="Futura T OT"/>
      <w:b/>
      <w:bCs/>
      <w:sz w:val="20"/>
      <w:szCs w:val="20"/>
    </w:rPr>
  </w:style>
  <w:style w:type="character" w:styleId="Referenciasutil">
    <w:name w:val="Subtle Reference"/>
    <w:basedOn w:val="Fuentedeprrafopredeter"/>
    <w:uiPriority w:val="31"/>
    <w:qFormat/>
    <w:rsid w:val="004B6B72"/>
    <w:rPr>
      <w:caps w:val="0"/>
      <w:smallCaps/>
      <w:color w:val="404040" w:themeColor="text1" w:themeTint="BF"/>
      <w:u w:val="single" w:color="7F7F7F" w:themeColor="text1" w:themeTint="80"/>
    </w:rPr>
  </w:style>
  <w:style w:type="table" w:styleId="Tablaconcuadrcula">
    <w:name w:val="Table Grid"/>
    <w:basedOn w:val="Tablanormal"/>
    <w:uiPriority w:val="59"/>
    <w:rsid w:val="00D2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6747">
      <w:bodyDiv w:val="1"/>
      <w:marLeft w:val="0"/>
      <w:marRight w:val="0"/>
      <w:marTop w:val="0"/>
      <w:marBottom w:val="0"/>
      <w:divBdr>
        <w:top w:val="none" w:sz="0" w:space="0" w:color="auto"/>
        <w:left w:val="none" w:sz="0" w:space="0" w:color="auto"/>
        <w:bottom w:val="none" w:sz="0" w:space="0" w:color="auto"/>
        <w:right w:val="none" w:sz="0" w:space="0" w:color="auto"/>
      </w:divBdr>
    </w:div>
    <w:div w:id="211617759">
      <w:bodyDiv w:val="1"/>
      <w:marLeft w:val="0"/>
      <w:marRight w:val="0"/>
      <w:marTop w:val="0"/>
      <w:marBottom w:val="0"/>
      <w:divBdr>
        <w:top w:val="none" w:sz="0" w:space="0" w:color="auto"/>
        <w:left w:val="none" w:sz="0" w:space="0" w:color="auto"/>
        <w:bottom w:val="none" w:sz="0" w:space="0" w:color="auto"/>
        <w:right w:val="none" w:sz="0" w:space="0" w:color="auto"/>
      </w:divBdr>
    </w:div>
    <w:div w:id="283315934">
      <w:bodyDiv w:val="1"/>
      <w:marLeft w:val="0"/>
      <w:marRight w:val="0"/>
      <w:marTop w:val="0"/>
      <w:marBottom w:val="0"/>
      <w:divBdr>
        <w:top w:val="none" w:sz="0" w:space="0" w:color="auto"/>
        <w:left w:val="none" w:sz="0" w:space="0" w:color="auto"/>
        <w:bottom w:val="none" w:sz="0" w:space="0" w:color="auto"/>
        <w:right w:val="none" w:sz="0" w:space="0" w:color="auto"/>
      </w:divBdr>
    </w:div>
    <w:div w:id="568273729">
      <w:bodyDiv w:val="1"/>
      <w:marLeft w:val="0"/>
      <w:marRight w:val="0"/>
      <w:marTop w:val="0"/>
      <w:marBottom w:val="0"/>
      <w:divBdr>
        <w:top w:val="none" w:sz="0" w:space="0" w:color="auto"/>
        <w:left w:val="none" w:sz="0" w:space="0" w:color="auto"/>
        <w:bottom w:val="none" w:sz="0" w:space="0" w:color="auto"/>
        <w:right w:val="none" w:sz="0" w:space="0" w:color="auto"/>
      </w:divBdr>
    </w:div>
    <w:div w:id="737289587">
      <w:bodyDiv w:val="1"/>
      <w:marLeft w:val="0"/>
      <w:marRight w:val="0"/>
      <w:marTop w:val="0"/>
      <w:marBottom w:val="0"/>
      <w:divBdr>
        <w:top w:val="none" w:sz="0" w:space="0" w:color="auto"/>
        <w:left w:val="none" w:sz="0" w:space="0" w:color="auto"/>
        <w:bottom w:val="none" w:sz="0" w:space="0" w:color="auto"/>
        <w:right w:val="none" w:sz="0" w:space="0" w:color="auto"/>
      </w:divBdr>
    </w:div>
    <w:div w:id="759180471">
      <w:bodyDiv w:val="1"/>
      <w:marLeft w:val="0"/>
      <w:marRight w:val="0"/>
      <w:marTop w:val="0"/>
      <w:marBottom w:val="0"/>
      <w:divBdr>
        <w:top w:val="none" w:sz="0" w:space="0" w:color="auto"/>
        <w:left w:val="none" w:sz="0" w:space="0" w:color="auto"/>
        <w:bottom w:val="none" w:sz="0" w:space="0" w:color="auto"/>
        <w:right w:val="none" w:sz="0" w:space="0" w:color="auto"/>
      </w:divBdr>
    </w:div>
    <w:div w:id="773329257">
      <w:bodyDiv w:val="1"/>
      <w:marLeft w:val="0"/>
      <w:marRight w:val="0"/>
      <w:marTop w:val="0"/>
      <w:marBottom w:val="0"/>
      <w:divBdr>
        <w:top w:val="none" w:sz="0" w:space="0" w:color="auto"/>
        <w:left w:val="none" w:sz="0" w:space="0" w:color="auto"/>
        <w:bottom w:val="none" w:sz="0" w:space="0" w:color="auto"/>
        <w:right w:val="none" w:sz="0" w:space="0" w:color="auto"/>
      </w:divBdr>
    </w:div>
    <w:div w:id="958220995">
      <w:bodyDiv w:val="1"/>
      <w:marLeft w:val="0"/>
      <w:marRight w:val="0"/>
      <w:marTop w:val="0"/>
      <w:marBottom w:val="0"/>
      <w:divBdr>
        <w:top w:val="none" w:sz="0" w:space="0" w:color="auto"/>
        <w:left w:val="none" w:sz="0" w:space="0" w:color="auto"/>
        <w:bottom w:val="none" w:sz="0" w:space="0" w:color="auto"/>
        <w:right w:val="none" w:sz="0" w:space="0" w:color="auto"/>
      </w:divBdr>
      <w:divsChild>
        <w:div w:id="329524445">
          <w:marLeft w:val="720"/>
          <w:marRight w:val="0"/>
          <w:marTop w:val="100"/>
          <w:marBottom w:val="0"/>
          <w:divBdr>
            <w:top w:val="none" w:sz="0" w:space="0" w:color="auto"/>
            <w:left w:val="none" w:sz="0" w:space="0" w:color="auto"/>
            <w:bottom w:val="none" w:sz="0" w:space="0" w:color="auto"/>
            <w:right w:val="none" w:sz="0" w:space="0" w:color="auto"/>
          </w:divBdr>
        </w:div>
      </w:divsChild>
    </w:div>
    <w:div w:id="1184438175">
      <w:bodyDiv w:val="1"/>
      <w:marLeft w:val="0"/>
      <w:marRight w:val="0"/>
      <w:marTop w:val="0"/>
      <w:marBottom w:val="0"/>
      <w:divBdr>
        <w:top w:val="none" w:sz="0" w:space="0" w:color="auto"/>
        <w:left w:val="none" w:sz="0" w:space="0" w:color="auto"/>
        <w:bottom w:val="none" w:sz="0" w:space="0" w:color="auto"/>
        <w:right w:val="none" w:sz="0" w:space="0" w:color="auto"/>
      </w:divBdr>
    </w:div>
    <w:div w:id="1290815523">
      <w:bodyDiv w:val="1"/>
      <w:marLeft w:val="0"/>
      <w:marRight w:val="0"/>
      <w:marTop w:val="0"/>
      <w:marBottom w:val="0"/>
      <w:divBdr>
        <w:top w:val="none" w:sz="0" w:space="0" w:color="auto"/>
        <w:left w:val="none" w:sz="0" w:space="0" w:color="auto"/>
        <w:bottom w:val="none" w:sz="0" w:space="0" w:color="auto"/>
        <w:right w:val="none" w:sz="0" w:space="0" w:color="auto"/>
      </w:divBdr>
      <w:divsChild>
        <w:div w:id="1533415551">
          <w:marLeft w:val="720"/>
          <w:marRight w:val="0"/>
          <w:marTop w:val="200"/>
          <w:marBottom w:val="0"/>
          <w:divBdr>
            <w:top w:val="none" w:sz="0" w:space="0" w:color="auto"/>
            <w:left w:val="none" w:sz="0" w:space="0" w:color="auto"/>
            <w:bottom w:val="none" w:sz="0" w:space="0" w:color="auto"/>
            <w:right w:val="none" w:sz="0" w:space="0" w:color="auto"/>
          </w:divBdr>
        </w:div>
        <w:div w:id="1634367665">
          <w:marLeft w:val="720"/>
          <w:marRight w:val="0"/>
          <w:marTop w:val="100"/>
          <w:marBottom w:val="0"/>
          <w:divBdr>
            <w:top w:val="none" w:sz="0" w:space="0" w:color="auto"/>
            <w:left w:val="none" w:sz="0" w:space="0" w:color="auto"/>
            <w:bottom w:val="none" w:sz="0" w:space="0" w:color="auto"/>
            <w:right w:val="none" w:sz="0" w:space="0" w:color="auto"/>
          </w:divBdr>
        </w:div>
      </w:divsChild>
    </w:div>
    <w:div w:id="1437363857">
      <w:bodyDiv w:val="1"/>
      <w:marLeft w:val="0"/>
      <w:marRight w:val="0"/>
      <w:marTop w:val="0"/>
      <w:marBottom w:val="0"/>
      <w:divBdr>
        <w:top w:val="none" w:sz="0" w:space="0" w:color="auto"/>
        <w:left w:val="none" w:sz="0" w:space="0" w:color="auto"/>
        <w:bottom w:val="none" w:sz="0" w:space="0" w:color="auto"/>
        <w:right w:val="none" w:sz="0" w:space="0" w:color="auto"/>
      </w:divBdr>
    </w:div>
    <w:div w:id="1466384459">
      <w:bodyDiv w:val="1"/>
      <w:marLeft w:val="0"/>
      <w:marRight w:val="0"/>
      <w:marTop w:val="0"/>
      <w:marBottom w:val="0"/>
      <w:divBdr>
        <w:top w:val="none" w:sz="0" w:space="0" w:color="auto"/>
        <w:left w:val="none" w:sz="0" w:space="0" w:color="auto"/>
        <w:bottom w:val="none" w:sz="0" w:space="0" w:color="auto"/>
        <w:right w:val="none" w:sz="0" w:space="0" w:color="auto"/>
      </w:divBdr>
    </w:div>
    <w:div w:id="1672416737">
      <w:bodyDiv w:val="1"/>
      <w:marLeft w:val="0"/>
      <w:marRight w:val="0"/>
      <w:marTop w:val="0"/>
      <w:marBottom w:val="0"/>
      <w:divBdr>
        <w:top w:val="none" w:sz="0" w:space="0" w:color="auto"/>
        <w:left w:val="none" w:sz="0" w:space="0" w:color="auto"/>
        <w:bottom w:val="none" w:sz="0" w:space="0" w:color="auto"/>
        <w:right w:val="none" w:sz="0" w:space="0" w:color="auto"/>
      </w:divBdr>
    </w:div>
    <w:div w:id="1674452678">
      <w:bodyDiv w:val="1"/>
      <w:marLeft w:val="0"/>
      <w:marRight w:val="0"/>
      <w:marTop w:val="0"/>
      <w:marBottom w:val="0"/>
      <w:divBdr>
        <w:top w:val="none" w:sz="0" w:space="0" w:color="auto"/>
        <w:left w:val="none" w:sz="0" w:space="0" w:color="auto"/>
        <w:bottom w:val="none" w:sz="0" w:space="0" w:color="auto"/>
        <w:right w:val="none" w:sz="0" w:space="0" w:color="auto"/>
      </w:divBdr>
    </w:div>
    <w:div w:id="1747801215">
      <w:bodyDiv w:val="1"/>
      <w:marLeft w:val="0"/>
      <w:marRight w:val="0"/>
      <w:marTop w:val="0"/>
      <w:marBottom w:val="0"/>
      <w:divBdr>
        <w:top w:val="none" w:sz="0" w:space="0" w:color="auto"/>
        <w:left w:val="none" w:sz="0" w:space="0" w:color="auto"/>
        <w:bottom w:val="none" w:sz="0" w:space="0" w:color="auto"/>
        <w:right w:val="none" w:sz="0" w:space="0" w:color="auto"/>
      </w:divBdr>
      <w:divsChild>
        <w:div w:id="169833803">
          <w:marLeft w:val="720"/>
          <w:marRight w:val="0"/>
          <w:marTop w:val="100"/>
          <w:marBottom w:val="0"/>
          <w:divBdr>
            <w:top w:val="none" w:sz="0" w:space="0" w:color="auto"/>
            <w:left w:val="none" w:sz="0" w:space="0" w:color="auto"/>
            <w:bottom w:val="none" w:sz="0" w:space="0" w:color="auto"/>
            <w:right w:val="none" w:sz="0" w:space="0" w:color="auto"/>
          </w:divBdr>
        </w:div>
        <w:div w:id="1147013063">
          <w:marLeft w:val="720"/>
          <w:marRight w:val="0"/>
          <w:marTop w:val="200"/>
          <w:marBottom w:val="0"/>
          <w:divBdr>
            <w:top w:val="none" w:sz="0" w:space="0" w:color="auto"/>
            <w:left w:val="none" w:sz="0" w:space="0" w:color="auto"/>
            <w:bottom w:val="none" w:sz="0" w:space="0" w:color="auto"/>
            <w:right w:val="none" w:sz="0" w:space="0" w:color="auto"/>
          </w:divBdr>
        </w:div>
      </w:divsChild>
    </w:div>
    <w:div w:id="1782266331">
      <w:bodyDiv w:val="1"/>
      <w:marLeft w:val="0"/>
      <w:marRight w:val="0"/>
      <w:marTop w:val="0"/>
      <w:marBottom w:val="0"/>
      <w:divBdr>
        <w:top w:val="none" w:sz="0" w:space="0" w:color="auto"/>
        <w:left w:val="none" w:sz="0" w:space="0" w:color="auto"/>
        <w:bottom w:val="none" w:sz="0" w:space="0" w:color="auto"/>
        <w:right w:val="none" w:sz="0" w:space="0" w:color="auto"/>
      </w:divBdr>
    </w:div>
    <w:div w:id="1860853990">
      <w:bodyDiv w:val="1"/>
      <w:marLeft w:val="0"/>
      <w:marRight w:val="0"/>
      <w:marTop w:val="0"/>
      <w:marBottom w:val="0"/>
      <w:divBdr>
        <w:top w:val="none" w:sz="0" w:space="0" w:color="auto"/>
        <w:left w:val="none" w:sz="0" w:space="0" w:color="auto"/>
        <w:bottom w:val="none" w:sz="0" w:space="0" w:color="auto"/>
        <w:right w:val="none" w:sz="0" w:space="0" w:color="auto"/>
      </w:divBdr>
    </w:div>
    <w:div w:id="19162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s://www.inegi.org.mx/programas/cntaippdpe/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enogdai.org/" TargetMode="External"/><Relationship Id="rId2" Type="http://schemas.openxmlformats.org/officeDocument/2006/relationships/numbering" Target="numbering.xml"/><Relationship Id="rId16" Type="http://schemas.openxmlformats.org/officeDocument/2006/relationships/hyperlink" Target="https://www.inegi.org.mx/programas/cntaippdpe/201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nogdai.org/" TargetMode="Externa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41152601323601"/>
          <c:y val="0.16670436456586599"/>
          <c:w val="0.61021921646297295"/>
          <c:h val="0.69914452949121997"/>
        </c:manualLayout>
      </c:layout>
      <c:barChart>
        <c:barDir val="col"/>
        <c:grouping val="clustered"/>
        <c:varyColors val="0"/>
        <c:ser>
          <c:idx val="0"/>
          <c:order val="0"/>
          <c:tx>
            <c:strRef>
              <c:f>Hoja1!$B$3</c:f>
              <c:strCache>
                <c:ptCount val="1"/>
                <c:pt idx="0">
                  <c:v>Capacitados</c:v>
                </c:pt>
              </c:strCache>
            </c:strRef>
          </c:tx>
          <c:spPr>
            <a:solidFill>
              <a:schemeClr val="accent5">
                <a:shade val="58000"/>
              </a:schemeClr>
            </a:solidFill>
            <a:ln w="9525" cap="flat" cmpd="sng" algn="ctr">
              <a:noFill/>
              <a:prstDash val="solid"/>
              <a:round/>
            </a:ln>
            <a:effectLst/>
          </c:spPr>
          <c:invertIfNegative val="0"/>
          <c:dLbls>
            <c:dLbl>
              <c:idx val="5"/>
              <c:layout>
                <c:manualLayout>
                  <c:x val="1.7804154302670624E-2"/>
                  <c:y val="-4.6377742341383227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CEB-4CE7-8286-EF986403957C}"/>
                </c:ext>
              </c:extLst>
            </c:dLbl>
            <c:dLbl>
              <c:idx val="9"/>
              <c:layout>
                <c:manualLayout>
                  <c:x val="-1.780415430267069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CEB-4CE7-8286-EF986403957C}"/>
                </c:ext>
              </c:extLst>
            </c:dLbl>
            <c:spPr>
              <a:noFill/>
              <a:ln>
                <a:noFill/>
              </a:ln>
              <a:effectLst/>
            </c:spPr>
            <c:txPr>
              <a:bodyPr rot="0" vert="horz"/>
              <a:lstStyle/>
              <a:p>
                <a:pPr>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Hoja1!$A$4:$A$16</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Hoja1!$B$4:$B$16</c:f>
              <c:numCache>
                <c:formatCode>_-* #,##0_-;\-* #,##0_-;_-* "-"??_-;_-@_-</c:formatCode>
                <c:ptCount val="13"/>
                <c:pt idx="0">
                  <c:v>1410</c:v>
                </c:pt>
                <c:pt idx="1">
                  <c:v>1293</c:v>
                </c:pt>
                <c:pt idx="2">
                  <c:v>8598</c:v>
                </c:pt>
                <c:pt idx="3">
                  <c:v>13728</c:v>
                </c:pt>
                <c:pt idx="4">
                  <c:v>17484</c:v>
                </c:pt>
                <c:pt idx="5">
                  <c:v>18263</c:v>
                </c:pt>
                <c:pt idx="6">
                  <c:v>12872</c:v>
                </c:pt>
                <c:pt idx="7">
                  <c:v>20625</c:v>
                </c:pt>
                <c:pt idx="8">
                  <c:v>13937</c:v>
                </c:pt>
                <c:pt idx="9">
                  <c:v>17111</c:v>
                </c:pt>
                <c:pt idx="10">
                  <c:v>16809</c:v>
                </c:pt>
                <c:pt idx="11">
                  <c:v>18698</c:v>
                </c:pt>
                <c:pt idx="12">
                  <c:v>10587</c:v>
                </c:pt>
              </c:numCache>
            </c:numRef>
          </c:val>
          <c:extLst xmlns:c16r2="http://schemas.microsoft.com/office/drawing/2015/06/chart">
            <c:ext xmlns:c16="http://schemas.microsoft.com/office/drawing/2014/chart" uri="{C3380CC4-5D6E-409C-BE32-E72D297353CC}">
              <c16:uniqueId val="{00000002-BCEB-4CE7-8286-EF986403957C}"/>
            </c:ext>
          </c:extLst>
        </c:ser>
        <c:dLbls>
          <c:showLegendKey val="0"/>
          <c:showVal val="0"/>
          <c:showCatName val="0"/>
          <c:showSerName val="0"/>
          <c:showPercent val="0"/>
          <c:showBubbleSize val="0"/>
        </c:dLbls>
        <c:gapWidth val="150"/>
        <c:axId val="134449024"/>
        <c:axId val="134450560"/>
      </c:barChart>
      <c:catAx>
        <c:axId val="134449024"/>
        <c:scaling>
          <c:orientation val="minMax"/>
        </c:scaling>
        <c:delete val="0"/>
        <c:axPos val="b"/>
        <c:numFmt formatCode="General" sourceLinked="1"/>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vert="horz"/>
          <a:lstStyle/>
          <a:p>
            <a:pPr>
              <a:defRPr/>
            </a:pPr>
            <a:endParaRPr lang="es-MX"/>
          </a:p>
        </c:txPr>
        <c:crossAx val="134450560"/>
        <c:crosses val="autoZero"/>
        <c:auto val="1"/>
        <c:lblAlgn val="ctr"/>
        <c:lblOffset val="100"/>
        <c:noMultiLvlLbl val="0"/>
      </c:catAx>
      <c:valAx>
        <c:axId val="13445056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_-* #,##0_-;\-* #,##0_-;_-* &quot;-&quot;??_-;_-@_-"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vert="horz"/>
          <a:lstStyle/>
          <a:p>
            <a:pPr>
              <a:defRPr/>
            </a:pPr>
            <a:endParaRPr lang="es-MX"/>
          </a:p>
        </c:txPr>
        <c:crossAx val="134449024"/>
        <c:crosses val="autoZero"/>
        <c:crossBetween val="between"/>
      </c:valAx>
      <c:spPr>
        <a:solidFill>
          <a:schemeClr val="bg1"/>
        </a:solidFill>
        <a:ln>
          <a:noFill/>
        </a:ln>
        <a:effectLst/>
      </c:spPr>
    </c:plotArea>
    <c:legend>
      <c:legendPos val="r"/>
      <c:layout>
        <c:manualLayout>
          <c:xMode val="edge"/>
          <c:yMode val="edge"/>
          <c:x val="0.74878457684802202"/>
          <c:y val="0.17050951436401501"/>
          <c:w val="0.24436925752379099"/>
          <c:h val="0.28724948327879501"/>
        </c:manualLayout>
      </c:layout>
      <c:overlay val="0"/>
      <c:spPr>
        <a:noFill/>
        <a:ln>
          <a:noFill/>
        </a:ln>
        <a:effectLst/>
      </c:spPr>
      <c:txPr>
        <a:bodyPr rot="0" vert="horz"/>
        <a:lstStyle/>
        <a:p>
          <a:pPr>
            <a:defRPr/>
          </a:pPr>
          <a:endParaRPr lang="es-MX"/>
        </a:p>
      </c:txPr>
    </c:legend>
    <c:plotVisOnly val="1"/>
    <c:dispBlanksAs val="gap"/>
    <c:showDLblsOverMax val="0"/>
  </c:chart>
  <c:spPr>
    <a:solidFill>
      <a:schemeClr val="bg1"/>
    </a:solidFill>
    <a:ln w="9525" cap="flat" cmpd="sng" algn="ctr">
      <a:noFill/>
      <a:prstDash val="solid"/>
      <a:round/>
    </a:ln>
    <a:effectLst/>
  </c:spPr>
  <c:txPr>
    <a:bodyPr/>
    <a:lstStyle/>
    <a:p>
      <a:pPr>
        <a:defRPr sz="900">
          <a:solidFill>
            <a:schemeClr val="tx1">
              <a:lumMod val="65000"/>
              <a:lumOff val="35000"/>
            </a:schemeClr>
          </a:solidFill>
          <a:latin typeface="Futura Std Condensed Light" pitchFamily="34" charset="0"/>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41152601323601"/>
          <c:y val="0.16670436456586599"/>
          <c:w val="0.61021921646297295"/>
          <c:h val="0.69914452949121997"/>
        </c:manualLayout>
      </c:layout>
      <c:barChart>
        <c:barDir val="col"/>
        <c:grouping val="clustered"/>
        <c:varyColors val="0"/>
        <c:ser>
          <c:idx val="0"/>
          <c:order val="0"/>
          <c:tx>
            <c:strRef>
              <c:f>Hoja1!$B$3</c:f>
              <c:strCache>
                <c:ptCount val="1"/>
                <c:pt idx="0">
                  <c:v>Solicitudes</c:v>
                </c:pt>
              </c:strCache>
            </c:strRef>
          </c:tx>
          <c:spPr>
            <a:solidFill>
              <a:schemeClr val="accent5">
                <a:shade val="58000"/>
              </a:schemeClr>
            </a:solidFill>
            <a:ln w="9525" cap="flat" cmpd="sng" algn="ctr">
              <a:noFill/>
              <a:prstDash val="solid"/>
              <a:round/>
            </a:ln>
            <a:effectLst/>
          </c:spPr>
          <c:invertIfNegative val="0"/>
          <c:dLbls>
            <c:dLbl>
              <c:idx val="5"/>
              <c:layout>
                <c:manualLayout>
                  <c:x val="7.7031734669529943E-3"/>
                  <c:y val="-5.974607916355498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B06-4BAF-92E6-EC4D003076DF}"/>
                </c:ext>
              </c:extLst>
            </c:dLbl>
            <c:dLbl>
              <c:idx val="9"/>
              <c:layout>
                <c:manualLayout>
                  <c:x val="-1.780415430267069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B06-4BAF-92E6-EC4D003076DF}"/>
                </c:ext>
              </c:extLst>
            </c:dLbl>
            <c:spPr>
              <a:noFill/>
              <a:ln>
                <a:noFill/>
              </a:ln>
              <a:effectLst/>
            </c:spPr>
            <c:txPr>
              <a:bodyPr rot="0" vert="horz"/>
              <a:lstStyle/>
              <a:p>
                <a:pPr>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Hoja1!$A$4:$A$16</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Hoja1!$B$4:$B$16</c:f>
              <c:numCache>
                <c:formatCode>_-* #,##0_-;\-* #,##0_-;_-* "-"??_-;_-@_-</c:formatCode>
                <c:ptCount val="13"/>
                <c:pt idx="0">
                  <c:v>697</c:v>
                </c:pt>
                <c:pt idx="1">
                  <c:v>786</c:v>
                </c:pt>
                <c:pt idx="2">
                  <c:v>1727</c:v>
                </c:pt>
                <c:pt idx="3">
                  <c:v>1853</c:v>
                </c:pt>
                <c:pt idx="4">
                  <c:v>2229</c:v>
                </c:pt>
                <c:pt idx="5">
                  <c:v>2024</c:v>
                </c:pt>
                <c:pt idx="6">
                  <c:v>1979</c:v>
                </c:pt>
                <c:pt idx="7">
                  <c:v>1971</c:v>
                </c:pt>
                <c:pt idx="8">
                  <c:v>1759</c:v>
                </c:pt>
                <c:pt idx="9">
                  <c:v>4216</c:v>
                </c:pt>
                <c:pt idx="10">
                  <c:v>9486</c:v>
                </c:pt>
                <c:pt idx="11">
                  <c:v>12511</c:v>
                </c:pt>
                <c:pt idx="12">
                  <c:v>10741</c:v>
                </c:pt>
              </c:numCache>
            </c:numRef>
          </c:val>
          <c:extLst xmlns:c16r2="http://schemas.microsoft.com/office/drawing/2015/06/chart">
            <c:ext xmlns:c16="http://schemas.microsoft.com/office/drawing/2014/chart" uri="{C3380CC4-5D6E-409C-BE32-E72D297353CC}">
              <c16:uniqueId val="{00000002-3B06-4BAF-92E6-EC4D003076DF}"/>
            </c:ext>
          </c:extLst>
        </c:ser>
        <c:dLbls>
          <c:showLegendKey val="0"/>
          <c:showVal val="0"/>
          <c:showCatName val="0"/>
          <c:showSerName val="0"/>
          <c:showPercent val="0"/>
          <c:showBubbleSize val="0"/>
        </c:dLbls>
        <c:gapWidth val="150"/>
        <c:axId val="151299200"/>
        <c:axId val="151300736"/>
      </c:barChart>
      <c:catAx>
        <c:axId val="151299200"/>
        <c:scaling>
          <c:orientation val="minMax"/>
        </c:scaling>
        <c:delete val="0"/>
        <c:axPos val="b"/>
        <c:numFmt formatCode="General" sourceLinked="1"/>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vert="horz"/>
          <a:lstStyle/>
          <a:p>
            <a:pPr>
              <a:defRPr/>
            </a:pPr>
            <a:endParaRPr lang="es-MX"/>
          </a:p>
        </c:txPr>
        <c:crossAx val="151300736"/>
        <c:crosses val="autoZero"/>
        <c:auto val="1"/>
        <c:lblAlgn val="ctr"/>
        <c:lblOffset val="100"/>
        <c:noMultiLvlLbl val="0"/>
      </c:catAx>
      <c:valAx>
        <c:axId val="15130073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_-* #,##0_-;\-* #,##0_-;_-* &quot;-&quot;??_-;_-@_-"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vert="horz"/>
          <a:lstStyle/>
          <a:p>
            <a:pPr>
              <a:defRPr/>
            </a:pPr>
            <a:endParaRPr lang="es-MX"/>
          </a:p>
        </c:txPr>
        <c:crossAx val="151299200"/>
        <c:crosses val="autoZero"/>
        <c:crossBetween val="between"/>
      </c:valAx>
      <c:spPr>
        <a:solidFill>
          <a:schemeClr val="bg1"/>
        </a:solidFill>
        <a:ln>
          <a:noFill/>
        </a:ln>
        <a:effectLst/>
      </c:spPr>
    </c:plotArea>
    <c:legend>
      <c:legendPos val="r"/>
      <c:layout>
        <c:manualLayout>
          <c:xMode val="edge"/>
          <c:yMode val="edge"/>
          <c:x val="0.74878457684802202"/>
          <c:y val="0.17050951436401501"/>
          <c:w val="0.24436925752379099"/>
          <c:h val="0.28724948327879501"/>
        </c:manualLayout>
      </c:layout>
      <c:overlay val="0"/>
      <c:spPr>
        <a:noFill/>
        <a:ln>
          <a:noFill/>
        </a:ln>
        <a:effectLst/>
      </c:spPr>
      <c:txPr>
        <a:bodyPr rot="0" vert="horz"/>
        <a:lstStyle/>
        <a:p>
          <a:pPr>
            <a:defRPr/>
          </a:pPr>
          <a:endParaRPr lang="es-MX"/>
        </a:p>
      </c:txPr>
    </c:legend>
    <c:plotVisOnly val="1"/>
    <c:dispBlanksAs val="gap"/>
    <c:showDLblsOverMax val="0"/>
  </c:chart>
  <c:spPr>
    <a:solidFill>
      <a:schemeClr val="bg1"/>
    </a:solidFill>
    <a:ln w="9525" cap="flat" cmpd="sng" algn="ctr">
      <a:noFill/>
      <a:prstDash val="solid"/>
      <a:round/>
    </a:ln>
    <a:effectLst/>
  </c:spPr>
  <c:txPr>
    <a:bodyPr/>
    <a:lstStyle/>
    <a:p>
      <a:pPr>
        <a:defRPr sz="900">
          <a:solidFill>
            <a:schemeClr val="tx1">
              <a:lumMod val="65000"/>
              <a:lumOff val="35000"/>
            </a:schemeClr>
          </a:solidFill>
          <a:latin typeface="Futura Std Condensed Light" pitchFamily="34" charset="0"/>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292281287191673"/>
          <c:y val="0.16670454008375005"/>
          <c:w val="0.61021921646297295"/>
          <c:h val="0.69914452949121997"/>
        </c:manualLayout>
      </c:layout>
      <c:barChart>
        <c:barDir val="col"/>
        <c:grouping val="clustered"/>
        <c:varyColors val="0"/>
        <c:ser>
          <c:idx val="0"/>
          <c:order val="0"/>
          <c:tx>
            <c:strRef>
              <c:f>Hoja1!$B$3</c:f>
              <c:strCache>
                <c:ptCount val="1"/>
                <c:pt idx="0">
                  <c:v>Recursos de Revisión</c:v>
                </c:pt>
              </c:strCache>
            </c:strRef>
          </c:tx>
          <c:spPr>
            <a:solidFill>
              <a:schemeClr val="accent5">
                <a:shade val="58000"/>
              </a:schemeClr>
            </a:solidFill>
            <a:ln w="9525" cap="flat" cmpd="sng" algn="ctr">
              <a:noFill/>
              <a:prstDash val="solid"/>
              <a:round/>
            </a:ln>
            <a:effectLst/>
          </c:spPr>
          <c:invertIfNegative val="0"/>
          <c:dLbls>
            <c:dLbl>
              <c:idx val="5"/>
              <c:layout>
                <c:manualLayout>
                  <c:x val="1.4184280175409902E-3"/>
                  <c:y val="-3.09345785558318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B29-4E15-9140-68D44314F2C2}"/>
                </c:ext>
              </c:extLst>
            </c:dLbl>
            <c:dLbl>
              <c:idx val="9"/>
              <c:layout>
                <c:manualLayout>
                  <c:x val="-1.780415430267069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B29-4E15-9140-68D44314F2C2}"/>
                </c:ext>
              </c:extLst>
            </c:dLbl>
            <c:spPr>
              <a:noFill/>
              <a:ln>
                <a:noFill/>
              </a:ln>
              <a:effectLst/>
            </c:spPr>
            <c:txPr>
              <a:bodyPr rot="0" vert="horz"/>
              <a:lstStyle/>
              <a:p>
                <a:pPr>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Hoja1!$A$4:$A$16</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Hoja1!$B$4:$B$16</c:f>
              <c:numCache>
                <c:formatCode>_-* #,##0_-;\-* #,##0_-;_-* "-"??_-;_-@_-</c:formatCode>
                <c:ptCount val="13"/>
                <c:pt idx="0">
                  <c:v>38</c:v>
                </c:pt>
                <c:pt idx="1">
                  <c:v>21</c:v>
                </c:pt>
                <c:pt idx="2">
                  <c:v>48</c:v>
                </c:pt>
                <c:pt idx="3">
                  <c:v>106</c:v>
                </c:pt>
                <c:pt idx="4">
                  <c:v>63</c:v>
                </c:pt>
                <c:pt idx="5">
                  <c:v>71</c:v>
                </c:pt>
                <c:pt idx="6">
                  <c:v>72</c:v>
                </c:pt>
                <c:pt idx="7">
                  <c:v>99</c:v>
                </c:pt>
                <c:pt idx="8">
                  <c:v>50</c:v>
                </c:pt>
                <c:pt idx="9">
                  <c:v>90</c:v>
                </c:pt>
                <c:pt idx="10">
                  <c:v>203</c:v>
                </c:pt>
                <c:pt idx="11">
                  <c:v>567</c:v>
                </c:pt>
                <c:pt idx="12">
                  <c:v>648</c:v>
                </c:pt>
              </c:numCache>
            </c:numRef>
          </c:val>
          <c:extLst xmlns:c16r2="http://schemas.microsoft.com/office/drawing/2015/06/chart">
            <c:ext xmlns:c16="http://schemas.microsoft.com/office/drawing/2014/chart" uri="{C3380CC4-5D6E-409C-BE32-E72D297353CC}">
              <c16:uniqueId val="{00000002-8B29-4E15-9140-68D44314F2C2}"/>
            </c:ext>
          </c:extLst>
        </c:ser>
        <c:dLbls>
          <c:showLegendKey val="0"/>
          <c:showVal val="0"/>
          <c:showCatName val="0"/>
          <c:showSerName val="0"/>
          <c:showPercent val="0"/>
          <c:showBubbleSize val="0"/>
        </c:dLbls>
        <c:gapWidth val="150"/>
        <c:axId val="146751488"/>
        <c:axId val="146753024"/>
      </c:barChart>
      <c:catAx>
        <c:axId val="146751488"/>
        <c:scaling>
          <c:orientation val="minMax"/>
        </c:scaling>
        <c:delete val="0"/>
        <c:axPos val="b"/>
        <c:numFmt formatCode="General" sourceLinked="1"/>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vert="horz"/>
          <a:lstStyle/>
          <a:p>
            <a:pPr>
              <a:defRPr/>
            </a:pPr>
            <a:endParaRPr lang="es-MX"/>
          </a:p>
        </c:txPr>
        <c:crossAx val="146753024"/>
        <c:crosses val="autoZero"/>
        <c:auto val="1"/>
        <c:lblAlgn val="ctr"/>
        <c:lblOffset val="100"/>
        <c:noMultiLvlLbl val="0"/>
      </c:catAx>
      <c:valAx>
        <c:axId val="14675302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_-* #,##0_-;\-* #,##0_-;_-* &quot;-&quot;??_-;_-@_-"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vert="horz"/>
          <a:lstStyle/>
          <a:p>
            <a:pPr>
              <a:defRPr/>
            </a:pPr>
            <a:endParaRPr lang="es-MX"/>
          </a:p>
        </c:txPr>
        <c:crossAx val="146751488"/>
        <c:crosses val="autoZero"/>
        <c:crossBetween val="between"/>
      </c:valAx>
      <c:spPr>
        <a:solidFill>
          <a:schemeClr val="bg1"/>
        </a:solidFill>
        <a:ln>
          <a:noFill/>
        </a:ln>
        <a:effectLst/>
      </c:spPr>
    </c:plotArea>
    <c:legend>
      <c:legendPos val="r"/>
      <c:layout>
        <c:manualLayout>
          <c:xMode val="edge"/>
          <c:yMode val="edge"/>
          <c:x val="0.83048556292985631"/>
          <c:y val="0.29055741981832101"/>
          <c:w val="0.16685803925708617"/>
          <c:h val="0.24883402179769545"/>
        </c:manualLayout>
      </c:layout>
      <c:overlay val="0"/>
      <c:spPr>
        <a:noFill/>
        <a:ln>
          <a:noFill/>
        </a:ln>
        <a:effectLst/>
      </c:spPr>
      <c:txPr>
        <a:bodyPr rot="0" vert="horz"/>
        <a:lstStyle/>
        <a:p>
          <a:pPr>
            <a:defRPr/>
          </a:pPr>
          <a:endParaRPr lang="es-MX"/>
        </a:p>
      </c:txPr>
    </c:legend>
    <c:plotVisOnly val="1"/>
    <c:dispBlanksAs val="gap"/>
    <c:showDLblsOverMax val="0"/>
  </c:chart>
  <c:spPr>
    <a:solidFill>
      <a:schemeClr val="bg1"/>
    </a:solidFill>
    <a:ln w="9525" cap="flat" cmpd="sng" algn="ctr">
      <a:noFill/>
      <a:prstDash val="solid"/>
      <a:round/>
    </a:ln>
    <a:effectLst/>
  </c:spPr>
  <c:txPr>
    <a:bodyPr/>
    <a:lstStyle/>
    <a:p>
      <a:pPr>
        <a:defRPr sz="900">
          <a:solidFill>
            <a:schemeClr val="tx1">
              <a:lumMod val="65000"/>
              <a:lumOff val="35000"/>
            </a:schemeClr>
          </a:solidFill>
          <a:latin typeface="Futura Std Condensed Light" pitchFamily="34" charset="0"/>
        </a:defRPr>
      </a:pPr>
      <a:endParaRPr lang="es-MX"/>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3F3D7-7DDB-4550-9E17-EE5EDCE3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72</Pages>
  <Words>11888</Words>
  <Characters>65386</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77120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DURAN SUAREZ</dc:creator>
  <cp:lastModifiedBy>HP Inc.</cp:lastModifiedBy>
  <cp:revision>21</cp:revision>
  <cp:lastPrinted>2020-10-16T15:51:00Z</cp:lastPrinted>
  <dcterms:created xsi:type="dcterms:W3CDTF">2020-10-08T18:58:00Z</dcterms:created>
  <dcterms:modified xsi:type="dcterms:W3CDTF">2020-11-23T22:01:00Z</dcterms:modified>
</cp:coreProperties>
</file>